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6E1F0" w14:textId="71325085" w:rsidR="005267EA" w:rsidRPr="00A626CC" w:rsidRDefault="007368E7" w:rsidP="00A626CC">
      <w:pPr>
        <w:pStyle w:val="Title"/>
      </w:pPr>
      <w:bookmarkStart w:id="0" w:name="_Toc37923968"/>
      <w:r w:rsidRPr="00A626CC">
        <w:t>PLF independent Evalution</w:t>
      </w:r>
    </w:p>
    <w:p w14:paraId="0A95D831" w14:textId="39EA6F92" w:rsidR="00533113" w:rsidRPr="00A626CC" w:rsidRDefault="00E83AF4" w:rsidP="00A626CC">
      <w:pPr>
        <w:pStyle w:val="CoverSubtitle"/>
      </w:pPr>
      <w:r w:rsidRPr="00594BF7">
        <w:rPr>
          <w:rFonts w:asciiTheme="minorHAnsi" w:hAnsiTheme="minorHAnsi" w:cstheme="minorHAnsi"/>
          <w:noProof/>
        </w:rPr>
        <w:drawing>
          <wp:anchor distT="0" distB="0" distL="114300" distR="114300" simplePos="0" relativeHeight="251658242" behindDoc="1" locked="0" layoutInCell="1" allowOverlap="1" wp14:anchorId="70D196AB" wp14:editId="20C045FF">
            <wp:simplePos x="0" y="0"/>
            <wp:positionH relativeFrom="margin">
              <wp:posOffset>-151765</wp:posOffset>
            </wp:positionH>
            <wp:positionV relativeFrom="paragraph">
              <wp:posOffset>-1559074</wp:posOffset>
            </wp:positionV>
            <wp:extent cx="6489700" cy="9712325"/>
            <wp:effectExtent l="0" t="0" r="6350" b="3175"/>
            <wp:wrapNone/>
            <wp:docPr id="502640744" name="Picture 502640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40744" name="Picture 502640744">
                      <a:extLst>
                        <a:ext uri="{C183D7F6-B498-43B3-948B-1728B52AA6E4}">
                          <adec:decorative xmlns:adec="http://schemas.microsoft.com/office/drawing/2017/decorative" val="1"/>
                        </a:ext>
                      </a:extLst>
                    </pic:cNvPr>
                    <pic:cNvPicPr/>
                  </pic:nvPicPr>
                  <pic:blipFill rotWithShape="1">
                    <a:blip r:embed="rId8" cstate="print">
                      <a:alphaModFix amt="70000"/>
                      <a:extLst>
                        <a:ext uri="{28A0092B-C50C-407E-A947-70E740481C1C}">
                          <a14:useLocalDpi xmlns:a14="http://schemas.microsoft.com/office/drawing/2010/main" val="0"/>
                        </a:ext>
                      </a:extLst>
                    </a:blip>
                    <a:srcRect t="-252"/>
                    <a:stretch/>
                  </pic:blipFill>
                  <pic:spPr bwMode="auto">
                    <a:xfrm>
                      <a:off x="0" y="0"/>
                      <a:ext cx="6489700" cy="971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8241" behindDoc="1" locked="0" layoutInCell="1" allowOverlap="1" wp14:anchorId="54B7CD29" wp14:editId="046761E4">
                <wp:simplePos x="0" y="0"/>
                <wp:positionH relativeFrom="column">
                  <wp:posOffset>-683895</wp:posOffset>
                </wp:positionH>
                <wp:positionV relativeFrom="paragraph">
                  <wp:posOffset>-2072640</wp:posOffset>
                </wp:positionV>
                <wp:extent cx="7560000" cy="10692000"/>
                <wp:effectExtent l="0" t="0" r="317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C9C5B" id="Rectangle 23" o:spid="_x0000_s1026" alt="&quot;&quot;" style="position:absolute;margin-left:-53.85pt;margin-top:-163.2pt;width:595.3pt;height:841.9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g&#10;28T+5QAAAA8BAAAPAAAAZHJzL2Rvd25yZXYueG1sTI+xTsMwEIZ3JN7BOiQW1NqNS1NCnAqQkFg6&#10;UCrE6MYmthrbUewmKU/PdYLtP92n/74rN5NryaD7aIMXsJgzINrXQVnfCNh/vM7WQGKSXsk2eC3g&#10;rCNsquurUhYqjP5dD7vUECzxsZACTEpdQWmsjXYyzkOnPe6+Q+9kwrFvqOrliOWupRljK+qk9XjB&#10;yE6/GF0fdycnYHvm/G2448dxb3ljf+jX86cJQtzeTE+PQJKe0h8MF31UhwqdDuHkVSStgNmC5Tmy&#10;mHi2WgK5MGydPQA5YOL3+RJoVdL/f1S/AAAA//8DAFBLAQItABQABgAIAAAAIQC2gziS/gAAAOEB&#10;AAATAAAAAAAAAAAAAAAAAAAAAABbQ29udGVudF9UeXBlc10ueG1sUEsBAi0AFAAGAAgAAAAhADj9&#10;If/WAAAAlAEAAAsAAAAAAAAAAAAAAAAALwEAAF9yZWxzLy5yZWxzUEsBAi0AFAAGAAgAAAAhAK9Z&#10;IMd9AgAAYAUAAA4AAAAAAAAAAAAAAAAALgIAAGRycy9lMm9Eb2MueG1sUEsBAi0AFAAGAAgAAAAh&#10;ACDbxP7lAAAADwEAAA8AAAAAAAAAAAAAAAAA1wQAAGRycy9kb3ducmV2LnhtbFBLBQYAAAAABAAE&#10;APMAAADpBQAAAAA=&#10;" fillcolor="white [3212]" stroked="f" strokeweight="1pt"/>
            </w:pict>
          </mc:Fallback>
        </mc:AlternateContent>
      </w:r>
      <w:r w:rsidR="00AE50D3" w:rsidRPr="00A626CC">
        <w:t xml:space="preserve">Prepared for </w:t>
      </w:r>
      <w:r w:rsidR="00F56208" w:rsidRPr="00A626CC">
        <w:t>DFAT</w:t>
      </w:r>
    </w:p>
    <w:p w14:paraId="16D8D24D" w14:textId="02EBE436" w:rsidR="005267EA" w:rsidRPr="00A626CC" w:rsidRDefault="008B344C" w:rsidP="00A626CC">
      <w:pPr>
        <w:pStyle w:val="Date"/>
        <w:rPr>
          <w:rFonts w:cstheme="minorHAnsi"/>
        </w:rPr>
      </w:pPr>
      <w:r w:rsidRPr="00A626CC">
        <w:rPr>
          <w:rFonts w:cstheme="minorHAnsi"/>
          <w:noProof/>
        </w:rPr>
        <mc:AlternateContent>
          <mc:Choice Requires="wps">
            <w:drawing>
              <wp:anchor distT="0" distB="0" distL="114300" distR="114300" simplePos="0" relativeHeight="251658240" behindDoc="1" locked="0" layoutInCell="1" allowOverlap="1" wp14:anchorId="686A0173" wp14:editId="4DB3CDA6">
                <wp:simplePos x="0" y="0"/>
                <wp:positionH relativeFrom="column">
                  <wp:posOffset>-683895</wp:posOffset>
                </wp:positionH>
                <wp:positionV relativeFrom="paragraph">
                  <wp:posOffset>-1817763</wp:posOffset>
                </wp:positionV>
                <wp:extent cx="7560000" cy="1069200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57FBF" id="Rectangle 2" o:spid="_x0000_s1026" alt="&quot;&quot;" style="position:absolute;margin-left:-53.85pt;margin-top:-143.15pt;width:595.3pt;height:841.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f3kgIAAIwFAAAOAAAAZHJzL2Uyb0RvYy54bWysVMFu2zAMvQ/YPwi6r3aCtF2NOEWQosOA&#10;oC3aDj0rshQbk0VNUuJkXz9Kst2sK3YY5oNgiuQj+URyfn1oFdkL6xrQJZ2c5ZQIzaFq9Lak355v&#10;P32mxHmmK6ZAi5IehaPXi48f5p0pxBRqUJWwBEG0KzpT0tp7U2SZ47VomTsDIzQqJdiWeRTtNqss&#10;6xC9Vdk0zy+yDmxlLHDhHN7eJCVdRHwpBff3UjrhiSop5ubjaeO5CWe2mLNia5mpG96nwf4hi5Y1&#10;GoOOUDfMM7KzzR9QbcMtOJD+jEObgZQNF7EGrGaSv6nmqWZGxFqQHGdGmtz/g+V3+yfzYEPqzqyB&#10;f3dEw6pmeiuWziB9+KiBpKwzrhiNg+B6t4O0bXDHWsghEnsciRUHTzheXp5f5PhRwlE3yS+u8Oki&#10;9xkrBn9jnf8ioCXhp6QWY0dG2X7tfMiAFYNJzBZUU902SkUhtItYKUv2DB96s005Y02nVkoHWw3B&#10;KwGGm1hZKiaW5Y9KBDulH4UkTYXpT2MisSdfgzDOhfaTpKpZJVLs81hogh89YvYRMCBLjD9i9wC/&#10;FzBgJ5jePriK2NKjc/63xJLz6BEjg/ajc9tosO8BKKyqj5zsB5ISNYGlDVTHB0sspIFyht82+Gxr&#10;5vwDszhB+Na4Ffw9HlJBV1Lo/yipwf587z7YY2OjlpIOJ7Kk7seOWUGJ+qqx5a8ms1kY4SjMzi+n&#10;KNhTzeZUo3ftCrAXJrh/DI+/wd6r4VdaaF9weSxDVFQxzTF2Sbm3g7DyaVPg+uFiuYxmOLaG+bV+&#10;MjyAB1ZDWz4fXpg1fe967Ps7GKaXFW9aONkGTw3LnQfZxP5+5bXnG0c+Nk6/nsJOOZWj1esSXfwC&#10;AAD//wMAUEsDBBQABgAIAAAAIQBKXfyr5AAAAA8BAAAPAAAAZHJzL2Rvd25yZXYueG1sTI+xTsMw&#10;EIZ3JN7BOiQW1NqNRZOGOBUgIbEwUCrE6MZHbDW2o9hNUp4ed4LtP92n/76rtrPtyIhDMN4JWC0Z&#10;EHSNV8a1AvYfL4sCSIjSKdl5hwLOGGBbX19VslR+cu847mJLUokLpRSgY+xLSkOj0cqw9D26tPv2&#10;g5UxjUNL1SCnVG47mjG2plYaly5o2eOzxua4O1kBb2fOX8c7fpz2hrfmh349fWovxO3N/PgAJOIc&#10;/2C46Cd1qJPTwZ+cCqQTsFixPE9sSlmx5kAuDCuyDZBDSnyT3wOtK/r/j/oXAAD//wMAUEsBAi0A&#10;FAAGAAgAAAAhALaDOJL+AAAA4QEAABMAAAAAAAAAAAAAAAAAAAAAAFtDb250ZW50X1R5cGVzXS54&#10;bWxQSwECLQAUAAYACAAAACEAOP0h/9YAAACUAQAACwAAAAAAAAAAAAAAAAAvAQAAX3JlbHMvLnJl&#10;bHNQSwECLQAUAAYACAAAACEA5qO395ICAACMBQAADgAAAAAAAAAAAAAAAAAuAgAAZHJzL2Uyb0Rv&#10;Yy54bWxQSwECLQAUAAYACAAAACEASl38q+QAAAAPAQAADwAAAAAAAAAAAAAAAADsBAAAZHJzL2Rv&#10;d25yZXYueG1sUEsFBgAAAAAEAAQA8wAAAP0FAAAAAA==&#10;" fillcolor="white [3212]" stroked="f" strokeweight="1pt">
                <o:lock v:ext="edit" aspectratio="t"/>
              </v:rect>
            </w:pict>
          </mc:Fallback>
        </mc:AlternateContent>
      </w:r>
      <w:sdt>
        <w:sdtPr>
          <w:rPr>
            <w:rFonts w:cstheme="minorHAnsi"/>
          </w:rPr>
          <w:id w:val="-265995794"/>
          <w:placeholder>
            <w:docPart w:val="A60FC3A61ED9408898E47A372E50A82A"/>
          </w:placeholder>
          <w:date w:fullDate="2023-12-05T00:00:00Z">
            <w:dateFormat w:val="d MMMM yyyy"/>
            <w:lid w:val="en-AU"/>
            <w:storeMappedDataAs w:val="dateTime"/>
            <w:calendar w:val="gregorian"/>
          </w:date>
        </w:sdtPr>
        <w:sdtEndPr/>
        <w:sdtContent>
          <w:r w:rsidR="00EC5B3A">
            <w:rPr>
              <w:rFonts w:cstheme="minorHAnsi"/>
            </w:rPr>
            <w:t>5</w:t>
          </w:r>
          <w:r w:rsidR="00EC5B3A" w:rsidRPr="00A626CC">
            <w:rPr>
              <w:rFonts w:cstheme="minorHAnsi"/>
            </w:rPr>
            <w:t xml:space="preserve"> </w:t>
          </w:r>
          <w:r w:rsidR="00EC5B3A">
            <w:rPr>
              <w:rFonts w:cstheme="minorHAnsi"/>
            </w:rPr>
            <w:t xml:space="preserve">December </w:t>
          </w:r>
          <w:r w:rsidR="00EC5B3A" w:rsidRPr="00A626CC">
            <w:rPr>
              <w:rFonts w:cstheme="minorHAnsi"/>
            </w:rPr>
            <w:t>2023</w:t>
          </w:r>
        </w:sdtContent>
      </w:sdt>
    </w:p>
    <w:p w14:paraId="37BA10E0" w14:textId="377C929F" w:rsidR="005209F0" w:rsidRPr="00594BF7" w:rsidRDefault="00E83AF4" w:rsidP="00594BF7">
      <w:pPr>
        <w:rPr>
          <w:rFonts w:cstheme="minorHAnsi"/>
        </w:rPr>
      </w:pPr>
      <w:r>
        <w:rPr>
          <w:rFonts w:cstheme="minorHAnsi"/>
          <w:noProof/>
        </w:rPr>
        <mc:AlternateContent>
          <mc:Choice Requires="wpg">
            <w:drawing>
              <wp:anchor distT="0" distB="0" distL="114300" distR="114300" simplePos="0" relativeHeight="251658243" behindDoc="0" locked="0" layoutInCell="1" allowOverlap="1" wp14:anchorId="4111B248" wp14:editId="1734AC0F">
                <wp:simplePos x="0" y="0"/>
                <wp:positionH relativeFrom="column">
                  <wp:posOffset>-226695</wp:posOffset>
                </wp:positionH>
                <wp:positionV relativeFrom="paragraph">
                  <wp:posOffset>4661535</wp:posOffset>
                </wp:positionV>
                <wp:extent cx="6652895" cy="2159635"/>
                <wp:effectExtent l="0" t="0" r="0" b="0"/>
                <wp:wrapNone/>
                <wp:docPr id="1928015013" name="Group 1928015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52895" cy="2159635"/>
                          <a:chOff x="0" y="0"/>
                          <a:chExt cx="6652895" cy="2159635"/>
                        </a:xfrm>
                      </wpg:grpSpPr>
                      <wps:wsp>
                        <wps:cNvPr id="27" name="Rectangle 9">
                          <a:extLst>
                            <a:ext uri="{C183D7F6-B498-43B3-948B-1728B52AA6E4}">
                              <adec:decorative xmlns:adec="http://schemas.microsoft.com/office/drawing/2017/decorative" val="1"/>
                            </a:ext>
                          </a:extLst>
                        </wps:cNvPr>
                        <wps:cNvSpPr/>
                        <wps:spPr>
                          <a:xfrm>
                            <a:off x="0" y="1282700"/>
                            <a:ext cx="6652895" cy="146050"/>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 name="Picture 11">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31800" y="1651000"/>
                            <a:ext cx="4075430" cy="508635"/>
                          </a:xfrm>
                          <a:prstGeom prst="rect">
                            <a:avLst/>
                          </a:prstGeom>
                        </pic:spPr>
                      </pic:pic>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0">
                            <a:alphaModFix amt="85000"/>
                            <a:extLst>
                              <a:ext uri="{28A0092B-C50C-407E-A947-70E740481C1C}">
                                <a14:useLocalDpi xmlns:a14="http://schemas.microsoft.com/office/drawing/2010/main" val="0"/>
                              </a:ext>
                            </a:extLst>
                          </a:blip>
                          <a:stretch>
                            <a:fillRect/>
                          </a:stretch>
                        </pic:blipFill>
                        <pic:spPr>
                          <a:xfrm>
                            <a:off x="4241800" y="0"/>
                            <a:ext cx="1767205" cy="1065530"/>
                          </a:xfrm>
                          <a:prstGeom prst="rect">
                            <a:avLst/>
                          </a:prstGeom>
                          <a:noFill/>
                        </pic:spPr>
                      </pic:pic>
                    </wpg:wgp>
                  </a:graphicData>
                </a:graphic>
              </wp:anchor>
            </w:drawing>
          </mc:Choice>
          <mc:Fallback>
            <w:pict>
              <v:group w14:anchorId="115E9A37" id="Group 1928015013" o:spid="_x0000_s1026" alt="&quot;&quot;" style="position:absolute;margin-left:-17.85pt;margin-top:367.05pt;width:523.85pt;height:170.05pt;z-index:251658243" coordsize="66528,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sGRewMAAGcKAAAOAAAAZHJzL2Uyb0RvYy54bWzUVmtP2zAU/T5p/8HK&#10;d8iDJi0RLZpgoElsQ7D9ANdxGgvHtmz39e93bScpLTAQ2xeQCLZzn4dzj3N2vmk5WlFtmBTTKD1O&#10;IkQFkRUTi2n0+9fV0SRCxmJRYS4FnUZbaqLz2edPZ2tV0kw2kldUIwgiTLlW06ixVpVxbEhDW2yO&#10;paICXtZSt9jCVi/iSuM1RG95nCVJEa+lrpSWhBoDp5fhZTTz8euaEvuzrg21iE8jqM36p/bPuXvG&#10;szNcLjRWDSNdGfgdVbSYCUg6hLrEFqOlZk9CtYxoaWRtj4lsY1nXjFDfA3STJgfdXGu5VL6XRble&#10;qAEmgPYAp3eHJT9W11rdq1sNSKzVArDwO9fLptat+wtVoo2HbDtARjcWETgsijybnOYRIvAuS/PT&#10;4iQPoJIGkH/iR5qvr3jGfeJ4r5y1AoKYHQbm3zC4b7CiHlpTAga3GrEKGhhHSOAWeHoHzMFiwSk6&#10;de247GA24GRKA5C9CFKaTbJx0rHrWajSUZHk3mDoF5dKG3tNZYvcYhppqMGTCq9ujIUqwLQ3camN&#10;5Ky6Ypz7jZsYesE1WmHg+nyRBleuGhyOigR+XDMQxs+Xsw67x4G4cOGEdIGDsTuBf0bfs1/ZLafO&#10;jos7WgN2QIXMJxwih6SYECpsqMU0uKLhOH+xFh/QRa4h/xC7C7DfYx87VNnZO1fqB39wTv5WWHAe&#10;PHxmKezg3DIh9XMBOHTVZQ72PUgBGofSXFZbYJa2/EIG/cGCNBLkh1jtnZ0VsHp2phgp4bcbcVg9&#10;offrUghedqlp1AVp3xSjxfphqY5AjRS2bM44s1uvrNCzK0qsbhlxVHebR5MCuh4mBV67rCj1cPRW&#10;wQf4ysiNJA8GCXnRwEDRL0YBreGq8P3vm8duu5dwzpnqGe7WXWuA4IEAPoNOENdLSZYtUDDcFppy&#10;6FIK0zBlIqRL2s4pDL7+VqWgYXBTWRh+pZmwrj4YFKupJc2OkKQbxOGFL3pXp2vhBW0YnaQTmEAE&#10;SpkWedpNI9C1U8RRMs5HJ2DgtDRPJp2UvlcgfGGhFL+Eyj4ez04PaebleJ82H4llQSSxU+XvEsR7&#10;g3AL0zBxgtjJiePSf6deNhq4d3AtpeNinCXdDZ4mRZ4DBYOw9R8A/aXzxntpd3fshmHHQH+tw9eM&#10;v3m6Ly/3ufR476V09304+wMAAP//AwBQSwMECgAAAAAAAAAhAKB/hCh+KgEAfioBABQAAABkcnMv&#10;bWVkaWEvaW1hZ2UxLnBuZ4lQTkcNChoKAAAADUlIRFIAAAPVAAAAeggGAAAAsehwuQAAACBjSFJN&#10;AAB6JgAAgIQAAPoAAACA6AAAdTAAAOpgAAA6mAAAF3CculE8AAAABmJLR0QA/wD/AP+gvaeTAAAA&#10;CXBIWXMAAAABAAAAAQBPJcTWAAAAB3RJTUUH6AQEBTcRsF1A9QAAgABJREFUeNrs/Xe8ZVlWH3j+&#10;1trumGueiRcRacpRJbwREhokITWSaEYMEnIIoREgUFFAUS6TwshMq9V0q7sHBF1VmCqQkBDTEqCW&#10;hMx8+qNmkISYAZkZ4UGYMllZacI8d82x26354+WrjEyqMrJ4GRWRWef7qZsvXmTlvfece+4+e629&#10;99qEu6x0e6oYT9IpoJW2UWsLMzRqLKscxk5Khu2T80sJbJDVkV0Gk3oIAie6lF08xMC7ADrW2aBQ&#10;TW7SEqAOSgSJIwHgp14uPfWTARCABCrIpoESu+wwosuOFSUSoawQJRlBJhjo/Tjrj7nR80TBF0KL&#10;wchKk+ZEcRRPCs5o1n7MPTESDC/ViHVEvpPnjzTcgvS4FsUUM4zWWWzQoTOitZKU2gu9vhRCex5u&#10;lZTPOmcjS5KUhc1We7IJfpQ7fY1MJpOXJgUujHIDUo/odnRKKZIEnqUhb1RJSP3zaV8MAAEQcdau&#10;n/83qmDOMWcxgOqBRKRQSKJIrILdyxiP7mj7fFt2H0XesE5BWighIi4R85gBo4zuU4gXeXrmGerc&#10;FJ6LQXTBPqe8iD0lKNVVEOnGdJHnn0zuKjLaOo5pYKp5lI6zigzRqchIg4pk0rWH5n/kqj/5k08W&#10;B3/Q+tUnzDhUp1RmR4l7KX9lh9qfUyn+aPm95U/UeoydzxA9A1NmjZFTpJg0q70QpUEtnrbEQjkz&#10;K+Q0fX8mk8kH0d1+AwpwCbsj64Jz8ijk2CaNQSLgUNCoBsk4sI6OUh+LxMZQzhuuk80RXiXNQMzZ&#10;Lua52w6A1ViknqKAIpPEoAn4YGBrnzrm8fzlhTJrU8Toe7lkM69yKRRH8WYXJqyVVZEl6eQRcypn&#10;NOsblRlpELhkZoP2DZjJeCkB7YDQBWMAbYq6H32L1N/ZE6grVFmVMW+hoPpcOB5jZ+bzS2O/OiJG&#10;caGg17Mu9lI7nOqisLnPXnOAup/K4fEsQugxxdSTyeS3xxggCSG7fe3aoyRkhCSjLOfUDF4id7d7&#10;Co2zYBo4S5YaPN2+Eydlst31lQnctWuALTORZlaDhA53u0dsWcFnZlYKbF2O/ZarekEdVaDmJkTF&#10;C71FolopkuQgaghjUpxdUrthFld5DcHUfE9ezFQxQzE0atQzTomylVGCsTnnpD7wcP6jNLrvXMrm&#10;wVUyM15cTba7zjMdaSM2kTLJ+caKQIKZk3LVk0PXfsdrvrd5m2a4bcRYgGgoCuN4J4/jSXQyImdH&#10;qvTke5czhrt9CiaTyT3krgfVi9JgOwQFBgl0MuUCoetE02iQRUW9DCqs854iOTV7cP6YUwY0IY9q&#10;hhBHBSaxSBJNAT225LUDk5HMlZhxxQAUnh7JwFO/E4AUtJWZNOj0nHNMTLaK7HuqUqujMhihQk4J&#10;uzbRqTdS0kihOhCOPXwijaJmTiHnfh2BDGttGZP0OQVNyJCnX/OO0HqmYkRa2pY6L5IYNgOeVWVy&#10;HC2Q2os8/xUp6KgcTErkdRKlgTQmFGIoqkAx3dmB+Mlk8hJmXQ0fRNncEVW7OUZPSF6SXgr8ikj4&#10;dg3M+UwkwdPJ0/O/s1IdDFX3hHRwxAqVpLGV8irYnxYzjGGT7m5cvVBQDQrJxV42wxEyKaSYqcIo&#10;/eIVwObaxV6AAom+VBSpH71ijRLebjZqRMFSKGBow908/snkIrTWQNxFdIdshHLwVRnfRHzimh/Z&#10;S/giBaRrsVSuXoD70xhSVIUzJGGUqCxV5NMaNWapVZoROrcvcXPyyNypP1y+0x1WoU/Z7UgeTpyy&#10;CIMu2WYVZWiY7IxG39ztvNxkMrmH3PWgugLQoVSlGROHbAQIsXxQh2EtgjFV4pELiyIZu4qZYN1o&#10;xxW8cQbJBpYRar7EzubQvuet5SsXST7zMPrf2eDqK18lTy5uWEQAezgbpW4BDDgLdE8BXF+Kenc3&#10;pl8oF7u/Xr1DGvgetc5qPwf6gL4vwt/kRZ3UtlUs9mDUNhK2R1KgUp3KOacIIhGjnUXsghZQLmsa&#10;hphmGNHc4ZGAgsBDuZONX+lINlnxkiK0oOSkll7lowt9xokSUIjF6HyZnAyU9Ey10fPC5BwpxM5/&#10;NK6TyWTy0lMCJukl+WLHu+6aUtknAdg7K1X2tA3PK2t3njTNOLunaZwt9cm7DG7V3JEtA9qbsdIw&#10;q4gsurCIvsddTwoyVDFDHjY0A5QHBPXlHPsNFhj4NF8s6D8wsGtU3oSOjDWySkGjvo/1du2jShZx&#10;nNrvyYtWAeiBF3lejSp1Y3zPw+pldsR/sipfHakKa0/aVAtZxuPEYVS+3mUKbXLB58E6vcGcXGrC&#10;vhrMUSxRWZVtaLjRO10ZN1+x/G76MUhh5w6hNaDct4DsSF0axPYQ4zTXYzKZ3OKuB9UwBekkZplH&#10;v1ULZZVXjeh0yaTUdkORbYXo/egQxNf7iD6jf7i73DX5i2DyF2tKn3gaabFXzndGFZXZdNhazi4p&#10;ISOKSOTDHGcGkFKwuGxHc90XWMZu6119mnN+3Er410noX+y8U35BcpkttojWGO1TjvVeUv7IUEDY&#10;q00ZutAfw4KqpTHtYSBX2hEVkT8JInJHe217ixonHcig1SFz0CQQtdDzsI4rmZHG81qT+BwSZQXJ&#10;NLc6uQxzGslfKiJWvih97i/69JPJ5GOWBZCqvcJ2J0NvL9FCNqYPObmnFiv2mp/vU906Yi04C7Q1&#10;231vuxs5stMsWSCBuJwjpzF67xl3Oap2rlTjOEJpl1XsJUOBlIJKHgPPGdxf6P3pGJmIIVKoulRY&#10;w6Rlf8LZ7Nht2HR3P6kwmfz2LZ3BOtUKqc3Dt8zu9+v2ZwX+IBSQ0TjaoQI+BB76DqpepgAN509V&#10;YRgnuZaZipRSAiNLEEpZFeqAGmy8kJCJ2cWvv+87Zn/XmrWwhxNdBNExu8HxqsqCbuoATSaTp939&#10;oNoW5OBl1Aem6G4EFAXSMJigd2hGq9ikeSZ4NA+lP994elin8Akbu1ctsbalSl2fqAq6zF7vpvnw&#10;hLRR0XKmVZdLVu0KbIoPNe37fESDhTIGVfp9v6Z1scc1Dfm0DaSU0bPCIIwbX0IeI+t+asj6r+28&#10;nY4K7iXElBNcCXu1v2SOy6ZtxqQrFskSU0xPL+27s52WJUC9dkyk0qiLEqEb9uJgfu5N7vPu4/H7&#10;Nob3LvL8PNTa6y3vK901gaJuw1csfmz3x82wkpCNhffTSMdkMvlt2TVGn8YiEiLNpWcPYLCLRH5T&#10;Sn2/p/bJ5zNS++wp4PTUIy8A3dVXQL6JBNGjmEiI7AwT+m0e7vJIUwFgIEsAi6sWpFJbDmPIKObD&#10;oj/G+oLPL/YyOJ7oTFWs0waJwGz3sh/FZjrNWe7s8qTJ5E4iIieFjDf/2IGprh4+GhRfHg+yHDzh&#10;9GFhZea3YyZoMVaTNuiaVqzVEAKEFHHy0FrH5IO2zsiQKCN4TqyE3JxztwpFTZ/x6u+wv3EkWWAq&#10;XYYxZDUUPsOLTFmpyWTytLseVC+haEQyw+7H+yvb37SHcaayqvq53MRvvh5/pgz4H+nKwctyO9Qz&#10;v81DtWDqfRqcj3nMbgGgzQztNEYsYGWNPthsuYdxM4zSnHewgKcj3PMOWGryDs0pYIyBXR4IALKr&#10;xaZBhpCgq2U6lWxe0W3TtthT63518gqdf6XH/tcsvmf7mzPxpjW7YaGGIg/90EHrQAUcWk0iNAB3&#10;tFKZsvch+RuuAMRTDkLWirjx0b9SN+zb2qXmQs8vllPZJeoVxOYrqqRWir/TFCog15HjZrqnTCaT&#10;36YFSHVU5miW4t9w9IVHYv9sNMXS9cfb5Eyhc7xd0Hs+2pxx1qYbnE3/XgF4HIP5ny//g6sew4aL&#10;uIqBC+3yEDu9hwob6uJtn/+O0gCi3uNZPMne1EaHNndUJ7h5tX799tNGdA9f5PlVKEirnhougzP6&#10;3dr7b9t514PB+qPkaa0gd71W22Ty2+awg6AKXHvz9beVVD68Vj12u90Qq7XRXU5DvVQ5+uxiT5ZA&#10;gTkHcIxj5MXM6BRiaHludOxzSoEKBQp2lgYf+YoapBGDUVWrK29P+2QrZccN6zzkVhfJpdGMIlNN&#10;gslk8kF3PagGgN3ljmrWTRJEfvTraFGU6h8wyechJKfrKxJXN3hTFjIrFzm0rWLyqBHSShloicqa&#10;ufRhgyJbgD3lyBALxGzgMmU8vaXWrUE1AOSgHbl+TbkshbKPJ+oA9+frapsVWQbFwUCTzVkFJKu4&#10;RMq9H/sh5drZoq0H+cf3v2v8mrV7VboUHsEWhRmpiEVa5QiFeKf7LGSgVUCMBpqzLonymBwfP9Su&#10;QboIws97/uSHkkUnMaOiMaW5eUBtxzX23tkQGygXZmnExYL2yWTyMYwYpNmNb4lf3vf4AT9bou97&#10;uVIRDc2YorHqeTzLrW18xC2FKBk1+m5z3yf/7bRaFQdhZzzEqrhfq+FmIolyt4dpHSmKUJKqy1i2&#10;j6u12kmXebX4zTfWr49Zvo34Yu+wSCTJjtQlZOUqNl0/+Juy//J/VA5DNWZ0U1J08uJFAF9/w/zS&#10;3HTXb1KJnYwEFTlS4FHKpENH5GrW2SPmLCPXuZBOVSrhOBRBK2uW+TRnXWAVrJTScG92qAqrkKGN&#10;AkPpHCr27yq/k74lm/nItDUxOKvEdAnbafr3ZDL5oIsH1fUlsv0xXBbZgpXWTCnHKAwYV6rUgWro&#10;NJal5O6mi4ULajQ5wVpFJyGp++QgXMOvfcOlT9To/n2T8+6uHuP76D796vQketF3+xw9p5EFs7CM&#10;Ad3jTRi+4BU/aH/TjILESXJeKrDPhCgioy5QQniMPmWSAuKGHR6xunivRjFxNiIyQlhB50zXH0JD&#10;oivwxdr8hiN24dBxhvYss1TRX/0Hp+pt2yqXmdFPQfVkMvltYgZJZrnxMP0LI/InImkIeehskThf&#10;tPlCzshA/NzL34WfFlagnABYiPbgSJQhd79TzESUjRB5yqxFp4Rrb5F3M8xrLnwCkCVDQ+VAiR20&#10;jFkEr9r7LvqAISDc2ZIfk8mdxQ6PPVT9qweH08+/Vl0mHU/zXAU6TSUZlZnzxQY1dLB5KBKbKKcP&#10;fp8/GMalSLHOOu6xxNMcpzplk8nkFhcaxQQA2x6Jz0oPqjC6rFOUSM7MXUX3kW5jyrOenRlFd53d&#10;KR70wChKGhRy4gdU0j68/vhfeEshMzr+lSCyo0jn4HV+IPmcB77n1+suYhpCZXSF2X1XdvDrN16L&#10;1aMP2T8SMmvLpwnZO6VHq5SNg8zUqCqUptazoVbBre/5FvlKsAhZkH1ApwXjTOGvrBVQaAw8zXya&#10;TCb3LiJiPH2fY9wjs7M+2qfhNr9PJi9K8UuV3snrL7jOpaqTw5iz3iqCg7BO5sKbSHtNrDIwZr+4&#10;8eXzN2S3ziYXLkcvZO/20U8mk3vNhYNqVcJCcQhuj2zfqkupzsPoRx+uideXeL+5zx8pbzsV81F4&#10;UuCNjJb4N96MT2ze4oZu7H5jUSA8medKUcQyNgODrBo249q9/J5vtnxGMeYbfm02ZrMm0G5htEn/&#10;x/ot5gNPvNF+mkAN0YDLqEvQdixiV9lgY7NosxsX7m6//9vpDVAEwLFGIcA2D7hsa9AwAHd98uRk&#10;Mpl8eEQEorN/PvW/D5J7YZT6o3AKPsTv9GH+3WTyoqIOuldd0wXsfNna/lowMcUKpczSgFFac9Hn&#10;91Wbd8cAay6pcLX/EhCTT4YMRQkXnkUymUxeai4cVA89Z2Mcqu5GBHI6qlpFi6VRVBci16SVY2MG&#10;JGYbneTixuvjA+97rfzyoqx/MUIM9EH0m8HMbQEVQ/QZatQ2Kh1KrZt7fii0Notkh4XhVLNVV4Pp&#10;N6WPg7Y57Udb/NL2a+g/PPKV2B/Y9NCD8Sz9qvRQLUy2mwtnUu+0E5WRFYENo8gCjAMGGiDZg6Ya&#10;N5PJ5B72VFANPL3V1sd6T3gKpCcvGe+P8zeWcRFzd1RvbHS0s8+NJNkyErG+8LXuhKTNGuXIEdfk&#10;NfOhAopuGMXTYjy424c/mUzuMRcOqg0QZdi6MJ/JCMB0SsuwCqNtB9C+DMqGQMjp9ZvZ8VsW32Is&#10;Hr9amk9OIFOFFReh1TYjmf7Ui1ImOueGHEnPXOb+6MKZxjvthLY5UqBQblAnr8zA8XI6QLNETqHx&#10;p3vV762Ne//xW8Jf+/mvcyiiUDEqndIMwZT3/Ej8LBBaLUg+YKCIGSkgJ6Ag5OdTQmgymUzuHgEg&#10;twTWH+vkw/x5MnnReYXG796RNfucgrW7wbbgMHpOhVJFnF24f1t3c7Ulkq7uaPOydN9bWZuqT3Ca&#10;9FaPd/vwJ5PJPebCjU7S2UW2UW29lHqfi6LuZ554Lx3YeTxml0Vf+8v47ODd9aPUfmvLB/Be59g0&#10;aKqd2Lj56Peucq+MDTCCHL1NPndeExc79/xNfwljZtFCp9SvzTH3i8wrHKW9U19YLm0RAoyMkeH/&#10;x1dgfO8HvmH3U3zuc1EU3rT3fulVIwozz9BJYLNALMGEBCa6+MUzmUwmd96HmwL9sTJqO43QT16S&#10;TtJ2vzU9l5XTVQwa3XFYaKNsNEh08f7VMW9hCskkg6rXwMNf37+8E821rUSwuduHP5lM7jEXjouK&#10;rEZglgS9aXKnedhIA8MnYL/6Clu99+H2292gfmZVZFtrgtEp19lQKB2ZlKXqbxjeXifOHimFaK21&#10;89nShLYJEvw93+l5VJJvCkk1dAlSiFzl7GY0lgZ19tjrfJBSFS2ZHNXeA6Ptf379pvDw//p/PqrG&#10;+cvu+UXJvRKUiaCUghbCKAkRAHuBmmZ/TyaTexsBIBH5UPeSj8VA82MpmTB5iWO3WNlUDdIP2HJD&#10;456K3hn0cYhk48UL8YpLhVSMPmanbb/oRmWM5uM+Ro1yGleYTCbPcOFGocuJKW9Vnr8yLHMf1mZX&#10;LamJqze0n3a8X/zc0l95iEVYx2DmeZ6T33JbbOTyWIYoGzO6fdbKiHMVLCUTwyjHfZ9LB2tMuOfD&#10;tlfAWRU3LG3McC7r7aiLkBBg0Rmkk93BjBuJrAPVIbAdBnSq+o4veuXBv7jxlY/Vd/v93w4LcOIE&#10;Awu2RsBZYMoCkT5GyvxMJpMXLRHBhwmoP9ZN52Tyotf45jhCFcG5zFLm+XZRog1RFUqhLS/8/FYn&#10;jh3Izaw0gQr9g/Y3opeoVQCFfgqqJ5PJM9y2UTAA4HawoFqhKlWhKmUBcAELNhBrs5iSpP8AjdCC&#10;cJr/y5vwJz3wk4TuNd4ccwJDjEZLWy6QkUVzoxujREPlNTwLpdBBWEPAVFHkQBoxyT2/arcXD2ZN&#10;3mom75k1IZFnSSM4idK9hnWsVQAG22cmrTR5tHz6uVrra903Lz9DA4A+oLIsiSwIDAO3C43FXe/4&#10;aCRoCFRmgDRUJFA/gBIQ+a6/vclk8tJwa2PyAk5Xzuf/EIABIZylCu+9UWqR8388o8DahTz1DCQE&#10;Sk/d7Z8qWixpar4nL3KKF//veRxACnFMJKQ68cprFynrF6AiT49EUjVZvFYlFU+ISkaUQRVLBIK+&#10;28c/mUzuLbcNqhMUaWWpNW2qOqGIXiysNoNTVS2Yec87IcUYsxk02dO3Xv1vD9j+c2OL/RTjPddx&#10;uQvOzwE963cNwIVu/Qsn37T4Uwpbpn6w1qN0ehEwnqpI05qdyWQymUwmk2fbzf4fNBL65EenY6m0&#10;YSqZmzBG6ut44TXVFFy2RgUZOqiw/i8o59EYVUVsdalwz+/eMplMPrpuG1RbskDXaHgshrmL0Yig&#10;UDnPy77roCPP8oqz83+z5PWb8w+Jb/5GG/yY/JGXqp6mx/zWEZFbg2wb7W40w+afHb7J/+WuWI41&#10;0NnozaKoFGk7JSUmk8lkMplMnqU86o5YLYu5ti3Vx/kk+jHGPKuiYUkXH9QxUvOWyMEcILmDH3bt&#10;Ssyw7gZHKavS3e3jn0wm95bbBr1eBtFVCond1my3FUZLje+t226UwSXxFEj+nM/94fB/QKc/vaOM&#10;jPo+l+2Ope14z6+J/ih49iQ7wQenIwI+n+Km2wVEf+vha/MPbbDUW6n0xmtvlb/b730ymUwmk8nk&#10;nkM/6iJEvav1qL0HWSrs3Ni8qkwn2V54UCeaI8y8zzN1+OTOtcMfLuQAwQKl3jOjSlMHbTKZPMNt&#10;Gx1icUMYmdVcGBIW4lBeMkPEDpG5nt7/laPZ7KSfWBeLz03RuBup4eBuZJ1WvjTqnt8y6qPs2Vu5&#10;5FItpAxBrHi21fBl1x5av73CSe+cs3qw9/w+1pPJZDKZTCYfbdpm3fTtX2en8pyvUsMsjUcqdFft&#10;dhcvUOjiZe+R6bHRfVfxT2xa0yFzhGrbwV8ObqpKMJlMnuH2a6prPepAbhkarTTiMBPVHwc7GIq/&#10;+jm7pV7wv1f8is9dZps3PuS5LtMiOd6OOomavQClIl70CM8svMO4NbDmzuixEc6UfayUyfhLgwKP&#10;ogTlzpQJnUwmk8lkMnmWGEL4tH+Ym4PT8I2j3IA1W87Zq9lQjyt1oerfAkCYbtpsy197xQ8svjME&#10;l0tVG8sm2aKy67SdBo0mk8kz3DaoVtvIinTPlZOGRHLTRF3sR0kV5p+y+neKq89E8SjW4ZD36r2Y&#10;csNCvWg7K3I87u/2Ad7jmDHrpSh5UApHMUI0V5tvOfgd1XAdu8PNi+8JMZlMJpPJZPJSUxbU9SHK&#10;zfj2McgvzGkZal3RabAuz1a/3aD3fBBEdMBpxeH31+NJZBNdT8OYY9R+OE6BppHqyWTyTLcNqjPr&#10;nCTo4xQSEiwpK6YN6N/82P+eWf0eE1sapMozhb7vTizB+T7syk5uqXF2Gqk+84wp37hlTTWGVTG6&#10;GqCM+0yWmZTr2f+0eX9vq/B4WU3VJSeTyWQymUyeZeYdVdBZ/wvDqqXfv23aJ5BL0svTUY/VRYNe&#10;6bj8rNn/vWqDJVLSB3AygyFRdCnlPE5B9WQyeYbbBtWCqGI1QzX2AHMK4vmJhzZf2RB94UyIhBWR&#10;eJakS601AgdnecsDC8qYb7uPnwSJwc2TTTaTaATUg8u1KHag0SYhBWTJDcfAKWJdRK80MCotgiLb&#10;oDBPaQysk0eBmGKGgXAwEDIppohkl7J2UaS+IlmRZJ+hQIgU4aLJolzKxkmTInSKo2YVhiEiFdoP&#10;ainzHKXLNYQUQk5J9BKZsu+kAIBbi7GdB8vn07aj5Zi7TDmlGUh0SKJ5Y+ZEPJMQLbim5LqVDNCa&#10;fEejmn3aAcZRWLPt/FT9ezKZTCaTyeRZklISEZH39/KDPyrh19+z/BTh1c8WgQ3QkaQshcRIwuCY&#10;s1IGnl3UnLLVEdEaeE5RgVISyhQkpXpBCOU4tnbv0vf07wM20fsoY0TGiJBCTkluAoJp+vdkMnmG&#10;2wbV+1kn+EZEO1Asc/em6hMD4+9Vei/4tLhwdW8zczq1pyzUZ28kO9oWKq1TTyH5+Yz60UdtFe/k&#10;S0bZ2fCysMPbAXkeJCYEvl67eKy1A+J1lfHtB9j7dBIqf1n17t8+1rvLpeLLb1fqc76t4vu+7ZRf&#10;9p1OXbpa8q/8UlDXHltove1nQPo8AX6gLpZHBku3IUtuZ19Sb60OIWexUqHLMc+9Q6Fsf5xdtHY/&#10;ND0AhbPAOuEsqCYABsAIQHdc0SUIU9Fn+MEaZ9PueiV5XFFV6Jh9odek8g4neDv7nfPvXD3eA5Z9&#10;zoHilAmdTCaTyWQyeZYhnMAU95M7OTF6pPgF/6bp6nfo35/7/A0hzSVrTTw/0EdixmAymzwmG72k&#10;EbxOr0Tdj3kmrAWAKvY4i1HFtv/xvZvb6v4fjNNMwclk8hG57UhysxN1sSIZXUD+Q9lci/hVVSH6&#10;JmhBS4SLxX0+hkjOwscU4zAWpq5jj8icRi7Hm9lXWodogw8+sWlsXC/YzZJPKUKl2dvu+wD++uUf&#10;DX3nXpn3xiOc4gSz2S62TSBFc/lz6oRApzipAkkH+JJBf2MXoBZwXqy8ql+Oj/zUocHPkN97w5xP&#10;4i+94RUfp5pHH95V/NrDsqhl8MiFQRGOrHeLiNQTSc6ralG6sTtPLKjzQ8JZUO0AeDVqs7bDOB+i&#10;G8pK0PeYLSpusZQwPKmDmY8HakvHN9QDL/uHfINMQkPKL22NTdMBUzJ0MplMJpPJ5Bk0QZrhSWNw&#10;EBy2lcgwsp55/ND4rt/89OH7r3yOvLPZHP6lXbtj2C9jokaXSqmQ1FDKky4h5xZFCjzQTnfjJ6/+&#10;vct/JMWbykUmFEVEnGrFTiaT5++2QfW4clktC5Wbddq8mq4va4WutdqpHEaTWKJWz+eFPhwOIONq&#10;xbnRM83dEIsqDZu0dApUzUiyRMLGzK3SOdRyWjX/L472y65+LzU6NYM3RbHQKhfj+3FSs3HqUu42&#10;R4kKcDE2qo9zLzoidwQxNdgPcJLRw8D1AwJu6ENeRrY2Vrorh47pVd9z/X3F7OChsTn5BoMuvf+b&#10;D/5hvT35M6OrddltdMtL5LyJM+9TMNrgLPL1T51PAyAAsAB0WSYatlnH+SIckTb391qt/CarMktn&#10;L2Ppb+pV2H3Ny37E3zhAorWNyvcF1ulGmrFCM8XUk8lkMplMJs8QQLrULvU41IhIY7GbdOc5lvP0&#10;yf+xD+nnrn71rn/8697/TflKUpuv7cX9kVkaPmU7vxweWN38taOF/unicf//ePmPVI9H0/Xwnual&#10;pcyWljHm9d0+wMlk8qJy26B6YVRuhzEfvgH/SyzjnLs0QolrRza53IOJm4u9AUVZ9adKFDz0vFDD&#10;BrXNFMThydbmK3bDfSyGnNSPVav81a/6kTw4MFv0GKoF0DXDSMIehZr3tYy5zaIKcoFTp7pk45Yi&#10;QQrcjz4+iVi9EjHcIBsCgBkqNHlkZm4pN84NBENUl9p3LWey3pik7/uOw6/i8sqXPfm65uFW1X9z&#10;lns3zne46TI7tAOAAmdBtH/qZ8RZoK3bfgCVTuWxU6/AfLw5j7YeS0k8U/v+UDzf/6pX/p0nHzV2&#10;1xzLadxtZ/HUJqpQqKSGiKl++mQymUwmk8kzVEnljopsVKWGcjPa7rQqzSJsmzHoghF9r0fLWL7d&#10;PGFk8T/4tPkbKHYY44nCvAx60zPpMpcI2Oq5LoON27GNUI2ieL8Guni3j3Eymbx43HZN9SZ3evvl&#10;+XLU6o3uuNIB+9wuICXF6NZduOgb6BgmMXpvjW2GVliT76o98THJJ7tDleL4UweJXvbA3w5fNvuR&#10;MBwoR5GEBoXMnRTEl1gzslQSeo0I9JAqSCBRHF0BXUviXXR4EsI1uH8/Fj4JOSUJjYxwORjNIyfW&#10;Y4ZlynlYRXAXFzRyo2bZWRcUjuxrvqv9rqvf42eu8O8y21My2ArOAurmlvOZAVRP/b1ui5kUQ4gl&#10;c2r9qS26AGW1SsPhap0PXvXq73ry0bloHdI6KV3TiVLQnqlJPo/j3b48JpPJZDKZTO49Q72gUraI&#10;8SQvvCkUV91a9SFjNIPKpszH1HqXynisPTZAuW8KeA1SYb4ZVdQHIrpHEpkhbuOobtqr1gIoEuyT&#10;F64ZNJlMPrbcNqjmdCmmvfzzAqfaHQlhPDWyQWqLXVXbfPEts0jlhuY6CaFATtHu29Wm4VryyfVQ&#10;/fH7vlv90eIH+Egl79yMcBNBYAYFtQPB4DUNuQMZjKNRcUsllNCQKGFIQjzE2BLGhrQlotSSiKKW&#10;PcmYKGtFGtlq8lQkZFEZpcCBYQyB24zsYicY8zyMxpMutYF1xXfgLesbqKy9+u9wVu27xtPTv4Gz&#10;omUDgGGZREWdda92hQpDXOx4Tf7GlYBPv++dR48euxobKrJDYUJLWaU1vKNs9h8Ul2//+Uwmk8lk&#10;Mpl8rKnbMckysdRILaXR5lTRkGBUFV7WzkJvdOBapNd1Vmme3bAKMnTRCpBKRZXMEROQQc08MVSu&#10;5foAvQwDtMe0JexkMvmI3DZou/kN7RtjjvcniWo+GMEu8pXktOOjfN34C6/4LWIUna3ZCd67BBtj&#10;iY9H/29rUQ/c9z3qX2lGRJTSQI3SOKZUgLOL2m/gENRO2kDcTqz1QVQ5oLMFSSiFEqBkcJlK2SGS&#10;EIwkOJmBJQESZEdyJOlt4U0H6NqRiYSVg9+BCok5JRj4OKpEYasExRbai4remAVe9i9rv/edR58H&#10;4GsBdDhbS31eAZxxNlJdEJFAVR7+BvdqiWo4PF1vZ59Cf5ces4aUGVsGNdkHP5ZomA0BviF18zHp&#10;tbvb18dkMplMJpPJPWfQPYamzGgdl9lgDXTWWCPU8WPFSllYbdtBCZeisCUFwahKNjyi8zHF9D7R&#10;qlYD7WCbsg7sAyqJG8CKoqlK2WQy+YgwoFECag5ntdtBBQuUsOxq9H8aM5LwHTnpWCGjN53VnrjX&#10;KeekuI769iOpEYgmJiab+xwxKk6Od0RijF5HKAQCrbEtd1UmRG3at1/+fvzX9C4arfTZ5ySQrt8i&#10;waPJgg4+jjkiYwDCIQB0J9KOh9JBJPhWBD1EBAEyivRYiUcWD8GIrQQgA4LV2ZvzW/RAaNpRBoyC&#10;YZBVSAhjFmCEiMQoQMrDgLhFDKMMYQP4NifxcvXt8Qfr0/SpGxN/kZWorZ6nWYgxG4WoowzohX22&#10;Ohkqw9EHDnn3//QJ33d8WuUZfEoSgJwTIIjogeyDAAIZIEAcpzJlt6EBQC+1VRUBBmS0QTEzBUCa&#10;l2xAgIaCZb0LEGoNFAZgpoIKsmSU0iWgSswBhr2MQoGYwDAAkwVYG2cs5oBiBtcWBrTLC/Xi3/HM&#10;wFrtFgRjURHUzGmroFkXNZwGwYK0AoNmUGRJo1JsLpEFlNIlFABizSDLSwDQl1ExyABMCtDGwQKo&#10;UAAGCuTIWEABirViYwygAQJDswIcYOoSGgW0veDWAs+LZhimWgFEcwXtWAEA71NBIAIUAXT2YJw9&#10;YAiwBAD1Fc0ghplxCQDKALbk0jBAt79AtNvhmgAQ2M2WIDujEmBdLgFlLJsFFQDKhaNClQxrcUlr&#10;lJVhUAl2MCVmBAI0FUwEhRogs8sv/qtzMpk8lwXYzWwFODDUolJqjgqFgoZRqgaYnvNhbYE5QLoo&#10;FaxiYI6aDQyDYA5QwQEGKDU0UKIEDLE1hAUKArjcp0IbWgAMvUugClC7KMCk9YJIgUhBgaHAwFOP&#10;W36fwzhtoe47u/8aywYVGX0JoNt3LwvN0Kknu0O5kUCEUSEhpFgajCb51MeBKSEei2dKHQkgQ2yF&#10;AIF4Jo6+S6AjAlNGjsDQQ5h8FADKYmdWGnANDcAV1dlsRLLQULcv0ksMw6CFAc7uJYyZ0mrGBPN8&#10;DvClgXD2ydMtvxMAGKVRn91wubClqs/utQA5Wqg7f//ftQzAsWXFM4CqogSzJguQ1Y6gFKwjRQyA&#10;SiKqqSZGrcDQ0Lcc0zOO65wGsMsloAoGmC0DsGAwaffR6N5ckAKgdKkLrfTZBzYzTKAdAwO4p/4P&#10;UFAwT/0ZUNBPfcNva6EAkCMCuAaosCUAplqBjNKAKaEBcgxAO0DVZJmgAczrGRMpIlLnP3HLg4gU&#10;WwvUuMSwC0ZFZ/15smz0TJdQd+T7p2EMxxhNz2qArKzZtUJD7Yux5fBx1d9F8hrPHNGWj+gFDIMC&#10;i5KgjFLZRj3m8bTigpQOs7HNWz2ywf3daTp0s7/8wLcdv4MAzUZxDv15wa97VrBFKn7IPfH45+ff&#10;R5/g3zWHfNWTluOlbuYDGZS50X2xQJM3vzI7oc/9lH+ST7MAnYsFxtnw9HLsyW+HAhTFddZVwaEP&#10;wlmFBIEwAOUlW8U0xKQoY9AgClFVgSGCnFQUTjl5FfUsCjVYpCLd5CHPZC4jtpJdLv2osBdV13Ov&#10;d7LwStowy5CAjS4Yqb+nr8/bKWzhm3GjSoA7bWKdbIIZgaHVozVqFngMJpFJLTyXSNQlnTp4noni&#10;hkkVEJuzSxEbvwfiI+rSLjkEEZ0QPRFozpGS1DSXUayENIKwm+YyoI09tCJEW1GVCpFxi3b00Noi&#10;eSdn273fOUpJ1k6VbZMJGLoCEVCOwS57dVlJXJ+tq8sgnBUhTAACSABA2/ZGJMWAQpkTRGs3sESE&#10;kI0xJoTw3Mvy0rhCV+wxiclj06KiBkFDSb+mpS39OvdINdWmHWPvzFh2iTfIspNVzpp0Ndqw2kkW&#10;LWLMnOfpim7aEy5xmnv7IOAfv9uX2GQyuUM2Skbyudwz6NvUdSOoHDn01i1Yd4MeBM9ZaMvL3CgM&#10;QcVeRZ55YEDKgWKxED0clZ3bC9qPaXSFqqI1uQ699ELAxka18JmU4hhiV84EfqtQVDLrT7ktFqSG&#10;TVRnHdfzRvB8edz5ezKqlkRtJMapyXoWjGRdKB977thoUBjwnA3odiSD2TI9sFrjRlVwFRA3aSAy&#10;5TjzorvbHD+e7s/e2q89Dw/EaK9Sg8GUezqOAXHoojaOUxjZEWK8TW+44IIDDG/CkFQ1T5QG04gK&#10;iBswiYbol/pouMLZuT1/4JafkBRV0opALg1UZpBAcVJFWWHTIt3p+/+pN+QKizgmNHCCXAKkBNyC&#10;4wiDmfLS5Gph4TdRKJMKhSLvszDtxKxW5091njgAzmIWAUDRgDZjyC5njM4xxgxUklXjhdSMEe7t&#10;/X2SWwJhjECCIyChl0AK65DCzKXajzrgbOlrwtnsXI+z7zcBUB7xOb+/m+xQ1xUNfUablYAqgEgS&#10;jZAYYVLSppjLOPZZx1HAUYKdE7HQttsCROfX1XnS5tZrTXwEeT6VPZ+o99DZRmGfU+Yi9yoBd6Bq&#10;gibps9JIlFwJL0OPaOBbfuLNy6tbv/7jhdK3Vgg//zL8lozMh+M5iUSTB+MxC1qSUcWJSvk+UWEb&#10;tSFX4T7f+UOu/9wD31P9PwvXC2NBvRYfo3aQeE+X66rzYNtax4/7dzm4n8BXP/Lw6ld20+I7fH0K&#10;+Iwm7+ZRul9+oC0+1/zz1MZ+MLPy/oC8Gq0R+AuXevvYNqpZgmEV+01mJnFsFYdWutlBzt2hVamK&#10;DgxjDbYY2Y5RtNE5K0EXg5rRUuDXqhPrGSIDKSYdxaMWyCrsdgqdgXSsBVgVsIVXQekZvN9w/5Fl&#10;mO5Bnd84Z2s/ckgUKm7zhqwUpEzOKkmM4nn0u6xxIkl3QC4ox0H0UpAbh0VW+XQYSAupiFYZn/Ng&#10;VsGkEmPqtS5mEeOQYi4hYYMIZpWgdG3jpj2lub2clR9plVpsqSWqS8lREMYRVOizygR3UhKb+tBX&#10;1YxCCCpnyVpGNuFJMQFpe3ajSAAnnN0wQEQKkkFEicu5pmGb/ND0CY6WY6MbIFK9n0N7fF648MPa&#10;W+7I8Xoj2hhERXa0Bzn1fahK5qbfKA1LWnTbpwCKWqMqowqNPU1Jh9x1RLDiFXREVtyhxxDZaUsR&#10;vvLX0N7tC2wymdwxcygerOpPdMWLLJzER5VRkc8di9cZzz1hxYZTFbQOFWL2oXdl5bzpAjBsjNLo&#10;43gMKlCYUA4epyr6mlB2wnlfyv6YmthHMqU1fR8ATtRvXQJi7bcR9a4e2zbjLBkJnG01emsHOIyt&#10;Y8d+TLpSY8rYSau4Qq3ZaFsNqQt47g5SKSHEpMwTew8GOnkcgyGthJTy/cgA3e74b3k/+qk/Rzy9&#10;jE98lDDqpakkBJN9SYC0MaZytpuH5lQDzx2059xlpZVaUDKnXQgLlcMmlWyUkQDn6aU/qCJ45j3w&#10;GZ9Hqg6SSGJ0W+JxFGML8j7ltlkLIZN8hIN4HynLEWGIAlKwlhD8CgImb5dgW4j0PoMh3cZrk112&#10;VKfgG2YmyjQqivY8aZTxzBCNALCwSVYJ+tzlvdjnEzK0XAX0FgJ/79dMcuNaJyCTsxTI5DT2ESSW&#10;tZUuUis0AoDDWfYj4unvUQCQbvfpkYzUNkEICs4qhHGFDEawS2SnIO0qhjGgkMhJl8yxzzFEkuTB&#10;ZpYlxPPr6dnXGAPgWTWGlARrv5BkPCgTWRAhbMC2opy6FzypoXfjjjqlVSBpQ64Fs9blRoes+/7v&#10;8nJWIX3IXu3znrdAMUud2I5An4jLKiRhwK80O6VW2MuSj8z8Tzzw3eVPlOkmqgAc00YwOq1M9Oke&#10;Dzp9YbzqGqryLlbqVC69k99++Lr8K3arv29T0YP35/SPWwkPu7+TT4Uuw8kazXioCx2iDcr5O52K&#10;e6lLA6xEeLacU8xjCmKhROIIXRRex4QheIzRE4zOFQoZgkJKGU7bPHAj4GrUMsBzRWWftEcBjW1M&#10;VFGLwaZwEncUclSLsR2SiPRgeGK9zAkv8p0sZ/shNsdSFDWAFcTt5MW4wjqQClxoUIhQrUS1EJJM&#10;Vo0cI7JtE8YU8tpmB6p8S2M0qYpjGMmGij0PonIVdd8Ay0LxttUdV2mph7wursS0vSFLW5p1OPGs&#10;SFhb2LHD2HVQdY1yBBp155P4bK+G4NeqDr0KMSXPkKB0lnpPD8M2cRgGAJoISkSyQEBCIBYBRDBs&#10;c9aWk8y1q5eyWT/mhS2KcVVFVXVI3XO+frdeMaiC5SHpkD33HWJ5P/XDWgsp78SbbJQulYudQvTd&#10;SMnOPOXgYY32DKALPta9K+QqjX41ujyE1s0q9E33os/6TCaTDyuknHPRqlm7kxNWKYLFla+KrT+0&#10;vFgINpvnbAGyng0xbdCyKpSkph8HkmLOwxAzc3QlBU2JfJe9qVEECa1S1pkYTgavl0oo5pjaLApG&#10;UorRFGPQiuGzRb+Saw/JKwG8HMCDAOYAdoiw+9TLbxbq5GaHkhAGTik8uWjx47MfcSG5oYvea+Tn&#10;Dlqd1iZ4EfjHUShFfaYAO08pjfAcwvMYtTgfST0P+IGz+jgEILCtUfk1+whXlHUfxhaw+65vTv2O&#10;obwKz93AemUNYgyVBYBZzdy3LmXRyXPmirLol/qWXR8qoH56pLo9JgGJ0VZU7Fn7lsVU0QdgqTKt&#10;bhuWXUwhCRs4cZpg/ADLRFE78n4L8Q0cIkt1XxpbnwOfADQiCFCqvURjRIf+2YH0+fEJgAT2Ro9Q&#10;pSvCSQyJtIKLhtYUxXDK9/Y8XKAqXRx8pDB6yYYN3FzUsPa18moTSwLp89Fhxtl36dZ4pgDicw6L&#10;LBWwSkqMMTC+BQGUtEXq1hCIzLToqE0a8mUU/qYMblf02Iiq91m3N9A9NSMAv3WkOgFIfeeKqMe8&#10;p7bxxOssVcRICy75EvJ4ckfOmT7RXWJVu6ycn48nxsP5J1+7vNKY9ReAvUfSFs/MFt0aUAtuE2BH&#10;pajXAYNoXWVgwwPWrrR1F7vLLPb9cfb1r/ru9t8Urs1FAAbLGrIfLQ7BGTrhttN37ippgqmxl0ez&#10;SZweJJMfNy97Z/Pj3pav8l+RdtQP+a2LOynrDTStzCgUK9LSpV1E3JwC6guyKqqQy+Sy0IiKoCgb&#10;F6nvOwuJwWOuZsZIUkPqSbAtNFQSHUMPIcRyhKrQpQ07A2lIMzxLi5aUVqpLSZuciGhlLrtifW0U&#10;u0ML+CTlAzZtVwH3+PKE2ymaTQ56iTh4zm4hZljhBjNZwznHTpacqVOW49gkQUUJKc8JsoqKVVGx&#10;G9qROCgvlQqqTfuE3OiWxqwZtpdEDFpzEqSkc4eOK6pXp2BcRU7H4aqKWCugZ4PCXQXG60hjREIJ&#10;bgPyHY4Kjb+BoJe2j20fbAWkZFwYg5gxI/QY2ZUgiiAJyBkQUQIkgAARTm43u+EQuuaU14/QHKIa&#10;5aBCGma6v+04RE86OQ0qxsxbnoO5zz6sZM+OOYzJtGYWcjIMyuR8K4pgBu/hyjr6/jTDMDnsgNsq&#10;ZhwlLmuMMfEicbfBJQccTW3MZPISxYu5VZu1b6oV/dKrl+rjPx+/d4tHHhCNy9wqyazsc/33uxjf&#10;d6rLX778XXivtqXR/kT61EeofWRZpR47Iwhs1Cr7XFMuHqB5+8TQ1zOn2nWoDKlOWMPtDzqdFNe/&#10;evj8+az4glOP3zVnfvUo2MctywfpbLrmB/uMQ4wYk0szZCmM125W/sf4J09+H/3YwnKuE7B9zuNv&#10;YgxRbyvDD8hjX/tEVQB/YGu6T1QgcC8mm9tmZm8dSVV4elvUFYDjWsX31t+z8ysQZaU/5qgKVQ43&#10;w1gdSBqPbju4tB+9RF1hGAcCY9zGAFPOkeKYMzqRHO79hbUvjN8SUAOg+2ttxjamk5hSrq/m3F4H&#10;ITNsLW1q5E53/7cCgakg0sEDlKvLlJpT2UNCMXOyaRTC9jocLBKVQgQ4GnLvT4ASGuEZSZFnB3io&#10;w24IsyEN4xbQYM6Jb2Ke4BWi2t7zvcfT3lkUu1zzcZAw+KiLOkIJhZQsRYhEwdkMvluXeZQ4++DG&#10;26W0WmiBrUEywAOU6qvI7Qn2kMTVGl2nxUcvc72VTtWkx1MSDfH9DYxlwfD5fKr9rdfVeYBPhaqH&#10;ThU4kUgmRmWDSOt0Ns0JeLGPdnP4gp8zXagSamx8QCsdEJICsvPvqnfmQR2POtic8cwCAx8RB00c&#10;h1DF0qQyZTMS7wWDtpbqcGO/87O+v/kBJpAfLTz7MvtFz9XgfGfyrNYBbf+CH/QLKRbz0AzaZM4a&#10;+nGvsRgGV1lpG6//Ydjo6LMyZDjo1OshziKoJUoQNtFqgY/3dNLgXhcSsiBrA4kJEVGk2qR62FW9&#10;X0dbZr3tG3M/113JV9xhfjQ0Vfd1ej/s1ItqvdA9jl7Vz83hrB8bluJ092+r68hFciGo0ZmIXlCp&#10;qLi7NsaaDdIqZpB0Qxhr03J7j8+kuJ12oS36Lpoi5jg4JQyaiYsGBJ/n5Xpv0e+evFu2dg+VP8k9&#10;7dBaVtWjf33v0uL4sVkkSCqNsrEb6+BO3N+llRrrZGWAjw6LZGlAb4KtaBY8rZIPeknSxiPr+ui3&#10;6RXYNUcY+haruYbmGWI/INAATRo539kTzCox6dh7KCAG5oQwV6CjrrNWXfKUjnpmaALOpqIRhAiK&#10;CFkEnMNGsdFhjJEWEGltLeIbCQTxqSCgf+6sgJlxiq0+cQ/yIjw5bqJig86c6Cvjwh4hy4JeEZ7M&#10;hxqqT/vJ6GP/ntfdf3kRP3BQzFTshFAkStYdFZpnecVrtf9r1bvNv9xEpxHHqXWZTF6yuob8jEn9&#10;5hct9OKKf08X+6sAdPBqrF128TZrBm9KLQojta9v/7f6nfzny7KG6VskOVViHO3HFV0LpRSEnE1L&#10;V7o2PmkqSNIsej9TOM3H33L/F3Nz7Q1ezz/blKWtjq9JU8/YSwGdeuCss30+mnU+ikQATDLRaz2Y&#10;BE4nOWJp4++WK5c/C7H9z6TUbdc8ii4Vx6G7+ebN7z2RnZ+p1JYRkreGVXJa8fObCHjeMQeeuTY2&#10;dUH49I3xB1/+Pc1Xb3mBHdVRCw3pjrGF1kB4zqD9BC4KzxR0RTNZRWLYrt9mqvdZuobwsTFT8dYR&#10;xPPfCQA96e/ze+UxFX1nkt8m0WX2IRKoV0Hynb97kQJygE+JjCqIx0YsvOSixBPDJShcS7JQNqcx&#10;oidSSSsBpcqUML2Km7O0+bMHGj94zx+wqarGBI8qzF2FNvRgreEi0NulQlzf03foj3Ob9L5R/Di7&#10;r07pRi9937Ey1CWSIApAcE8d/1mtmbNgNuAsqDZP/fnDCikDuccoGUaXUH4rFh5SVnjS76NSjyVP&#10;xkRLkgPFXQFO4wwLjTz2nhLCeZtyaz8rP/VAo5rC9X4khgx8IJfDIfXcgxa7lDaHCncga6N5jGgL&#10;EjdURGWg+Eeb4pjxh3EDiAvDiM/4Ipz7UH/3IalI2DiY3dGMW+pNybPgkTU7+fn9d7lvOkYuSXMv&#10;yAVy7bVaUe7dWFx+OYWb77vth3K3FWGrgG2Io+Y8K1XbIoOuJ+P2TY4xQUUMQQG2oV0PbIsyS8xV&#10;Fduukxr3+ED8Pc8AMl/UfLzZGs0hVTl1OY78/tfhs5MzX+hM+J1VPDkYIt//pDK7vbKVIuhx1eOk&#10;DFKFXdjhMFAU4xVT88YxBDZtEWQVaH04sP7FqnU/s3oUP/ryn7g8oLihtwYJ3KMlKIR7Pdd4G5uZ&#10;fxkd2tOwiEGnVAgVv/bXFp84v3Hjv1Kz/g9Kah8c7M5eMTZ7W1zZ7dPG1RkStwOZEujDVfh0DOOB&#10;Q1Nj+/oRndGhGopTr5pTm4fTR+sHDxfbJ//jfkU/Xe4U/3n219oOrjCjWvrSPqFOeZkXJkm33SAr&#10;gxkcBu6QSO54Jrcp5sp0TQrK6CKPOcPqwzzXy6Id1kNP7/sqFMbQg0rREpAIksSkhIhIREzpx7R2&#10;87bCpm707skrv3f7RKGJB6lEa4U4PndQvfArE4AxOoaLmawqEGgxlsMN9763qt9F8cYXZ+0+gyI+&#10;odfjbu0Xs6Q3qM1B2oyjqmSTb5aHfMXvpSM+UTou0+qTypMnHuy/9L53yb+725fXZDK5c3adNV0v&#10;8RWX15/0hMaDNiKWxowVoDmxj+q591p2/Qn2FdLpbP9Lbj7k//vLb/e/qmjGTprEncc1VfMSPg9l&#10;Ycd+nk2x1jkv/H/4suPwabPlt/eSv0rijV0qSOu4kmFscDpXcGoYG59RWCg8XaAMIgLgg3WBU0Sh&#10;RQZyseYDvdPn6EsLfxkYaQDdttNrxSeCGGW23z/nBxnS92WUsggenUIQZTSeW8LTI1vA+VrQs/es&#10;SBu/3DRfEhJetyyl8H3sFWCjrgPYefjnnkJaF8x5uJl6XSvRum7Gor2KBttxQFQ1yvgiKAF9Mc++&#10;/xHOznUGkFR4zJ3kxXipXkhoN3oL46FLMWkDffuU9IUZSSB0GKlCTJ0sUxZdz7COjpbpMdWVRQzd&#10;jnl5OvHf81+x/aLfFT79vSp9NrT83sub5spgaQdnNQMcnrmUoAcwcsbjTWx+sVhU/+7Kt5/8gjXU&#10;Z4xK68h7nQt3ZgLyC+f9oUpL2drNtm2lOiA73BSThDpSTJSBbG5NCvFT56J/6meQ29VEoIyIEUEv&#10;kGKPOQJMvcDRAJqlx3SDZaDFXjSbR+R9b5hdnRv1BaN0n3fdPfDgq+Ux10de4paRaZx9d4fz859C&#10;fjwX5S9pVf/U1W9vf3mtik77Duu8S7uMONyB/qXudEsVOWEMMo6g1SfiYQxuR7kUG1ajQ3z2Zskf&#10;0WXeacl10ryeKVf2GNdV4ephle87jp87R1IW6HOMRVTFAGlJEyRSVPnme5Urln4c7u01qwMhWaNc&#10;GWbjtqmcK57s7UC8jetsUswains3BJvnGEqvYp+1hu+8g63GNnb3/ASQe1tC6Y6bcRzeGr5wk8wb&#10;VaJPGXix59R2vskpjF5UD0/KFjSHRsNRnCQpTcYuAnW8giHWpsziY4+c2fQ+7HjGDlPxco3h9wwu&#10;vnb26tkP3HxV97iq+BcR5Zuvfhe/T8sytC/yNdXdQ4e7PhV/MYbmT9nFfa/I/fbycHJaq/kMQ6gy&#10;8SFTNAjK54Ju0MwVQlLkmFrl/VIKdRMVMnQJymEFIiXUD9ordaBQX+64yJdP1ux2is+Pq6G46dt0&#10;9I047ZP/DRuHfz57L97B/+oYG/WafID3yCEIHhaaOqR0nuC+gwYdHpDM749GaTXGNpGy2A6/9NaD&#10;P3i5O/xnm2CWxhjNSrKIZJGkz+JpiTmTCXae52HFwZZ5kU7zk2907T6nt7m3x28tx5a3t3n5LZEv&#10;XVWozbW0IRMeexN9CXHzzc5UnxD9OCcyyBmxMJqzb1gRZahCjruVMpUVkTktY/JD0LaaWWQRjP31&#10;g5LVuzKlT5zWVE8mL12ncjOUusATha4vd7tpY9b6SJIuyxZmc5lZTp4zaPPLS37dbG0bO1ym/oeY&#10;lp9lMOZOL0jnZKH6MfvMqUGE9bkZhIa3Xv/OIPgqGrqdsnDciM0IjYAdZrbO6yGqWdi4HWOyjx/c&#10;NkoARBEhPB1k8yKG3MwkRxK2sSm3lOIgY60Xc5HN6rYjDj2MRuFC4Ps+XYZHfMq5TIvduElFil65&#10;It2uBYbGU+svcdY5vzUJkSW39vryARq407Hf9LG8imq8nkQ5mY8nZnubQZ/GL/PHUa/eHzm1kYLl&#10;Xv/8wwffOh8Ov3hQYx1MfKn3/wRPJyzOZ70SzoKedj6Yr7jvnZt3H+E14xIbLQCDtVCCBFKA3IHy&#10;zLcIYFQQjNqAggIo4ygdYDY+ot//NWxMOTyc+eYXDYE/nkntrVNp92IMFMVEZ6ISevZ6XuDpwcbM&#10;dqT76dKXHsYjrN6sYxtf1V6jd/8Xx1f//tV3rv4+Iu7p6u9Zsv71hy/9s6v56OMfV2TL5KSUQa14&#10;Jjp7ge4NzhJfCmffIY+zgPoEwF+98jb8q+c8/6TAkgDWOC9Kd4TLmKf36GtvMFbZ9X9/2K//62Xt&#10;Pn0Aa9UnMtbh5eONtOY97aQBPvQsCACA5SSS/ZeFsU+PfFPpF21qxM1/MdMTP7j39lf8MPDoC37O&#10;SNFMK2mSmLmUYcv/5ZsffPdsfPwVcAuVwwaC2yX6nlvkQlxsctClMtkHH8RULL9z/53yS5RAwxRU&#10;Xpxi4mxEZISwgs6Zrj+EhkRX4Iv1qjMBWhREEkYNsYFo97uCUoQsREC+YK+9tlz3Po9Q8+ioQYIY&#10;HzWjkKhUStJCq9KYkESDY68UxLZK9WVavVV/UZ/7bwXwMgCXnnrG86lltxZQ+G0jog9uDyBy1sKL&#10;iALwOICfUY+nr979saoliiRZUCKoXpVRg6FTq0XpPMo8E4nitFEC7XOVga6wBO/lgm3qjgKtZMdw&#10;3iZikzRFO0sxH6OIyjpC2EpWJZexRQeTYeZ2fNPpHzj2/C1ws9/tcnvpQm/ggoKNYdaYax70o/P3&#10;+v/O/UTVZ92ppa/Teh6Azpc7atmvgmCnUFb3p/7I7gCh0zsicXXxiSwMpkzZEJFHZi06Jb72FvlX&#10;DPN5YHnu3RYlImGZrGrVoTK4EhkY8hio/4yD7ze/kQ0DQ0alAjplgewBPYMaPUQFnalOj/1fCnP/&#10;g0d/+/08+9Ovkt1Fi8fQVzSYriiyud3xMUQCmC0EXiCGgIxgsrzsbzGHe3wmDDNIMsuNh+lfGpEv&#10;iqQh5EVni8SZLth8nX1Ekv7Q5Xfgp7Iy4BQgcBA9gOIdT9k8z5NARNkI4ElYic4Z1x/CuxnmNUIX&#10;uz0SMhI0WAKCcnBpBGV83M530yPMQM7T7ffFjmFx463+c1QwPx1VBMGIpkQRIizPXf2anZLUFBS4&#10;RC3X0+L7Cl3aaHxHwSmjOuFU5oZ6U2L99f3nJJT/PGW/r1SSgS/ByepCI62ZMlTWiBQywbGWEYHw&#10;Z6+8nf4pMSjn59PBYNx8K4tJGZG0MHmo7ChwEpaLjgSfta+X3wHKSoFzJBEL0V6eV/vBpJSQJEEm&#10;yvr6G/kPaY2fyMRJZZDQvV8B+iIsR/hQodcVHLXBhKgGXbB2epQmOtD29MHvtZd0Drk1FTi3RliH&#10;GtE1SY3Izx1UzzBD4xrQOEeNgGBHeO/gEBFRwWFjvNoNSjeaVYixA3lTK0NtVF5jMA4mwGQ1SMop&#10;yl/CYr2038tD+MOhmj9wu0KjF5VTfK9j9bd3vtv9LZN7iXbBybfZWKvFd1EtNcauokVqVM6IjZmR&#10;Ta0UOWGLSgm6O5p1OHwL/xwzfyoRGRFJTyXFMhE9r8AwSv49r3hH/tlhuUNms8o1gE7m5LWXKo62&#10;sxw5uJyFleLIkXL4wBvCm/Z55xuGRC8nvb1YAHrm1m23PvjWAMSU47sLXnzN8u3hP7HpbaLSQ/dA&#10;DzJUq0CUKXkReAIhzwRoAKUJ2YqT7kOs3uAsiKHYoxC36omv179nz/evbFWlxrhBMi+7cI+M40Ci&#10;rdfiMYg2ZNyPzt9JvzlKKYMqn8f24JOXst3WU5sP6mXW290+ahuipeXL46iQUm5Rq2UZJYXeuRiM&#10;RvcprT762sX3rr/Zr3u9/ZcAPgPPDKgZvzVzeBG3ZrLPr1fBWTXTPxkewOaJry3f378uvQIkIKsi&#10;5wxOLSkU4lPMFitIXqHk7MWJ3RutuYImVC9AknKdZmYXvdfEkrJV2iR/TAZ2xpzCWiV7AImt3HiI&#10;P/vaW3f+c/+6kxs+2X9zGemP1twvPqof9ocw8wvaSnqQHR7avrpor72+e3R4iK6MMMq0nsqEPqSN&#10;21M7ZhVO/cYQFXntavFxpcRd/B18MKl3nlE/n552FU9/3h+WIiUGSRUZspcdyPvYq97SsvgmXdxP&#10;GEeq7BKcQGBflPmSrQeimStJR4rv/rr+hy+/6qh7VKm/yEVVbaqT1BpETlz083s7iz2ZTF7cxu1I&#10;2a4xT9dxtm/DwH2HlN0OxjxwKRrbL4daPVT+4y3hJwdtd2xt8lZr2hmP7omc1D3uPOh5amtG/GU8&#10;fa95yZ+/JpqsdMRcGjHjCFOXXvkt6vWp1Y4zUWVGUplJUxFYE+ogwogBY5H3b5sQaUyDWVWDOaAp&#10;BoxKQ6hAoghgg6BmIaRkQoyp87B8+VXQsY0hgIOqeZZaiojhiYfMnz98Q3F80xUrIvMXUpYHosQ7&#10;v/RUP/jqgXf/p0e/zq9P3iy/sn7d8BoFA1CVotk14yaqpQ4YyxwbzAizIN4Wys8AgXw0rp+Px9ns&#10;jRFnfaUPFmHD87h+dV/9Te+ULAdttIBWgMqUNKTSRrNHKqyS3jaf36fV143vfPJNexuqi7c11n8c&#10;SF7ohNOzi5lpbcrfcay6/3j8+vj4yUNX36J9VHZcoBDHmlO0qcnCytn5y7IWoDMgxzZFuaIDjx/y&#10;+mSFhihZbU2RTgv3TVtOXAoHHpCKdHzhLIG4atQSyhiTGO1GielbINwrltLk/p5eLz258zaMVPBp&#10;e6xNeTrfid6QT+sPOJUiWXeAVq/HKhL9+z+wde9/Q/P32z9qu63dfE0/6Pngy1uLn5xvQH+elcp4&#10;HkHR7cgZFpFbK5gmIhIiKmzhsjLty6VI7+nemH792l8092lW8MoaTz6DXqa9nbkCkFZKKB84SAw3&#10;LGicXTymFaPiUo1WJGhyDi3t8cxahLbPcLsxfe2Nf/ToN72ii17/TDGuf/dYlZXnJE1R9t1Q2Au/&#10;gQs6tbVW1lLMMxttIGOK+4+jPHL9zbx6/CtQDeVMtyLjqflA2lMHxErEaxcT5qA0f6GDzvNETASw&#10;i+fT6RELQUwhRbKZsqikcgVCcJ+r2w66UqL8Rg1qX4w23ucjr7BVv/rW9etuvGknvMamL20MUM4u&#10;hZ0w6KFvR9ZWl6kGjd7c9vUnk8nkt0nv7yGMkKSKnFm79/8ZXmJJrhgPa8gsvPtN7dXVDp7svfzp&#10;KwO0FR3blvKuAF01jYk8Tw5n6zwFwD6eLoz2kj+B2i1YrPLFOESQNdtuWxSF6f3sAeFmTYz+/TCq&#10;GirLEdtoaIASpw1AQbW3vf+qsINulZGyQsUz8BAArBArADs78IUqQRKqcod0cSXnm4+KYjYoS0pY&#10;5w+8Ae84fVifJCX/K4Uwd0uOq2ijLjXGcu+OzyIwOApjCurBKs43TK86rOk3Dr+hv7H6qqNPpxBD&#10;7XZT2zOHACjTEUvPi6HNg3kQZPuPRv+tfurnrcs2nl0Y7MPKLnyegLH2/ZiYDMoS0VAwVclNzAqp&#10;G97z19X/bf2pyKNyr5vRupiHfT2OnS90+UKd/1unhJ+/bwagY4yog42uClfj+sbfuv5wOH7sG9Mf&#10;JFaqjwpSHihQGrB9jA3IwO7IyI4cncQo6kOeA64cUaUHb/yAy2b8glDllKOYeXFFrV+ATaKp27gA&#10;naKeA6F/x6u+xz+BHA2y9PnCU3MmL3bJESsdUWg96O0KpapIXJUSRfHhEOjLfPTW8o991ifvtqLx&#10;F/WomAdDxRjhioHw9P6SBmdrOc5L+79Q02IEZ43J+WsBT29wP+qG9Fg4edJdVkPUHx9L/b7HXtv9&#10;DOzcB53F8rVYDNuxZp1FDzZSOYQMrWhfYt+8AI1Gyk8IQqDCczxJdX/Mve/j4RsWv3TyulFGtn96&#10;QWvTz5zP7H2fapO7lDWb0jt9ux2f7riFv5YukU5WD2SgcwkiOFhJWyV7B83qde3PWg1IX+STcauG&#10;AJ1Hk4OOLPyC7AxAtzxuHbW+dYuID6vnTEI5nVSQKANtjZBYK4uTUKI+lNhrkBYVdzY2tJD4pffN&#10;HnsrfrkYq+9XZkHvDZcoDDNVdhuN0Puay7LMTsZxjLNkX/IjGZPJ5O4x19eYlRxzMqSUonhV/7Gd&#10;te49EJ/4ls3nkcHjrGcHFZ3GYwckLhyrksYYo431nV3w+tJAOEv4n2/XtcHTyduX/NoLlxrxTW/9&#10;bGlCsdOrcplDH0odVnTkDgiFvHYxNl3ojOTZgR4sm6RClMKpJLfPOcwRkLmH4gjuPKwAzpZAWyKt&#10;tyDf9pVsjW1Oc2waBhkzJoTu6/uvPXkIuXH3vT7QuDRxjHMrOvjOLHSvckp5d/v4HU96ZNG8K+vx&#10;MdFAqSujXYwel7fz3V+4/hb/gWtfMswiUsrJQulK59Usq9JSuXq8sFgMF38Ht3WeDLJ4Zh/pec0E&#10;jWbUJ38uXF3IHN4tMQu9VD6x2j7pH3uDvTK85UD21jv/reMiKeXRGxB1T2DXGvuEPnohB03oQ/9l&#10;KEpnVB8rUjMzZlct3Yn/t4+80f7sL3xO53R/mGzyJpR1RlkF066ILAMuqNmHeSFOI3IjpG580/Lz&#10;T8eqmG83irnLWwKM2bnwl56Kqk0hks2BWrXztzqibIGYcmDY+Us+Uze5jUGkD6BxXLFoK6FvQVGl&#10;QhzC1z64OPx6/tVVvfqX7XCqDpq5bNFDdE3WLShk8TgLpm8thgKcBb0vxFoMPOu5DZ6uXCkAnBiP&#10;PJr88vE0qpmJQ9kVvDv7rPVrW3ny68o/N6pdPdgZdylylcvgsjFDEdkhwCZ14e/XTuiVS5Baki5V&#10;cj2qeOMb+bsrtf3UZAbfOqu71UrNfUJZ7XA7HJNeOsn9JlZiZhd9/YsSKlSTl3qTO1nrmtdewnyL&#10;PhSLcu4P0bN80uHXFPn668NnF1BpTiYeACi513MaXqig8zyIzjj7jM8TKLe9hmzKOWiyV6NOjR5o&#10;1lBwrZObc7n/uofSPJKP8zA/zn58i/ncw/uPt753Hx9zFyQ/qi7ZVvaUTzENtHXawhUksdkOZtTR&#10;2Jf0ervJZHJ3ZVVnbWZq1Ns0pqHXJn/RKe24m29xby+bxb8+8EFtifwoM13TvHPhCRhawRT7uuXN&#10;NJPm+bm1zkuFs3tNwAXrvbwYjFmotDX6bouQW8d9n8QUoS136AFZ/+rlb9/9/23s/vJSvbamOYzz&#10;LqdZyvDDqEpqb3t9bbkFCgelPDw8htoheoUdBNw3T+BQ6U7vcF9bR671j3wDPun4W2brTW/fqXqV&#10;D/wN07OGi8RdNQt9XiaJo0J5VTpj7nhBEpdH1cPZHbJx1sRk1wNVUKJCBOd8X3M5bW+8YfhO+aJY&#10;+LDxcxh1an22spOT7z8a8dN5MA08VbEdz1wGeZvj4xyXtLexq6oevG/CTm5J09G3fNyPaG0/sMJh&#10;SuoY3ZhJ8yIXo1ZSzPPQh/Bxcf+FGIl/xr7ot/ydAICYahzWA7zrKJF2uQtNmJEWu/nUl32ODL/+&#10;Vx78hAwbEKD6sdVJW3Hd2sQBcSsfeno6t2ZO1bBKfYhfY+aV9mJRKvKFv5FMbC/8pU8h1hCBxPBt&#10;r3rH4SmLINtKga1SfntvV9GZ3HFzgVBxhXYFaZGMFZoJaOsee6v/1MeKk5M8C59c3kQ37hd4wnUs&#10;M8h+VsMpnya07nw08TzrG/HMTNoL4XzPu2fvg5cA5NFVeT8d6UOjdS9d0E2OWrTtifslzX748GsO&#10;/8Xjf7wxAyozJCveNkEP2adxI3pRXPjNBVtKL6CW92Kj6jHDMPnYDXBkQ9bJG7+zW6etFhW7lT7Y&#10;O4DpRi1E2vobdz1THhBTwCaXdl/2xk2sZ6UztCxZjnNvFuB6YbZ6kL3l7D8+8pbhH6/+hMGh6lT0&#10;1o94QeYfPnurwPPOz/PKkkaDbMaAkETPAiXRmkPKxEpYvrL4JE6Qk/+hqX75m/Tb1tL9ZCVFtJfK&#10;7MfSZqVibnvqlGFjC3IcY+tbCYSFqVXq/XZaUz2ZTO6YpvKc+g07VaOWULLgc9Z/8cZ7HBavT8Wm&#10;OzFoCgnWcEoBVFmeIwUWn9ucX+zbSX70MJ7eGqzH02tTX/IzkQZVRp0SqtKJSVtRGcYwGX/0RHyk&#10;nf2BqEaU4/G2b3gIxVVsmXVH3gZjk8/qtlNlczZAVyJEAbSD7i2cNMjW4clxHwKBSavxka8M6tpX&#10;4n8fzOwXq3EzLxVnKgp1gkuh7AcitWTJvb0S1+TNXkp+yynqF2pg5sNqdcyBdUqhUEntKcUQV4k4&#10;2kIp0poQ7dy++ZFXl4+vv9p8qrId0OyYTe191PzRSGrdug/0rVvPnf+75+TTnLQqXwMeuoDMx391&#10;c/nRb2yu8/j4n3VdVqkijrLIxpJaSwxbbcnmOrXlHm+G63fieG7t7+WZkGvN6OdY0ExrZAplhTrP&#10;htxR75Jtj3759CH/58vUAqhj1BpEiFJcBqv8oddUU9ogATRK+Znj0XXMlY9NLgu2UJEuWtoZKBGG&#10;mYYA/PeQkbVihJgSJEjSdpr+/TEu6gppPKETNs6bPiQO6rGvx59aKvnFRWTFA2IuUNddHUtlx3JT&#10;Zc9tUSrmQs00ni6coPD0qPV50PtC3LTOC5+dr9uOOBvBtAA4eMtDVSWd+sAB5bK8rP2Q4i466rNX&#10;pnBfeOnj3CPtW7pLWZUswbIltkYzqc1w4eu/TR0XhRJTdFT0rQFaNlG/Y0hagl7A6dGdNj6VQ697&#10;ssB4kk6NGTtVQkx1Nz7yZxgp+tI0rE7XQbjUq01Ho85xIzTs0gZo0Jc85/50kBnSF69fzr+wfm2h&#10;BgX2Or6Q0w/Pr5WIZ45cP6cMYpNzGlOCsElktDIYJCO1cTf9haOv0fv+0P/8cqjeOEPVDbLR4bAh&#10;7wokvi9h5yrW2ZH0/VhJ0AacWYqBhOES7vqa98lk8tLlIoMz4okLWqiKxscH0q5+4EQdSla7JatL&#10;M2/iqtNGSW7CRm1BJFSPSy70lSmovr3zgKTA2f1E42yU2uB5Jm5fzByypjTIGnOCaBpdBcehu2Lx&#10;45/099oV504lQm6NMRnXNUmIReKoBDFpf9v+UYmMglcQA0Ac6tyjqvaw9jPsxRaZtvk9D1WfZaBP&#10;8uwVX7jnhyEOyMSJTxDyTLVkZzMKaUj9GEK0BRdZCLGRUt/5268DWHNLGztKDMfJGaiTwfEx12i0&#10;Hzrxuu+9emAsd7gKv/jIV49vlP9uFUzblbX4j8b074Snt0IDnu4LJzyPgSvmkbTjz6dhxu9/7fBJ&#10;3Lr37fjZ/poWejjoUtWK6DhKmfq0L50jd9Js83VzOVspS/VCDLqeT1P/UCPWtOpDWJjS5bHpj7ou&#10;BG1xQ5+yr69Wwl4sYHSBH37s9XijypHr0KseWvJwAk3uQyZdmHMp7/56+aSKT15zqdjDNtYyWsEK&#10;hTAuuJ8HAK8XxSaXP3fpXeo3SVses2aFUaBcRLz9l2by0jamxHMdEnQ9Vj6r4zftf1lR7f/Ijb6g&#10;Elk0Z2RboovHKVNylg3xOIQjnSnl5vz6TDi7UZ0HWeeB9gtxfZ1/IRWeuWZbAEjJm4So0izNjaa9&#10;cC1sMGjOfbVfBLeJ0ud4mvJBj+V7D9+6+l1zGbSn2ueUsS0uvmZ2yZRl0DoMLS3BATbiyjvjk2y3&#10;j5AOrPouVEasKW3qTI0uaV6Id6WS7P2d3S7i+SjSfhmyit1MzKC3slvlHKjlZZ5Vh1REQyg4bLG+&#10;wqmlPfRoPqN04y80r/Ule/VCfb7A04Xtzm8gz2sagURiZ4mDpdQaa3vO0aiUZ2JrNPjioZLDmMtX&#10;jrY3re2qXrumdFG9MuuA8TEXhuupyhvoAnarkBOgHMYipqC0mU+d1slkcseIZuSwxDLbbGPUa+Uk&#10;kce+lOR9N5bD6bgY406dIs8hZpAd2MIB/gZCPp6W7z0/5wn58/os7qnfX/LT5ylmbMo67XU3IWYf&#10;ZT6VR/1C199rv4hJWFBmD2allBQDR8YsD9AiMcLF+rbPn6g428o6GxBHKBNxpEoscIrj/2bA6Rvw&#10;ljkP/19o7aq8akCh2FQL0jnnWisOOWoZQ0gaypaz1ElEDsxjAcrjnY9ZQ+KwIEWLICT1vkpxDNEZ&#10;7OZ+2M3KLePlNBPNQ3HEq7Tgvr70tvX12T/9zdeXuYV9IXY/uR2FpyvVBzw9y+J5zWIWNaSmaf7w&#10;8NDw5ZjVv4TUl1kFUnw88qpUo8yQCq06Yol6iYOT3ZqLWVzRoV6n+oVuX54dWJOu2Aj62KIuaxPN&#10;g32pDvwycns99TBqLBE2G02q3nv7u795/69IkgSqaK6jCflD7KcFgBNF1A5/lqRIgx4g0ppF7FIV&#10;K8o5Pt+DOu/83TpdQwBIoJScc29TOZKNkhQs5WyANFBS+iXfqHysq+CAsiJHNRUWKLTRV1CQxoHS&#10;lpC1yW1c2KVf4ZffbL8i6M0PSdeHuSIZuKNM0BwCtNXO5IyRWxOsNnOvQTo9e5T6I5qa8jw9Ozg/&#10;nwJDAChlKIXe9qqH0MYsOGImrU1+DZuVzky6krnOecPE6aff+5bZH3J5S0HPGSKECpg7h6sEQnE/&#10;VyhQgI0tHAqY2x7DOkg2RZmrnPNNY1F6iGVwGPG/qKEHEbQNEVschJp1tnnIweg0jj0bU971oI1o&#10;jSjQLhPrpGkUYRZmcA+To87UUTQ6lk3QijcooKVlfGIq9X9avSk4xyDAKWVBBkCJqmRVEJSFZvd8&#10;2pcPNrQiH9ylIhORJ6Lbnn9HCY0oMkmpyp+95yBaBxkBJx+vQEQ6GJMjOGpUKc0G0ljTqSGloaEV&#10;MzCKJhc0K4romWGiRqSLL7/5WCeBcjYPwEJ0mRIMRGu7A53niu6BiQAWjqBrJ2YPJUOcZDOHoHdX&#10;Sb3kJ4dO7jadB4Si1eQHHkxGLYmUaBoQ4CgVXpOLrJHEY6sU5rlBjF4NpYahiyetWYBECDqD8FSy&#10;WmdkAVjJS6o69nmy9nz07dZaMC9ZbJBVbPXWWSnzERphXOHT7yD2IPIs0gsk5zS0cUBGkgZZvCRk&#10;jHL76t+jjBC1UCYFuNAVp6EA/Klev97T9c3yn2aj3yaZSTggoZ3lnFFIx70i5hBAnJAoGSUR7IeC&#10;BRC9go2aoO98HT4iMm0mzuSJwxpRaVvEDglceCESPuWoCSkZqriLLq4Qdf8nZ87/0tGbonFkAFNb&#10;YytjmWCgsQcQ2VLjhSmZc+tyyvN6M8DzHLDSWStr9ac0hB9yNHI2mkUSVFaOXYDRAyOOcGDtU4Om&#10;3JIKgy4SwVL3Qg263lqM9hlUjAC0dtwjicbKtfDc6my0KimT7TUVzqLxPl8N1/7mIw8XfwE8UKeK&#10;wNaoAwCKd9iZHbJAAb0DBl3VrJafmdpeDTFBdq+kAQBSg6Q+ojbtvJATcEthhiUSdzdWP1VTlKC1&#10;TfAQbWGRVZHi+JG8wOTFJ9nA5dgxiRPx5AYd4w1oEeqT9gwDVUAHf+NNeC27y39vPjQJix3Thz6L&#10;Wt71oO/CyqupG06GYBfGbb1BVf/4ja/FHwhBErxXqquVSrs4lJoQ1jnbwQ4uB0+KQuFue1Op6jk2&#10;w0aMdU6iYWuUrPVefs334XtNWW0en92f/azwi/BEUfaHIpmURIPSzIIl+6LotLBAsUBYzmYiCJAz&#10;4VOE8L8Nf8MQeEw211XcqwrPXa9TFpSiIsapZsPHuEW5YO5vyuBU7MulYS5jwCGrvEU2Hk/XNLw7&#10;D0OBnG8GEw5dJ6xGO08dGcXjUQ7aTdfv5KUu4ul+o8LTy2/OtzacvIiRH1iUGl0OeYyKFRdh93v5&#10;vxlzjaRmF/58TcXG5w1lW3BSNEg5w7U3abMq8LNV2v6pu338L8QpxDNr+pwPJH08gP/yyNeGB6o4&#10;SvQSVBYddl+lVxbCQcks3PXNXV70fKG0lS4wBR6JKYv9++mN4TPdOJRq6NKhWeyCBxpjL8nWwcYV&#10;815+LJ9E+t3F/EBsEOgmsvJQFl4Iz2tN9a17BQPPXIeY1sL/6RP/iXlyox50OcY4Y8gytpxslQZd&#10;T9O/X+LGlGkgpMElSlqN1ok+KEVl7pYjEtVhPay/qv99J+7q38mx7QZhptMnsy1qTWl88Wdy28eV&#10;290rSmkETGKGodnuX/m3/Tc0v+NAYipUl1a4Xs1mrSgdKPGuvzSSKvtOVGhuG/Tqdm1tqWXtEU25&#10;k9fJmtqfFKO6gs2m+7mr7ZNE3WAFNmB2v3izk6PvJXOSFeTF8P0b8VszjUkAZMIfe+JYvmk/Qw2F&#10;aeVUB8swQh7wgSp7eRrr+xh3FNeeyMuCX6OBIYacNHnKJRXJ4gBA5Lv56GWRRZfGsfMkKmEc8+ju&#10;S7tjkCKFO14oZzK5y87v8efDgufbV7747/0TQNdikrgYhI0ugJi+nISloFTY1F+4fSs6G1BzTNnl&#10;DkI3v3Q7d33/00rxZ0YqXwz9m+ckIlnOnPd/EhGBiHoiemBp8N7rb6j3S9s7C5fQPC7ZA3PdSANz&#10;8Uq4H+uGLcRoM0vjGBMJa0UhyE8efuMuMpvS6HiakqBUvligTR5F5l/4ir3lKxkPNolTRx6eO/Jz&#10;g2QgOoXnc1HeOj3gfK3pB7cdKkf6R6kPGnQsyUoeyEsDgEISlfSLYqRscgHGJNYWauy0jRG+QTbS&#10;kqBaE+b4tTfs1MPe4l8nf4OV2GK29/JAGhxTOxb54mv67zblcuSuz9Qn8vUl2iaa6e6G7rT7iX/9&#10;58u9NpeMjG7dGE3egodTHOlSA4pg3G3nH7XsvIkeRAzdPUalCkisB4RWO1f+pY6XQrP7RpVS9CdP&#10;aiuBnDM65UHZtLnnZ4qQwJA8Y//oLAQjBGRC3k2zv/kbr7efLiNhBk2IkFAC1i8zDbdPSkxe2rLM&#10;bFFWtKHfSEWqBDYkRq5WzsOnQ0Mw+W4+LFbGxzG2uYOx4mi5j73hA2ZcLOyJqaeRuslL3fn2Uuf9&#10;x2f3IycvYjRuKCqLYJeRoj9+5XeNP5ZTcCLSh5wu3L6N6DQ12SAOyF/rUJbjT7JTv+tahF/GF6Tm&#10;yt12nlwKeDquAoASAHfM+sjwzz76pXVea6tV9kktjV5nphnUR6OQ2UuaM/vYthCu9grYWXK51cf1&#10;/uxJH/4/UaNXfVfsYFQmygAPgrnkePfSyac/PqwI2mPXUV76DNshGyGQPK9E0q1z7M8XsQNnDaOG&#10;jT8VjBIO0SPVWlAis83Io8myvvOLFiZ3VT1EmNFzot0QQMrS/TQOiJeVr4CCsmv+Q7ne0A7PotBN&#10;HJ+835Q8k8z351zll0K2Wp+QEVPvgpoTmesVmDirTl7xypfbfyj/1wyXMSMjIapM2TE70Ai2ysfx&#10;tiOtWTw3cVcpikkRaAxuLBHNHA2/7LvH91e8XbWba7rTqizrIosfvA9OgIUq2L4YRsIYAEjgcXZT&#10;+eCsmEzQjaxATr0zfMnaDvYk9u4gIuq5dzoHCtNI9cc4nVsYAl3t9jiEFaBLa1B2hgrMcpVBge7m&#10;w+kqOl0Lg02pZ6Ndn5i1mpPuY7Tb4xfD93MyuajzuijnW089r50X/v/s/XmcZltW1wn/1trTOeeZ&#10;YsrhDjWBzENBo4i82o404kA3vqjIIAIiFMUM2ihN22/bNrRCFRQUVQVYaAuCNvqiNM6zgopig4iC&#10;DDXcMTMyIp7pTHtYq//IjMqskrp5qefmzcxb8f189o2IG5HnPGfaZ6/pty548NFqKknKYCm5rZl/&#10;Qm9tcQQpEK9htnMkNZqDrDWk/LkDf43G/5TM5Y/LYcRjnv3SrF8K7/871z2C26rxEUCZ2DnVGB81&#10;e+0Tk7wBqCCsQlYS05r4Ulg/31e2WqU9k1PanpW0WZqkLJPxJB+5+DHda8avjv5gWPEir+0R2vqA&#10;XXpWeCgHH3vQ7OlUVnwKpaX3aK0Ctccoz+udfmcPvvN8/3d5HMfT4RdKcdKYxFRWuUhPkAgyXiqa&#10;vhRu+gueA6EFDd6Kc8dIE+h+fhpre0TXzaTbvOb4i6dkPmrVHNZAyxNjeWYQr8PG2m7r00156D1t&#10;HVfpyGRajqKwxThPpRbBGkGHcfPJm8XwRwuw9VlhlSRJLTm3YAVCvnsfZsMqYCekiUuwtEDLZ+6q&#10;bg5+TRQ1Ts3iiw8rUzY8i62bq2VYW9XEjNQWfeAjAUoYlcBKYNJ39ZE+V3sX3ZvYCdEn5Eo+1Ywz&#10;E8Yx7NmDDdKJE75rm8sLXuIEp7rUHs/aU1FVkzseB8Rghi4M7ApAej/HSjMsd1Ux4lbCGKmIM5uY&#10;jNZ2erEmuuAlz3mbqTvb9tS4Pc9f8BCTSmLVYqikn3zlG47fhpJRwrQUspnGzc7ru0pvuDrbcuPp&#10;Z35kZo8+KLtNTlvVmLVE//L7ffgvBBZ417png9vt2RwAcxxbneowlurw0i9+9eTvqzTozLamPI0Q&#10;uhCC3pEJH7uh8n5tgly6tE+ujKxcqyswZ7j0dc/+0c2RlpVU5YaLY4tgc+LTKnxox5zKWMiqpYVY&#10;2D5z7CPVwT9fb+F7KsKdp+78zJW/2my9iXZbgquby/DqVP2CSGLpaXzgF/UX7EYfekXJSLQwPCp1&#10;06Ykd0I/9/lntfP+/4jjWKrc5U5q6RVlbZsQSjJVv0a9WLwYLQPuKQxyZujY17H0hDi03qx5wU3o&#10;yIvIUPk3PPtadzgqeVXFJLWWwmWOPunI3V0XFfsAw6mqQvvoy9Y2mORr2Z/+ohXK8sHffPa3TuJe&#10;OTTJ6vK6mdpMMIzcrnRqH3yjUwgkdOtUApFuuuEsbqmn+rXS0lHqF+ZNw+8DUiOl766jsi/Xi1DH&#10;BSU6ip1+rX4qSJ0BTCF2bowGY+bKVurpfg5Q7W2SoWK0GAdb+6CnX4wPFa2PxrsnqlxwwcPOu3Qy&#10;cHvduMRF6vdLgqaMmBsxpPjtJMrWMJWYxGoR8s+rO8dzI0g/+8Wzb6fIv21jemN0ZjxsF2Xf6Li8&#10;34f/QsAA2ltfF+866ltBhVntTF+sVTlRk/U3nXx5+Ya6IKs11qI88OV9DzqEnDDEXHvjrq/72PK8&#10;OIKDqzHvj4+yr/93uzisBz9JrKNAYOwHbp95RY/Gc6gxopRZ6dRNazvkSD71z1cu4nwCPPc2nrcc&#10;+klKnYsFxVskxNMqqQyQgbwhpFxwsWx4aVMPI7GfqY5Lrap9XW03HljER/aHH+huNBOyLbgCUd9m&#10;P8K4qimDH+yxVuPe8sTH8HBnQC5S0WOHsZI+VDyxllplLVAEytwJEIOYy38ZtP5dDXVuU++lqlzH&#10;IJYbmqBD+5zbPyleUI6xVwdt+4F7GNUwd7ZfpwjlG3YvNrz5+6nk3yNTr0OJNCbofvB+rRNx2DzQ&#10;4TAleFIMAKpb3wO30r9ZQWBFKJ2tIvaf+eDNH5Afph8oLoQmvnMc2OHdu/xd8H5HGJUy/c7rV2br&#10;5ed32zhV41tnSg2hFGUM9zdFzo1F6qSuDzAssctq3WnBzJvoGq+jCB56x+IFFzwPHG6nfv+XW99b&#10;XCiAP9RErvNYyo8++p3YVmxLLmCHpMoTmLiRXR3fb/8K//HerF5DEgxzj760WrvpJPNGHi1jOcVL&#10;om1vg9sK4Oe9zj0AMLqxnrgQt7NcsLHC/L8+/bXTv7H/zav/BDog4PTCxNoBo5VTalVQSzCdn8qq&#10;nGCew7AycnCJDjfHn3P8/8WfvPoX/TBq0C1mzCtvr0QfZUDSqQgGUyynlKwShOWuK9KACkIoBTV4&#10;yCY2+/DGisQKU80/qwWpABLziC7nQSFAHnWbFQq5SO95iZNhXZ83KOGQzpRdAWL+qvj4sBp+11gL&#10;yBaSMcGwtclZ5NIaWwoaySEGe1ehCVcAylngM0a9MmZQYbbI1ue61GCqUcecRvsorJa05gAhQJEL&#10;C0ONiMlWTkMuRh2S8zrkrNOwjyycUXy2WjCaI5C41LFX7wwcJLfm7n1uOxaawFamWIKMyMaSEggS&#10;wWRto3N4zZ/0zi8YXgU9LCQbogjMZWo62911+4IIALjRj+ghAkma+1UaoBCFQNecT+Nnd8WbBkIr&#10;CZJlRaMyvJ6VpIxpfaQ95dJ6J7V4EDJiFhiTVQsgwYuSRzBBe83CZqHcTwpZQogZpFyyz1rUoje1&#10;RKdaU4Xks0oxcHyIIFk21hRnG60iAeqk8N3r5owArDivvaJbeuXvUgIfiFHKAbZEmPT09ZAj5BJy&#10;7wDYBz+93UCQmNVKRqG9ZLJBiI8ppdIn40CUhaQGu6xsSlE0mpEFbLOyqhLlQSoJSBhIBcUCoroY&#10;JCb+1fVEfClChakiY23oJrnGFS56lKu4r2oPxW4uuWIO7+eAxaW+tntgOxOLK+zyQe2sMzxAxF4Y&#10;1BfcVwJljGrQ0kyZPKBOR5qB3TSO6qA5I5BL0WSQtxpMUFBGxr7277KRGQDnW1/Tra8KsDYsNPBU&#10;aqvCyHZS9LWvfAN+Ce4xP2F56A3q4CzmKgYQ0tqRZ59zcNgfNYovCrmpuHmvBouNVmdIyCCTVe0C&#10;fgjJ9xyj3/309p60llASZe3tFLUcYNSZNjlLth6orNXj+IctoYyqNqiVohbebnwhf/f1PzF7u4Bh&#10;ALaxcA4ewVRoYDzgSP6FCkOQkAvDwXLWQW0p/DwNasW7G6znGRMAoNYpomm05AwnlQ6lQjSslVYy&#10;gjH4q3Alw8IjuYxlyAi6h+QsQiQMYKmtxJIz5shqiNOoTj0pMmx8nqf5/CEyuGlQv4tUGh+TQ40N&#10;cnMFIYte6+2PgYnInmlDlioDLACH8CrLxjEBsGYS8AL0md8VEi2gXISLZPWoEwqLQzFhIM7aW0aj&#10;ThCzjN7C96SngcSyAUrWRC6TZliEZHWSM2U0oyl9mKJWgHSaKVqMHECci7VZC4KGFBR699uvyIBi&#10;DLmyZNKIlqyptLNkLZnhDMvQVONk9k1BIk0QPbwmBnCI27XQ517785N9Vy9+UiBoZsOipplp3Kyo&#10;tINxswP9xXzpnff7ol1wf0kHi7gQhzKuSdNJNnBYdfF76+me83G58/a7qULZEcV6WOCpEFDMNtG2&#10;GTu+7rq2FS5DONJUztKQrVsMbbRcsi/WrKWIDsJiKp4lzwonPmmeE+K6P8vGRVv5zp5hPljeqjW9&#10;q8cU0yAlwdrLQ7/750eb197Zemb/3sac2ClNtbdzZ3VMYdy95dWiMF36wWY7x7B2eZoq44znYQyA&#10;At7NSyzj6XWaCsxer9w7C2sqrXgOHUHbstCDnNX0nW6HTvbYEZUzkvlgJCZde58X9cR0/QykOV0d&#10;NtQMTruSYxleXpzLY/TX9KQALy+Cboi04pQ0qBbKOx+fta0yOvK+glr/yhtfuv5QaMspWTRx8sAb&#10;lWeJsYcrOirGelg7bWw+8+8gE6q6LnU0esAJfR66oHkIhjRScFd5XGd7UErPgIUbU+4lTXXPqLF5&#10;kEKx0FtB7sJpecEFF7zPbFGniQFmutWSetjgiYezwbZLXzsLnjySRmHLCCq9p7OxqNerMrE5LyJg&#10;Jf+4lfw9VvI3WMmfZyX/Riv51Vbyr7eSP+HZtvrQWodXrwb/Kt6UQ//G5s3rugHoNKPQw52mBmDM&#10;hZfBkbM10CXRMjrZjGldzYL2cxKbcS9HkdEXn+FkphqrnLcneb0/ceOUfRkPdj6+w5h0ZWEa5bzI&#10;3bAp11XNVlaTR9hvYo+tfO0H/F/zdSZnXGAxZjBAQhddFDR3tS8mjsTkFReZ0FwiUUqGTCrD/hzr&#10;L2j+NW6LeL0nzzdCS7htWJ9n2QI3MyRk7EqaZU8aQi5VH/dDlGmKlGzhqVjY9ppKXSvQaB729dKa&#10;FPlEs5COPunU1Hy6Fhfq/fL0WKUWlau81W3S2GC4e1TmLqgqwtiVZXPJ1mkpXX2JXunbEL9Y/1bM&#10;yp01mqf7bkUhIZ/khSZbAZxLlYn37nsUW8GmyAKMmoW6svLK0c+TWbWVMwGLEmWLnsgT+z6L1nV5&#10;pK+4JEKByYZrq9K0kVs3sGFPV8eTejQuLXWVXSlmSWwHTCInl51JIwRCJTolDnbn47elK3tx87lr&#10;O5WBfULsagvg8q3f36ncfX6j3XVRukGl+15oiE5Eky68aqWgMp7ogcR33O+LdsF95uyEBrNvFGcK&#10;nkj+gvbKM55/U9osM/sja3S50+ZzW/JMJmiDVL5DLI34vSBT6WpcJZqcGS+9bP3Lc5+frfYSE/vU&#10;D9JRlNk0sI6LnMx1nS5hslvruOddh0cwHVZDzgvuaeRJjGxSTzkYhMr4MQ3CBrIU4l1ziwTFHsUq&#10;w9UfdOOzcvg1f3EVJ26RthQ5OMj4fH2Z74UV5VLzzA2p+10dL//lnIycZuZtMDSUKiY3d9ZvZVsv&#10;ZL8/AcbBFPVU7AptczVdHq7b4yJGDxdZtnhizOmpJDl7cG2Tm2sdP+xsm/LUzWhI7K47r85bwjD4&#10;abmB3lTWxC7t7112Ty6HPPer7AWuXw/ZzY8IZbfr70eoclXcsLRnzXSyb7af3Th8Q5q9HMPJg99d&#10;YDLLZX12ZmwwAZe5bDct15jHbV5768STNkpqja9ElKZZxi1x/2ypFpf4bWSayXic60ocGuIzbn+q&#10;6jMenV59fVqZv3JYnnInF/nvF1xwwftIL+w8UqliTn09qcrY63RS+84djPXpU7Yz2RnuS2X2o+Ks&#10;PlT+t2uz+hoz9L/8pNCzH/sdyrgtOGZwW8SWAGhlyZjY5YEPXJGcwNlfNoOuxpISG/uwJzPOzT7W&#10;8YS8cwrUVoF/djXE/+btspTG7cFkf0/LT8QtSsnXzQGBegqWJwuV7jj2Rv1ezDqG3aKVSwuenaVS&#10;9m2JMVZ1cNgAUg3RuImvQ9e+yUaAAe11LlGSdfXEhb5PiXrKdzFr+jgH0UqJRlojp7oyFgPZ08+4&#10;/huSrz4OtwOC7/Mpwn9t55zbQlxbZmda8e1o2+oR2+kaYEgxl7DQJ8ZDr3XXHSCbMz3MhDbMoGFN&#10;hyvFSX0VrMdpOoNJclbUwk85SjdIYlsF1kFAu/Vjz2ooGsqzdFbimAl5xTEEXyT9jl/8sksv/7A3&#10;3HiaVgVXbOYzybqy+7HRM8PlpJiCkID7Wnft3KIgn2iMlA8I5lmx2kxOXbx0RWW5JedCcYbtuhJM&#10;h5F7XfN8QMnGclUfOeqPtYT5pMrNuM03QgkhzOgwDfbEBDgk35sojwm7M/Qpjb6eBpUEq5OhdIOD&#10;5Z0CL8XOuDussPnK7Z+cfUv5xlkTeoubSnLnE935Lf6eEev3ypFZS9lGE4KS04FKIVlXB3BpMIuS&#10;Tu7nBbvg/mN8paKllBSsLS1WTf2/W+JQ5wEDbSIUO3nrFm7PrjOwpnWqee5tF1NxjkU2slZmRJZZ&#10;1fOxmdm6X/49MpMfOKL8I2fIOibuRn7Gmso1flZS5AC3pU8Xv/zj7ab/YEwzGDZx6N3UWDmRPbbl&#10;FJ6sQQqpdhG56E6T4oQO4yY8YZvepHKw/4+X0/4Tm61KbIzGvuzcWmROjC726ZE3Tf/ts1816dp4&#10;Ws/szJX1GOdu6ccQ0qof3eXCqxtM//AShb92PMv/8upSlxifdbXx7exNUUrYw2PDO/AUM1Nz4MPy&#10;JA4TJ659BImfMfragXAa3dse9TxPW2vHD/7tY/NfvqCJ+F2jq7lfHUvt9lTKjGPdi1rheqUY6t3u&#10;r0lhPGsDpXoiJFp61J8zxv5/kZN3Zp7My11K0u87+ytP2Xi0JpXNaTETPpAgA1kfUHePlJPq7X/l&#10;aMD3YWL/1dv0BB8UHhc6fnI4e/kN+eA/MdFiCnuASqkAKjxTn5bVik3pqfZNRrx7CcEFF1xwwa/E&#10;UdBuaHMTpzPTix8NW5dWKw7TE15OjswR3xCKE3PG4/8cN9NvftVfJDg3mjHtFZiBCVlxs/4z47Zx&#10;fd5+FTGTseASeG1KXZVJ26Xj7UzVhnqUGzu6lO8/68iyT1bOTEegS3nRHb+uw97Xze2o2S3pebat&#10;fZ+p0wnWtk5P+iNbx+vZdSsXmnmMmrxMbETudyox4RhKd3lqYnvCXlzRraemsUb0pLTR/8G9t066&#10;1JBD9GnPe7RpzNJv7QDvtK4S2ue26YTOALPHBssiOYRUOAdUZUjph4bDrV1s3+v5e76G9p1mfca7&#10;Z+yidRNqh00x1UGuSyq16dzSH9pL41PxjEzdDQ04XNcaDba+hWBEFefYNhs04zEq1NqTZabBL4yO&#10;WlJwvjE+deWMZ1xjt2xHJ0NiV4WUIjA7EJPHOORsMLscrvbXfyR591EhCa4VwzDWNvEsbc0CjBWU&#10;ZwLZ7LT/XVnHG+zdvhxSNm2KWDShK+164uwpWZekz7CAQ7iexrQ/+auI5d+tr/p39sfdv2V34xVR&#10;5cpE6Dcs6eSTqtnso6ox86hngs2BMzoU3+0X1ROTa+IDd0n7bg0J42Yc44zCJaVyutPn13ZTTNyY&#10;jZv9PmfjN3advCs//7ytwfn3BrdTIp7TaNjAU10RMhnJmU3jLLX9ILVJWDVHa+DGfb1oF9xnxsEo&#10;DcXDpWgMera/v4qjRgOtyujjjhlem7TEFI+UhXR2AKH4CO0rmk6P3DHGNOPur99Yh8981dUN0Rtq&#10;i2TiLAhMBJYNQtO+oh/dO9rSzOyV1ZaumfBWKv33yKd/SH3d/fyrXUU/2pvpfhy3EmyUPsPs29wu&#10;pZ60OkOD9U6fvxfxEYI825emvf4xf3Y7xdf7JDySNtRgq7sZRUmFsheClnioy1e3Rn6hkVMcB+oX&#10;zeJL3plX3/dRZx8E+mu/kI36stCI0/mMMa6xP37A0OIpR2xgt0/RqQnFcJSyXA+F9oBxaS02MrVX&#10;ivnuFdmh1gghVE20wxN/M8/nf0P/dCT/jvjJxS7+eudj02626HGUr/ozI81JhtqdboCzplbNJ8Ya&#10;29M2Bpk89vLrX7K5cvid41NehfsHvN/pae25olMU2YPzS+nDlu06/ONFzP/99i1vHx5XL4ABW4Eq&#10;o+Ql1fUlGvolEaJxbiZm2JQciKSKLq6QZ3pocjJZsb3TUXrBBRdc8KtiGGLg0Gge2uiDcYzEqKs+&#10;uYU7HK6N7WD+9qJtf/8jPzCRq5SdwwAyEJOBYgQmZg9gwE1jpcLNzJnztkA6QR63s6mPQzty22p0&#10;08CpLUY2olyXJLuXWN1Pmmqo1poj9wbCNzD9ocPj7X+7dfYDx4NVN/8oQ+t7WqJUiMiJqyfDk5Gp&#10;+tC13/ttIS0/ZcY2y9gHuN3WX4TRaDwYQ92EoZvSfn2dT0ZgRle2f3u7+hGNrQ2g5PLW+AxaTl+e&#10;bXkqW/bG9CvcraeWAzvKUYNFs/Vjl8Wasz/Rf9N0MEdn20YU/5XQ5Hn7qecL491tnfPtFQA5w7n9&#10;amGT9sjoscUkNZsbP30C/urHSvnHf4MMf+brFbIfNa0vg7FCV9b0s78ZtPi1C5rHs/9NbPMVl3Tw&#10;x+SMh0Hfj3a/qtKRtGixW6S0qYIbu1ZsNaNNITXKnvu2BGPimb/8kcevPf2UK6/H37GmSAYJ2Ykz&#10;KkmIvZbh/jutpvtU9y0fD1VcBGPORkwWVRUxDD7Xi3bfrv5Q+FeP/AP6uXdGv/Hc5CxL07n5/lHK&#10;N3Ctxmk54fijVOv/KN3G/MKnkGk+4NIfvdpcf/3ZBF63Aya4lNf2mMKyl/0wNa3IJFhfrvOK5zsm&#10;woTpgeXxdHQo/83p55eD+VvS9rw/4Lla93suwO66IOO05YahyllWZE0ZlWfzCc5K0I/8c0/uZnFc&#10;8NBTT/ZlO/bcOA1PvYY/zWgzW5ai80WUdDZlhN1aFQZndeVaqltQqladjWj0oB/Rjl/+Ad+B7yoF&#10;gCGP5ogg69EbQkxqikJDjmPnniIvcyebkU+5Gacl0dbBVT/8ZD+a+t9QweH4xfnRVcR/4CAHhwXU&#10;C6pcRexhHOOO6rzFprG2e74MJwJm/xVfOXzm179x/y9JSQG8jNjRKCpw2qi3E+nVvb78ovVXCanF&#10;yBtCKcQwUvM7aSagjRf0MRC2I4Hm1JtnKJUxw19VE89IysilWJrYBYIM5SyzAFs949GFnFIECupJ&#10;mJYSW3hFv53wH5eowN81crbXfWX1xmbmPieXlS+D0llzqSzi2U5v9YpadG6B3JOdaeJq80R5pj74&#10;iNrEp0pX7rsQx91Q07Xd6OvcbM1irJ/evq3/oEd+wPVDbUzhI6ls1wxj10lqDPnOk2mGvlcBJ0e6&#10;SGkozME5jCG5WI2ROhQ+ETivmmGhF+q5F1xwwftGMjMT8hrWkEubZcnGoK4q6OaafdZf/vwP+Kv5&#10;L6PfGmehz1rOdqw1xx7eWvax0/6mGNV5uve5ca23vsfaRaftIFZUcziAyFkqLohLQ/Yok4QHPdfo&#10;uelMHGwLKrb2M4u0GZSmP0rZ8d71KMt/KngeYl07ICagKmt0NTAZ4997+vP6z0hHNa/zPk3tWpGH&#10;nd6Rc9RlW54JpSfUrHrNTtBMMPSrs0/6nO+fxkVd83KIUB6oaBHkUyIitbkrzI5uqjI9x+dnSaYQ&#10;+jIVYucVZ9GXgy85s6cSk7fOxPf897/a4yHcdPSc12afi5UZAKHJSzkdBUfeLCXhc4++p/ydRUZa&#10;Gz+dpgHiBgkA2s4BvIZQxFWeaf/Phco/2wI0+bpat1/3X/5YtXdQ6c9qHvcnztSJDa2Tml2lRE8G&#10;YMqkvt1wUzWqOeV63nAbjvzh2Ts0w34jQ/9+KVByVntQorwhdpBiA2NM9zXosL/tuqKxpunESCmC&#10;AhmsMw0Pv/ngdf7HYAJPyjMJhEmm9SBUAeTN5nSTuGYhPiT0ZwWp9sSa+R8PWf6J+U5EvCX/seaj&#10;uqb6Z+vu2twfTLOZb10vvWiec4qbcWGyVdidroCkLnc8MRUMazP9DCV857lX5k5vz/mk9y6F3eci&#10;+yk2WiGWwq5yMq1qyOkxT2Qpa3/5op7v/Zxtf4ZpZun71NsyfrHXk/GgqUvXebudznde8Ich42g5&#10;BVHAfO0amh/9m8v/MFZXvo2/q9QmAI68FcGmHS+b6ISiSeJKDjOW0SOkjLr0qRY/JmTT1YnnnvOI&#10;li4na1X7av7m8ZlHvwdHXUyf3YcrQ6KZmfcjuJed1XlDH53kRCU2WsVLGPvpX4QcY+bL2AvvbBQa&#10;StRRSSNNfZlctSU/SyNVmBYYM004Mp5bMxLNLWAy96yoxBfWbR64L0wLhLgFZCQYFmZIm1c41QFa&#10;e4nEGuBy4toDztq+HUscMMHWzcW1U5mmKVUm1Pup+tbhi9s2vSnLlGua5ll3Y+fzRwNxBY5zWbsO&#10;Vp45uFKSdr9zBLP6BztKDQDTsjexJY6zM/M/Hn4bP/6qH+S+g9OClBe5q4ex642beDvtVbPrVaK6&#10;ScvBzrM3KxOQlGNCMGvwZKOqgz/sUQ75EHCXLwzqCy644H3GIaVQClq7T6ayjpp9Chh8A3zuB3zb&#10;9b98uDoNLobiUqpNRySu2EueKaZOjamUNCbSGEgjk0aQRn9rMGk0DBTLTa4nV40fT9FREFPgkjuw&#10;a7f/UBvUAEAjW4/KLlwY7bBVl5dumDG3RkwEJFGmezm4ZJeNdVr27JNfYj8Je0cfc6Ot0cSTwmn3&#10;09ub0YStTT6wpGZG+6nt69T+0svfGP91hY1d9gke2US4Mk7mMkktEXtLELS0f9ftT5tHq2hHc1Vr&#10;MXHg9rV737AeTieIUzvh9fn7jfA87ZX3dplw2wZKd/y/kZKkvX33R+pvq/Zf9ZbwtyCSo9BEC203&#10;9cIiMfLhHDwWUBowiQHLlDH6VrOLKGbrOgfzyPeUzew74mM9uY/wKOvlQLaYsPP6pDJSrLUYKw+N&#10;nbGh0tWm4+rsHSVPD+Dm5tXHXyW/DQZC7BylLUp91boyzW68/8uD4l0D5dS0Z0ZtZ2a6ftvl/0Ps&#10;y76T/zVwWiappJZT2LdoBaWsjTITDV7GMBl67oZjoCapYx/37CD1wIBuGR7l4LvTT33bt6TL2MM/&#10;3r/RsO0vyyhFUXIcptlVY71zlohSNs5XpMNWQrf9jaBxeu6ZAW5Lyf9KtdXvFae95iLUODJ22Irk&#10;JOQYM7Rk8+qBjxRdcG9x5Gk0Yv/pH9u3QPPxohTGfIIZWd2PT+98U3fVjE4nT7NRV7Z1+p+P/uyN&#10;Twg/4amvUZtWR2ONTkdRMNuzUqWcyTi7ofm4yQnBKAVd2Qpd2GAgWArrAACAAElEQVQuWrRMSmoV&#10;jVyx121MTifDKM6okPuwN9MPHr3+uJ7y5mkJ03Sjmux+grxnkbbYmsLJdN3LfDn+r3Xl+9ii+N3V&#10;CSFQJvIjMM7aZ/M+3ewDtvUoblvkuikyKZdkPYhUQy2eoSlswFIRNNiprnQwW8rzfSpYgCSr90oG&#10;DblhgNTO6DCArUZLJWcL9FMQVZzXOkIw2K2dl1jOnJqJvPKN1Z8oGv//q3pt5AU4PJgpIZ2ZdW0l&#10;T2t2m2u+4r3/blqypNI88KnP/bAc4OovfOwt5s8X2ypq8Zd5HxjJ59D1nkhd7KIZVA15Cirs2x5T&#10;Y3XAURkdYVRKvTZm7AozH8Zt1VQ34hqPy/Wd1UUvuOCC918KyA6+yXvdDerdnsziDbxznL8xvJn+&#10;T0fgE2OiNXCDib2jVqRwPmZBQKVbEVKwU/CgYFUwKbgoOCoYCi4Ua7iy5m13Taz1aGLxLCmptJiM&#10;1+5rD/kXApelwI1pNax4ZQ0Ds5H6TlzaEKhWp3JPR6r6lMq0/MvfsCUiel1bbrir1ZgBtVzu3rL0&#10;bgy4UsZpdoBKc3ZKJ80H1KnD72eeoK8JtdlKYQ/HpNV27aRUkhPdTOq3ctf387p9emBX5Bpu2M71&#10;w9quv9zYObdhLAn+PMP2vfGrUQAHbiuAW9zMpPjFx97iq9n/rt9fGcXKZAKrFtLoJiOafpVbCPRk&#10;jWQJ6muoGcBUgBTgM1QlJEleHDtneUZX3oi3VW8wRwd2/NsNDzvf33P0GNSajqbJhLrEGF2pFjk2&#10;+9wPmfI2jy0t/qxqRfNxE0sV3N74bB6koPj7XxrWxyJb73w/abL05p2Xv6P6WEBxBs5EBa1hS5ik&#10;dqyNQ802dyzYmOj8uLYBhqzWrTEMy0shag1LiCNotG6TE76BhviR3+h+++lCfqivr7Nxj2ngrduG&#10;PRblnb0KqpmyDQZ2otfd/BPJpi2r6nn9NBHR+U11LpB0V08KFaeDIWFRBVd2baY6E9Ebeomyeeg7&#10;IlywIz6wpDLJ/01z8pleEKIkccbAlk5Ht/uk3pYBVgiEs//lyneEP0NmbhxG9YPEomxKHnAKFEib&#10;UxkApDhm6M26hE2JOgJ5A4zAGhEat+ih2sm1hDgiUYIyl4YX2sfLAptp+qbpy83J9sYer4Cbz0jG&#10;7QlccFtR8a6ZGoVTmcRAvgyoU/KcOHzpF6bfl80MnO+mjXl3ejAkc/a6po4r3KBmNHJsIA0VZHJI&#10;tsgZgMtwpqcoAgjD+hooY96AmBOB18siZQkFUY6lqG60KAFjkmSgeRiRSAlCQEe6iTez/hLl7Mcb&#10;NgAZYHR2YNn2ny25Et0t8+bm8ZktAqwxJbEd1kX9TK3c+JD/8Jk6RXkAlGPZAs6UkDN6V2mv8zSA&#10;4ZR05BqV52+69O3p+3uO5AssxtnY6tsAalIagSiKAYoxQ0tpdcQgLSAn/SmQbwBpUIECsikQkSQn&#10;OgzdAG3xZMb9r5m64ILnItTUOIJHAMwVdoAlgGEbwFiAK/gKDs2CAxosAEt2YhqyQIALFcjAwpAl&#10;U1kDAyZYeDaw9mblT8WWAhkQPACHxgeyAJg8JgwHHKCxnmpLpkIAeA54xxXAUzYEsrAAHADYy/Bm&#10;bhsYb/wL4FR9wAnKQO5M2xypixGjM0998PcMXzOBUjIWKEX7skmSgUEBpAHooCMGQKMCkm4tJQsg&#10;Cki+9bMAgoxeeoWoqnY5okOKCQVSxtw+4HoYz4eIUbukgGaRXErSFTQDIzSr9kjAToPJIMG55BrA&#10;Nn6fQQGMZPacAwhxCjihD/8I/iNi9MMcoH1pabANvOWd1xeMZ4jMy7Rky8PEkM/v+D8feePk5wsr&#10;ELX0BShlU1Lu0QGpRw9Be9OaHu+ut8TGQpI3KWh++2urT8/yyJFP61gVMi7ZuxXc33V9OSlNGbSY&#10;6HOpcYkoLaiSjOCat1z6Vv7oLkcAOQ+lA2JRxISoSGkjuKl209+UGssDEHt0BRCNgIyIClhkchQ1&#10;cTWU3PMCyaB5VXr5t6bfawb3OlucZpczDRMVzgovMGWu2TjMhnLX2shWrTGa4GXtsiRLXFBRazVv&#10;yHKHZCYB6j529WXjyywamqYxr+CZqEeI998+I6tkS0AZNTrOH1dj7GfogCKGzSWgxKy5lYi+pNxL&#10;BjKSFk0RSGPJOaPHULbIgqSKkjFKFJWcbiokHmiEmCtvu/FZjTz2ziotbaJFPtouITbubH8QWfj+&#10;uoB7qrh7xbUvMlMG0OG2IX0epVa8e9H+e98oPIkF9wT1fcYClbnBUxyOJ3TyB8pL/61zwXPSDgPC&#10;3hQnsL8nSlFTzxCptsnMWPu8s9XjE5WG93/6Hx7bb5lhNFq60jrPnV6mmTXCcLTLaEwMlAdd+6VW&#10;4Z10dZhpKdvSNrMPkhYZNw1qi5uZHueTYADQ49Y67LkoxprRjbq2Ig5ChTyA8jpQixnRzlantXCh&#10;gm6LapFoHKJ1JqgxtaRwRRNpHuCZ7JkVTMhPEupUU8onplIYS0EsBbUU+NbQWwOWAqhYpWLB4ujW&#10;wK3BLI7jfO7I17ktHq4UYwnx6vc24yQO3+PbnbO/QcQCZSUiJSJWVSJSay0WIN2149nOZIEO0VJx&#10;FtN2S/t1tlN2QxUToWt/6q/+cvNNzldcUTaqyGDjREFEWfPdOxpecMFDzWzsqdcjjjR60ms8q/Zy&#10;gBXkznFRYpkZV4JWXRQ3hVmZSjXn0oQD3ou+jAk6m8xhTdCiucBAnAuI4inDmOIqDJIpU7EmeAMG&#10;lTzCOSYhwiAuzXziDgG9ahkcMWTLNkMG3pctARWsNyBjrLMLOuVU1rlzk3gYX4AJ7AHHpJWyn5B0&#10;Z7nClkMpX2/G3rSmVs+7tQO6YHeKKahAiQimzi5eJ/C2eQUMbxMQ6kq2eOZz1s6Y9C2RXRwwS8wT&#10;zGlEkd3zf2c8Eds/kfcQOJMbJ6n5U61txXEk5LR7JDQZLGSRpyP4SA7/lNqnSqiDlqL9MNFm182f&#10;+TWprbJ9dkojPSParGz2/uum37z+GmNkZ6eO06IKECSDbtVrH+F6vTFzc/U7058sxnwjFWvtPGQr&#10;i2JbQQwgMjlem3C16/57XuvMdDaLfv0NFmwtSI0rxpEF9/d9geE1wdF2nFnzTftvnpyu7GVs3B4m&#10;zTzbeLyz1R/thjaeqf6be5nS05+/BIR1xV3Y06W7/EIc/7tKpYkIAD7CAjgBcH5zMn6V6nk2dbon&#10;mchXGDgVk58xvHc5P7sV9/J5tw9g+8JehgseJmahAZbvQKPuNztn8XSpsR+va7Ze3SRQibvZ1Vd9&#10;NBs5/Yw/9IPoQ10ZjNrMxEqZtsNmSw6cdqrrp1iPICafSIpGXWIDl9lc+d62Pf6i+nsZ6Qtv/em5&#10;oilw08A+b1X3nA+u69PW6nRK3GSnx9KR8QV8BJpQW1a7e+qzpiI9qnrCKY0ieVRDgB1HqgDtYUgt&#10;iekgHdpb8eRWi0MmJWQZgHefD+iOrwxFAb1blB4g0nf9zcCpidnWocKqGPIEk8mmsbn8xhjjF1U7&#10;BlOJDN3cEYOYIJKVLVGo6ADQZ3c+fzsSkBTcsGoPNbO4Wq1thabqQ5X2SvrSb/gH6zENNjSEUdg4&#10;ECgCijKAnTeS+gcg3H7BBfcGxVwUa3LTvZg2SzotbVUhl0eAtEKxjBZtMtlPOr/toGS5sKn9jXQ9&#10;GYZiMadlu9ZLWekdf/3VVX38sr2TfH3h6DfZyv1zyf3hAWZHy7xdxTm1uqofOf2Iz/v+k6ckAPXU&#10;ztNxXsdkLbsyAyTrYBXIW0wB7pzNkgwPUdSiZGt70wucbeaWy0rsiHL/6xLvJV29T3boUAfjBphn&#10;Hvn28peLY+MQKUa9mJvuM5QNOR/NIHUptAoLfzim7hkfwVR47IpW1h3U/9MK5A/L0m9LDQxDGSdT&#10;ldpaN+6mrr7MYgOQVtUwLsR/0+z13TNTWN6CyYFK2jHDuMx03m6vr1dfjQNXzEfRCOmHEmytMuY2&#10;VrA7lThpYZ6EBYcrz2KDSnzfvHXxHaffjPlhwXr3jsC9MkCOkHsYa7knz7Fd9wd1U5/ml/V73/rE&#10;1994DX1YNJtPS6bHxE917E61mkxkITQmDDs57ha2odx2kucHvwvWak2ikUuViw4ZCwCrnY9xFywx&#10;aUk3Dr9t+2cKZnVtr/exONekWI5DkzHu1v2mQa9dMoVMcYtvt//o2mvGn7fV9MPm0MjtU9QHu1Pg&#10;5dySVlUFRIno4yyAawAeP/8bvHtN9V0N7G7i1fVZR1HmxaKYzWmxm+NC7pL75eguAasn7v2lueBB&#10;ZSMdnXwFfSAqfzhmQ0fDdVG/EEdsly3KxO3WJ28b8Q/23nL0c7Vbo+tVJtZ1Gxuc356g9rB9tDut&#10;egaIKvcuwqcrJGFtQvKWiusDjr61/aLTr8Tn4GYfzvNotcFtRf274utYcS/w/VaX0yNvuxtxZkyk&#10;5FADumsXQRuummHcyDT3mnJBJqBYbzUsaByH5GnDpQzFcQGhZtLeGLcoKFtkTIzR/rwFym1D+SY3&#10;c/hKMbjdf/TO/vYKQKYYWN0luxz7oaq3GOqrlT9d0Sv/3PI/PfkN9LRszKO7HJ8K0U1X8M3PJyIC&#10;gJ0zjwLyMzuevp3p1FNVNohhLsOY2c0uA902hzz8++qtj/wYYld5N+Y2ZpNFjbHjAOsd5aSlpJf2&#10;iv2C93u2lTd+2Ja0tbwP0Ir9MDCjhMxjP8tusrSaZzaVq5HlxGpMko2Pqzf9gY8xtP7gehw+npvw&#10;4QOPHxOP968M2JK1rywy/keGvIqt28rQnjFspUvy2ebo3v69fxBlXP+C1/jPj2n/x9Lk4L80z/7S&#10;zxx+7b9eq0FsGrLURW0w5tbMTFVa7p1JIWhebGGOi+kSlhixCMBq3P0sPLhQ3pKzvqTUGlL8I2Qo&#10;g3Ly1ntCjPrQZ2g/1ORmitRtsvOjQ5nGbX+ChbXaTR8rujqZnHzhdmFS/PoDEQwZKQSG+rmx0krs&#10;owHvFgzsbe7nLlTdhvpnjX2dsaBtpmLsnpnlY+zWBRiYbev1hlHdEHzhlJ7mQhMMk5wqb1wV+501&#10;Q/aHRrt4PZ9VgPfD25/5cfslcBPrhhMm2AzsVoLnDCOZmoIOrKnPZXK1SilJ03f50UmcWKna0yyf&#10;m8j8Njdx0wHb4sQ6k7SStgh2zPWlfpBYzzBsV1fyH8WvDd/pf7Lxfd4wY5ZT2NwuVbxXPKcNeawL&#10;3eOTz41uVhuh3mQFfJBVUiB252XI7zN95iqEquiwSQgz+Kr79hup/fbAaqsGjB3dgqp6foy4aV/T&#10;Ky2AZ28d9HkaK/CriFS7VBsNQykxGi9TE+xe2aaNXdgV5pYv7XpFLni4qUZQY6r/1rSt2RC0czMs&#10;4sqgNqibqiDtluPqqPmuqW5Np+qVUt8CM6Rh0xB4nULvabc5QwxXDgdjY1ivpRsj+SNWXVmidZ6p&#10;+nfAnpdJKG4a0hm3077vemxnw8w2Lpcym/L+6ga62uOaTdPrX33y6y59O/8Edux4wOP1AreHLm9t&#10;DjMDSSWkIRdbQGmDGJqC0jnb7GtfSjGD5FytdD4AY0iaRjmfC/Q9vjIAa2HPQ83vMrb11hyjUCpO&#10;ZJOP48zCbJSsPT0ZyDYYxdu0WT9hgN2MalUApKoKApGqkmohw+ZDgfL3cZ/7NEuYJ5S19+slhf3G&#10;puV1aDB5ZS9/L/rjumqmvcng1kwdZByMDCSmcoLckVzY1Be8xJGzsvDqTqPkASyc4Rszmuu5SbAs&#10;ZVjk/bIKz3z3p72yx/bXLYg+u030yWl81kxtM55WtauycD8W0GILSTEvNJEPHpGHoqUy81pTTGLO&#10;xLtsfc7DVpmqD9jY/Zcfafz8k+4Y1awq8hd+y8/8crR/+UDi39h/7b98R0sWEEJrJM15NOthoWsz&#10;EKmxrngzuO6lH6slAeXRsAtJjf0hsmSAUpD6ROQZ+vDXPT/MmLQiBTSFA4hCCxcvoOiX76jj5PF2&#10;WOhbNVvhAtBkxgfpSfNs8lJplBwO2ewoJnw5zetErjj/7Nd86Bt0nYM3jTngrjxdVg7PQ1Xmuem0&#10;ZUMH416n/31pglT6pK3hWVoTIxvH/D4rfgMAYuWLwLuaKOfu5Hd8wr/XcQ7GNmAegJ1bAk+Q/TK2&#10;UZ1zHkBun03F1u4smySttLCp3vueslm/Jv5uyv5f2u2etNWKqjSMw3zfoKx2K7EIQkFFW564tlr/&#10;wUuh/+kbI1IzDW4bh/stVKZzPdk+/m36Y6axA7pTYte4EgcBpxL81I/DdqdURocymGFrC8CAYeX6&#10;H758sjVPbaHjZDLYMu6aYn/e45xUlVVlYQG889Yv72yl9Z5RqfdKiFsk72TuwLk7JakbNhNLOW9l&#10;OeAD7+klueCBZzAs0cSP25Ya07lK1Y1G63nphowJZxd3rMqSMvybLVnxufSucbUM46bHAW3otBZb&#10;pyhpt4eyxDGFCDfE8JhfjDfkGkvUDFq4LW9HAN8B4KtxM1pr8e7PkeAuugS+7pPNhdD3dukrrePg&#10;56ARo/9DTvQn0o7p0ZYLyI4mis8oyKZkmlv4434Ux/sKkXLYvAIn4zuyfsHCny3Mh3Ga/MZ3+qOP&#10;/tD1O66cTflVABYADgFM79j0TWs2RwXwDICnAFwH8JQq/pMqfgLAf3z0LXtb2BUN7MpcilmjMkIr&#10;SDXPXCbHMLv1KT83qkWEDBsQ67n38MN22vALRNNdYxhIqmdwpSdUB2rMyk/S6Y9MTO5Lu6w6QFAf&#10;jF4UOiafkQeA4Q3MWOSlvmy/4P0YI94fa5889Qimcn1xORbEiiNfe8NHLYiu/iFD4bNal3/9bNO5&#10;tt6XMl0COsU2FzPZJmkWtdoyURkSFHMbdYSghqRcyMm4GjI0F7vfeKh0BFNgiUxV1mZFFRZmBJbX&#10;7PrwIz7yUj18C6J5nfylT/2JG93wg5fy276r+vKfHtNYBCZKMjNhDLROST0e0Yhn7vcpvKfU1sqY&#10;lW0aWXL558i5FPLGWVd4t1frBS8APlvuJjPQ5ulE1rrDMesJJoaAfvkFT/66zWg//cgXtMlQHrdo&#10;QxjTmK2zwc3yRne9giu/0aPj+IsBe9+dJ0vbdMgDbpg9XYTlZBWxY/733C306d90nYdp9eEpH3Nv&#10;q3EPTCdhY/bjo5RxfafPP5aVhStSj4vvqN+Md1ZM9VBHsW2z7n0yiLvFMlcFAhSkhEJ+ElIcRsm5&#10;mGbhiIw7aE/7k1BX+p3THytfMvw/w3T5sRNcbVd62rCe3JJIfN851kM6Smdl4WtZj+Z3rsf6j+cw&#10;cXa4ZrydDWPeNRfyfeZmiNcd/N8ttqUqG6gnu44lNq6YTsj7cTeDGgCkmtnY98XPDqzf3Eh+Le+8&#10;vv9Y3KeVb+M8YMf7B/91O7eFBfCfb/1wnrZ6LlL2vB6Gthk1RnBTT5WsoAwtuQSIbaRMzScCm+98&#10;wS/HBQ8NXDyeyEcf9UqcpnbsrZ8+gtQ9U8QyVMVgx0lj+la5xpK1BBvqLvYFgOHTmtxeS3EJ6G4Z&#10;QkpeXdzaG40bfT8ghmme2I3v3Sqiv0zA6Y8C+CrcfH62uGl4Kt498+O94vrsPBZFSMRTZhBypkVg&#10;wm9Murwztfp9Yl0dke9ucDSNVHmDQuyvl1lc+Kyr2NmTLx1f1af1pxmL358kf2TouukWQR7BtTz6&#10;hSXZnEfgz8m47Swwhh0AXMUdEWdVhaoKgDJ8wfI/xPry391ur3/fy75r/nPg1rgEGWUNwL7z+R/J&#10;e4eIoKoECJgNVFFE5FW4z1FqABBiGxHag4qr68cZs32V1r/8lw9f97brwt4f1DQMkQyPa5Mks4JH&#10;ywR23sk4ppeAAO4FF7xXSk5mQoidd3YpA804yzOv/5Rfb2f8VTnq/2AbG1K/1tmaqNtb5DQ8y008&#10;ojp1owpCqpIiDmQloPVRrW3Ej0ljFOjCquQmuHSGUFvpFWnsR740IYuSdJkoNs0qJMyTXbzchc1T&#10;zpDPq7BvNv3xx+87fnXyL/vG7s37f2VM1Z87+qp//HNd3gDW102YdcNwUuOmIOVLlnFM8CzQsL89&#10;+ubhDNYgGNY4JkrVvmI4u98f8f2ajrNw24u6in0q6dSBWIorf9qV9bP5exZeuB0zJkExjG0caD/U&#10;tEFPk9iMpwZ+txYc01FpdVT/T1detyzQ2hpk9kBZIhXESwQc73R8Z+lMlx/Hnyh+nF3pDnBi1jau&#10;1RzVFp1vkyl3F4N9LkyoI+XWnrrVN01Kg4x+nIyFBg5kY9o5V0wp5MmkCUO/zWMqI8IeI/bq4qrk&#10;XNIJwZCk4THX48lx+9W+af7RMt+YFEzKvsYy3iwtfJ+ZZdGRjJ1RJwLzoW//tHF6+YeHcfQmmdHu&#10;vL58HvxKgdl3lRMuNidfDn+QxvGUTD3Nk4miHbQY50s/jA7YTRMpxw0hLDR310tVz+z+92O8/vlP&#10;/cIg/CHeFPsCNYi5M3D2iAXwy7iZpHF+c/6qFqJumEtt16brIoxOJWhPQwURE2zYbH/tC/KRL3ho&#10;Efb4oPzkhxs747WpiFfPxNzMHaeOimsG5GGn9IvjL3RfG134uVncxjM7pwl6k0uIlqPx2ZJw3Mmw&#10;UjYQ2RPFUhtmcyM5ngTsVePRpeJXTQK+ArcnjvqOf/q8YvBiOY/U2xWcHpaMrI4ZGzDogwMgOxe8&#10;DEEfA/LbileDbAaV0WETfvprHv+0y8OTX5aS+4SwqDmMJZ/0kKoKMAROIXJsI9tigTtSXPDujgIl&#10;ZQIgd7TjO8/HZlXFKsjHTtarV9f79PXPfvH4U7mW7776dryF/sYBJ5ye+h2dKsSqfOsTEhGYmCEo&#10;qnr53Nre9RTuQjCcNPPkOBLm80udlWXz6I2zf1f8Ya7LGie9GoRJmeQlBkCTCVRy763x4wC6M2vo&#10;ggtecnCohzRuGs7orr/p0z9+kO3/L9T45H6bJVVXTD8Ah7SRfrZHs76zp75SlyrtoYGDiKUF3aBe&#10;ycxoplsaV4K476DWkN+0ZPyIDQcUWPJ57X1tcUJzGTXr3qQEjhu0aBhuLNV8arpY2dr0JboFpXYM&#10;y7CnE+Dzmkn57F/6c7/xn146fPnnVX/4Lz1F2DQSFh3Gl3a0tjJESw446M/eSeLIUSKMEHZH0HhK&#10;cjE/3V+oEXAEUoZO942Oqahp4rPPXv/dCO6jgQOZ0TVuVYfUzKuqPZPaOomirve7tzS1lP7l3uuq&#10;HwLVMGzzqD1FmeKgFtv1x3m3PDSAbDC8Mb97wQVbPdWh2Rd3yGazXaeJWdm04/oh5+xrmvzFV75+&#10;e01YKidhGJS42J4mcU8yljttf86jW7cYSZOdIKEo0aCjGBUUYw3zXmnyDbTaYRHcj78jx2cfSebR&#10;Z2thGWoDu1v+vNglOXXaFaUzl+1jR9WrieOP2yyafKH73HRT3VsObjAvuTGQbd9RbpihIgcp2hUh&#10;77Z6Byq1SUZ4ArKOKSdVqzW/wyf+iHWOqGjnR0BudZ05/6RXbS/l309M47ac0yMdm+W8mOkocs1N&#10;+XJf0LvnfizUdibBwpEAtOEEwGSwyRuIx4fE12B/9iZ3NvoFAwM1cUvR1Rna24x5Rt65bOGCB5gb&#10;n7duhkJzcb0JBYjBGpJePRNK6gPteFOz1T9b6YDkLKa3Ogc6e/OeTR7YNRIOJIATCBY9gEkYAFgM&#10;Yfkr/fG51/fOdJDnxMDZUqLMCZw4J5BzmoChKiRi9WZg+L0TuOKRBoGwaVRNB4oEmXiEXo2D6A15&#10;J5i8S9omLfKV+bOepEv/22L55KPddN+QbpiHDgmwvjovDgH8wBYG5yVzhF+5PpyUBO/xO7rjv+xg&#10;8zgpFtFkDuUjXeE3nrwMf+L4y5ffDvDOLa8qrWgrVBpNnCnIRLa0DZNM0j9OSqr33BH73IxaHLms&#10;U+llJFcXSYgT/s9IZxhUGEDBuMStJCxB6aHAOIxb4GLBujOskDEXbqqQ4zhY5wx6MagY2lFNVWnv&#10;6+fLZqY0npFrZqJxKyJqiW0RgWFSUaaHu20RA14DEjiwci51Uc5ebFo7izrxuMG/e/NnXP0Q+/bv&#10;GNP6k0EHJJLI2/XouK+zZGoxMcgJHVtU2dJIW+KbeXWc0d9qubBBBEB1IhpAQEFxFYoCgQWQSIUr&#10;QIGQOw50q2MyN6iwNSgACsMhQgqMLRnFG0zpCbIl9DFN6mrqf2ts/8vb03f91r/0r4/3vvS3f/3/&#10;RYMBSTVTRDIom2wpkErUos6yQZEyPtTPcBKjgRKtHU6BorEwkxG4tLEJF6IP9xtC51hMylxz2Q6F&#10;6p7k94z+KcVbpzAoesIjW5Cg8rGDOMstlCs8v7RfzUXZHeai2RndqgRP0k10aNZ02KWCEr52oZtm&#10;5V/V7ae38QaVwlju+mW+2RJyt/evWi2LZvvqXhx6DboYz1yAxUAOkplAu23fsceNfv2G4hpjCMOQ&#10;O1RqpSQXCpY7xzTWBQkYoUBuAeBmMiXaAgVyoarDNk+J0St/p4/brxn+0qjyJzmPOhoH/lXoW/1K&#10;FOuk7gwMZjozI6EZ/judfsi/odUvZOLIeu8j1QBu9qEHYIgIRFRU1YpIC5xCBLK99WfobrYwP77b&#10;wvd5MkpmhyFGA9ISQYCMRd6WGaiLfSEkIfgOsTImIuIP/C4cg4fjaY6u91bNssiGKszKGim0O78Q&#10;2unBrx/5EBCBjdsyoEJJPWc7wfTCoH7JwxaPqWF3K5JZ8O490S9yW987z2sytRgcyhU06nW0mgli&#10;7fxl7WhhStlKJgPDKm/7InvlnV9z6Wc3ZvF9Pm1ehoNHfNmevRh9Cm8ajrdrzguAVxDRnyGiL9t1&#10;44m2Yl1FHkCkLdYNKCnCVGnqtOzc5/AF4DyCb3D7nr+/fSzej2gVZKezPufBijW5JyOAoFPRmRui&#10;GML9HBU2hBDKEHvqydhsTTQmU7S2T84/3AY1gEbZFBTjPUa4QLYfxHk4JqSTb/r17qe++7O++RVB&#10;/3PX7/3OWB2WaIFBS2wjN/1Q7vv7geTRyGFejZB+5GBL81jaDviCj31cn/j5v/zZn9qIE9tGnaa1&#10;WpmZIINZVFPM7aiiuy2IHxDOj+F8kfvu7RMvuK/UGSlzszDopcLIiz7ojZenP3Qwmxzt1ozoJsmx&#10;Sh7gEUdoFps6tehLoxFF5YcfedP4M1u33+3TszYJWCQrJEOJjEXZff7KC/S5fllOCfCe8mSufVIE&#10;wAym3nnzxeXyquEDf6lKVJKJZk9gAh3SVGdxaHYWF78r07ZDZUZDtefprMO6lR/hlHRq55jI7g5f&#10;7iMn47SFNRmQlvkDrqx/Phd34FRegD7id+dcX+jOtabgpur4f3oR9m9v7ZvvGOclOy/E8Z+nssut&#10;UXEcD4uh5hfZA2tuTZ7PYSvDSTxaWey809xvfk8j13Aln7KvJlVNsdSOxQxtyX5HvfgLHnjE0ePK&#10;BGVSoZtenfNMCdKLSNx7cOci7Hm9kKKYscay6awT8QupQFk3T3iwZppdrlEGs/yj+j/tjat3THT4&#10;cDeu8iQgyvIZhOn8hXjvPifnHkrcLC9RIkpE1BFRTUQ7G/UiHoMRjlRgU8A0XtFpWwChEM3kQRD5&#10;ek/VdALelVN2cf/fYzxZyt1QWeVM8JZ5zkgYg9sTWY8eJeO+ji4DUrNVG4nnIHFeE4kpWtv88Bsu&#10;Hc8FdkbjKCh2pRMPGttennnjZ38MFs07PtC+/atlu/K5uixdTM5RNwYb1FczrSbhxXD6PSdJos/o&#10;1LtYG0kypmBGt8jj2fH+4+0TP/zE9/6ev/sf3/wpTbaQyd7WtjzNp8MW6zKzExkf+ut3CwUw4N0d&#10;4Xdtt3rBvWdwcw9s1qW2srYwZ1+9NyvRvLk9G2Wqu6s7z+VQOWydiBqDQxPLPA/OW9r6OOLgy9b+&#10;Fd2+T9QPPXe2ETUW0EFHrcoA3vn+n+Zr1NHiFfuTK3CrSNJnIUsauGebdg/KmbH/Cfr+X1qzKWaS&#10;sy6niyJyiohT1C9CaUecHGGA6qW+183Q2KuTyz85hhl1mxPeNrufP2oOiqcEjWcC64wmeeUxzRHS&#10;jcx4UZyWGbeDKuftWT2AgJvitveaeGuf5wGWDODJW5/lhZi/zrNSDRExgEN75FrXRfx4CdXH1Vk8&#10;KqFFt8YJAGfDzskBVtPv65orXzl21zLGUYoGtVrYIKrEfuc+ZBc84Bg+VCYI9M4e6AW3bsILqwLA&#10;7Yf7zof8eS0oDasZQ+zAwfh2JVRNiIjyrN+qi9f7//Bl9d9Z++a3MHOgYSVDmNrUt1Yml9K0Pa6L&#10;v+fB3DtbcGUAFW4+8wk3J9adWEiksl2SswxipTReK35qsSlHtipRB9zf9F7cdo4U3PaUbvHuXRYu&#10;uEewE/gUf7oNe5/J3bKn3Asz6n5YJds0icZh5xKEXUjzGW3XSz6YOEn96ZAIdvCTjztA+9c7ssXI&#10;83OuPagclqgntrjgxpIyyirNePXWT/pfAPxJybW220F0dkBFMzdxM87IVtvNoKOKBO7MCzBF7ETl&#10;x2EYu6o2Lh5q9Js0el7ME/IjlDqRpjv55EftlV++9pZP/6RLX/BDP2OnHHTcswV922PukNY7NhW6&#10;75wb0u+ZCnthVD8ASBojcTB1i9DZnFu5/nU83w8IUUQLoexYkztcN4PHGAmoK4pNJ03S01Sm+2+6&#10;/Ofb61cnG5u6VAbykcIErj02IdQY0QjFgXetv7rxZVdnOV6fPoEazULBKVOSGkYHiG+KKe1Ojrfk&#10;+a8jqWkdkQNKRcQb1FJj4KLlnmdHa3uKmYGc2AO16VTpjUZuvLb95UuNvqoMoG7HJyyvTjk1U+L5&#10;pBgIg5tXTWSDvjoiiTdejGzRO9+v5/s7z3r59/d438Dt7Mjxjp/jrc9V8DzX2c/BnfOgAmjsjZRV&#10;bP7bPpuvFldL7Df0rDNoStG6H7jdMQMi1QePnPzR5atf8Qb8TCKO6mBzFA3NvoS48jHf8+bjF9xH&#10;hLCnUIGeBy1vdj16t8rbC95no3pgEo7Crqy1WO/GsY2WJ4jw9j//8cOfnvTPfBiJUsyqkUP0cbST&#10;2dT2JVHvJ2Tu/eNncXNCs7hlWBORxa3JfFcdsWsuoKqcrsct2CqFesGnG5LD8Cze8ScRrnzjAzm/&#10;XBjVLxLcKWL9yJ961Z975ueFAtRWNiWNM9rwRiH326dL6HFYVfbG4IvxDWvsuEL7jp977f4v75vh&#10;AyI/3DZZZ0HVOPbKQPq+Tzoo4/7f7hP92iatzEntteZHMYhA4pnuW/YoyOpMW4d6zqktefdFz06U&#10;nitXX9aUoqmQY8O9W8fiumRkwrVq9QGw3ZNHDS/+7VNv+e9//yNf9Ld/lBo3hq5nNtH0O3fqfWC4&#10;qJ9+AAl8AJFneGR0v/SlYd8V98fN2amyX2ivW3jazWku80NU6Klu1bdSILztvczayS+e/Sk2VJ5t&#10;DYgMvLVAd2wswMKcMGwxgfJ2R6u0s88+nkylh6YGb1vSyvAWUWRMNLMD7ZpqV2/pJ/e0EMWSBwKG&#10;uHTT6vLIcZDeVoS4ewnscxGbR8l3T4Jsi8LTgtwZz/XfOS75i0KBJbubUT+fNTSmIrEMxjk3emMe&#10;6alGjonBkBfh9Xce7j+fx/nW9/aO391LzgO3dwZ3zm+bFypSff61EJHh+SyUR9/o/t1UNO/lVi1Z&#10;avIE2RzkE7u7k3waT0c15iu2CJF945z0BQQ9zGe01vmDuOC94IVlX1Xp3KK+FZrm+yzK/KDyqzaq&#10;QxG19hH2BBVjI6g2Tltc+6r4TxDPPjT6KcUY476Oee6kChpt343F5tbAuhcjPTrh3SdUvVUCYFV1&#10;5/3vSSbXbdXBkWNFGlZkpxEbN0cz7NaO4gXi/LV17lQQAC3utzX3foK6XDyW28EGER2Z0yrCFZdV&#10;PWaXCOD7OnR6ZPtxEHhRk1aFkFLnazO1LRWOD7209JBhwaDNX/jUyze2B2/TMf264AYzcoyXS1+M&#10;rMnLluauoYRZPBkpD4EXgxTk6O97+jcRgXyQNcQsJftRQq51WhbOczDbbPufjVQ7c8IrzFj+5rU3&#10;/ebXmq5jUwdS+F3Fjx8k3vOFfeEUfAAo9lkCkERC2KsXf3OFLWq/oGhsnEu98zvmJJ2qHbKhg6pM&#10;JptxHW0w1P0F+7cWQ+EpYXpEVO25mCJHZcm+yjFmQBNa3d2hxKl53BCJ4AatJ4wt1yrZUVV5HOfJ&#10;zgZKCeFkSU0+2wOUg9mz83Er193aRDKxv+f3t+mfpp6DRo2oJZsKVLCK/46ZrPpx5/XR2VCEdEQl&#10;KrmPaHhg1a7y2GYq5sV4fv2tcb62vdPAfTE0b+KtfTrcXH9FAGe43Rb2hYQBgNfjQBRn60Hdvx6M&#10;mrkGTboG60Azt/s7vc0cbOk+45kvzEf9ENOISqvA5np0wdHyRTinF9xPDKhiBbGCDEhuqX0TgJsJ&#10;4RfcyZ0Lled1dgiB0nhDW1htUudIMj3xxfheV+ETAhEAjnMj/izDbTL1tvKZWCkgEcrwYi1a76xn&#10;Of963u96J1RnSAyMyLBpWiZxptMuMYrkzj0Qmg3veR3f1aPxgntPxdZI1yeCNQxWYg9KmoO1AzZr&#10;EETv50DfZVWoJQtrawDwyEqmlC2LPghOoZ3QuqRnvuPTD7vV8HTjw3xAW4aRE9d7fmlmtnFFnQAx&#10;ljJICbYK1ioliTGFiu+7JgKZXof21HgGqumkqAs2DkQmmmwFweIxx2Uqe3IQtsV0BzZ82403/Nbv&#10;6xOXwdb3N3f9BTwNuP1uOl+IPtRlCS8VcmzY2glWX1Zmabv8/8QKTrc5ZZzW23r39fteCdQXw9vh&#10;zGA9MZeb6WnzbeXrfNmqSdnY7bOw46mAvMAtNEaFYZi6mQU19c73yDt5WkV/RKGD0gaomdQ6oZSj&#10;VthdEoa7MaLq4DZVKAU4kzXmeQqmA6YXQAjtrvvXiVYyAqo0VJmnSPCclpGO0KjdeX20Z0fqyHGp&#10;9nXaTMMNmerPf+3LLkeqoVq/GEbtiJtrvXNtnfNxXmt9rzlPPy+4PX+dG9gvxP7PBcrOt585aEBA&#10;B3Hj3zlTixPjkuMA0mTHsmPuAYBSH0UAzpD+3qkRtjRUEmPyyENCeOgXDRfcFbklo29IQXzLxlBV&#10;Ub0wq3dlcAZNlRVu6kWR3va1Rx8Z6r3P7U+MAQujiG/dHNaaTgT1NT0wkIKkkBciUvw8cLg5gZ4r&#10;MDrcVmTcuZ515BXY16iIkHldNhNQUnADkJXuQVj4MW6rQ77npH7BPaaDip3PJlraIpbLoDCKWG1z&#10;huetvSWieN8GyyoUz5rj1ncEU5gieMgD02w099+o3JWz1/2GV1e1PW6ayvBmKOqnxjjjhtIXn1Le&#10;REvKdWRvLZk+ORlMNarb88EP8fi+PyPGGJqgxqxUmtYbKrom0xRSp5qthXdLFWzojMaBLTenXEts&#10;HvlDz77p0//a3nj60Gca4HbN4HuWKN33a3MB4LhFTwPWLv/SzHqeb+uyutRzk42YXne+RtllWaRM&#10;xiL1zRTtavkVOjlE70CMmNkGJVEljKio81OMRnIqfT/kBfU7G4UfFa9HOjtmahqx833osBGAkYjE&#10;kOy8/cSF9vNjlEoaMxe19iAU2WYpSUTvvR5LwkYHY9DIhEuy6YZegplj9N0zpXC1s9E7stVAyKVd&#10;8zjkYgzR4fYJNzNbYjIvRkmHx+0svTtTsBkvjmDG+Tv0fJ93GsAvRFDpfLvnXY3ASJ2QHRlb9321&#10;mFyjNzSOIGt0XuLORk9Ja2+oyaGWty6/cJgAGCIbgPYJ9CLI691j9hwBFIwhpgmAOlQgMgiArXxt&#10;YDwRgKoJpoZBDYOqCTfb6xjPqMLNtxQbNDBkAgiNQY0AO73fR7c7Ey7OD9r1eATFNWRKyt7WILUE&#10;Ki9AxI711sAd4z1/fmBHMgasrAQrS6o1EGVnipRcifrn08R7RBmcVHEZt38GpPHkh8+0w3TR5DqN&#10;sDQApYMyNTUPmJcbRIY5k2WLctdJheHEFFKnhCpYZGRRZLWa0aiKGIGmWkFZuJ+JowpVchgB6WzO&#10;hQW9EvWCbIxjtrUOWmflCXnsrlPHQkBORGRAYpzNPcEKonQGL4D66AuBopCKYVAGa0UEKVAWc6Ep&#10;cM9hBcdhm1kJWRmsqRBsny2QBAmiuJ9DFOOYlUg5UuwFYNhMMFSyEb7v6c93xSww82CiGhMYMw3W&#10;gCeWTYXNW37vB1q7/1M5jxjJQKpkTFGGFDgxRlktMwMaPUsBJDghT4ULhpxAZv++Px9JHDJFZB6I&#10;XMWGpkAqpCU7KQaDTEFiaSrFOlXyUuC1R4Pt//DEd3/ad5EBCIzLbB3TYdgjgENjQDWCnT0EhimD&#10;FDCg0YAMQ0UJBEJSelHSN9+/YYBhUBuHAEOTAMAvMMeMUFlKclC2Xz75hKqY2YYybB0pd3vsVTiZ&#10;5vm+XxXvJYPKSoW2ySpm33pZ/8ej7zF/zbVbVOSRmBDziBEQ1YIhjnEL5KIC6FhWL4DJdmKMNg2j&#10;G8ZcSsqFyVjdKrw1qru37CKn+SwnMnBgzpobjQGALxXkRZh9awAFaodmWkIZKoQ9WkdbGi5GRHZe&#10;H4kazoXJWlalgUVEGIBmApkXpbPnnc64m6JKCiUFk957nQYlCAhQQmFoMSAYkJKCXmC/4PnGLI+m&#10;huZAR2+1T0yd/0XtBmonDfo0lw2FnffacIkr29mtHuVrbvpZIRmGNK6nU62Tfegn5WX2VV1XhYxF&#10;i+B7bZwimAyUHPtCJSpc5YduyqMtGG1xQzdVchVTiRKGEZ4IcA0yplqNFWhUBB9gtvdVmPYF4Zf4&#10;4AnZmzV1eSprv5ZSGzeQLQMMia12XjQRFbo1cMd4z58f2DEZuzgrjmAdDoql3gRnWkhwPFJ8HtM6&#10;VxqhrO4Qzzy1+IZHOF49TJaubxyP9srO18+yYbEoG0rltBsAnlKhA+14Hye2YellCK6CmRiOjaIz&#10;Y4pGy4QDT8VaK1W/IMP7mi26vpRug8OQLOuqtPrQ+9QuuOD9mum0xjaCyFUg45DGXGbc4uybf8sl&#10;Af/s/f58LwLnC1+D21HdHjezUT7nyTf/D6+tmimK5CSKcRkOGxO7Eqj3Y84PhNPvLhBut6E572Dg&#10;cTuF84J7CTfwxrtepj6Tau+MobhCQaGpFnsFp3Tal3/lnIPtB9G+qDOUkwimuv3VvmDvXI8pAE3I&#10;mfyU9oczEdjPVWieYnQwVl6M+j01JL1WYNShjqMlU9OgATISGq12zuSRUrnGXZcCW0OCYnOmYuco&#10;GNiYe+/zGv0BAVZDd80XUw2PdL/Aoxpq/b6K7m71+Twiw3B2DXtvSHLkZ8Oruq1MUOTCqX8v4BoR&#10;icSCFxX6zV+hZsJNTqga0mLq3dPPOPkrea9oidZV09c/9VpdTGSENpXpgz70kzLpmPtuAxWqvKdI&#10;cZmhUaQ6MDK9GhyT3U9DRFglzYBmFISV7KcBnmgGfxlWF7DjAGAD1FaVCKuyxfgSiFS/bDhZltUa&#10;jgL5+SWNaQa7XuohCDzQC1BTa6Bq9GEda1vpteYQqVuBsG5j0rydzWxJvcLxXZ+PKm8hSDJ8/MnU&#10;B/OFS3BItiqLOvKIzc7P11q2iKSmsjVNrBObthrKKU9kjWkZkk6qSgDdjCVnI6TIrqNiuM9FNGeL&#10;rs6aS64cRrMwmDZ62ldIGthgcjGpX3DBQ4ysnvWLvYNiRczW1DI640+/+7ON8ZPrjseXSk3xc3Fu&#10;TJ+3CTw3OgcAobLuO679+d/wMWdu6uoqso8nfTLGkCChbqr7/eGfJxbA6tax3tkS54J7DGcJmQFr&#10;NAat2G73RJs9aqedbEeT/uNX7n3BpdBjqdMis0Mka4xjaHZ1aZWeT6z1PdP7z/8fAGhFyRtidMn8&#10;+OXXb/9DZQXj4jCN/QYz3j1SfNfj1/yM+NR3E5GiY7EatRElh4SRd8+kFTfUJs3gwnKEGfnq5Aov&#10;8xoFm1IGc8/XJy6eKoJnDlX2GHCd90ouqbJGo8+714yv4fLCq/i40jGVcjVE+fBve9vp1GdlutB2&#10;uRcwSvEV4ujKkKMx31qndpO1GbW9ZqthufNDEyXEpSzL/rzOeXg2OHGvV8SCQUuVZvdeCeAeM2dk&#10;kHfOm2TjgABx3nnQsMqyvTGShHxqvUcSGENsDDGimFPjhTVsxniK1nZwVQWGoE9bODUIxVDQ9NAb&#10;HaLz4upLxWo04+rYZESJU2/WVdTB9ztvXzVBNdHDOopvQjM+NRzURk+dn8w4w2CjsZDm59FjMprG&#10;TBDoxoc//nunWD8ug6AMa4pqyVa71xQbx0ViVu0jBxMwCHL2PkXrdIji9pcpd3yMg/zBxvdrrYuT&#10;fU2yniuHcsUmQEq9jx4moYw55A6cs9bGUP0CvDQuuOCC+4fwXlx1p4hlVc3imUJ8tPL0Cdcm51y/&#10;VNpJ3Y1zzQiD290OHIAUhoBi3b/t3vqJTS8ji8wxzbMy8MRATx4mdfDzY1LcjFgL7nO7s/cHptaO&#10;OfcpV8tJORplghNPcWTOFvpb8x7y6rtPBqSF9naS1qpkCkrPKY0ydfq+ZILeaWixaElluerB4VNJ&#10;0fTVo65bnzAdvIpK2b2m+a5YnO7HjY8tc55dMRtboTcRUk+RZHfzYRyx2GLrUzRSMuhkfc0Ys4Ax&#10;hBfF5pxcBkoGxkE6rm0tSzDj0iCwxe0uVHYQjE1iTA9HZCtqix0JZtyWYPRCF+GewOPkSDocIZcl&#10;L948a7U6+HcRXajFFFS764hVsXaVXfhr3Zlt7B5tZvkPX/va+tWGio807G5V3Wc2QkCYqhbJGaDY&#10;XOKUsu6j2Ecn7MQpguZcXiP/7RNfot/31Gv0c/U1IhPJBkbxSk9wNqIvGWoO4DLglcBmrtw+/Pf8&#10;QOtry3KtrCqGnQRtQDAxEG8dHeXd1SEJQQlBCKHcGnLHKLd+/8COans6OL5Ey+LMYpv0OAW2+RCW&#10;bZnK3WvWNHelrSyPk7PXrqjGbHIgZWGJvcj0bPeeeFOpTWW5kC25yMgNWW/HYrmMauqi6322Thvq&#10;0i/BuQX7YvnUWHabiNZcUyrVSF201GXbVIEBcKhElnHMx3b60AsxXXDB+zOFM6t5xAby7WidOf7O&#10;3/G9Y/STmIOtqrtrNrxEOFeAPT/edxnZdVgmww38cffTdYqSsaZkl3BWqRp3L396ETivtWXc7rl9&#10;/l65mL/vMVG2ZtrsY9JOu3ij+NFNxypLkZxD90H4lhJq9c3E1aXVsUs0FDKW1Vbe2j4+r5ZWv1KE&#10;+l2Ra7aV4br+kUe/S5cKO06Gp1PjoHT6Nha694kWR6+fnp7y43K5SuqX17Df9rofax1awZTXO69v&#10;JvPJR6gaYbAzDpJsSCQFUpSDfSE0f56bse3IkiZXOQvikshRbeSjq9Ka8QUo6l5vBmhJCL6WUZg3&#10;ETcaFDArq1xEqu8FrO1pqUN2wYTU5KWgO/0GY+eAljxq2HnSH11L1CykRkxbWse6qBxL+cnlJ+fo&#10;y/DQq38LCBg7GVNmtbVxuR8CokUzsU+nR1ISwdlr3BedGvyzwP4znPHffmrwY2evcaYvgrfHKwh2&#10;ipB6jNQBfoKkQOcz+pdAesa8LH75ccBLmkB0obYIs3dCFWH5QuyAhEDCIDG3Bt8xzK3fP7Cj8lS1&#10;JYVY7Ha+qOlx28EMJyd1tfi8DR3cNc1uKpfw9j/WXp5K++uHsBHdFG3WhVbbNqOa7ezplLZNUM+R&#10;981qdMVXVVEpNGTlQZvMQwWOHo0vZ31ufw4YfnkdMDZcUW3rUlnUlFd9M12MGwJ3qc5V6cqhFntk&#10;08PvNbrggvdjfN6q649FBHT9W3/bb/Fe/kgSo7N0Nh7L7posDwGCmyq253O1xU2DpACIpTe0NTO7&#10;Pbz8+LXv+tQ/feisaHa+KjENzjwMoil06xjtrWO6s73WBfcYtkG3w5aLkgIudj47ZwWbz21mqW4+&#10;u0qdcr8ZE1mye1cgrsYw9IWIaDSTX8399Stez+2Qt3tvSJ+TYCvCKMhoeq3YAC9KyzhFHvbGa9f6&#10;lkueXJaN9RjsIFLXSLK7JJM16dOuIuemgbEGijKBs1EZfFOh7x5ToUUeRyyjJ0dJSZNywW+ZUSqQ&#10;vLP95Q+vikcUHtaibOBQfmnwc67Suji3e/nlBf819tAbXQ/LzOERHfUUkzfhx89e0/3Ms9NHP+rK&#10;eJKGHdveOGmkP30nLRpyffS5p8Fcopy7j5z/YP6/28962J2dFYRhRhm0gcogk9wT6safJtfN0zua&#10;a1/uv+jMjK8zvBAraSSgLlx/wppW/0K+xP+O5rue2mxxgMXCaGxXiGaCED3quMVAAn3IX10ve9Pq&#10;5Ce+bNIuZnESz5bUMJArT7ZvS+WIi+xWtzJw/CDcrmkDfmXP6wNL4UpdXFrHlZz1gxo9WF958+lZ&#10;pg1qzbhbKsdGz8xj6fBTNn5l99qiw0LZGMbhxvgU+ptdAnegr5xz7OGF4Xy9XI3rXw6V/7lp1v9I&#10;Xf9LMtNf7NE8dfDnpydX7BbXFDqWYOnL/ctWZfVruODDhxBe0Ub/SXN7+iGls66vGOwfTbE/hXG7&#10;t9W64IIL7g9EB6GY06G88RN9OzY/zOrjagYbC8LhkDTZl7wYzrl4l7v1fcbtlnmmn+zpYnhmu3GL&#10;yaJsv/4XvvX3/tXDr/wn/6nkLcHaB/79dItz54i5dYzni7YL4/oew/FAJnQNQhsEbjhqJ2sDk4z8&#10;qCPn32YexyvqLmh7Nmq8FqbBIgVnShxlYZSfp1LZeTbCnbXVAkAOpoffavRaLDoCYWa19B0nbaKZ&#10;RqTVjquLu0MYbHZ4R2v0cU9narVQpZoiRTOanI3uJnZc2ukn/t2vX0w/5s8eby2DTL0yqXdZYZHT&#10;vRdSHatH1KenKXhNm9HZn/+KRy8hPPVhN7Y5V/XCo6x32n5ZX+NIHmocIY+Aq39+P63NdTsrmjsG&#10;yoVh/QJjb2hNUyRofIYTNRS8gTGbP7OX6h+QNFq43bxBfT0WHSrXKEcyna/oKPZDb4Ou/+DTX334&#10;ty6/7uSv3O+TsAsRRpwUAxBEqSgDZ3K5m6W3m6e/JHxuy+O31JiUmFqjLA6KjBKl4smva7n9F/0f&#10;dB9rv/9EV/aVuJpXOLOEAYRGC9QHYLjn89Y95QQH5apfPROH8irrGhMMYpe9d4qyxlWucLzT9l/1&#10;Ov823O4BfM6dL/sHelEXXaZpYmy5CKSxoJTZXKkeLdeG6/Q4Q5987kmvymXtu98tViMX64YBGhbj&#10;2OhedTwudQK70/ETvNS8/d7VKG/5F6d7P/2lP5DiNXNEIGiTb6CjI8wZBNrghrXwMaPhPldviG9r&#10;Q/32UPgfjL7mo+4Z+ck/Xl9+Ofd/+ro3X7IeVF/mO9++T2VfF1xwwYNAT8MgZV5pmv9Antogcuam&#10;rUVjprqxIxk89Mlod8MBOF99e9xOlS4Ais3H3uswOXB7NEYLBPoh0PIjvYHouEoPSVG1Av+Vf/eB&#10;fq++VNg2zwD9IWqcEJWOfOfK068pH2XC4uOjbNKvwZOsW8iZv+wqT6LtNRbrsneVjYkFJv5qskXu&#10;vKYCIF/5pmv/awl7XMlSOUd0ZW4tU+fLylsP7iLurVFGKF3hX2QbPrGObS6mdmPJqoNiap0OO/p0&#10;SorhA1dv+2AY/D9W5yhdycUOkGzZ2hrI97ZClYYlF0A2yZC3oxxt3/7RHcFO6omVuBWY3Z6z5Bdo&#10;yhbIuYjzmGn3tmvTD8nV5uc1WuNE7vH1ez+EOQ/cgjUAIsZSPWzK/Dua/6uFvVEIpNGPZCdI4rJJ&#10;LEYdkh5E0YDi813DzCFmV3HGINErLIouvQkjF7Ywsvr+Z76s+YQKYLja1h4IAHvrDJyHg2VDFhVQ&#10;MVvjjMXk5u8BCjSley+U4Yw1DGfRAGZaUzAM8L4DHGAZUhU7GpSpRLFO6Eycxfh2/Nznhz+wnozf&#10;RrAkOhrLgIKtEFtY+JFHRGs/+mTf/kz/LeC6vB3XMGcnWwtylMQyDSO4AVDf7J9uASAAprIIxr6n&#10;YuMDSYVTIx39vCEmxwW9ZtvnNch41Hp95+3/l8+Lh+znKKiQTQS7iMSRM1eekRAR9V6OBFEyghii&#10;FpN8mVsCshbKyohaEMkhqtgMIHI0kWY2oXDUxGCkLFuIQBKALkM3kHJteBpAvptBDQCxgbP60RbC&#10;HYMO7ZZSe7VK2GpFl+96fzBzLDpRVqgTr9FX2iYto7cQkp9ybf+hl75ZXnv1L7zq337hDy71GA7g&#10;ohM9cT2YoDewLjcUOmoZska56ftsUYCx19GD/HBilhzwiteNN+gv+K/05D9lMT6VRj0Abkc97uyT&#10;eS6E83CnsVxwwd05dwDaO74y8GAsdibeEPycD2BBODBMAeymFCzIAFRshfa7f9dHb5R+d6Kp2pFQ&#10;jMt9UHKSdj6Ga6xlOm5SkgFT6ZNVKxQKogYwc+nVgukwWU3i2GlbODMlBHi0hGy0gkNI4vYAGA0G&#10;qihgHWIPRUxDSqjguY/ryoPVFG8HtNpn5cnz/Zj+1sCt6wfcjOp65VCu2z2yaStsSGrSD1u+4dP/&#10;cA+H4ozxBGNs5WAXNKucN8YBdoEGaIJr7vv7PaPAg9kkDQIuYi1BcLPTq7mIUt9zugWm1Rn3mCqh&#10;tqlZoLD8w1GizDmZHtYMzrpaT5nGE2ZrYaFWJON5GdRblEozTaxl2AItEFIbo5lap/kz10DBuJQh&#10;QbuCDKxzlhUiEO+5QQ1AdQqF/NPH2lk+tTMD9GCyvvEaB9Wds9yo3lIt5vPhgVGyphkbpTkF5Ehm&#10;d4fgjCaEakLW1KjhUFUVQEBgwHsLQdJg52aaW42iMi7Cl7AuIMUgVmFnocfDbcY1M5GN2bPEmW8Q&#10;/mHYPE2RAMr+/UVI8kWFBSrW1+a0eQyc1rSyNZF0vBivf2ZlGU1lQ6+rvnW9reqabeyj5a23FCWs&#10;3M6TamD5J0986ewqcpJeK2RbS6QaNkUkQEizFaZB1JdEU9sisBJTXVe6pd371N2NVEyZYIqjbgpu&#10;e6WibGWdpjSFzdLYYVp8OjKhSaFIJlBI17+k/mPTKry1int3feiN6z+8/zn/9BN/wE20yrSlOjd6&#10;osVl1XpuFp0l20cix2T9Iew4RRk8RrVa2d3P/70mwuTWzH9hTXOmEjVxVWw1wcATn3PZedEwP1w8&#10;PsSsxUUSc0AD12YuXCa8ztHeXehrVyYhOCmkGNm6omPpOokT5wjeDX4BsUDLCNk0oGpWuL5Ep9lz&#10;0RkHNTvfv5el86s+HFmeWdslYJDEJiFRpobv7rTQpF44pwpK0Y6j32zpaEpmv4//jDr89ld+jzw5&#10;hsPxyBwTFKwohJyQQcVB7nr/ha51aXI1WRnr+f/b3n/H25ZmZaHwM8YbZlphp5OqqqsDHcBGkiJe&#10;4IpcDHyCYOQiQTI0dAC9goR71U/ERIbqRFTgIogKXgki4YoKtHwkaUILnSqeOmGntdZMbxjj+2Of&#10;1XWqGmofWKf6nCr2U7/3t9ZeddZcc75xhGeMkcFV0njP1/c/wSV9YqY248kladbxe8CJYnHHhcoz&#10;nOE9hKeupbti7o8hK2Emxz454EAmSoVE6OjuN1o0Og8HbGR4/WzauLE9MEVRiLXW9Ks2sis3Pp/O&#10;5cJcqcmgfJFcxwW3yB0NHWfPK+HMZptG+OHh/WAOXjd09qMvSPpjR5TO3/O5308XP/s/VM3n/jua&#10;veL7/LX9ZZm7/N5HQh/Dof/2OE5pigGT6oJ16bK68V4/X/bZZTWLvDVcGGe2Rbcx/9OGaLbQDAcp&#10;slDpSgQRp/94KoQYyUXl7CREIOowxATJJUiQgC7Lsz346wybwvMKrYgrfEQww3j5U6+/oijLrcA9&#10;P2J3Nr6+nrdmpbPxSmLN3VaQMpNgcNymw3u+qfrBO/384KxFan7k8eKKmw8jhxrp0EpeYOVrqTde&#10;H1mQHyyaV/afV0y1jjxdIlubaJygiqHfWH5clQSEVpV6DGXCYBUwhCgGEiwmRdKYlhjBeOxz4n1F&#10;Gj923h9na0qZ9MuNY9a7+SrtUYMQjjAffffmB/FbWnYitYdy/4eh5OF7HEwQReytbx/1sJUCrAqW&#10;2WvxX1fZvr0fF7pDl4p7cx2vp+PcuplP3I2rpoB3k40nXYlYQpcPXXlNaSgLqyb2cYFk5uStMbx1&#10;n0vFDqDBUVpIUXBKUdB3S7KIz3x20Xo0fXGYrxeBqXA8VF6mvGMHPS4Ks9XlOiv73mpHQ/bG7r/a&#10;fXlh8+tJFqXPR6cu+iZZTTOcz/fxOx/+5G5S5woM1DDWo+/zod8C+RI2GoTQk9gVFQ0AIUR79zvy&#10;xDiyMryp0g7EoKDKdX+AWpYwRbXxpqhx8fIaR4RspiZ16sZEsdy2y1SI+NPrPG+KdmyjILuZrRN8&#10;Y5G4pnaMjCE24dgopupMMWKM6mXpdLWfJ2bMDkuTdHNq0W/8rcnF89Vyaz871ckeRuvIKkOLubb5&#10;FrJzugplbO3Kb4Fj9sPsYtePjHIhn3nhjbsHx+Z5/YQ6dO3KdK5J1niFDhhRa7yFMpijK4NdXkcz&#10;3U69r1Kf2Unwbu+B5idEx29eD+Pv8fW7QrE4wxmeQejv8rqOb7zjKAEyeBRZZkIwurBD3PUru9U/&#10;lJpxKH/5O1/zCQb5g/qu1Z3amTHE1I8xNU3lsm6ep6wqbTLJcuyvDYaHfo5M3pJRyzlF89pDbt9v&#10;51U//vytL/ofr976wu/9b/S3/99fe9Hn/+S1QacllTmpMbYs4V/6Jf+BXvCFP/Tb5z/vB3/y3Kt+&#10;4nOvXe8mLMVfQf/oUaq201FzhM5B1UU1duEvuyPs3IaSUb3TrGVbFn6Wxqw4zAWVebz41td91Jf7&#10;Mg2mnFuIWC99AUAsI5AmJBCnvHmiojM8u0GSHY/NOApZEDlXT7/iKBe+NLu6Gw42XmD+imapqSgz&#10;UeEOHVNDE5oQu/D+q6K/87EbdsD5N7YHavV3yIfV7HBq61G1EuRo+43XR83O7A46dEP69KrLaNmS&#10;9sm5/lIvrBvLj9QHNQz4CtCRQSuCIQOpFWnmMQS10W3lyNbsVPTKIym527nPoL2e1G5uNHBL2KxJ&#10;6maCQzP88kf/xwtDMxAXbKxsnHHnDL8bGJp9MtWY/TSUlJKK+JJBFohQ+pgO58IhH/J+7mxj5oZ9&#10;PZR2bqqDFQe33PgGDlGDK4NaVo9c+wL3fEjUxJZ8jhrTyOHo8V77QzjrcsVCbuzZOgbgaMrPfMp7&#10;2yNnnuhsnEgeooEZ7UqvJZRFGuXIm76nAST7TeEOX2m+u1d8ZTAJbU0yTP2plu6H6pw5mux13NEG&#10;b330M44mK6ATkXFab1kK1zUiqcBqaQCxgOaRLAhZ7wqG4NMjB9ugf5OqZtgG02Fp+mpLexQ4ls0N&#10;ZWrsp3aTHTuhakESCrgyd9xr7dig39wTfurvu9qi8GlhVpDQsrNlx2gqmlwq2nJbrVpr4kgVMie2&#10;qtRAHBCVc/LFxkKbpNVLDpJiKstYp4UyWyshIKUk9a1cPS+w5FmWdCR+ssPV8HjZp/kP0f+982CG&#10;8r3lVcNDb3t4kWKSKQ/w1jDYAXq6UYdTw66Idr8/TM5FBjg5IwNQj7sdvgzAEicKBOOJeMQzYfIM&#10;f1ixPtPuinJUo3OaoicjnCvKTOWOdNnokS/R0/Zwfnjnl2W2QYsaYegCee9LbykNfVDVjZ8hrno0&#10;xkoz72sz9pXY+xS6/zpdXXnR+Vf+yKvuecXP/2b0CBpHQGbD1rBwyMmuXB79UJBzJi2GLVPqOByh&#10;tMCUDRl5yf/3P+u5z/8PP6iX7j0/XR6+ou5H7NptMwSmOm1xXU20pX7j+y/DnF0XUQ9dKCsDFJWO&#10;NI/ndXy1GZhT4kTGJMsmZhCnLII8GHbegU5nAp3huY3k58kTWcQqPfK58k9SGu+91K805gWl5DdW&#10;+mRGqMfjvGd7ZKqTDBKPdPj1532ze5SleOYzdZ2CnbCNTOd8TXtv6tlNXJVB6iWwNb3EjdfHscZB&#10;i2Updf6qxz4dxZw78mYqkfdpzpsnfPEQcOkQe49aG0zNBNYIMAiwWEDZZIvOHb5KLq56/eJtGiSN&#10;C1zFlMls7hSSye7QD1ctqWYV9xOUrshhkayuNAHTPwzVGd7jYFc0kZGRlVljNCATglp4Qrn3Wn2L&#10;rw5+sskXsJuRqCWx8WpJh8no1KYje6vJBX9vFAZQUD8IzhuWX3rwNfWHihIyclFbxEs12V1IkVKW&#10;oTynAXAMUhQTWW6YOfpWMNGCNYAX9YGtjY28OpeL0lY61DlNKSRlv/iCVX39U9vfcHnvL8/zISNq&#10;Nlzx0UCnao3nouooxmRquCazJw7vuPoFmJXWYNkt0nvZCg0lZF4C1qsdGHGwYFvAPgvsTDVLrt6w&#10;8yDl+HgYVtpNzyu1R+pkxCUcbTx+JsQ/8/ZPWT0/5+t+t95B1KXujV2Osc+VumdcMLWxQ6FZ4ava&#10;wkm0GQW65JePj8CClJcxWhB7jz6kREquG00550J247jxoSB2+17vz8UyJRO6oIMC3nYoykBDOj0N&#10;DlnkiQ3O5JzbZQ6jaZgQ3kL5IHs6lsdWOR/C5MI7Kbur8IAlIkLsdHoLoyc6aA4ucTl1XQhkfA/J&#10;4DovPH1HHQHs4wnP3PoQIZzURD1Trs/whwX6lPd3hVJNKbJBgexHDMpcrBasOWdkmh5/y/v/qdqM&#10;79ep9UMmNUWtbIoEzRYAO968ZEtwle3gWA5i0tLnoA++ePa5b3rlC1713x/LruOkNg+poWpIduoX&#10;dGSLKDxNO5XRkZPaYenrfDwMZlZ49JjmxThI5kmZZeH3qvpTfijb1/zsd6youTjy41dqOyLk67DJ&#10;SnkbIg5XVUta1WlpQtGPFtPlVWLf+9435972xj/71wqTTC+OugRhV9oMNgQVaI63YrQ8w3MbmVbk&#10;NST90sNSp8UrQIGOduck6lJRbc7UDNaabsR4yBCJzhrt3DBO/8QAZ4sw3vEsogMtDMm1nlL3rye9&#10;j1fGIZezwRYxAbK1sXzQpLKMthZrfN1t49sPqZKUj6PhYJax2VjpjCSIGciJwGSxLAeEJNgRxjZ2&#10;IJnQ6BhF8EYxHqObMmHM872ZBMkbx4wfhWiMlKHIoykyvsfwbmHtbpiod5bbM/nqGQDbsVWbBjvP&#10;xxLshB2C3/NBR/BAyOb8b2391X75YHdt3rjkjzBA07gTsh+YbNw8kl9ySOjSxE53+hz7+TR3/+Xa&#10;FzZfoaRjqwVdDhcTmgkXCJbHlSTy4xgTEHpO74GYowgV2MyzDtlksg7XoON2KnAAtDU9/mr74ZNQ&#10;PwS//cKRD20sTGzsltNR5XzKp56KJjWuKjrRZLvSljoU5Xat59/Wf4LOGjvirThHih0YArp4BDYT&#10;NUQIekxCd56dcxpUIKARAH4RfkLTcD2PzXmMXGCpm9+/cxeoqOmLgkW80vUjyOKgOseEAoT4jNO/&#10;SwYQAO6LsWOfEcdiUkGWXssannIyBfyWjKGzDaOY2j6q3RqOzQT7Wmw8f306LNFelUzW8PZFFVPK&#10;OEZVYQ48OfX6UWDEmVTBMVXe70jOU3t84BU+2FTSZA/ipzqEEa0QBV9KTJIZCQOZUw+dqSvIIRL1&#10;K52KzYodTZxc9EOAITnpvXdRXp8F1IsznOEZw81VC+4KpTqYOTIWykNGY+ZKRmVgD2/yciH0VV2i&#10;DFtkJpUEFCGlkSUp29JCZeP17OkwTiNLctU7r7bD7sVX/cQ7Gqs4xDkJRWWcDr6WpMxIg04JWZnj&#10;Et1iaZiSd7Chs0ZtCtnA6apwMJ65iAEIV3tqj3hCEede9YNXH/7FR1+S4vTtxs4lWGOyns40Ow3F&#10;0GRqe9sIuDRRpKwwhGIYzb3UyPbf2R2PM4x3ppjYFMfIrpTCWs0pCfNZucE/9BiVjkntsi2/rwij&#10;C34S7cEBds0SKW7uVCLlkU1VN0Odq9oM7Pz3vviNh72tj4Lw5p7wje/PKandxvSbuv+EujiclOfo&#10;KCSupEg2bU7VHAePSc+xioW6JH/j2ivze8HfzwXAJR9vvP6FBIgZ7DJSeQztVqgSQ9weDqsCanf1&#10;LZ+ODyMNH1M7k6dxqaDEYf9hP0Hfbvr7U3Ru7rwB8Ot7b4gPmmF/TF2oj2jILp0lgn0mwF29Z0a/&#10;xSMYjaxihJWrYwFTbUOVMv1IN25X+OC9kUHO0mSYYRBnkYOZpLTxojOUiZo94PjA29KzJZZCFn//&#10;yt9pfsnksZimh8uD6PqqrNDknqAZMFVR8IACmx/ap6Etsy/HIY0o3NF0JxXWuSQu/tL7+eb4C9Ov&#10;5yb/2NXazFxzaMc+tEnYIXUyImbi0+m9x34q3SCYFFpL28Ikpwsf9xZNevtb/8bz3S4eNt0ILuwW&#10;PIDse2RKsFkg5d3P3lADMhJcpfjXBEEQ5aq/SnVqb0tMtYQBQcZXHrx69r7eGD8XYgzXNGDCnauf&#10;8efr7Dx3AKZpJd6OriY/Xs0uz9EMeegFXIdqCMUWENo8G6OzIA0o4rWyKmjj53/EnRcznTjRAFk8&#10;joZXKKpG8yCY6+me3hXvqoSR3RiNhEO0QlGK2fuNZhqQm8GvHjc+HTNMSeq3NAQVgsCVNQU53ZC9&#10;jEeSqYLJVRqAUsKRD1THFCw1oTUA5jf9c/N7vD/DGZ7LWCvTN6/Xu2Jz92YhTkElN3alx9xrgwYB&#10;jz7wYRd2Zf7hVM+NxNbY2BooizPUOBLN7Lsx5I09XUYbm9C9/T/9/A+/zx//wh8+rvNF1zpDRX3d&#10;zVarqDkEY8UEho0xpKkhYQ+X6vMsuhUWcA5lY6FDYqioEkcU6SiXhGrqmoJ0tIC6qC974Lf7f/Xr&#10;//Z9VsP465UIQiEbW31jKTyahSQ7D4aFD7VKO4jlpP+VzLz8gF/8zs9/ISGGPI58blqpJOEhJq7r&#10;EmBzlp33Dzm8KfPwBfHeMYePlTD187Fz3XQXfZ6lQTcPn+O4cI2Vdtms3JXxwOAx+oJS4aWrKWi8&#10;43tQG6bJ0mC4cDF3w890yysa3V4aZrX1tttYKWymfbrqV/aYjHFmPvKi+p9XP+nRolPE6OzGRq1S&#10;AZOAbBJSzNhRQuHP4Sgf4RwuU/icK1v11P/06KdjI70/QoMjf0GrxqNNvPn+mayu7IKVm+/JFmiK&#10;c8Ck68QH7cszm90zATb9US6ljVGEl1oAfp62MdYcFig4MZvk62+sfvPhGH/GBehyK9vtvhuH2orw&#10;ZoXXAUDA4vtDhKJE72osaGoMCXJeftDVL6z2H39l+Rem8dAf4mKyFmxdAZCBikgA30Imps0wGYow&#10;VGq8qwKWsVjUiMdffOUf7X7UuBLoSyaLxjlaBloWMvG7EynrtDIj2yKz1dPPxCZ0XO9sYThcyGpC&#10;os3SzNIiY1Zt0faDx4//b8pzHFCHLbokDOkjFBPscAPo3V/lcsxOMzfxGOaHkUKKVLBxJXpTSwhh&#10;Y0tr5uPsixIU40+Of3UhixwdMhQ8yCx1z/jzFSkoJtEvpwkuIMRcG9ShOPoTl+jyF9FPXfn843Dl&#10;c7rjX/o/9l4z0c71sYBNwHlG7MPm2TtflPdBxytu3T1DnpyjECIrB8BECbcwP3Z1RS4pH01rzcX5&#10;tOBYzlaLP+YpeScWYosMUWEdtOYeE4xkSO04BLPtb6FkTlmh1+ACBhbo4ByhyJ3U2Obrf7VgAHs4&#10;UaAJT5QVWsdWn3muz/BcB/0+P3+PIoyepw6us8fZOBshCzMAtJt3XzUw5y6kXGjApIRkiQmaI+WE&#10;xLYm4zZWCsMQVvV98/f9xH/BOXtDRziKZadqRdMCcEygJRFFPZeMCTxSKvowy66/GrflqHDcZ9ce&#10;p8CGB8tqBaKhp4Lb5LtlWumWaChQqLNWg77i9Tksj5YfwuFaN+nLzT1140BTLeiAvU9DSlMNHLWL&#10;g3mhA1f24vi2VyD1zhYmdcsWZV1TWZTSdYORzUPSz/AsR8iBVh7fvSq3eWYjRhZ4ORoUizLfhjys&#10;yXGSUDfcVeNOuf33tr/PLsVVQeqOGNM7HtNf0ZGFRmn6SgO6L7roL5gqtFYXh13v6o21wryY86yA&#10;kXSUxHWmajrT7o1H/xqF2tFvrLRHJhgUgGlw4lffwaG12LGBfuR9L6ADHh4NeyXxj+lWdIZor3uM&#10;Tc6S7d7GVpOxHLITQ9XXuX8GBa/SSHZZUSlbyuN4x40mz0Vw1oQhRc2AiI5AfxmHQDekiFEgRZaQ&#10;kfgDvjl+pFQu9sMKwJ7zAZxFRlZEBmUighCQoaqqgRQwoFMPVYa4YAkWyfiwQsEtDWTJCQCKdT8Z&#10;/u3bX3H+8Suf+dDLLhclQuzAdmCghJbC3oCnpQXMBKCKmAAyjNobAztBxRVgDYhPMplW8CCqAN9g&#10;yvXJhK8YZcMEMFsAPK1AABw8FLsEg7z4i4rHXnn4KfufZvKg9BUdn4fRYJPvgGh9spmjHsCNrTVk&#10;USRjOj5dJ7BpgWVLCLNKay2lWQq1sFlSRRaoli/Gf+vJSTM+qA9RBQsY2AVWplU73P2WJuOim+uA&#10;+16Xw6rUn6/ykCtlgDv2srknOVNp7NhosG77sUvm7fJhBQm2UGgwSQkTJqoAMDyBSzgCFYDzTASg&#10;AANgMBgGDLrR1v/BESzgMAUIzhkYB2drTIy1bIDe9h6K4PpL3CHR8exIFp84/fhH/sTjuVL+iFTM&#10;TDvdM3ZYfOPDXygfhBxgsORHBAremN0DRvM/rxV78OmQOFyXVO/q0DqeWrCY6vQLUKlLeNjcqdED&#10;K7otRHjZb3w2f1g0S6TMaEpANBXdAMqAes7JI9IgAjABTAZMdOM933g9aTJaUA5zGAHPaR5zGG1N&#10;hvfz8UX3d/HuHul10jLgLvHWneEMzxQIAFgJAIhAIFpzGq3eBWq1ZZEDnujEA4ypAwoxAqU4fEyH&#10;0VQkBuyxypUpCF6F3GAm7GMLIjr1gAqahf2AAiFJ2FZLCb0ZU51VIQlL8vff+xf/laB6vrZmrpUO&#10;HJHRhqmCSYJCEUNCvoacVULMI7CQXoFDYIyCk3RGkiWngJQCFNBOgKBQFw6JSTDKDAVAodim9/57&#10;P51GFH90qJNpksVkGVQ5IXkHSFLHHiaWGfZ0o6VnwoprmuWWyBorBJOocCchUZkCz/6qApHSULTl&#10;rhm6g1RYJcDmqUtn+99zHHMAKKYGdosLwNQGbC2DiOweJrj+hfqnIebDZnJMK85K7GCEC7BDybKx&#10;0UqUVWwHMpwffFv7dYRRO9pxiKVMsLBPOsv/4I1vkg/oZhmBQXAebgIYlC8wpigBMAg1EVuKWoJs&#10;VqDHxe84d+XI7L/ZjiZWDnXI72Kqrg3xT3o04HR6s9ZHooOFcdbErLZzSJPs/Ud/ToyXP7PTGeBR&#10;Agbbtq7PE9DAezj4CjWdCJGYTGBBXMMZVHOCBc0BqlACagHqgQACTbnDCr674pcRev5PtW/JhZ2Y&#10;lFDISCWvnGJAZgtRYqMHp45fzQmZnPa0FRkOKgaBmmz8PMfcoBzYrnjyI870tBVBwUad8IqGGKHW&#10;3wUnzHMPp27aPTk3a7J0Nuv/77+M23uDhRYpJJsEjCJDnUBZT8KbIxG9i8Ymt6E4+3w51a7Y39Jp&#10;/ZbDT/RXV1+CP//Wv4YYMBQ0zLpYbEsckjWUzcSM7JwtDDvXBc6TvDK96WGzI8c7ZDHTvoqA78ml&#10;lnvpTIGpMV6sb0stbCOptgUte2M8oTO5OHzV/vThz5l99+J5x+rYv8GQpxhSfP4oGOh0o8Fp6Gbn&#10;8l44ZARr2ly6WJQjbLSaWkZ2Gvz8RYGtEqNQQhGLrQypFREuua1nfoZsCKsUjwVFNn6YR/sdrd3l&#10;VrpMDC1vg87EOqBkIRmXrkC+r/2A849d+4zV/SPn3BU7fmUn6K1lVwkKzVWmmU2+iWSKqsR0dOLh&#10;xIsTn514vdHkRgPYi/dklqYiK1aqDBtT5Ve5THWuqjrshmaA/bqPv55Xr8afzJ+wvVpy931bzYoO&#10;DWRvPCJbDnmLQjajfK/+PXWjm1Vcv1jm+XjzTW1YVHPT9b6cFIhq/XI/z0qDBKQclqceKmHssGtK&#10;mFQyrZC3YeJlYr6vGP6xfLRjY4gWAzvi+Wi8ZUc7bmX2EKoicrKGxILEZhLLJNaQWL3x6kgs7aat&#10;VJTzaoDAY6HX0fhGSzr+rMrXdvUF75lZeIYzPCtws2B4V7A0sqiZmRX3q0LduB9RV+XhGz/p3PXJ&#10;7ANmbnNPbuXPMY3lcpEqO509EpdKUuuWDXyNWrP9MX/si36gu6ycalxH2R8wA2BnqPCKhjbPqWIA&#10;FxTYTgea/J6WoVdr52n2eT/x9qoLn/W2aYqr3anSaGBXbTAWNCBgpFW2Gjf2ZA2muPf61/+Vl0ah&#10;3oX9PIXBUZzQzpx5Nfi7Yg6c4ZlD5+aWx0FYj4RMwZ00kox4pTpdPwk+eAAncnpWVVLVqKq40TYW&#10;oLY6Y4wxaZHa//2DfiyAGm9NeDT6OFTHZiuxALehEQvMjVe90SwLHMEboIkrFLbIizwZBy6hhZoJ&#10;VBuX6pDKwdm2jtNqvJaDsa+Jsy03JIh6JjyxTypOlOj134xbCCHTE3ZchiiRagKgCkQwWxSI//ML&#10;tqYcAWdG6vqrVLN1gatI3JtSHQhkaDXacuopmZiLvtdS2CwtuR4zqEQXtDAu9ZqriQwYMX6J4KEv&#10;mu+fj6uXbjp+x9lnj0xT7RzSiKqqRhuOjV/th9qb0TQmNjj+UkKLYz9JZuyLI3/JFcRkopzFVD8D&#10;OHVRzrRIiyRoaBt/8U11XyF9WMRYEiEJB80MveGdBiuIFUxETk9SWG58KPTeicd9sH3A9rTaGbrt&#10;/zg5N8T4eeW3rP7O4n33P6urh2pXBZz7JDmHNKY4RjjPDORSQMkJiY60sonK3kFTodHMJfnzmeyQ&#10;8wraGeKYRvebH8maPtfOHnv15FWPvCo/vC/d4bbjT77uKhTWMvxKa4K5nttRcM/GRoN+sc9DuZVH&#10;LoZpPMwlxaImoZ6b6Aqvno7fCmPLbLfGUtrRy5GDSZ6B5OMdr3hwKoIWtDXzGUR8/hvHf1Fq/6jF&#10;zAadYkUHGz9A9jua4qFw4+JYnqe+vr5dV+l3Dr9EXvHQX97PLvdo7Fy0l9LY2Au1msPoJA5xMMsi&#10;2sDRBkQb6MZ7vum9iUISLHloL9tF9pklT9x+MKXalZn2D37SanLlM8yf/aSX+lVC+XNVg2rGcz1Y&#10;zIbpyBykhhyaoq8umd7bFx4e9q9Qm9oc3uly4zc+FI/tvW+Zp87G5TU1E5e0tjxk6Eoqw2Z66qGS&#10;DaWYD9EWSaXMPJNVwXa7f7t1H5JfNnz9T31uaoyXaLJYG1c06pA89u2lfuS2nGeLSBYRFlFvepX1&#10;+2MZbKbjfmQxQ0oOM4R3vvpgflSM/51gL76n5uEZznCX4mYvy1MzgN9xsMkcumK8aHo/lHuuHI96&#10;j8c+1Q9XNMRbSKpwGsbHVlHcdOpFDsMWfCAYEUSd/dr86vf9x8fti4Np5qrdATkAgziNKWoMK6S8&#10;eR+laivAbeFYmWK8DtXBDbJyPAF+4D//5Pe8oAuH7XLFuXQDTY3vcgxGOLja+mA2jz4rx1W5W40f&#10;NdFIlpxdqqV52Jf95QQWdzxP1BmeYdioiZpdS2aKIbtcKJU8lmFSRbSfufpCAO+Dk2Se67Pc4ERx&#10;vC0l645MtMs2Pf723/Y/vNX56NsylgZFyTYaGYyAaMNWCCjfaIWAnIAgoCSgmM3IMfZ2qxzHUY7c&#10;cTk37HQ0+SqXOA4QsavaJKhdDgbmj75u+Jl4vPrt4CZ8cegyThx4a3bbzYkegVvZQ5lARMGAYASW&#10;RKGqLhvq1FtDdfv48SvdZ/7gh3YG1a6UehxdqK0ZazpwI+pql0AxrcaQY+ZyilCwqbOkaZjQVaO+&#10;iCAi4wou28t07YuLe986uHGui+0xNRsvcPUzw2zFhw6Z/ditjoq6dKGd3Vvx8qBIq/QL574Ov4EM&#10;D00Q24xmuJyTbTn5zcN3z/DuOFWoDyBgOqOQjtkyFf47ip9Ly/QPEntTplrBTLjBgiCFIT2xFAmB&#10;hDZ3RV7XA3O+H6KjMQ7xSrKuz6ggR034m1fEvzlKbq995vJXh89rv+zBV84++Npr/AvHLy63EFtZ&#10;UGFnsgVIUKVW0Fi1qKmuRjvG47J/9Vj/xqtXF46+gN7n4dfYT158fvh3O3809F2dDmQh/+xC3D1n&#10;qnPcLpbxnDaSckdLSLKoeTHt3TQsN/Y0bldbaLOYc+Z6ucygVfARKGk+HLiVpDhJ5s81cTn0eShD&#10;NXc5lxGjS+oqBL77a2qJHXS1WKRqgKgCoTTftSSK29q2ztiNE8FoqMj6iYYQ3N5qORahR1tftMMS&#10;r7948UJ856uKf3Tls/df9i//ej1SBkpXqKcUoykzZTdSAm5q5kYDJQgl6KyyFtEO3pE9yBgDW13+&#10;n6iGz21fcP0LD7++v4Tjq5fyj8Y0Vq1VLIZDdDjAjpI/riPl2gsZDGN7WaqJgwh9/bVP6y5AWcau&#10;2thS+PzXPvrwfrFndqqCck/kkuc6rtRqT7dCT4QpXQBCAybvKlxPq+x19JOwRY+Fyas/MOubfucV&#10;eHk0oqPRNBZWm1HTFSNUcEkRjBuNIphvvGoESwTbVKxywv2YylY6fE09u/KJ1T8oeHoQinMfIJ27&#10;+61CZzjDM4+bhb/1mXJ3eBGYYkSBzgBp7DDQeTvYrY9svJOJ480TTXI3KSqJKz2O2RAXTrgTkmmU&#10;z6q/PIjJ+4T2kGGJ8uSiRNtIWXgU3tPI1ebZj8MREK8Vwj5PCRLMHNALeWeA+6x/HaIofar1Viux&#10;6vuEWq0psndhMcKPzcbdW1gXF67+6BXNaMyenY0nUpMouLz7q3ucYTNEk8m0j6ecRutKYsZqMCaZ&#10;n/pMOw2N+XIiikTkcaJI97jhgb3hpd54j7DkxokLn/3n/2tj90kd44haszUuJaXMowKyaYsnty4G&#10;kHzjbwWkAMSBEOeW0yKwgUCb4Th2OjcZyHDb1g0FNZgAPSqHHb02OL5kjj7NxlKvMj1VKbzZO/27&#10;UcLfDRkahVCdfJkSKaxAc2bU2bGGXiz52bd8+Mv8Wx7+lP0P3f+qiUvSZdVGGVDpl8rT2kLh5q4I&#10;x6YcuzigNok7qrOGsZ7Umt7x6f3FB1/tH3A5PLLnUh6zKqab14mu0kpD13Gst/ro5wXVcx37yMV4&#10;gOvF3ioU9HlKrM5hVMSyJmGyE1albMLmiabP8O441VIRiyMte1sMVI7RjiNRxnt/e/mVD38BPnCp&#10;+HhHlKBIRLAqepJoiEgAEBHRprbkreYCHpErbruEtIHMkQl43qoOXXbcVCv4wkhU87IY8FXehn/s&#10;Nch+KHD8JTNa9lELHP2WKVwCm8hth5xzaZzbCkZ3O7estkZoyCVdRInfccexGLYUMkq9W/puGfJ8&#10;NCoxu6W0hIJ1ko3pk5WdmaFxsciwdiNrIY2HxDDaA2nv/HleLqNbJo3VfJd8t/8n/RsnLayv7qFl&#10;f7VfNmJEfTGkYYRzXGnE3W3OdmPlY6WRnClcK8PePwtfcfxq/fxDV21XudUMu5FgZOQoMtVOPWMc&#10;YtHydlsvrja53gv7OPI7NH7pIddf9qcvjfjtzy9fB3I/OBH8z//0qDzy13+4cF4QATicbMBrOv96&#10;THPoWi1Njf3PLbavp/De243560eL+edBlmbFU2pSr9PjJi7H1pk6iZ/uBU25XMgCTXSdiUf1tckF&#10;2k4jD4s+R8cKrr5qnuPnLNC5m37zD4RoL5oyLX97OY4vHZrarITzxDiDoo7aiwF3T7txexFNpTVj&#10;S5hQnXsbbOZW5jFg7ubaluHlTaRfOfrb+drlrvk/s4s/fu8DOLS26cfuCBbmJDYdGHFyyJsbLQBA&#10;/OAK19774Q80Tf1JLOVrptWhWYjKdla6Nje+imcJbs9wBjzhZVmv17uC+kuZkGxyRwHZui7bOJTU&#10;ly+97pLdHlcZ/vQKF08HE3eHnBtjzKwQ6oJRlXl5ePjoIz/+y0XpYcIhMwDhRtp+BUAgQyBAiItG&#10;ZUO7cpYJF+i0IOhKLKmJWhdLWbRJsH2B6NGt/7x1jxxcS3G3aAr4pJKjkq8tlprNpvUrjvJoHWYf&#10;7HUhoZ6GZhDbCtTZQ4yDO0vW+ByHSEu7RSGrFOAGy7E4j5gO8vvn7u+GPDuv1AOAqmoGUOJE3iMi&#10;srgNst9Uol9y9Zlv/5zDl0+sMcF6meXOaGIdxELNbSmWvg4JXcsHBYADAG/1Br+y83XxuHRkR3aj&#10;BpBFzlwWPg7LWCPpsjuqjJO+itmNVuL5107e9OCrVr95HKYvL/0xbuqHdcLT9aq8FaXVqqowkRAQ&#10;VdWqKgQYRdTXU4uw3De6VT3f5XP/bfFI3D94xeqVoezfdOF19kqHcWxaQmunfDwuaMqMOLlX0T1s&#10;3/ZX4bfvNe+1TPn/oGb703bGw/Hy0Mh80pglL9I0Pm7ldBXsaZFVYKsJhn5VkVOIDkrecyy28vl0&#10;9Rfr1+pbSlYb1BCIo8ZekpkFA2E2U815cVcwop5LOHVEawEvWzduFVzpWAzB9aZLY8Jr01/a/rzy&#10;J/ooH3UjLiEok6gqQxUMEjxZSPgDgRdX4pb1tFoEK5Na741mzH1bzsuMQ83qUjbiJ7SY3Jvc6tG0&#10;mp0ry/4apB/HHWeK6+7cSyfdksswmP054MnCDIwFZS2PVFBUnPwYrvIVPpcvOsM9BrC0ed/6yuCQ&#10;LoVpY6wkAiiLGYPpkyY3GuuqLQQ93mgAgsNYcFlQ35t2f59yUSmKwrmDR//aC9+AX3OmEpev6XWC&#10;SfVui25FELHijM3o+7v9yE2mD0UPVAPiETUgtG4EXm9t9eXDuANHi42ub310ZryWCgOyxqcq52ac&#10;T1HEhQ4S0FPFZTeg2t7Tw/HocyZ0/PlpBP/p+xH2X7N6U1S8A8BvAHgQT1g3CcD9AP6IA16kOXyY&#10;xuS29uZY9UnNqqPGeWzJKBqzSUVhyM4zcpRluF56BSqmEAg1CcaLw7WiFZOnhRlDzLWl7jPe/oXN&#10;G3bf4H8R4+FmHZwP0sj+t6i69FI77MtEgzbMejAcmcqAo56yxPMYyTm/ol5Ke8gTGLRqx4ULvKJr&#10;1hxjcNO5P0rmnktV9/oj5eL4kyerg3vaH09Jf9K1eAjA8Y3mAayzo/0RAH/+cuk/liMXTosh4sgP&#10;rsxqOrkeOip5dpbe9gxnOMHNZbXW8YF3HpIN8xjLmn0XOb/zqz+GwfTS3WIaBiMeuhnZpN925bj/&#10;aD5nyjQcqKeiSCudfuV9X2OVBwdxLIVm1dCBDDCdTikdB4KqptBuTv+2g6pKqExHPqPqcxq61pnS&#10;OpHDK7T1D79H3/YvPv07zkv9qvHwoLKl2KWPNHMRdlCJsBvJN/OS6Vo/Xrj+HZ+wN3/Ff7i+RGPm&#10;rk2tQI2By/luP+HPsAnEF3KdMtusSTBynxIef1V6cbD8t0QRb6iHiYgKVb15j1g7AzbCVQtqwH9p&#10;anc/QVa532qOqqMlZGvbd+htSTRsShFeU7TX6yThCeU39RmXE+P+JMgwxneGlNIqg00U53SUkk1e&#10;hSZatHapgHjFkA98+vAJ3DVk2BvXuzmE5qnlCX9PsJ7sswq1IDIgGiFqIVoQQZsh41iNjNLrFjIG&#10;z3Njyu+nlPPlz8jX4ex/tNa9WUL8HdfcMw6SJg6PvxQd/kxp9z68pd6hKoF+H52xrrA+jn1wOy5i&#10;oFu/z98LI1dayUB15TQNx5SMy5atG69d7t9OWx/pwjEUBudd5oMM6d2MJlhoLwDy4ql0+TPcBpy6&#10;YHI8rxf5EI+PJhm/ZGakjJonOdW/uj989PO38UNs+M+JZa9MQQADUWMAZhBkwzHLVLpQZsxjpVdZ&#10;ZeXbkgrWMISRIlwAqOWtPO8eMcmWlvvjGO2UV0rFBUvYW1xzY2VxVDc6bZN0NuuiTLQViXJtmPog&#10;rnKW24KdfRwdQ7wAsW/U+i5resRHAHXyGj0Q60Ib8VikDsU4EDZlaFnvQ9cGv/1CXxy9PUUu41Z3&#10;/ZPrb6n+PZHVMh9CgCFRTb47BEE8GJGVekonJfDeg/Pl9w1lZ5ALXfCoMC1PheO5N+x+xeJzrn0K&#10;Fea+oLTRppIy4ZhIqZ5ZCrUZMg12eKxcNBPeHbysiHSyG+locZVLV/tRKmBqMkKwxZD+VC70T910&#10;uXVfruNz5IgMz2uKBzLJ3C7Yiibb1K5Xm7MqF3VouyE2lh0F79wknc8LbrnOLWYCWVUoSG3UorT7&#10;w6Les9OUyBnXHvzAb31c++L3+YHNxu9eDWi68MthPv3LxpAue7IEm8g6G8eosPK0/ZuQvI857pRM&#10;iUesBrRei+m22QaHXoedc0VK12km/SBdaY1XhO12UrbNXzLc/+Wx0IQTZXqdJMS969KAmQ8Drs14&#10;4HhQIs0HExtvTc+AEA0ryFn+yTOc4XfDXaFMsXW5SBGtshai5t569ceTG9AtGq+zIpm4matFjwXb&#10;XtOyKIs529BSZ+vh2o83PdHIQUUKhTPQ0IIzaHV8TKzQpqq07/uNn6+JVokLWg2Bp47ToFa02sLY&#10;H5CaQiQnmfbHP3rA8sXlfKsz+agY4mAqiZKN401P36FTacqRm3b5AZPQ/8yymslqBEoBOm8V+YzJ&#10;81yGz7VRWuhodrlyWTC0mJvmS49SyxizKyqoniT8TTeawxNe342VsplhOa5mxg2XURUoDni7baah&#10;OezbSV1GjHHjEA/GCWuNcCIn2Jv+druqF+WLzAubr5N3hozg0E1Cde+g/UEySD4WQ1BMeMGRUcwz&#10;QoEVPSbv9bU4OnxN+08j85fc6BPGkxXqmw0QT3NzZFSVBNorUwGgIKLMqkKgeJiS3/JABkwMTUyu&#10;czthTCtMGTvdhbqzn9ZLL96AOXiYfAwv0KKe0KNocCFeR0ualLxwCp64L6o8aNDSRprBYrnZ/KHE&#10;Po35yJ5HyYGTm/BUl2gKfOn51/UlrEu2adzji64HeTOPixzAyNhWMUrIp2cYP8PvD6daWbtyXx83&#10;VVXzKpoM1eEeI4jC6tsP+n4jGPEJEPlpAnCSoIxuFAiB0G2wgqRyyHYUtDTodOi4HlQpm4hIpXWX&#10;2FvL1eoxm90WrCYUyE5jMBPrRBbHaSiNdiCt20QWZLaSswprEJlzJnQTZkojp/lCRufzVAtuyXHh&#10;hOJQGfE7qqaJqzKT12wk5Ty2K9sUHm3RbhwToUOmwpKX5dvbZbFlMaRPu+d1+EFD1qph7e2UBzCJ&#10;ByJpPXIzplwpUqLsJ3e9lcko5YQoikiskDZVDnkfq8p/Vorzja+fDWFXvdvpgmh/PVf0WFmZBn5Y&#10;OdNKdhJNWhnechaUO7VFyjwujEXPXePVagGrhd5o5kZbf8aXEiXt1cxlNHOtiGnbFLFTR51xGRBt&#10;mmQowXuu+ySUrnKRWopa+y6VHOWiaIpu0i3y1EzzAtEeDIsUts4979y9+NRNn/9RfwE8bf5dWh5E&#10;bUet6nminCzrgORPl3enqKW1wr0Ulvqd7FwxjUWSNodxURii1SM0BYuyK1c0wDrFYK0s/GBaahjq&#10;PdQD6s2NJlCvUG+hngbawpbEkpNDrcn6tM8pEnnZyhrOYgbPcIbfA3eFUo2k1BUFJtokUUPXpufe&#10;jyVEM/OJh+XGiW6c0QQ3KWRJssijQ6D4K28Ob2+JBC6yy60RaSkySKgiRqkZ0ONxgLrtjc/fAQN6&#10;zj45nw/tNHju3bR7lBSZTF4x4J1vH/lZa47jmEIt7SDTaiu7UDPHeuOcEKOryMQiXzfnXtwDqUkx&#10;WlO7lnyBkO5qg/kZNkeTFrlMokW14H5YIX4R/7FDzZ9VMhfFtA96kpEaAKCq5oa3OuBEQd1Y/mMR&#10;ro4vm+3RpNZNmYexERrGEo3m1garRBs2WKXCKlmrFK2SWCV/429ZCuyDqKe9a8wEfTFYv5qNj0Jh&#10;OZEEjSVm2kmVR72wagm8zEV08Cj87HWz/wvAIYB18hjFyb65VqRP3UOZCKoaAVSqKuvv84nbuqjK&#10;KY290YU3mg3cJFM8FEuwLfMyZ1HCEhPExovqsTblrrRcodcBO3JdAlcyy701cLZlD/EIobQJKcIN&#10;unFSpKyqY9GYneGqjMUOzeKhPDTO3uJf71/riYYq5eTaw3FLR8Du0oItBsA4E1Xl+O44Y55jOP1Q&#10;GjIQF30nQMiQhMcyYoRoUEHWvX9Fw1Xmv2xD/WOCpGWKFB3LyMRenLJY6TkhsY+lpnGwCWUSjCbF&#10;zKcXl7fRGlUCWcNKliIzmZQ8PEPyNRoFYM9QWVFiYATBUYbNxxxLa1WJSlHKNmO0Cb2NmIwZ0QiI&#10;FD4qiC1ssAyI6ZBRkiJqBPlAJi1IdHSFEAIRWGFRGqQ+wpxGrQXACnRmqiNXOhlTtqZCkhqOm9DJ&#10;VLWe5TEKYOp6oK2Pff4DRz/QllOeuS4hLw3SUgBRDJ2qagdpkdFrhqiG1V2/KIockKnAXClLLhxT&#10;Kw7buPdr7X+uioN/I4YwZonQnAgePQqoKXI0HklPT/lvNGEwGQMik1OjYhF1hFWLoQ6OkaAmowMg&#10;xpKE0QCAKMGkREoJSoluNDz1796oZQanrAgUYGjJo7GUBQD3hDSiAFuNA7LNHIwlJgtLAXAjClyn&#10;bEwI1lrRXpykNHVwNBwagn1t+PR6DxPA2PM8A6qZP2dgHDCvnMfp2cGdXDHNP6ffSlXxWCi3Aw1H&#10;dqjPx2AL+LE7dX50ZuQyWeM0QuyiYMnwkdjxWHgZoc6gzyOTKIyzVmJCk5SrBJTagZFubnyj0foz&#10;uGPKwYJIMfJog8swwhhpZbQIwJNLYqxxSzUmz3CGZzsUAIQIgKiCoJr5hseF7gKTaQCUwmhWWFGi&#10;kIq+f8nAMycpqjFmc6GexEgmsT6zZVIx5mc/5PW/kFkj0mg5QnNMUAhUtZekw0kdLVEgHm58/mUA&#10;OQ0jYgv01zFmiUtAoUEyIIkXqfjiX1ajzS95HUXrxqa4pGQ9xPQbWwUtD5QcxPH4/ExAG3uE1Ecw&#10;kiLeBTPgDM8kWpzDslDLMSbwDIs4+VpDM3UiY0bh8QTzyxKRoRNi33rebWxUimAYa9FZslXu4WyA&#10;ZCrEjKRevRKwYaMbr6wEd+N1/TmLtVSHJTi26ZhNoBSw0EKEl2KggAxYiKAX6BUMgmGpLaL2GAPS&#10;ETTq+wEo82Bh1I0ebDhkSCp0xe7U8LKkQmBydEO2J1EGwEqgDIWkHlKRKQci5iWSSc44GFEGWWsi&#10;R8x5YDMIZ7Y0pmMubCQRQHRkReSODJhGdiRwMXlkuGwI6lbFafenYgBwAPiG8i9CRCCirErwCgoU&#10;9MA769oewpXOa/3jVoNaa9Ajo0+QIwAI70wqCQrJMS+A2xIuf4anYuNFmeNcX/paMz7q0seB5btG&#10;IhQ95TIbbamjKIhznJdKyaXOFzXtjAqrHqWTvGE86bMAA81wDxOd65Z0vTpHkkMWG8bDeOzvLY4S&#10;D4fYmVTZhO4jXvJ17/wRAD4OSQ4HpcLxs37Wdzp38JXrhGDMNJtiK0daVBf9kIrD2WdXMS4ap+yz&#10;WqAPHpwJ0RTLbnD1bPNC1ncHPJ6gbp3URTxptczzP4cWdp6C7Q36BV+TXSnL4riP5E8Xqirx2cKU&#10;Nq5+suoPnQ0GkxHsu37lp7M7/dy3gjVtCzf6aJ2L4Sze+gxnuPNYZxlee3/2brwabEg9vYGbqZoM&#10;4Gdv/J7D3WFYMzjZl34OT3jCbmcCsTVF9fxT+uRMof5DgFCS92MZ+7ExV79g+bF5cvzhHlcp5p0y&#10;JX/3l3e5w3jBa/1VLtLH9rMgnfbVwIYsGvgm04XhORE6oUQkRKoAnAhIRKKemFxFOknTxH0RWGS2&#10;QtH3H33+a0LwRaOIm4fHnOH3j42VFuOPXOEa/aBv6uw3fTU+Y5rsV03JmaScqKjJOS7S6moeqUvj&#10;zMkiHRZgh6ovZDvflkP5roZTksdXB92yJCFjOaukKnNxXk280qkbo1uOY3jJxdfiZyOXCNUutsoE&#10;U2/lEPOzQit6OlRmFXm8ngUCwpJ0OHINxfEyTbz9l4vlFdl6/74vgk4azan2BZbikorZacrYD88V&#10;wWJN4epwUhZjnSE7H/D4qeFvpGLhjlJpUWIs+RBhyKY0KZz++AuEsmhSjyx/X/w0DoXTyI/TUHOT&#10;DhbPFsX05jiodTz7zf12hjOc4c6AnvL+Ip5QgG/X/nyzEvlLN15v5/U3wfpZ/weeSIh0S+V6fh9g&#10;APfcdE3C3UL/P8Mzi3g5hHKA/hXhoeCvrxJTFgQxPSwtzuKjTkEsR7P9DfjxC+P0HwZXB2f7uLBp&#10;vN6R9NPnQPjEic+7xEliuhZP5K2xzMy2MXbUsa6Coeqw/Kf+jfRftmnQ1Zi08/OzOtR3ABsr1W5A&#10;tFEomtnwlYxi51vq/6vLw+fZ2FE/Iq7QZ95tXLKqRRx5CovHq4EOJkiDls95oVn8AVd+VvXF8xjD&#10;tQChQh1CW1dunu3PLWjn3p1vyg8mPyUoAcNSuiFadAfOWL9Zauy7AH1W1gZF8iiKFHOBgjQVOmEO&#10;lqblB7/+6J3O6SeuDlWGpkKbt/IYoxwvNWcungue6oQT77TFyWZY4SQmagRgtjCx7cRfTCAJ+cIA&#10;ThAim2yh+RYyy84EsevgLr4Wj45MP70VM+W8LRR8O+zd/2xbXzdn8QRujyfsDGc4wx8c+pTXCX73&#10;kI3NfuQEALDEE9mN7waj4Nprfu3G3+ame7sdiu9aaW+e8tkZ/hCgzpWHOCwvxk8hqV40hJAHLf1Y&#10;NPDKz7bz+z0OTYXwOMnFa5f/fJemP9QmuKpwxdzWGuJdsX9sCEmqClV1RNQws2HmREQtgHzg2lXr&#10;veay//nd75Yv87qVD5EJJrpzqT+bP3cAmyf6oMq15ehiNgbNLPrgdefb8nfWc7y8hhzNjTX95SbM&#10;Y+0SKJd5O+20WSdx5bvyFjIpPctRLKa5MQvaXjw0NqYwngJCN4JW3Zf++4V8+Ae99vHRKCRHIW8I&#10;TgPT/J4EWyYbx2e9UmHtTHxr+iJwosLQaqsOnaeC+iOu03I4oG284JvG/2dmu8+oktdcW2erbTst&#10;gjq5BVft3Y/1GmtvvK6zZBcA8uXRZLOc7NuoVtOVwjvK3jiisRXmdOr4Lybnc63JEU2My4vPjkjJ&#10;mIbnYz9J3UPPFm/HOpvpun/WNMvnwKF4hjM8q3Ez3fmp+/HtOJ9u3qNUVXs84am9W86/CGAfT9Dg&#10;13Gut3N/TTc973Ph3DvDLaEMl18Rp+187xuz9CjttvNOQtNfjytTbX755zhCAZ1UoSqz6ScPX/kb&#10;OuKnXe8C2Jhan/3iA5EWqjrcMDiCiDIAq5obkcRNLifzmB4sv2ny4dQHHk2CyzbOrMRrOpwas32G&#10;24+Nlepz5CPimGc41CIbOa6umR29J+/8U7zV1nhZSu5HceGqK/sCVDg5cldTwXvkYh48j8+JoIen&#10;w2LmeBVmsqzvLQZJgGmOpCw/bPfb9Os/83uFRj/Ng5l4r22yuXOj3w5j24HSwMn6u0Wo+AMjlUdl&#10;QPCmLGRlUimrQzQBQ2HndFjs0lSPackT3P+t5b+2q8c+lQ/bLNqHsErW2/ysf3484dFocCKMretL&#10;CgB64eT4cLq/SMkWyVpoPXgOEqGUGHo6/dn1V31bmM54ozvfjMc7nX17a67KWGLcls3K3byHsBae&#10;13RPi7uH+nmGM5zhycathCeU7Nu5P6/DPo5wkoX3ZkPbncT6WddhO2vld81Aul14qiz0XDj7znAK&#10;RtuyI3yJGY6nzxMjQQ6HJpZ8oHAVp43rUD/XUbU9lqYMAZHo31jc+xb/8Yvq4GeK5SotT89TdteD&#10;yKwdMAQgqqoRkSCSkmqWug1vvf6O5iV11bpSG2kaz7FMVT+CZlqdearvADZWqq/JMdelc4OrJYXD&#10;civCH/BjGErLl/45H02/IX2MH8q/cUzat9o572GT+hjrWdnF8dkg9G+EZjwi8CIjXx/F1N8/Nd0L&#10;Ln19+cs+NCEZb2xYTiBjyPUejQKl1GLqBiSeiqbwbPE0/t7Pv6KhYnAcekBsNakAACkfSURBVHXt&#10;ZJjrBctc+v3U+i050E4Fe66lg2THe96IH5hOzacZnng/MVhF7e70/d8GrDc2xYngVOJEOGMAWF41&#10;H1n8+3EFmWNwl8IKrTE6RMCIuK1TY6qaXCSrkWU4VuO2eLZ//PkumIfBvkjPjpwF6zlOAFY3fb5O&#10;kHSGM5zhzuGpSbnW+Q9uZzz1U39v/Xo3GNbWBr+1rHK7KxOs+9Li3WvsnuE5jsufG+6NeunLq9Tn&#10;I+5sW99f7puFviD5HNrxLFHZKXCVh4ZWd3WmjMT0U+XqnjfRxwwm/2IZ4rNeflRVPkn6bjKRoRMq&#10;eAYbss7zQ5d/R97nRT8lSEliJKK4WJBB0yvDt3j2Jzp+NmJjpZrVaGirIdhkimTSKu3287DLMhTo&#10;qVPHDe2+bvj+RHp+EumX2n7PIFxjP06ydZuX5LjbwVwmTSWc2I+69PXHnzL9Gj0GLaSu+iJmScGV&#10;K4NscnegsGXyEsxqiLCygrm9lvA7gt5VtlOMyTDHpjHH+YoYHAVj63EZ95DV6mHUSS0r9NX5cM/X&#10;rv71sdgPopgDM+o7ff+3AesxXNMGFScx1QDwcbv/ov710LCZ4ioV/X5RFjZKAVfojBGPTmVyHFUi&#10;mgxNzUSzHOW97weRhA/vOhwPtX02KNXr/kk4iVtMN/pnLVye4QxnuLO4WTi73RTltQK5bru4u5TK&#10;dTjK2u21znpu8e7e5U2ev3zKZze/nuE5imj9P63kcY5+YpiKVB5ehyu8XseOiUX1rJf/nmnEvmCv&#10;pVwvV7QlVQIvQD+nsnd1/F9SKr7nTt/fpriR5TsT0XrfiQCsMfSrReFe9oE/PU1uFcXLBGpXWpSF&#10;0BDguI6Z22e/q/5ZiI2VakHWhAXQh9whp4R9HMu+AG3SBFhZqCbvzr+hXe2+sfjjxXj9fwtOULgD&#10;U3XEEI3ZOy1DjoETHBUBIUFZpSQCNIuSE5dZmwAhnojjhFQQAvz6UFvHYN6cVOVWM3Tmp3xvHfMK&#10;AOpoLp0mTMMUQELQNCaZ5MQlwD6ZMJWepwrrpFeGSSZymqoVTqsaCLH96t137Pmdb2t/DjDqYAya&#10;CkuTs8FUNQ7IKhkQ5DRgBLJqRoJquIXsx76YAFIZOAbI+BrZJzPTkupC2Man9MXvu62MSIEdKKy6&#10;6MWNETrZYVJvATr10JfYJShUswjaxxMAORIgpYVkXANoamYey25e43x/Fa3z8vJvfvxX5bGL56qU&#10;OiWPQpISGRHB6JCQyQaSBLCFk1JUjFpOWPIEWRtx4sSaEqppPa5r78IfxPMvv8v33vVZUg+HhBYV&#10;st2SldbwXMGPnAkOJDnMQ+JsJwLKWRLRJCdbWfnY3QfsjyUsgZXkpUB7hHE1JmiPOOJQoKfPX9cn&#10;qOR8VMyxlWBWZlvf+/X5ytTwn/GxEg9OI03VkIeKCZYNZtlgDDPUnCB2DxZJ2VcwUABJB7hcqL/V&#10;OrlP7R/FE6WxMM2QOCZkclkIUFNk6wgx5uioRMssJs8xM5Mf3fkG+2KXdiWQmuiSQPfW3qqnrs93&#10;jaUIw1ZZrUR0oUydn6qxQBOdmCGfur9ZVzFQOTUCEGHCguRmMJlIjT2tB05dP6y1ZkLKHmBUdJ2m&#10;stWDnamR/HOAn3b7YHGSvG9N/b0tHkEiA2YGMwOaSaGOTib2XdH3RERWlJRgLKAMMgkKk9XobVCp&#10;FAxIyJlLuAxk0lxxRbACiD/9/CfL1llYUcvVDlnbPjJQylOjtJTNQ/byGCQY0YIte3WCcVHBlmqL&#10;Ri3defrrTMBaTlWUL5BkOMs0pMheBHCb3x+RIGU3gvt3OBRsGKrlnkPWJ2Uu+71QMkNM8iWVOtgo&#10;hWkAjilkk4Q3Hx+2bgxqEUa8D4oSRJWF3cJoCnihuyKR6I26vXqjhjOpAjdiUDdn+olG4IagrMqq&#10;UDrZQJzekvxcsa8rwBZlcWPHOY+Jw3QP11+D9ylZPikbA80DBNmaMsD34rm8jlrCXbFHPZMgVwip&#10;LYWnVBtlNo6VMoCajC1P/X6PpYTYAoPogfbrUyPTvwXOPzB8XuD0ipQdGC7WYaKuLPIiZDg/ExMK&#10;WILmkGLn5lmSgtUnTw1a3Uo2P/Ps6ZE8CDk6JozqkNXm3uyiyBmihSaOtJ12AYrQXLIzW65ut77b&#10;f6P8yeqfhLiSJSKChLzCEIHlsNKEiD51Arkd5yfJjURpa+V+/b9uUTpUJYUyCEQEMYTMIALUvmd4&#10;uDcbKNdGqttlEP3d+uJ0oXNTCGVXTGdZBeSH4J//Rv+fzz2gthuGf7IsmxCMdSojrbIln+ZQJsPl&#10;ub6PmY9SBGvJxvR8UNW0bz0PseUek6EZi34WdX2orSlacqOzbqaUnob1xrWmXq2puQoAI+9zSTty&#10;VCJImncT64qGV8aN7ZiCt1odYmIHGtue9xzFvhxdXx7JTNLP3P+rme95ffH3pz/2CIF2ysJntJTN&#10;haVFHpDBZnOjxtii0lar1JdFWYcgyBNaUmbfc+gdnvD4/YHaXuvgKEvyA6kJwNYWDlcHludNcl42&#10;L/lALi8GoDpmViZrbKKV1u69f/RgsfXNphky/6OkhJiVyRV+tBNFGimZMrMGDX7gVsecMqSSPhfc&#10;x1VmGpOHM7s31xW9eVx/P16Q9RjdXEOZ15+XCVH9DLvUSzXs03mzQMuMXGQT0aO1234x8Qn9UY68&#10;a6hwMrL7wPprih9rMGy8rShgpNzGpHsUCxS5zId6XSe89S2zX0SKHwgEW2I1HFtFouztYpTWI3U7&#10;Bkv1KLoD5AQNY05j9sFYjvMC3I4dZUm3svGsYyFvVq7XcdF4R12msrlPJylwRBKVFrazWWnqxqLF&#10;zGxrH/Z/xD1QfHxTDegs96UI6qFk4MqIJ3us1+vzXfT5MtYYF41mmudJuXS744JoSXlZjnx8/nw4&#10;9e7jIFPuYpkTOV+6Iamb6NJkLkebBuDdFeV3m8FP15KrqdBkfIzZah6bdJ0fmtyXTF4QKT3rwztu&#10;ExxOYlYLPJmpsLFQeSOrtNwQstdGmXWW+btBaF2fOxlAjScbFTb21hIRjDHKzDcUD5i+72/saXLq&#10;9U0VJIeEzEWS7kCBe64UQuY4r7jiYWOhbbJbMYcYaWjyZW3NvKzvRxqQ0+gMpnc850pf7AnGlaHS&#10;v4yd75cx58btYiSKYdicXWoy1BR9xXqxDTSKF2L0h6EqDHdwtzL+DopAokICUhG1Ss6CrJHTx/c0&#10;xCzFBIPU23ui49JSGtCEI25sT0nuDjaBqho8YWi9OTzhdqxvh5OwpALvHgZw6v5do7dhJDRJhzIb&#10;a11RHDoDrK5TVez933e67+40wmpJcFU3KwaEKNlYK4UkmZmOJXYby8cv/PryjUWMfzSgdyNosCsx&#10;8ynkSA8yVSGGDC3c1DVBA6p7oimS7cNxnJjrlOrdZ3x+V9LnDGeGjMSSMKUBDXXxwMzHPbTEtB0v&#10;u8uMwSMXCxrD/qc033v06VPCCH6PVFy7WfZay3q3LkPzu7TwTAqGaNYTbxfdDqPxLWC9HwieHIrp&#10;cHtLtr5LtnjGlepakcZ2kG1OOgDZnCSfcvMH8OXPewDNlp18I4+ymk3UQrP0spIhpWriyjgxZSbM&#10;hz7NssNSJkUc95RShimvMlW96oATAWyt8KwptmuqxK102s1CTLypCQCKUmodkVU6q97W17gIIaVc&#10;2KaYuUWKBhqPGzTTeby6Gl2RzU8t9me1fUD+wtZPnidfFHHl4HZw3FMWG6gwRxBMUaGS6xtPK2Vv&#10;RlDubB2kXxq2FYdsrBwe+klhTlcqTru+B67wko8IYEXqu6i7noa0XJpi2Nzas5WvwsNbgeOrdpJo&#10;EN5xQ7iSgitdSfe9Nvwjgb1gJP5OHsYcQoI3xCUlBAENAbhUVdaYCZo4mlROisJ3SrQKedxfj+/a&#10;6/WucV0/3i3c4noOrRXFm71oKVB0h1mkNZ6SMQiuVloeQ5OK8XWCSkowdmJhuD9+a2F4ev4b42+A&#10;S9vnzbN7OmjmuMAKhYWrPRU1HKfCGSle8MDwa7mtG44Re9JjYiRgTmGURLOjI0yz9MtiT2V2DwsX&#10;DHI2RfWrZZ+59IMp7a14YtaC9drQcPOc1u3Vyo/DIzKiJinv5Wp0cNxjWmgMg0Lbqz/y4u+efyz0&#10;KmkmzXzQVz2wKO2QnK5dLU9VatfGktxXXYZPeeBg1G7HVfSZZ7X44DF97Oqp9Dllbwa1ZrAlYexH&#10;tlWMYh2OuqLx9jQK+unrt72GaEpKZmpMztaXRbeVHilisaMqz/z++ywA44kSRevyRWtjYL/pxVWV&#10;VNXcELyBp89mfSfhcVLHft0n6yzYG4HZQlVNzgmqCmMYRAQ2BGY9df7lKMS2ppOFTZSG7h1sS0Rh&#10;Km5DaHF7dSne7xSpfJTnbluuFccfXukFZB9jUHO6q+oZRkRH3qQcV8NH+kEqrjpnwtiNBZumuHAb&#10;jKKWIAQeV5dhLScoEURjGlnpdCaYqiaAwKKGM0hzAiBKKmJ0c09tUs4tVRlH143zpTqWmADKZK2H&#10;3g3rxwDIqmpVtVd9l6ieVfV2xCQHnJTBHPFkOfOW9u6OEOrcucEJjiujyXFy0cf9L5p/0HG6/vI7&#10;3Xl3GpOCiI+WOQoz+5Jl7DHYEkEdlPzm80sNb72Bfr35JTsJ5vDne0geDzXtxm13nCMr2TDQgAkd&#10;F2H1MJXBKRUV+ezNuDp6xtW+lGFqDWQ12bq0EsiSDktnJBTX7FSJD905O5NEw7XFgOff+0DzvTwy&#10;JMCVid7T4ZE3y823NDaZATCBiTIBIFFVVUqkSHxbqyc83T3fLMfdnKvnduxfN/eFrH/gGcWqfjET&#10;jDkWslyU1CkrXMHkJtgej+XcV+9/8b3fzNNrgb9ZCiysMZjkQxhilwfl0uyXVVyYXZnyuJKilUBz&#10;Cfp86dHWQ4ETYcTid1eUbsVSOd70by0AR0SOTpCq5HLLh26uSHlc4VwWVgcZCo9HWYzJ1hwVyzb3&#10;3fc9b+XKnW8p/8wHfGcfcrUjK3tNurCYzHWiqzbbjJIrmH6sjhyU7ci3QSqRUcVPocqS2FpJIQZU&#10;cX7pnHQhmxtemj9wS3lkR5T2eJ7qWBbWWtKkQFNRb26FoPb0aBnWwqaxOs5AshVq7Xthij5qbK3N&#10;Ybz0zfHa/W/Ee2c3+fAJwoGyN92YTE2SaluHq4c9kkBlstUvDg9y5Y06CbSspmvL8tpTvTa4rOfJ&#10;rSyqd3ldb8L6etY4QfJF4rEjlqSrIYa8+wL0do/GoNabbJq2b7uAv/e8b48vmX4tjQ0jAyPsbTDV&#10;ZV86yYHYULLhMMZxhEhamf76eFzt4cK38rj3+qo+PDY/t7Lb5oBdqaiFUonOFuU0P47y+DGtc5sK&#10;igPbJkQ3sY3nUsffl6d6reiujVIZACaz6Tj3cxoQ9VK7j/1yVw/kkukTZzO4v7Xznec+3nWudsFo&#10;n8icH5sfPtqprMSVmYfza2of0YmA+VSrqSltMiYFz6bKqT92Wyaoau+SDYm27jndqCYxJzdRwLCY&#10;0mmKNGIyzC/t6qpPuq6fu6ZA/S542vVTbM2TzTFpt0yqZJwO9cLUvR0PvKGzRGx4wttT4Alj6Nq6&#10;fBvotQQ8wVAhANCT7NI3//adxPqQDzg5y9Ze623chkNfRKB6wlglVuSsaozLJ05MOX0DigVpVaqT&#10;0UoxhbUHb+nIwelM+DZ4Aofpro7uEE0w2sc+7KTzH9viivUKmvrV8Az3/amgUXX8Crht4j+znMa2&#10;GHah2tdVH4cuLTaWn3pTIHc+VOXBb1DwNgJZbUk5Uy7c6SUVE6nCsAVgmKFKOKG/MGXVvHFMrnfG&#10;jMKu2N3TlBJSToimlCF5jXcH+/vmNVzhifAgQ0S3w5Vn8cS+BPz+QgsBri3BZ7EJGFye5UFXH31t&#10;xov8U3NfvUdcjXczBITm/Jbvo9ccA5OvGTAYTK14InzvD4xh5rmAMfOfa9oXvL78KDeMHz+ZF7Gt&#10;s+6OJTNT6SxwMOZsty7YfZoQRUeeciyq8hnnfztv9JjrBDIaQqBjs0116ZaNdEgpqS4gbZu/6/zr&#10;/b0vf0PxqBKpgD3KLTvyeyyR79oxtR6PW853I08YocxN3zVEJMq3GGB4e+4feEJWXbNabkfOgndj&#10;RT/zu+LwtlznYxWuUz12qUzGWTUjxZU/qitZNbO8Ve/g/tfTF5/7htV20e99wsrOfuPq2Kmpaz3k&#10;GBflTsrxCFQ40NaLcJwjHiWD3Viuhfd1XPRaeEp4oqbkaVi7CzOAeKMO3LqTKNatZdLWVM5XduwP&#10;Y7JBd+zkqI07sXnQL9LnvfRbz03OfVv8DPs9PlLbFom3K9CQqJMSfnsV3Dk1KIoICoUMZAxoKSmm&#10;otlYq/KAeG3RpBWLnY0OuQDEX26BSN4QEW/SikmtMgSbF4FG1WGADuS3nFuOibJuLJRGX6QAKQAh&#10;Tr1VGOnJUl3cU4x2Jolrq75EF1Xu+ab2Vy58k+wtR/2z4iZv6VAiGutpdzdGm430R1XdXEJ3qKY0&#10;3tWhDThR8J66Oa4X1a3O/7XCuN5Y1nNsNNHq1vG+2nIaSwara0yzemf2tCRQv6LF6kdzi4v3fHv5&#10;VWMugBw5EHkvXQim2DjoLYSQTTlRzQNKAixyAT/zAxy24z7GcmWds7jvO6sP893+n27S7O3T3Lrj&#10;qYbCteNQ1IiMPpRbXnNfu7HV2tqY+wFS7N7K+K5pNev+XHsaDQDqFmOxjD01xsuxDrmE2O3y2hXf&#10;D+//ojfEb9B4tTkyBx15ptpU+Xo++B7fljLRkkYcra8vAISIBE+h3cWxgWcJMR0Yb2ZDK0YDxVjE&#10;HZPw2Kn96yDwuTNValPy82iRGJTt5VbLQJ6eAqZ3x9Oun+VyaUXEllWDpNwPGanUUBgg5BTvBk/P&#10;ncZa2V1nfl8bZoDbcOjdiH88mTNr0wyQoZsr7LcJN+9BN1vVl7gNSn9OqgDUOZcJBjEoESyQQSA5&#10;1aiz3cxy6sINdo7iyN3zG6SsOSlENrdJ7IYlp74IR3XDWyb7cahn/ev+2j12sLLwd9xRDVDPw/P+&#10;/PuMPLd0IGV2B2op9Dota5MmGzPBUkrSlJVflvf+MpBTUdYECFXe6BhOp29ngGE4A0jGmKyEnAiS&#10;oLfDZgunSWap1ctLXCUVybC+1EEhY852ejdo1TfCnbUHwEQkRCe5CnB7Er2tGTNrgXx9zVtTuIyk&#10;lgPBWDc3RT2MKgd/dPpn2mZV9gt3x8Mb7jQGdenxTgtoFqci0c20Si353Km/DTZP7g9RYshEx9xl&#10;x7N/RT+299U6cVfku/smRjGFSF+jKj03xwMCrsZYleYyicXYPuOJ4hY6HbOwayiFkKCFBhrHOIlu&#10;goLy79imeNl938af6WQeJWYhvyqqKgVjj0fFuLlX63TcPOdvVqpvCTcxRwxOZDgiIjWgaJXeE3W0&#10;n7qHCm6Dsf4m3MzOZCJ65pXqkq0RY6SRFisztQNRRFqVub4QtkNv0Vq6mq5XJmGsknXT1135oUvf&#10;0n3w7r4th3j4D+1Qvo3DsQSqUMQQroZ9U/mUmxRbsROPJ3s31g+5/uxWlYJ44997VWVVzTc8U2YM&#10;k1jy/c2qXYH5vL/o+R3eHn7H0o/373xTesn0u+pvnfXXrek5s7Nidszo9UpPMZjMdpj1h8XQPwhg&#10;bEERGUVZZBdLtdCh3XjTH93E5pgNnBEbDmCLIkKHcE+8lopmkm4k8PgDt4NWW+cJrlR0pi921Jc0&#10;P4qx9i6ZYWNPhYkjZyQzVSuNnQ5LbWtrkur48DhNx9lzRAgZII+GYkrWmvvfiJ+855v69y3S8Pzz&#10;q4N/lbO7VsQeZExutDewVV6K6ztbeJwsoDXF9Gbjy63O/fXBdzO9eZ30oIi26lxli+uxlIEnKPNo&#10;D9L0Okf6tq2EFzzvOyYfN/u+7ZVV8mWKDg55KSaIqXiuhxvT06YshnKC1pf8UpmCKcccu1Aj4sBd&#10;opJo7EPrrI7mngeK/3bf1x+8bAX7V+6T1Tu6jkoaV+qqrXoxhiTWBsfsirwyOSOl5G9l01szPNb1&#10;uCOeoMpBHedIBR2ZIORpSPbqVxZfmy7Ov6t+SJ03TUY3oSmRBPRo7X3fjjctjeSghrKUuLEe1+3m&#10;DV4A6Gglq8x8ybWOsjLt1LtoL6FMvqu26tVpNx/9HDlGqAFsf4XI+ozcyvPSwVturB+50dZrQp7S&#10;nnb97JacIvvUm8L6sqoiNdaY6VGHBkx8F2gNdxzrvbvBydxhnHhs12E9G+HGnDmJ0X6yoG0Id4Wr&#10;bV33uMETrCl3ow8231+NIVXVlIOqKjlbwpqaQGyhfKrStmivKdnCS9FIlVf0oZ/5PY+4vj8uZ8xq&#10;Npd6CS5nhbe5lSA5E5ytnf7pzqXCh9UdHx9jK3l0LD7uui1NsbNlUmoi2y2bR1Gl5cZC97ZhHeS6&#10;fODf/N4HXRElDtHZNKB0AlPv3EoPCjKpBCGGsVDWTEh6QvDZeP2M4xipsPQCXH80l9tkizJmAYxG&#10;KvLxe2QMTsF6jlQnVPh35dwIeKLKxiZIeMIDDjw5fOzU+TlJxtVc5tmKdMC0e/AzJqbD8vtNuVVw&#10;cVcYJe4ojC3sC/IxDCUYV6htH4eak6C54OcbX9/BpxEXkDIcI4nJNUWzU136l6tPi4f5Qt8O/363&#10;PB5FGx6KgIk9x+fT1b6MpP72JrP6XXGO27LhGENGMXOInkSGhMe8po/ZfZ15753Xj+8IAd7gmoN1&#10;GseC6rEo02pHzhVN+x4ZpN873OHU84MBUtUsqtAb1zEgJVHHSd5TdbTX5/7Nob63q2TjzeGgBoA8&#10;44s6JZN7bBEYsKZTtsmRxYBhYQ9SoaXvM4X5UBYj9ybx1DjmkPrdf0Xhnm+2X3nu2/h97mvtbm6b&#10;T8uF/LdGFw/nvhytqZoB19fC+5pesPZaryfBrTzfu1kgb8TgkaqOc05jf/jQL4B2/7msjp7nv4Fe&#10;/F5fs/eKlz6w9TiaMUF6PuYxZS8WNNp8MAcrKlN600jCws1H9ZPUlyBDQiP6oRuj1s4W7IqNhRKJ&#10;mrKppTW7ZotQdkGVIO5hmv5sDi3deI4/cNsiPylyFpfFmALUNf3P71yxMOOYvJ7u6TgNRVWJAl0a&#10;ctWFJQjSmbKkrqjNstj2ISM5ihNniccM1ZSylWRBPl96La7xt577tPf+6sfv3Qb+V+Xd7zPD0UPq&#10;KFXSVpVNa6/y2oO6ng/r8b6VRf3UOXSztzQRuqaH6LYc7JcafmR37D/+fb7V3HPuAf78c99s9gER&#10;DIc25RASu+gxojRKSevyGJuXzOgFlGIE+v2orjKSAybTCfXz+xj9VaK+9HMjWexUHVmMkHTpdfGH&#10;y69t/ojX8+9dFZMfPFzRw/fwgoTAB6g5SWKpC5kMl29l09GnvLc4ofJaADFQwNzgzVXr/t6DEbv3&#10;fj3+QUNwO6JDn0PulDUjYkxbNIn3GMRiPG+P/r5tyAx2FW7QqLOq3swgWa9trVczQ7Ztc67I9snN&#10;Qzm47rI73Hr86+7/0tNtFjkkn0wVB7uHHQPfJwFB9CGe/EQOS3vDuHbzmuCnKvpP145DZWsaDboD&#10;7boVLpjhV1/4NYf/Y2ZgHeIdp7feBVjPmWt4woJ8s+Fqs4urRhHdVyhDFUQ39nlCvsF8uBuwLrO3&#10;fv4AnNA0NgURn2hXKbGIwFrXHR+vWjaFqp4es+sZMEQaYoIkxUO8J42zv9YdHyCbzdmrktScM2Vs&#10;uZRoe8fV1WGV4te1/9aMNpx/5nr8FhG/8WV+TtUX3aPXqDgeh95G37K6mILO0+bsyzQsSVL8pYf8&#10;ucQiIHbqLFHbZs796SkFDFlQFJ/bdEQxrwiwDLIMA1K+HfJdMfjteNmf/zWMg9OcdYTlrKSF3BXh&#10;ExFAoao/C5zU9cUTbLLbQa92AB7Ck/ejm/MzPC16aSPI2p5jCulhNlV+f6/Olv1RX/Kjf+iZSnns&#10;8ZCZXwdg25ixTaDB7iHbGjlsrnOFmJBmQ+nUj2KFpuMoUj/eE89x6bv5+Pnfiv/9f+rsgguH3zk4&#10;OUito9ShmtWXxoWdPONspiFJcHFEa6fa+vMP9t34Kc9/A1544YHxR03o2Q8+p9qaUCOm3PsSdsgp&#10;DTw5cPv97bAZnYoR7y7jAbdY9tCe1JBRgSKRQplACuasTFF+6T1w/081CBCAx256f1uhqotnnN6Q&#10;MRDYk82gPhWqEmImb8ExGScYsnCNkVrxWuVyHD2zCccu2iqRLsSNmeg7/QBaflcj+K7Bbbt3fkq/&#10;xawfykp/AYQXAXghgPtxsgG+K6bm93GbBicWlRbAo6r6TgA/B+Cn6q/tfv5cTTTmVaI8dwbX5MgH&#10;QmRneiRVzfBTlrHMDa7poox2paZ3XcDKgEw8ZgdIAFF2KuoA45gPxuORsl17ZP7AOEetPVSXUgp0&#10;DB5IIztGvP9b4sdd/7zxHynzB2xy/SO/SJSVi8DWqPzKzjR+8UE9dY3pc1gm3dTY043CFRRDbXsd&#10;Eze5kG6VAYRsIZKBOnKx8mksItWj42RyzgLrKWGMysfUVTtUPdC+acjLn4fbzvqaw/PHHf6sruz/&#10;Bz6+FMC9AC7iifjFd8Xk3uLcWCvR68V5BOAdAB6th/Bfpfb/T/O64reRsyk0ZIcjkJlqRyWDgqmb&#10;rZi6I5Oc4TJoHFCxs103TT0ONuo9INntUMqyYol9F1NmZpMW1zMUOm8mtKQh9qtKQdGN3FIuz0vV&#10;XaXBZdl54PrbxM3+2nY8xNv+zvYfL7D4K0PI/6st8NIHzda5F7hrt7LpvCtWFU9Y/64B+GUAvzKl&#10;6bdsf93xo+yLOIQZJhzLXuPQpkgktSXupNcuN6bEkh8bjWnKva9J/+xX/vbqP9/DO1/Wp6MaTxhG&#10;SgAlEdkb45GyP94PORfJ7w+NvcgLfTw6an7wDf8kfs+R14Tw9Hafc9TGA7HI2dmVcSPnSM4a+/xv&#10;jf/02ueOl2H4r+PJ7Jf1M6/xtH3kYifRGZudpAL82znGLzvmiw4w2Wp7N9XjvVNYxzh9G4BPxZOr&#10;MCRsqFiLyKEqLuPJCfXW174bsD4DnhqS8uUAfnjT548xqisYIMMUOceYjx56sD+U4JIh2NP6wUjF&#10;vaTgMVoqy6waTGL6pd1i50OvhswNb2ZXXU6smPaq2/L3IAXpiLjWyhb95b/2v0R8/39/D43B74kD&#10;88KPmNFydxHrtOVX5V7PoZu2luM2H04MXNhMr1RnqMTs/80m2qoHDxahl5Jr9FJ5RX+KXdApIUIl&#10;9/hNU+mbGfiThsmwYjSAv4Wo+afFxEoMw/Gb73mt/bFd6nCQHCySTXYaFigM0upO54VYe4o+VVX/&#10;BwhTnMhyxY0kbpvKuAOAb8CTy/CsHTnAKfu3lh5pGFLYAvzxeVeZx3fH8b48uN5y7CzMH24GuGUZ&#10;nv/A+IjTqAC08yVDIjiPtGuSXt1wdrG94HVxeRBma7WmoGOct3v+2BxImYo0mBTf7+tWi+Srz6nC&#10;8Nlv+7L2k4e+/szr3eWP3CmbLOmZrRDRm4Zrk/7NVl4+UH51/7PecREVUbM1cD5LbD26uhfjrTea&#10;Boqs0fmij0NPkW6l7OqGGHCiV92c9f5m59TTgk7uzyigSsh6wo5myhIp4qef4XsHnlxueS1vvQMn&#10;IR2bZwo+wToERQBsnn36TqOiGXo7wwvkkernXtVcuhTblzw+3T336LXxeX9se3Xv4yexcyVO6HUF&#10;TjbGJYADAG0Y+Or9Tt72KF168wu+4fKjqb6Y593j5j5j8Bu6myFX7/QjnmEjTDAvV3z0Sdi53uCF&#10;yTUv2YrtC/57cf+FjwgPTS47nHvKF9YU5h7AeDHhym/R3vWXiHvb1eLyW7behEee92voD4/vB/EV&#10;Uhmf5UrRBPeWLY4HNT2gudiWnXDIP/bq937eB/NbXniF8ScAzACcB7CLk7WkOLFgxosGB795fGGx&#10;OxseuhCP3/IYbf/2h37D4ZUHq3uiHZdIsrzTD3iGuxgVJq63e/Ge9E775ldP/tyOXf31a25+8ZEl&#10;xvcvj9MVPlWpfOoZtjZ+HAO4ziv+spe/UcJ+9cdTg4cw9ldVJ+cgg4DTPuc7nKzMAAx3j2azVD8s&#10;rfLUxPr54/bq16e/82r/wcGHT8XJ2bUOFbjZiHXqvZ8X6H5/zpopL4fyyjt/+Tr+yRe9AatH9UUa&#10;8Agrnl4rPMncCRNgc1bCLkX/X7/jS/7k7vFv/vT5Rs1yw1xQRU4iHFkpKcAZ6sGS7Tgc/9I4HH3I&#10;+b/7m8+o0mbBSI4Ayqiyg8hFjKq4NH0Er/hLu/hbH/GnHgawdWMMnlTZ4MbrRjLUFKM8qvf9lY94&#10;xbf8+7flymGyFTEsyMpQeMmnFu1ymCFOFgbDC/JeOq5+4Uu6972nHz8Q+f7t68VDA/O7GHxrY1IP&#10;YB83YvZvCL01gD0Aa76t4GR/72yyv/yyb0rvPJi8/KhoH0LWJaVywpwnmePjd94yVdS+HKchVVcQ&#10;P6GeH9/XfUi1OH//L6SMD3f7j1927xqfAifnWI2bkpeq4OayjWsPN914/mUR3I+95LVxPGzed3T9&#10;g0Ky1FBOldMEmi+TnqbU1FuYdkdlb5owyy1+5lPgti/OfqHuFu87qcCL5EBEUFWQojPG1KoKEclE&#10;9NRqGs86EJEmyQFAQaRQJWFQJjJOUs4AHnjJa+MXHTbvC9c/6EmW8Ub/kubLOLV/N8aea7aXqU2j&#10;ff4S+cGyVmM7TR/xgvNH7/vOj5uPk7/6q3Lx/V7u33rpSkC8ZPdodXDdbV2yeGenaUZPb7RZmnv0&#10;+fkh2lfIQi/yhdlxf/na7Pi9/JX/Oqj5oeqB/L13eoyeDvJK8+I32/f6xRfl32727cRerFLqrg92&#10;e7vG422RCvv0cecPYie/Dy2g3JgjuZY7d95c6K5CqPnW2bfqF2Dsntkt5Bx5e42Dxf0w9TtcK2U0&#10;caz3v7T6rGXo/q+yN3Nm9nxC6kk3mC5PSmz6dDgy29hznKfdZXpb3H7ne7nVq5/VCxYACqAcJ/MR&#10;o9HGHlDsUQRuBi73wN1jpQWvbb2/6+IceA878ii2LeFtaQ4/T/BDTzpmCjsl4sHmtYTPcOcwMefd&#10;KpdxYh/CCnNQcqR0HdbcjyQPcS3lU4W2J1mgIwzOYZsfwwJoOqkCo08TQgn2eoAwPLszONP0vUiX&#10;D2pVFUDfOjFWx1ymWZ2x6Hpbovi9Nj0GwAOQivpFZuzeSQZ9tqXRcdwCT0ejy5VVxe0oa3KG5yoY&#10;VLmdoh8xlOWBGxIak4oj39yLvnt0UiudGhePd/ca2Rvv85SH6rrz8VxRJV4scBWgbFUnCRDAtLiz&#10;67cG4AjlgpFKuDTPkWju6fIKcl5DsZJyxJO9678vIbMDEezcmrSK59BNYPzq8VwW1NjRxOtIp/Ck&#10;yrKmNHSUwcZO9mJsWxQ2onTwyz4E0c0YkoQKaoSBKCcReN454ii5m4uMx8+0xbIEMNgpIBFGBrAn&#10;mGoPOL6GlzDwZnHAE16am/fCNdtpw/kTDdkmqzhrLWeEQzJQlpNqO1aQn1boJMA6BrPYNGBHarpq&#10;OvYG3CTkQ6mlXCvVwInHaZ1kEwCsQNcsrHXt9rW8YwHkqRmba+RW9zVE6Ti4I/ZpQJC5grKiWJ14&#10;su4cPDCTuVkouV06GvYtOTPU0ZaXzDg8mmvozWygtTK9ZjMCT040dHOyTQEQGhqKa+zjpQlEjgOO&#10;2WJAwlxBQUH9aYYthgWatFN1WMWpCSiz12uTt37arNzS47KvmIjIqqojhRhj9lS1EBHGSSWaZ7X8&#10;SURDknwdwAioqsLdUKqDpLz/R79FzTX2q0sT7MhxODhma270b77Rv8/sFlDeCwyXeQtEE+T8CKPG&#10;bNvcf9QvH8ZQKmPYK6vZL3z65PlTuvZB2w4f0hr7koMuvdBuvfwFdf8/n9aTPWHzUL8/vo328Os5&#10;lL/+0Bh++s9/J739SsqC8gLQX7nTQ/S0MLBmqxT3X/5meW7HD5NC5foobJatlGZ+b57kx572AJg6&#10;tbJAqBX+zdMpXuLDEfdj+7LXI13xZhzGZ/b4nRBACrcD1gfdVi7jiiNSngD4sQ8tmhe9f/98Zp4x&#10;cwWAVXW99iOeCE37PTGXnA5kev1R9f3Hf8/x2w7bhP8/MmLN0dwI8joAAAArelRYdGRhdGU6Y3Jl&#10;YXRlAAAI1zMyMDLRNQChEANTK1NTK0NzbQMDKwMDAEGpBQ+vyk+xAAAAK3pUWHRkYXRlOm1vZGlm&#10;eQAACNczMjAy0TUAoRADUytTUytDc20DAysDAwBBqQUPjiEKcgAAAC56VFh0ZGF0ZTp0aW1lc3Rh&#10;bXAAAAjXMzIwMtE1AKEQA1MrU1MrQ3NtAwMrAwMAQakFD2MIHXIAAAAASUVORK5CYIJQSwMECgAA&#10;AAAAAAAhAJ0/kPJXHgAAVx4AABQAAABkcnMvbWVkaWEvaW1hZ2UyLnBuZ4lQTkcNChoKAAAADUlI&#10;RFIAAAEiAAAArwgEAAAA8+4bjwAAAAJiS0dEAP+Hj8y/AAAACXBIWXMAAAABAAAAAQBPJcTWAAAA&#10;B3RJTUUH6AQEBTcTXlMh2QAAHUBJREFUeNrtnXuQZFddxz/nnHtv98zsJkt28zKv3RBMsguBiBAj&#10;RpaElIIaglSoxCoRFa3CsiiFQkshPqAstcq/FBALUPQP/QOBKnzyCIkIZYw8ZIVEEpIlWZLA5rWb&#10;zcx038c5/nF+53ZPNmFuTz/u6bG/qezuzPR0n3vu7/7O7/n9KccCC4wH3fYCFph/LIRogbGxEKIF&#10;xsZCiBYYGwshWmBsLIRogbGxEKIFxsb/ByEygEbJv5R8V8mfCkjkZwkaMBjZGz30+vBa/7+u30PV&#10;PxneTS2fiLw6/Ny0vRnTgNr2wcYER4VBUaJwaJzcdDf0L/8VgMHK9714WPl+eJ3GyvcVGie/F77r&#10;SLFYea0XL/8KVX9v22H7CxFkWCockFD6qybcUF2LkqbCCwdoUiwFQTieDoPGigB5Mcnok2KBSj5B&#10;yScMNlhhUBRtb8fksf2FyIhwaNEpQZASdC1ckJGLnlK1XlLsZs/QwQUWx91DYhWOL0tGTkoBpFRY&#10;0WNWfjfovW2K7S9E/iZ6/TLQQIPba7BcjOVy1vl+NAm7OJ0dWHIcSf0eiOYxODQFJzjGcZ7iIdb5&#10;Dsc4gqUSYdR4gdOkVLWgqu0qRttfiAzVSbevwx4uYC9nsswBMXwtFYqEUr5yKIwcck40kcOhsbWW&#10;UTg65BTsoGSVb/JtHuUB7mMVJQLkDz+wohG34YZvfyFKKElI6KG4gB/gTM7hPFYoKEjpUKCpSCgw&#10;VJgNN9lSkcAGw9iISFnRcN7A1hTo2hwvOca3uIu7OcoTwMAyWgjRnOI5XMhens/3k5CL8+09KrBi&#10;Ols5uCqSWse4Df5XMJUVtn4H/+9KXjVshmuCFXQ/9/Bl7uUpsbW2IeZPiPytH8R5LAkVjoyKSsxo&#10;r38Uz+NFvJTT2UFJVd/62a9YkfMdDnE7dxP0WhDRILLUYYgOfUBT1dZc5Jg/IfIhO3+QWILN422X&#10;RDywnRzgKg6wTEFJtuGGqPE+fAuwOAwGR07B7XyJ/6FfH4+Z2GzeYjJyVYkckFXbm90E8ydEuj4W&#10;wmHTIceSUqI4jSu4nANk9KhISNBUlCiMmMWzvmAjEaXg6ldkrPM1Pssh+mTkAHU8vSTDYXFYFB16&#10;bW93E8yfEA0OAn9Lgn2zi/28nBeSk+KoSEixlCJyweNKZn48uNrlD+tHfL9jfInbuZsCRYLDih4N&#10;MSaNWmiiKa66Ppo0jpSLeQUv4hRKSpLajqgkqpOIoFlsC7nCQYRJybqVPAgJ0OdR/p3P8V3ABwOc&#10;eHwpBa628aLG/AmREVWvcWTs4Bqu5Hz6KAwlPC07ZigxdfasDTHyetKvxuIkrq3lZxZDygm+wm3c&#10;JVHzRJIjGiuvjhzzJ0TIxna4kKu5hpKcFMM6ji5KYj221lZWEh5Gnv82LjjEmUJ8yeAoCSEBL94l&#10;D/EZPkWHvlxBKq+KHvMnRCkFGS/jNeylRwV0KCnJUHIAILfG3zD/HSfO9OxtItgYYlRDNpCuf+Y1&#10;Z48TfIbbeEIM7jnJ/McnRN4K8ME6fxB5A9NvqGaZa3klp1Piyzyiu4AxUVLxj3ySJ9EkIkr+EEwl&#10;dRId4hMir969WazqXJVCU/IcruFVLEsoMcHSI2t7uRNGRk7FGp/lH3iKlEpEyVCRQow2UnxCNFD9&#10;SnSQo0OfZa7nWjpDcRctjvv2QolCk1LyJF/gr1F14LGMNfMWnxCZOn6r6wiz4wZ+As0KFcE0hbKu&#10;29lOUEPx9YrjfIJ/xVuCXXpxuvzxCRF1jMRXDBYc5LWciSJhtY7n6hZiz7OBw9BHkYlP2eMIf8fX&#10;ZGeivOb4hGiZNQnEFaRcyBvYR0oFlPK3r0m0Utez3TSRE6fCOxelhC/+jY/yeB1ligzxCREoEgrg&#10;fA5yHQUd1qhYJtgLodQrxIO2F5SUxYVUTUlKScYxPs4/t724Z1lyhEKksXS4lteyixxDjx2UUgjv&#10;Kw99LirErbcXKhIJmXpdDJXEty138X6Otr3AkxGDEGXkolUMFUusc4Ab2U9JuT37tMbC3/NRHAml&#10;1B9BqLEK6ZKZo30hSqkkmOjjt5ab+CmWOY4mpViI0dOgOcz7OYx/+LpUlHL8axS6DTFqX4igSw9Y&#10;oofjfH6Fc8jokYoZvcBGWDQ5H+GfsWT08WHIDo68rQBA+0K0kxPsxLGK4/XcSAnkGDr06UtkaIFh&#10;WFLWOcQHOUaHPl2gB1IB0ELKtn0hCrGPPbyDc3C1bzIol1hgGP7o75Kzxp9wpxTALGHptyNCMQiR&#10;968O8vMYEipSCjERfR3idnPhx4WTKFlCScZf8i+SFgkR/hZuaPtCBF3exMvkZC+kdNThSNEUCyF6&#10;GhwdSjR9Kcu7gz+jj6FghdVn4Q6YMtoXorP4dfZJ1KcikxogX75laxKXBQKUhFodGsM6GYf5C+5j&#10;hdXtfJyFMrHQ3telj5NusQP8JkaSrm6hdbYAh+E47+WrJKK3XV0ZWUgP25QxK02khCfIl6ruYB2L&#10;49X8nBjSwyw+C4wChSWlzwe5lQRDgZW9ZlaaafpCZKQRxkj23aGlU/UX+DHxNQbUKwshGhUlXdZZ&#10;xvIpPkCKwUoBrq8/moGNNH0hCh1fHoYKTYLm7byENb8GAleZirXYIWIkVBj6GAy38V7Ah29XWIXt&#10;c5wNN/kAWE7lZs4hpzP0KieFHQshGg2OEsUyFTk7+BwfYhVNHySKPQPMQohCY4ymxJGyj7eyW0qu&#10;Bmd2IGhYCNFo0CRYcknHGu7nd+iRYSnpUswi4j+L42xAu6LIOJ13cQqlCFY5xLK6wFbg+/aXKWtK&#10;i2/zbo6D+L8zwPSFKPTOWxxL7OFddEjpkzHc2DxsFy0wGlIqiroFW2N5iJspKGfVhj0dIRpuutMk&#10;lFIrdDU3sXP6F/X/HIqSI/wRx0hrc8HhjeypRLSnEw8OLYWeWDPHkGC5ijeyezr7tkCNihLDc3kb&#10;u2s6LU8HX0BNZDpRTF4TDfeNBdJwgKv4VRTr267ZMDb4Nk+N4j5uxtJhDYZi2FPA9DJTgfk5waHZ&#10;yxul3mWB6ULTQ1Nh2ctv4VhjicDLPSUDePJCNDzEwAElCefx++wUQ2+B6aLPDoKDcilvokOfjlhC&#10;5XTOgelooo1sFhfx2ySUdBYV0zNAVodNchJeyU1Y+vhHOpmOrzYNIRq0NmsSdvBrnE5GyjpL88FB&#10;ONew9GRMzQo5BT/JQTpyR6bk8E/LJgrjVwzv4AzW6FOiyelO6fMWCHAsU9AnYx1DQsGbuVD6avuk&#10;0/jIacSJfLDdBxlvZv+UN22B7w1PnvUOHpTxOL4VMrA+TaRYZPKayJP/LuFI+WUumfWeLfA05Ggy&#10;fpWOsFr6NnQtd34i9UaTF6KSJVn6y7hmYUi3jhXWMJzHW1FUpBhS4YysNlRRjIHJC5Glh6LiIn6J&#10;aj6IK7c1enQBxX6uJ6Ekp6oHdU0oBTJ5IfJTeHbwTlKYlKwvsGUomRiS8nqehxM9pOjgKCYT/J28&#10;EHkuxd8lo5pNXd0C3xOB4QA0v8kOoW/2FUgTKkeevBBVlLyRvYQKogXahaJPQobFkvFmMgqsTCKY&#10;EP3DNDTRfl6NpZT8/QLtoqJLTkFGQZfLuZYuhbj5NpbjbAVYkUC7BlZ4OxaGpqEu0CY8YZamICVH&#10;cwOn4MlTB+MhxsT4b7LKCquSbM2AN7GTCiVDM2dSKL7ACEj5bSnSUejJ3J/xhShjDU2CQdHjen64&#10;LoVyEmxfICZknMXrZGyXmoy5Mf5NzslApmqcwfXklBiZpVpMJ1ezwBgosLyKfThszQY5JsZ/E1+5&#10;m2Ap+RWM0Afbutd1gbig6bCDG0FIRSfyluPCkko46yD7ScWZTGS210KIYkPKcRJewsvpkU6m1nF8&#10;ISpklO9ObqJEUVII27RZNABFiIIVHAU/y+5JVVyPL0QpfSyON7AiUYcUTS4jFRZCFBsUih4lu/gp&#10;JtT9sbU3GS5/LTAo9nJV3dMU+BbzSHyzBEdR11t6+qxMerCevkJHQoHlMKt0+TZPnPSK81lhD3tI&#10;KbFCp2ClBcFT5yRDY/Gq6MKtFYmkPV7FP/EIgIzoCzwiI2O8ojQFQoP7R+xjjZVIh9gNJld7Y9Lf&#10;eD+Sz4+cKTjOEe7hIR7jAfr1dJHuSQW9YXjoHs7nIs7lhSClFYGyIjSHFySyO3HB70POMl/m3fIo&#10;eX5Mu7XM/uhCdHJfmeFHebMQyMRoBXlhUcLco9EkUg6R4vgGh/lvvslxwoS1UqoyUxlMvBEhCuZ3&#10;wKB5PpdzgHOBdVIsHUoZXKwinAmQ0KNDLpr5DzlEl149T2VL2LoQKdnShBV+j7MkW1xFKERlHXbw&#10;FkFFSkWPb3AHX+aYiIXPJkEYHRoot55pg8J06YHeTdjL1VzBLgohLXWUpLMhmRoJ/vHo0aWP5QF+&#10;B00u15PJ8J0RsdXjbHh7b+S1WHSETx2E+iZLjiKRjtzv8Fnu4Du1Cg+MkYnEu3z5aEnyDIkBXfOP&#10;+T3o4ujjaxZOYz8/wy60fB2jXrZC8uywdCj4AJ/B4B+gmQrRsAgt8V520ifBkJNEZxMpcjSpjH4q&#10;+AKf51DdUpzIaHE2aBVXayL7DO836GXxlhYk0ozjk5pXci2XoCjpMqFw3gQRmqxzFB16HOfX5Hq3&#10;3CO7FSEa0HRqNK/j1XRJ6Mu899iEyJHgyMko+Tf+nsfqg9gTQalaJLxQFPKV1zVd1k+6+kGLuH9l&#10;GPRr66nRjh/iJs7mqQiZBxTFUDFIguJ93AqiPbdUur9VIfIbmGB4H6dSYkmlTTo2IVL02EHBrXyC&#10;h2viJ1+o4mrS0YFmNXW7k3nGDd34tGrcBhvRe6v+U67jBkwkYY4BHGn9wPuitGO8BUSTzlAThQ4m&#10;xw28ru1dOWl1loQeShqKwfAVPs5dGMwMSlP8FHvv153DjbyEpJ4l3aEndmM8pF4Ozfu5lRSe0Rtt&#10;cskj/44Zktku74+up7UkoSIhpY9D8xQf59PkYjROn9lZyaGWkNBjmRfziyyR0xWeptii+BbDUd4i&#10;Lv6WyGdGV7YVqWyD5rroRAiWKViiYpWKjP/hnXySgi4V1eSaZL4HAn1gSYFmjTt4G4dljqtmnY2h&#10;gfYFKqHP93EAjaKztVjR6JookwRrCXyYNDq33usbT4H5YT41dMNS1AyOM6/r/J8Zmh5geDM/QkUq&#10;+wbxUC5rKjSH+INntQIbvMXov+GpgxVXsxJh0ZlhCUPCKr/Bp7EYEjQpXUoJqk0XPlrmZBBwD4MB&#10;3sOfkwrJi4pEfIbX+wLO3np8fXQh6kuGSHMD/QhrqCssfe7mLRwRki2DoqAgnRHdsUGLD6jo4iRX&#10;dzvv5ASdDeMnYgiIaBw94DVY0q0d91vRRJqSLs/lFBTLbe/BSUiA2/lj1nAoMhLZmIpiJkmIlByL&#10;wmCw9LEsiUV2D+/mKckwxgMfp4crWKLc2spGFyJLCfQ5SIf0pFBcDLiF93ECS0ZFiaUACfrNImbj&#10;P03V5SCKdQoJRR7h5roTHmIwq6GiT4qjy0u3+hajb6sjBZa5hiKKbg4lR4eVUOcX+BA+Y1bUCdCK&#10;HGR80yyQY4GyjrtUIjpejEopGImjK09jqHBUXIerKWeU6NKGbzEqDAVwNZXUzbQNR4aPnUPJbXyQ&#10;imVJzRRRHRwe9/MuniSjh9rq8TFheIFZ4nTOkBh+IiV2DR+6rRxnoHiFaKH2FbKfbdGnT8r/8gHW&#10;WKIv5nQM63s6NPfy1xISjWF1PnFT4djBy0G+smL+N9JFWzvOLuAsqYhrP0cdCsiWuJM/xZJhqSQp&#10;oyPQlE/HEnA7HyCrue7bRZiHWdDn6jqX6LMSupmm3Ip3VnJQ6gRjmFqfyiY8xXt4gi45fbSwXsRX&#10;iAGrLGG5hVtQUbSZe/vMuwJncY4MKA5avJE3u5XjzHFFHSqL4UkqSSl5D09g6JGRyrA48wyF+O3D&#10;UJCR8Dfch42gVCTURClS+hyUIasahuZlboKtbPLz2C3cQzHMKutzCuvcwlcpqEjIpWQ+TB+MDZqS&#10;nD6rfIgnI9DkvkfQl+Y5rqQDtUPS0PseXYhSrpAMS6hHaRdLnOAof0WJJqUUJezLXjsRxrEKUlJA&#10;8y0+EYEQ+cCoz4ZmnMoZdPFpG9U0LLq5EPkidwVCz1ZwlVABOGwLx5m/NN8plVFR0OHPZCxfwXAq&#10;wUbYruPXVUgHyr9wF6HFSItTMHv4wtgKQ4HhpfLgWWk3aIAmmigY0N65P5cl8SwaS+qEYclYp4Ph&#10;BAkZH+GhWqDbt9E2R6jeTqn4Wyx9qXl2UcTdflAqzg2N3aamQuQdvwTLAVJ0PXhz9jaRryHwl5dh&#10;eYTbZNyAjw3HDiXTbz1zyj18ii4JOVo0Qdu4iFOA4Jc1ur9NjrMQi/Fv+KKhEZBtFHf6zHwqvPAJ&#10;H+ERoCCZFAPh1NfvG3QMFZouH+MxkLXHEHdzXEIi97jh4bq5EIU38v2cHS6VvoBE4pyzv0jf926w&#10;lDzMLWgZT9nsetqHEV2qKSl4kk9j6WIp64qDNpFzZd3H0tDJb7bpg26ICziVikosojZumZaMuEWz&#10;zMeEShe5KfEj9JvaumnnszwJdWV22zBcjMOS1E1EDS5pM6j6dRa4XPiHfJ1wOye4pkJRobmP29D0&#10;KQjWUPtxq83gBSjBt3dnlDzOreSSA2h//YpTOB1ofJg1FyIvLinPw2JIJWLdMLcyUXin3h9pn6hL&#10;Tb2Qz6IQf/z1L9VFKY6SBMXHcVT06UYQlHAk7CXFNreKmtlEWiKaJQckxKgktjD7J8fP6SoxnOCL&#10;Yoo6ueS4agafDesbYlkljoLPA0usRXCcAewfGmbVAE1e6N17g+W8CNStFn6dkv+giMCbGRc+HvNp&#10;NP0oGrAcigvF6mwo0k2EyMk5rtjX9hUyCDnAbXNhSG8G/3jeywNDLdltr2gfyZAtvCmaqSwtzGLn&#10;R3CRvlao4gnunZPI0PeGk6Pj80xoDuKYUFiWOBdAMpGboplhbcWBviiC48wKO9sXIxDoSSAka+5g&#10;re4tbhMKS8l5srsTqyfy5HQZ8NwoLtKv+rYhbrN5RoWmxPJdHo+iodFzvpwjQ34mFGwMCQ/Lbna0&#10;fYUg/KwPcVg4y+YdThqL4FAUj4R/SPfh0E3TWk00USUsaGfTj+Cm+SageyXp0r5mHBcJORmOhNuj&#10;aMHyauM8fA1mI5uzmYvvs+aXROE9VGgq7pSgfPvrGRcOX6hWcncUrNcWQ8FpGIqmRYebC5GPyyjg&#10;VGIozO9SAndi6TRaf+zwQVJ/kB2OoHAfNCkpu6Vcv9EvNHuFQnFm21cH+ERrj++CRKnnHa5OHyu+&#10;GsFDWkk/7BnNO4abGNbh77MbvX7aKEg4jCGZCVHM9KGkW1fh+HoEVD1GuL7PJozX2BRNcmdGjNnn&#10;EEOWXGH5ulS6tFOTPFkE3jSH40gE16OkB/bMIQqcTdBEExkpje80fdOpQmN5RMS6feU/PhSDQQ9r&#10;PNb2cqSFWnGafNUAzQv1T4+k1MJheASNEkLv+Yeq/7Pc1/Zi0CQkJJzanLekmRAp4DlUjFCoNDUo&#10;NIexUhTbvg0xLvxxZmWXj7S9HPyALStsbxMrjzXSR+E5odtGhaJHULQxpCzHg9lAyX4/mkKqm10r&#10;6WWNnxd1NjAxm8jTeCt2ATFYIQn/TQclfNrtr2dcuPpPBTxOJU3gYQzNrOHbVDN2TpLkKtB87okm&#10;U5VTgETR41jROBiQTigUR2Wyd5igMntUlDghK2woxs3jPssSzWgblqJuVWo/ajUJhD11KJ7Ezyyw&#10;YtTOXoyMtKQPatc3xeYvqoZmB8UgRPAtVGtbPA0EMhfvBR+v56S1NcdywBPSsIa+WZwIbDQ5cyUe&#10;mYpiNZPAxh6+o5QYCfC2wa8UWtQtK0wwThRGMdkosuYh12SjsdHGh65vnGJ9yFdrA364VkLKmZOM&#10;E3lp9KVT7ceJHIfogLT6bSerKHT4GeEKN0OsB7OEtzotO5re781vQipGVhXNDVP0SGUI5fbQRSUD&#10;b9PVlkg75b9VbVqHMPOm2FwwQjjPty63r4lU7drb5qyCc4QwRtRStsLp6C1gPydpYvVETnqQXF0i&#10;3y40YeDt9jGth1FJCiQMYZ81/Gc6HMdoaJk1DTaGm9e+EIXDddiO2E7Q4jj4AextHGeew7HksUky&#10;pfkLiYW32rFUWw8x1HxPGiHlUUq14+w/P0Th/Gy2Rr/S9MI8sUP7NpFmVyQDIaaDQji4G5u1E4aW&#10;mKBunnhpYhP5A+04sVghu4YYtNs/XieNFSy25rSf/UOrpIJgBBFuFrGusDxOGYU3VI2SGpxDnC9i&#10;1N5RrUiEjW6izYsI8UkMYw4UHZlD286TOo0r8iUXCV0gEZbrUL7fBizwQO0Fb4rNhcLg6GApah6/&#10;dqE4oz6t4zhex4UTX6ykx/62F1NXNo3gFzbJ4vtxKw9BJG3U59YT7reDd6ZYkgRslzjcBR/IXaNx&#10;1cbmBZhK2N+flK/av227Ga4HnHcoCioMOZBwXtvLqVuGHq+/2hRNgo1WQuBPRNHnpehyKg4jTui8&#10;w9aJJQNc0PZy6pqNR4e+2gTNiD/9OJhHI/GJqqGt3h66aImKjC6llMe3CV8bkfBI84KUJkxpKX6K&#10;4WOtMVdvRMmlUDfZzDsUjhyFZZVlnt/2cup5i0eb+4ZNNFGBpofhYWJo0dHABdLG1L6vOAl0JBOo&#10;uSACVhDfMlTxBI293yYufuDTf5gY+s4cmstk4GQZwXrGvx5/LRVwYduLERgsR0mwzZpDm7GC+NjB&#10;w1E8+Q5I2UfWWrHEZKGl0NdhuSyCA9oXox2V6WuNNGOT40zJs3IkiriMb+rbL0To7W/6+AjjD7pc&#10;HMH1eGKZB1E0CQABzRn1FY51jrd9hYAPgb1g25TqW0JQ79IoGPV9GPdBGbsxoeMsHGa+U7x9ODQJ&#10;l7IH3zww7/Btyxq4KoqmLN/9+k1oPs+uiYsfWulS7ozgIv2FrnBJ24uYEHwiuSLjsijqtXz12GGU&#10;5PMa/cJmGMzScNzV9vUJSgquREcxeHdc+GAuvDASYlUwPMqxUbIBTW0i71A/FIEmCpXeL6YbhaE/&#10;LiwZDsNLJSLXPiwPSii3nBSP9bDxeoLv1t/ThDHis79IgIRXkArDGKQyI6N9IR8Vvi18hYOUQtzV&#10;LhyKe6RpKJlUG7WnOQlFUvcyHDlqoyjMkOMw9PlxeXKNDAPXETVYNkfKKgk/SkFKDHEvTcnXScjI&#10;J6eJBsPMFfCVoYkPqhVD0JKhyTGcy2WUOIlbh9mL84acDHglAxemXZRovkVJjm46Yr2Ziz+o3vmG&#10;ZPTD121cZCIVTk9xPZABJYaSeS2XdeznXDSltGW1C823OYEZpd+5GaN+6IpUPMajNQVSO/w5hhxL&#10;h5KUS3gBg/ntSQQWxejIKPhpSXskzWZpTBWKLwsvSGio3hTNvLNByXbJnUDjEu4pIHRkVSg6/CS5&#10;UN7o+mCbL+S8kIuxeIa09idJJtxJSiWdsI3QrO8suPkOzX9hxaRu5/z2tU0Vmj6Oy/gBQo4nhmlh&#10;oyPlOuFGU1EI0Rr30kfJKL9Ok19pZlgPXqu4W6YO2ZaoKa34i7DMOnCjMC5bNNkcCtJFXEpGgcOJ&#10;ZdcuvsEJMak1Gf0mv6JGloKUKziXQmS1/Qqjiv/kQZnkHKaQzBNexmnspCKPJEhxiPvpCcFzw7TH&#10;6EIEHcpaG7Wf7VlmDeRZNnOoiXzzohU7s/0QxRb2c3Qh6lJSomWwePtxDSfE6A7kZswXUuFIC6ZB&#10;2zvq9zH0PTdSEVvRRBBH/5lHOMICEVcs62qKwLdC7aG1iwRNJSLUUDOOLkRJTTagWyFhepbrkOhq&#10;+zdhdGgRoRgOM78enzlrPHlxdCFSovCCCm7bJjKYoSdnHhMfQXs2fvJnsiZVMzduitHjEok41F6I&#10;GjqBU0RVM7npKIhJR4Wq/w7NOjGsxzWfu7g1myjoItW0fHKqSCmG1mQi6NwaHcEiUlFEigKCeb0p&#10;tmpYL7BAjbZDWwtsAyyEaIGxsRCiBcbGQogWGBsLIVpgbCyEaIGx8X9K/DqbrYMUdgAAACt6VFh0&#10;ZGF0ZTpjcmVhdGUAAAjXMzIwMtE1AKEQA1MrU1MrQ0ttAwMrAwMAQbcFEVFYvFIAAAArelRYdGRh&#10;dGU6bW9kaWZ5AAAI1zMyMDLRNQChEANTK1NTK0NLbQMDKwMDAEG3BRFws/mRAAAALnpUWHRkYXRl&#10;OnRpbWVzdGFtcAAACNczMjAy0TUAoRADUytTUytDS20DAysDAwBBtwURnZrukQAAAABJRU5ErkJg&#10;glBLAwQUAAYACAAAACEArVBSEeMAAAANAQAADwAAAGRycy9kb3ducmV2LnhtbEyPwWrDMAyG74O9&#10;g9Fgt9Zx0i4ji1NK2XYqg7WDsZsbq0loLIfYTdK3n3PabhL6+PX9+WYyLRuwd40lCWIZAUMqrW6o&#10;kvB1fFs8A3NekVatJZRwQweb4v4uV5m2I33icPAVCyHkMiWh9r7LOHdljUa5pe2Qwu1se6N8WPuK&#10;616NIdy0PI6iJ25UQ+FDrTrc1VheDlcj4X1U4zYRr8P+ct7dfo7rj++9QCkfH6btCzCPk/+DYdYP&#10;6lAEp5O9knaslbBI1mlAJaTJSgCbiUjEod5pntJVDLzI+f8Wx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B9rBkXsDAABnCgAADgAAAAAAAAAA&#10;AAAAAAA6AgAAZHJzL2Uyb0RvYy54bWxQSwECLQAKAAAAAAAAACEAoH+EKH4qAQB+KgEAFAAAAAAA&#10;AAAAAAAAAADhBQAAZHJzL21lZGlhL2ltYWdlMS5wbmdQSwECLQAKAAAAAAAAACEAnT+Q8lceAABX&#10;HgAAFAAAAAAAAAAAAAAAAACRMAEAZHJzL21lZGlhL2ltYWdlMi5wbmdQSwECLQAUAAYACAAAACEA&#10;rVBSEeMAAAANAQAADwAAAAAAAAAAAAAAAAAaTwEAZHJzL2Rvd25yZXYueG1sUEsBAi0AFAAGAAgA&#10;AAAhAC5s8ADFAAAApQEAABkAAAAAAAAAAAAAAAAAKlABAGRycy9fcmVscy9lMm9Eb2MueG1sLnJl&#10;bHNQSwUGAAAAAAcABwC+AQAAJlEBAAAA&#10;">
                <v:rect id="Rectangle 9" o:spid="_x0000_s1027" alt="&quot;&quot;" style="position:absolute;top:12827;width:6652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JgwwAAANsAAAAPAAAAZHJzL2Rvd25yZXYueG1sRI/dasJA&#10;FITvBd9hOULvdGOwrURXEUFbFIL15/6QPd2EZs+G7FbTt3eFgpfDzHzDzJedrcWVWl85VjAeJSCI&#10;C6crNgrOp81wCsIHZI21Y1LwRx6Wi35vjpl2N/6i6zEYESHsM1RQhtBkUvqiJIt+5Bri6H271mKI&#10;sjVSt3iLcFvLNEnepMWK40KJDa1LKn6Ov1ZB/rG3h628TCilnX91xucmnyr1MuhWMxCBuvAM/7c/&#10;tYL0HR5f4g+QizsAAAD//wMAUEsBAi0AFAAGAAgAAAAhANvh9svuAAAAhQEAABMAAAAAAAAAAAAA&#10;AAAAAAAAAFtDb250ZW50X1R5cGVzXS54bWxQSwECLQAUAAYACAAAACEAWvQsW78AAAAVAQAACwAA&#10;AAAAAAAAAAAAAAAfAQAAX3JlbHMvLnJlbHNQSwECLQAUAAYACAAAACEACgoCYMMAAADbAAAADwAA&#10;AAAAAAAAAAAAAAAHAgAAZHJzL2Rvd25yZXYueG1sUEsFBgAAAAADAAMAtwAAAPcCAAAAAA==&#10;" fillcolor="white [3212]" stroked="f" strokeweight="1pt">
                  <v:fill opacity="39321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quot;&quot;" style="position:absolute;left:4318;top:16510;width:40754;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G8vwAAANsAAAAPAAAAZHJzL2Rvd25yZXYueG1sRE/LisIw&#10;FN0L8w/hDrjTVAeKdIwyOAw4IOJ7fW2ubTG5KU209e/NQnB5OO/pvLNG3KnxlWMFo2ECgjh3uuJC&#10;wWH/N5iA8AFZo3FMCh7kYT776E0x067lLd13oRAxhH2GCsoQ6kxKn5dk0Q9dTRy5i2sshgibQuoG&#10;2xhujRwnSSotVhwbSqxpUVJ+3d2sgvX/9WvfXszKnMwpPdrf9Lw5p0r1P7ufbxCBuvAWv9xLrWAc&#10;x8Yv8QfI2RMAAP//AwBQSwECLQAUAAYACAAAACEA2+H2y+4AAACFAQAAEwAAAAAAAAAAAAAAAAAA&#10;AAAAW0NvbnRlbnRfVHlwZXNdLnhtbFBLAQItABQABgAIAAAAIQBa9CxbvwAAABUBAAALAAAAAAAA&#10;AAAAAAAAAB8BAABfcmVscy8ucmVsc1BLAQItABQABgAIAAAAIQCGCrG8vwAAANsAAAAPAAAAAAAA&#10;AAAAAAAAAAcCAABkcnMvZG93bnJldi54bWxQSwUGAAAAAAMAAwC3AAAA8wIAAAAA&#10;">
                  <v:imagedata r:id="rId14" o:title=""/>
                </v:shape>
                <v:shape id="Picture 9" o:spid="_x0000_s1029" type="#_x0000_t75" alt="&quot;&quot;" style="position:absolute;left:42418;width:17672;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vWwAAAANoAAAAPAAAAZHJzL2Rvd25yZXYueG1sRI9Bi8Iw&#10;FITvC/6H8ARva6qgaDVKFQs9qrsXb4/m2Rabl5JErf/eCAt7HGbmG2a97U0rHuR8Y1nBZJyAIC6t&#10;brhS8PuTfy9A+ICssbVMCl7kYbsZfK0x1fbJJ3qcQyUihH2KCuoQulRKX9Zk0I9tRxy9q3UGQ5Su&#10;ktrhM8JNK6dJMpcGG44LNXa0r6m8ne9GQdZNs3Axy2My64vd8ZXl7lDkSo2GfbYCEagP/+G/dqEV&#10;LOFzJd4AuXkDAAD//wMAUEsBAi0AFAAGAAgAAAAhANvh9svuAAAAhQEAABMAAAAAAAAAAAAAAAAA&#10;AAAAAFtDb250ZW50X1R5cGVzXS54bWxQSwECLQAUAAYACAAAACEAWvQsW78AAAAVAQAACwAAAAAA&#10;AAAAAAAAAAAfAQAAX3JlbHMvLnJlbHNQSwECLQAUAAYACAAAACEAlvUr1sAAAADaAAAADwAAAAAA&#10;AAAAAAAAAAAHAgAAZHJzL2Rvd25yZXYueG1sUEsFBgAAAAADAAMAtwAAAPQCAAAAAA==&#10;">
                  <v:imagedata r:id="rId15" o:title=""/>
                </v:shape>
              </v:group>
            </w:pict>
          </mc:Fallback>
        </mc:AlternateContent>
      </w:r>
      <w:r w:rsidR="005209F0" w:rsidRPr="00594BF7">
        <w:rPr>
          <w:rFonts w:cstheme="minorHAnsi"/>
        </w:rPr>
        <w:br w:type="page"/>
      </w:r>
    </w:p>
    <w:p w14:paraId="0958D366" w14:textId="77777777" w:rsidR="0096564D" w:rsidRPr="00A626CC" w:rsidRDefault="0096564D" w:rsidP="00A626CC">
      <w:pPr>
        <w:pStyle w:val="Subheading"/>
      </w:pPr>
      <w:bookmarkStart w:id="1" w:name="_Toc123726783"/>
      <w:r w:rsidRPr="00A626CC">
        <w:lastRenderedPageBreak/>
        <w:t>Contact Details</w:t>
      </w:r>
      <w:bookmarkEnd w:id="1"/>
    </w:p>
    <w:tbl>
      <w:tblPr>
        <w:tblStyle w:val="TableGrid"/>
        <w:tblW w:w="0" w:type="auto"/>
        <w:tblLook w:val="0620" w:firstRow="1" w:lastRow="0" w:firstColumn="0" w:lastColumn="0" w:noHBand="1" w:noVBand="1"/>
      </w:tblPr>
      <w:tblGrid>
        <w:gridCol w:w="4871"/>
        <w:gridCol w:w="4871"/>
      </w:tblGrid>
      <w:tr w:rsidR="008A2949" w:rsidRPr="00A626CC" w14:paraId="726645E3" w14:textId="77777777" w:rsidTr="00083F7F">
        <w:trPr>
          <w:cnfStyle w:val="100000000000" w:firstRow="1" w:lastRow="0" w:firstColumn="0" w:lastColumn="0" w:oddVBand="0" w:evenVBand="0" w:oddHBand="0" w:evenHBand="0" w:firstRowFirstColumn="0" w:firstRowLastColumn="0" w:lastRowFirstColumn="0" w:lastRowLastColumn="0"/>
        </w:trPr>
        <w:tc>
          <w:tcPr>
            <w:tcW w:w="4871" w:type="dxa"/>
          </w:tcPr>
          <w:p w14:paraId="21659921" w14:textId="7F333F5A" w:rsidR="008A2949" w:rsidRPr="00A626CC" w:rsidRDefault="008A2949" w:rsidP="00A626CC">
            <w:r w:rsidRPr="00A626CC">
              <w:t>Clear Horizon Contact</w:t>
            </w:r>
          </w:p>
        </w:tc>
        <w:tc>
          <w:tcPr>
            <w:tcW w:w="4871" w:type="dxa"/>
          </w:tcPr>
          <w:p w14:paraId="51B0457A" w14:textId="5EBAE911" w:rsidR="008A2949" w:rsidRPr="00A626CC" w:rsidRDefault="008A2949" w:rsidP="00A626CC">
            <w:r w:rsidRPr="00A626CC">
              <w:t>Client Contact</w:t>
            </w:r>
          </w:p>
        </w:tc>
      </w:tr>
      <w:tr w:rsidR="008A2949" w:rsidRPr="00A626CC" w14:paraId="39759618" w14:textId="77777777" w:rsidTr="00083F7F">
        <w:sdt>
          <w:sdtPr>
            <w:rPr>
              <w:rFonts w:ascii="Arial" w:hAnsi="Arial" w:cs="Arial"/>
              <w:color w:val="auto"/>
            </w:rPr>
            <w:alias w:val="CH Contact Name"/>
            <w:tag w:val="CH Contact Name"/>
            <w:id w:val="1063065298"/>
            <w:placeholder>
              <w:docPart w:val="6613D8547DED43EEB38833D3D0479F1A"/>
            </w:placeholder>
          </w:sdtPr>
          <w:sdtEndPr/>
          <w:sdtContent>
            <w:tc>
              <w:tcPr>
                <w:tcW w:w="4871" w:type="dxa"/>
              </w:tcPr>
              <w:p w14:paraId="58941D3C" w14:textId="16DFCE39" w:rsidR="008A2949" w:rsidRPr="00A626CC" w:rsidRDefault="00F64964" w:rsidP="00A626CC">
                <w:pPr>
                  <w:rPr>
                    <w:rFonts w:ascii="Arial" w:hAnsi="Arial" w:cs="Arial"/>
                    <w:color w:val="auto"/>
                  </w:rPr>
                </w:pPr>
                <w:r w:rsidRPr="00A626CC">
                  <w:rPr>
                    <w:rFonts w:ascii="Arial" w:hAnsi="Arial" w:cs="Arial"/>
                    <w:color w:val="auto"/>
                  </w:rPr>
                  <w:t>Dave Green</w:t>
                </w:r>
              </w:p>
            </w:tc>
          </w:sdtContent>
        </w:sdt>
        <w:sdt>
          <w:sdtPr>
            <w:rPr>
              <w:rFonts w:ascii="Arial" w:hAnsi="Arial" w:cs="Arial"/>
              <w:color w:val="auto"/>
            </w:rPr>
            <w:alias w:val="Client Contact Name"/>
            <w:tag w:val="Client Contact Name"/>
            <w:id w:val="1078630106"/>
            <w:placeholder>
              <w:docPart w:val="533BE4E2552F45969B82A271CE94926B"/>
            </w:placeholder>
          </w:sdtPr>
          <w:sdtEndPr/>
          <w:sdtContent>
            <w:tc>
              <w:tcPr>
                <w:tcW w:w="4871" w:type="dxa"/>
              </w:tcPr>
              <w:p w14:paraId="453265BB" w14:textId="012DB846" w:rsidR="008A2949" w:rsidRPr="00A626CC" w:rsidRDefault="00ED3BBE" w:rsidP="00A626CC">
                <w:pPr>
                  <w:rPr>
                    <w:rFonts w:ascii="Arial" w:hAnsi="Arial" w:cs="Arial"/>
                    <w:color w:val="auto"/>
                  </w:rPr>
                </w:pPr>
                <w:r w:rsidRPr="00A626CC">
                  <w:rPr>
                    <w:rFonts w:ascii="Arial" w:hAnsi="Arial" w:cs="Arial"/>
                    <w:color w:val="auto"/>
                  </w:rPr>
                  <w:t>Kate Fuller</w:t>
                </w:r>
              </w:p>
            </w:tc>
          </w:sdtContent>
        </w:sdt>
      </w:tr>
      <w:tr w:rsidR="008A2949" w:rsidRPr="00A626CC" w14:paraId="53EFFDDD" w14:textId="77777777" w:rsidTr="00083F7F">
        <w:sdt>
          <w:sdtPr>
            <w:rPr>
              <w:rFonts w:ascii="Arial" w:hAnsi="Arial" w:cs="Arial"/>
              <w:color w:val="auto"/>
            </w:rPr>
            <w:alias w:val="CH Contact Job Title"/>
            <w:tag w:val="CH Contact Job Title"/>
            <w:id w:val="-2031946773"/>
            <w:placeholder>
              <w:docPart w:val="2892731E46174CA0BAD92CDE37E393A1"/>
            </w:placeholder>
          </w:sdtPr>
          <w:sdtEndPr/>
          <w:sdtContent>
            <w:tc>
              <w:tcPr>
                <w:tcW w:w="4871" w:type="dxa"/>
              </w:tcPr>
              <w:p w14:paraId="6F0BE46B" w14:textId="79B0B92D" w:rsidR="008A2949" w:rsidRPr="00A626CC" w:rsidRDefault="00ED3BBE" w:rsidP="00A626CC">
                <w:pPr>
                  <w:rPr>
                    <w:rFonts w:ascii="Arial" w:hAnsi="Arial" w:cs="Arial"/>
                    <w:color w:val="auto"/>
                  </w:rPr>
                </w:pPr>
                <w:r w:rsidRPr="00A626CC">
                  <w:rPr>
                    <w:rFonts w:ascii="Arial" w:hAnsi="Arial" w:cs="Arial"/>
                    <w:color w:val="auto"/>
                  </w:rPr>
                  <w:t>Lead Principal Consultant</w:t>
                </w:r>
              </w:p>
            </w:tc>
          </w:sdtContent>
        </w:sdt>
        <w:sdt>
          <w:sdtPr>
            <w:rPr>
              <w:rFonts w:ascii="Arial" w:hAnsi="Arial" w:cs="Arial"/>
              <w:color w:val="auto"/>
            </w:rPr>
            <w:alias w:val="Client Contact Job Title"/>
            <w:tag w:val="Client Contact Job Title"/>
            <w:id w:val="1015187297"/>
            <w:placeholder>
              <w:docPart w:val="33498B0EA9B74D16965ADBFF6B1810B0"/>
            </w:placeholder>
          </w:sdtPr>
          <w:sdtEndPr/>
          <w:sdtContent>
            <w:tc>
              <w:tcPr>
                <w:tcW w:w="4871" w:type="dxa"/>
              </w:tcPr>
              <w:p w14:paraId="3646C493" w14:textId="69B82731" w:rsidR="008A2949" w:rsidRPr="00A626CC" w:rsidRDefault="00ED3BBE" w:rsidP="00A626CC">
                <w:pPr>
                  <w:rPr>
                    <w:rFonts w:ascii="Arial" w:hAnsi="Arial" w:cs="Arial"/>
                    <w:color w:val="auto"/>
                  </w:rPr>
                </w:pPr>
                <w:r w:rsidRPr="00A626CC">
                  <w:rPr>
                    <w:rFonts w:ascii="Arial" w:hAnsi="Arial" w:cs="Arial"/>
                    <w:color w:val="auto"/>
                  </w:rPr>
                  <w:t>Assistant Director, Pacific Labour Growth, Strategy and Design Section</w:t>
                </w:r>
              </w:p>
            </w:tc>
          </w:sdtContent>
        </w:sdt>
      </w:tr>
      <w:tr w:rsidR="008A2949" w:rsidRPr="00A626CC" w14:paraId="6F8E568C" w14:textId="77777777" w:rsidTr="00083F7F">
        <w:tc>
          <w:tcPr>
            <w:tcW w:w="4871" w:type="dxa"/>
          </w:tcPr>
          <w:p w14:paraId="38EAE58C" w14:textId="6DF129C5" w:rsidR="008A2949" w:rsidRPr="00A626CC" w:rsidRDefault="004D61A4" w:rsidP="00A626CC">
            <w:pPr>
              <w:rPr>
                <w:rFonts w:ascii="Arial" w:hAnsi="Arial" w:cs="Arial"/>
                <w:color w:val="auto"/>
              </w:rPr>
            </w:pPr>
            <w:r w:rsidRPr="00A626CC">
              <w:rPr>
                <w:rFonts w:ascii="Arial" w:hAnsi="Arial" w:cs="Arial"/>
                <w:color w:val="auto"/>
              </w:rPr>
              <w:t>Clear Horizon Consulting</w:t>
            </w:r>
          </w:p>
        </w:tc>
        <w:sdt>
          <w:sdtPr>
            <w:rPr>
              <w:rFonts w:ascii="Arial" w:hAnsi="Arial" w:cs="Arial"/>
              <w:color w:val="auto"/>
            </w:rPr>
            <w:alias w:val="Client Company Name"/>
            <w:tag w:val="Client Company Name"/>
            <w:id w:val="772517273"/>
            <w:placeholder>
              <w:docPart w:val="8A240CE695444108866BFEA92BC80B87"/>
            </w:placeholder>
          </w:sdtPr>
          <w:sdtEndPr/>
          <w:sdtContent>
            <w:tc>
              <w:tcPr>
                <w:tcW w:w="4871" w:type="dxa"/>
              </w:tcPr>
              <w:p w14:paraId="2674F2AB" w14:textId="5FC7DB42" w:rsidR="008A2949" w:rsidRPr="00A626CC" w:rsidRDefault="00ED3BBE" w:rsidP="00A626CC">
                <w:pPr>
                  <w:rPr>
                    <w:rFonts w:ascii="Arial" w:hAnsi="Arial" w:cs="Arial"/>
                    <w:color w:val="auto"/>
                  </w:rPr>
                </w:pPr>
                <w:r w:rsidRPr="00A626CC">
                  <w:rPr>
                    <w:rFonts w:ascii="Arial" w:hAnsi="Arial" w:cs="Arial"/>
                    <w:color w:val="auto"/>
                  </w:rPr>
                  <w:t>Department of Foreign Affairs and Trade</w:t>
                </w:r>
              </w:p>
            </w:tc>
          </w:sdtContent>
        </w:sdt>
      </w:tr>
      <w:tr w:rsidR="008A2949" w:rsidRPr="00A626CC" w14:paraId="5F762AFB" w14:textId="77777777" w:rsidTr="00083F7F">
        <w:tc>
          <w:tcPr>
            <w:tcW w:w="4871" w:type="dxa"/>
          </w:tcPr>
          <w:p w14:paraId="429B1D30" w14:textId="77BDD866" w:rsidR="008A2949" w:rsidRPr="00A626CC" w:rsidRDefault="004D61A4" w:rsidP="00A626CC">
            <w:pPr>
              <w:rPr>
                <w:rFonts w:ascii="Arial" w:hAnsi="Arial" w:cs="Arial"/>
                <w:color w:val="auto"/>
              </w:rPr>
            </w:pPr>
            <w:r w:rsidRPr="00A626CC">
              <w:rPr>
                <w:rFonts w:ascii="Arial" w:hAnsi="Arial" w:cs="Arial"/>
                <w:color w:val="auto"/>
              </w:rPr>
              <w:t>132B Gwynne St, Cremorne VIC 3121</w:t>
            </w:r>
          </w:p>
        </w:tc>
        <w:sdt>
          <w:sdtPr>
            <w:rPr>
              <w:rFonts w:ascii="Arial" w:hAnsi="Arial" w:cs="Arial"/>
              <w:color w:val="auto"/>
            </w:rPr>
            <w:alias w:val="Client Address"/>
            <w:tag w:val="Client Address"/>
            <w:id w:val="-1002738499"/>
            <w:placeholder>
              <w:docPart w:val="847A730C8C8344629917DD23C0917AF0"/>
            </w:placeholder>
          </w:sdtPr>
          <w:sdtEndPr/>
          <w:sdtContent>
            <w:tc>
              <w:tcPr>
                <w:tcW w:w="4871" w:type="dxa"/>
              </w:tcPr>
              <w:p w14:paraId="53BB9CAB" w14:textId="799B6D27" w:rsidR="008A2949" w:rsidRPr="00A626CC" w:rsidRDefault="00E379A0" w:rsidP="00A626CC">
                <w:pPr>
                  <w:rPr>
                    <w:rFonts w:ascii="Arial" w:hAnsi="Arial" w:cs="Arial"/>
                    <w:color w:val="auto"/>
                  </w:rPr>
                </w:pPr>
                <w:r w:rsidRPr="00A626CC">
                  <w:rPr>
                    <w:rFonts w:ascii="Arial" w:hAnsi="Arial" w:cs="Arial"/>
                    <w:color w:val="auto"/>
                  </w:rPr>
                  <w:t>RG Casey Building, John McEwen Crescent, Barton ACT 0221</w:t>
                </w:r>
              </w:p>
            </w:tc>
          </w:sdtContent>
        </w:sdt>
      </w:tr>
      <w:tr w:rsidR="008A2949" w:rsidRPr="00A626CC" w14:paraId="2FDF26FE" w14:textId="77777777" w:rsidTr="00083F7F">
        <w:tc>
          <w:tcPr>
            <w:tcW w:w="4871" w:type="dxa"/>
          </w:tcPr>
          <w:p w14:paraId="535BB760" w14:textId="3205A55B" w:rsidR="008A2949" w:rsidRPr="00A626CC" w:rsidRDefault="004D61A4" w:rsidP="00A626CC">
            <w:pPr>
              <w:rPr>
                <w:rFonts w:ascii="Arial" w:hAnsi="Arial" w:cs="Arial"/>
                <w:color w:val="auto"/>
              </w:rPr>
            </w:pPr>
            <w:r w:rsidRPr="00A626CC">
              <w:rPr>
                <w:rFonts w:ascii="Arial" w:hAnsi="Arial" w:cs="Arial"/>
                <w:color w:val="auto"/>
              </w:rPr>
              <w:t>P: (03) 9425 7777</w:t>
            </w:r>
          </w:p>
        </w:tc>
        <w:tc>
          <w:tcPr>
            <w:tcW w:w="4871" w:type="dxa"/>
          </w:tcPr>
          <w:p w14:paraId="0096AFB3" w14:textId="0FC1E769" w:rsidR="008A2949" w:rsidRPr="00A626CC" w:rsidRDefault="004D61A4" w:rsidP="00A626CC">
            <w:pPr>
              <w:rPr>
                <w:rFonts w:ascii="Arial" w:hAnsi="Arial" w:cs="Arial"/>
                <w:color w:val="auto"/>
              </w:rPr>
            </w:pPr>
            <w:r w:rsidRPr="00A626CC">
              <w:rPr>
                <w:rFonts w:ascii="Arial" w:hAnsi="Arial" w:cs="Arial"/>
                <w:color w:val="auto"/>
              </w:rPr>
              <w:t xml:space="preserve">P: </w:t>
            </w:r>
            <w:sdt>
              <w:sdtPr>
                <w:rPr>
                  <w:rFonts w:ascii="Arial" w:hAnsi="Arial" w:cs="Arial"/>
                  <w:color w:val="auto"/>
                </w:rPr>
                <w:alias w:val="Client Phone"/>
                <w:tag w:val="Client Phone"/>
                <w:id w:val="253560692"/>
                <w:placeholder>
                  <w:docPart w:val="36069466349244E98A3559D115A05383"/>
                </w:placeholder>
              </w:sdtPr>
              <w:sdtEndPr/>
              <w:sdtContent>
                <w:r w:rsidR="00ED3BBE" w:rsidRPr="00A626CC">
                  <w:rPr>
                    <w:rFonts w:ascii="Arial" w:hAnsi="Arial" w:cs="Arial"/>
                    <w:color w:val="auto"/>
                  </w:rPr>
                  <w:t>+61 2 6261 3091</w:t>
                </w:r>
              </w:sdtContent>
            </w:sdt>
          </w:p>
        </w:tc>
      </w:tr>
      <w:tr w:rsidR="004D61A4" w:rsidRPr="00A626CC" w14:paraId="4484860F" w14:textId="77777777" w:rsidTr="00083F7F">
        <w:tc>
          <w:tcPr>
            <w:tcW w:w="4871" w:type="dxa"/>
          </w:tcPr>
          <w:p w14:paraId="62D4B5E9" w14:textId="11368E42" w:rsidR="004D61A4" w:rsidRPr="00A626CC" w:rsidRDefault="004D61A4" w:rsidP="00A626CC">
            <w:pPr>
              <w:rPr>
                <w:rFonts w:ascii="Arial" w:hAnsi="Arial" w:cs="Arial"/>
                <w:color w:val="auto"/>
              </w:rPr>
            </w:pPr>
            <w:r w:rsidRPr="00A626CC">
              <w:rPr>
                <w:rFonts w:ascii="Arial" w:hAnsi="Arial" w:cs="Arial"/>
                <w:color w:val="auto"/>
              </w:rPr>
              <w:t xml:space="preserve">E: </w:t>
            </w:r>
            <w:sdt>
              <w:sdtPr>
                <w:rPr>
                  <w:rFonts w:ascii="Arial" w:hAnsi="Arial" w:cs="Arial"/>
                  <w:color w:val="auto"/>
                </w:rPr>
                <w:id w:val="-1452019078"/>
                <w:placeholder>
                  <w:docPart w:val="396D43CEEE554A4FB918F2D38B42106D"/>
                </w:placeholder>
              </w:sdtPr>
              <w:sdtEndPr/>
              <w:sdtContent>
                <w:r w:rsidR="00F64964" w:rsidRPr="00A626CC">
                  <w:rPr>
                    <w:rFonts w:ascii="Arial" w:hAnsi="Arial" w:cs="Arial"/>
                    <w:color w:val="auto"/>
                  </w:rPr>
                  <w:t>dave</w:t>
                </w:r>
              </w:sdtContent>
            </w:sdt>
            <w:r w:rsidRPr="00A626CC">
              <w:rPr>
                <w:rFonts w:ascii="Arial" w:hAnsi="Arial" w:cs="Arial"/>
                <w:color w:val="auto"/>
              </w:rPr>
              <w:t>@clearhorizon.com.au</w:t>
            </w:r>
          </w:p>
        </w:tc>
        <w:tc>
          <w:tcPr>
            <w:tcW w:w="4871" w:type="dxa"/>
          </w:tcPr>
          <w:p w14:paraId="1553A242" w14:textId="7740A70D" w:rsidR="004D61A4" w:rsidRPr="00A626CC" w:rsidRDefault="00603D93" w:rsidP="00A626CC">
            <w:pPr>
              <w:rPr>
                <w:rFonts w:ascii="Arial" w:hAnsi="Arial" w:cs="Arial"/>
                <w:color w:val="auto"/>
              </w:rPr>
            </w:pPr>
            <w:hyperlink r:id="rId16">
              <w:r w:rsidR="004D61A4" w:rsidRPr="00A626CC">
                <w:rPr>
                  <w:rFonts w:ascii="Arial" w:hAnsi="Arial" w:cs="Arial"/>
                  <w:color w:val="auto"/>
                </w:rPr>
                <w:t>E:</w:t>
              </w:r>
            </w:hyperlink>
            <w:r w:rsidR="004D61A4" w:rsidRPr="00A626CC">
              <w:rPr>
                <w:rFonts w:ascii="Arial" w:hAnsi="Arial" w:cs="Arial"/>
                <w:color w:val="auto"/>
              </w:rPr>
              <w:t xml:space="preserve"> </w:t>
            </w:r>
            <w:sdt>
              <w:sdtPr>
                <w:rPr>
                  <w:rFonts w:ascii="Arial" w:hAnsi="Arial" w:cs="Arial"/>
                  <w:color w:val="auto"/>
                </w:rPr>
                <w:alias w:val="Client Email"/>
                <w:tag w:val="Client Email"/>
                <w:id w:val="1160807810"/>
                <w:placeholder>
                  <w:docPart w:val="87CBF3FE58124EE1ACE382DDC4E538FE"/>
                </w:placeholder>
              </w:sdtPr>
              <w:sdtEndPr/>
              <w:sdtContent>
                <w:r w:rsidR="00ED3BBE" w:rsidRPr="00A626CC">
                  <w:rPr>
                    <w:rFonts w:ascii="Arial" w:hAnsi="Arial" w:cs="Arial"/>
                    <w:color w:val="auto"/>
                  </w:rPr>
                  <w:t>kate.fuller@dfat.gov.au</w:t>
                </w:r>
              </w:sdtContent>
            </w:sdt>
          </w:p>
        </w:tc>
      </w:tr>
    </w:tbl>
    <w:p w14:paraId="2FB2AC73" w14:textId="77777777" w:rsidR="0096564D" w:rsidRPr="00A626CC" w:rsidRDefault="0096564D" w:rsidP="00A626CC">
      <w:pPr>
        <w:rPr>
          <w:rFonts w:cstheme="minorHAnsi"/>
        </w:rPr>
      </w:pPr>
    </w:p>
    <w:p w14:paraId="748E7AAF" w14:textId="77777777" w:rsidR="0096564D" w:rsidRPr="00A626CC" w:rsidRDefault="0096564D" w:rsidP="00A626CC">
      <w:pPr>
        <w:pStyle w:val="Subheading"/>
      </w:pPr>
      <w:r w:rsidRPr="00A626CC">
        <w:t>Document Review and Authorisation</w:t>
      </w:r>
    </w:p>
    <w:tbl>
      <w:tblPr>
        <w:tblStyle w:val="TableGrid"/>
        <w:tblW w:w="0" w:type="auto"/>
        <w:tblLook w:val="0620" w:firstRow="1" w:lastRow="0" w:firstColumn="0" w:lastColumn="0" w:noHBand="1" w:noVBand="1"/>
      </w:tblPr>
      <w:tblGrid>
        <w:gridCol w:w="1984"/>
        <w:gridCol w:w="1985"/>
        <w:gridCol w:w="1985"/>
        <w:gridCol w:w="3798"/>
      </w:tblGrid>
      <w:tr w:rsidR="008A2949" w:rsidRPr="00A626CC" w14:paraId="04E39FE1" w14:textId="77777777" w:rsidTr="00083F7F">
        <w:trPr>
          <w:cnfStyle w:val="100000000000" w:firstRow="1" w:lastRow="0" w:firstColumn="0" w:lastColumn="0" w:oddVBand="0" w:evenVBand="0" w:oddHBand="0" w:evenHBand="0" w:firstRowFirstColumn="0" w:firstRowLastColumn="0" w:lastRowFirstColumn="0" w:lastRowLastColumn="0"/>
        </w:trPr>
        <w:tc>
          <w:tcPr>
            <w:tcW w:w="1984" w:type="dxa"/>
          </w:tcPr>
          <w:p w14:paraId="521A23C8" w14:textId="7D63F088" w:rsidR="008A2949" w:rsidRPr="00A626CC" w:rsidRDefault="008A2949" w:rsidP="00A626CC">
            <w:r w:rsidRPr="00A626CC">
              <w:t>Version</w:t>
            </w:r>
          </w:p>
        </w:tc>
        <w:tc>
          <w:tcPr>
            <w:tcW w:w="1985" w:type="dxa"/>
          </w:tcPr>
          <w:p w14:paraId="4FDB9422" w14:textId="5E6B6B8B" w:rsidR="008A2949" w:rsidRPr="00A626CC" w:rsidRDefault="008A2949" w:rsidP="00A626CC">
            <w:r w:rsidRPr="00A626CC">
              <w:t>Date Distributed</w:t>
            </w:r>
          </w:p>
        </w:tc>
        <w:tc>
          <w:tcPr>
            <w:tcW w:w="1985" w:type="dxa"/>
          </w:tcPr>
          <w:p w14:paraId="35CECC72" w14:textId="6C072144" w:rsidR="008A2949" w:rsidRPr="00A626CC" w:rsidRDefault="008A2949" w:rsidP="00A626CC">
            <w:r w:rsidRPr="00A626CC">
              <w:t>Issued to</w:t>
            </w:r>
          </w:p>
        </w:tc>
        <w:tc>
          <w:tcPr>
            <w:tcW w:w="3798" w:type="dxa"/>
          </w:tcPr>
          <w:p w14:paraId="59860110" w14:textId="33BA73E5" w:rsidR="008A2949" w:rsidRPr="00A626CC" w:rsidRDefault="008A2949" w:rsidP="00A626CC">
            <w:r w:rsidRPr="00A626CC">
              <w:t>Comments</w:t>
            </w:r>
          </w:p>
        </w:tc>
      </w:tr>
      <w:tr w:rsidR="008A2949" w:rsidRPr="00A626CC" w14:paraId="14CDDC97" w14:textId="77777777" w:rsidTr="00083F7F">
        <w:sdt>
          <w:sdtPr>
            <w:rPr>
              <w:rFonts w:ascii="Arial" w:hAnsi="Arial" w:cs="Arial"/>
              <w:color w:val="auto"/>
            </w:rPr>
            <w:id w:val="-1633475865"/>
            <w:placeholder>
              <w:docPart w:val="7532AFC8B266423690252EF3FAF1BD1D"/>
            </w:placeholder>
          </w:sdtPr>
          <w:sdtEndPr/>
          <w:sdtContent>
            <w:tc>
              <w:tcPr>
                <w:tcW w:w="1984" w:type="dxa"/>
              </w:tcPr>
              <w:p w14:paraId="2B791EC8" w14:textId="3DE86951" w:rsidR="008A2949" w:rsidRPr="00A626CC" w:rsidRDefault="00AE4225" w:rsidP="00A626CC">
                <w:pPr>
                  <w:rPr>
                    <w:rFonts w:ascii="Arial" w:hAnsi="Arial" w:cs="Arial"/>
                    <w:color w:val="auto"/>
                  </w:rPr>
                </w:pPr>
                <w:r w:rsidRPr="00A626CC">
                  <w:rPr>
                    <w:rFonts w:ascii="Arial" w:hAnsi="Arial" w:cs="Arial"/>
                    <w:color w:val="auto"/>
                  </w:rPr>
                  <w:t>1.0</w:t>
                </w:r>
              </w:p>
            </w:tc>
          </w:sdtContent>
        </w:sdt>
        <w:sdt>
          <w:sdtPr>
            <w:rPr>
              <w:rFonts w:ascii="Arial" w:hAnsi="Arial" w:cs="Arial"/>
              <w:color w:val="auto"/>
            </w:rPr>
            <w:id w:val="-583834042"/>
            <w:placeholder>
              <w:docPart w:val="ABFE37B9C26E442493CC566474D416A3"/>
            </w:placeholder>
            <w:date w:fullDate="2023-10-27T00:00:00Z">
              <w:dateFormat w:val="d/MM/yyyy"/>
              <w:lid w:val="en-AU"/>
              <w:storeMappedDataAs w:val="dateTime"/>
              <w:calendar w:val="gregorian"/>
            </w:date>
          </w:sdtPr>
          <w:sdtEndPr/>
          <w:sdtContent>
            <w:tc>
              <w:tcPr>
                <w:tcW w:w="1985" w:type="dxa"/>
              </w:tcPr>
              <w:p w14:paraId="609EA04B" w14:textId="713E00CE" w:rsidR="008A2949" w:rsidRPr="00A626CC" w:rsidRDefault="00F64964" w:rsidP="00A626CC">
                <w:pPr>
                  <w:rPr>
                    <w:rFonts w:ascii="Arial" w:hAnsi="Arial" w:cs="Arial"/>
                    <w:color w:val="auto"/>
                  </w:rPr>
                </w:pPr>
                <w:r w:rsidRPr="00A626CC">
                  <w:rPr>
                    <w:rFonts w:ascii="Arial" w:hAnsi="Arial" w:cs="Arial"/>
                    <w:color w:val="auto"/>
                  </w:rPr>
                  <w:t>27/10/2023</w:t>
                </w:r>
              </w:p>
            </w:tc>
          </w:sdtContent>
        </w:sdt>
        <w:tc>
          <w:tcPr>
            <w:tcW w:w="1985" w:type="dxa"/>
          </w:tcPr>
          <w:p w14:paraId="40783B95" w14:textId="7887AAA6" w:rsidR="008A2949" w:rsidRPr="00A626CC" w:rsidRDefault="00D3211A" w:rsidP="00A626CC">
            <w:pPr>
              <w:rPr>
                <w:rFonts w:ascii="Arial" w:hAnsi="Arial" w:cs="Arial"/>
                <w:color w:val="auto"/>
              </w:rPr>
            </w:pPr>
            <w:r w:rsidRPr="00A626CC">
              <w:rPr>
                <w:rFonts w:ascii="Arial" w:hAnsi="Arial" w:cs="Arial"/>
                <w:color w:val="auto"/>
              </w:rPr>
              <w:t>Kate Fuller, DFAT</w:t>
            </w:r>
          </w:p>
        </w:tc>
        <w:tc>
          <w:tcPr>
            <w:tcW w:w="3798" w:type="dxa"/>
          </w:tcPr>
          <w:p w14:paraId="5F9290E7" w14:textId="77777777" w:rsidR="008A2949" w:rsidRPr="00A626CC" w:rsidRDefault="008A2949" w:rsidP="00A626CC">
            <w:pPr>
              <w:rPr>
                <w:rFonts w:ascii="Arial" w:hAnsi="Arial" w:cs="Arial"/>
                <w:color w:val="auto"/>
              </w:rPr>
            </w:pPr>
          </w:p>
        </w:tc>
      </w:tr>
      <w:tr w:rsidR="008A2949" w:rsidRPr="00A626CC" w14:paraId="65790398" w14:textId="77777777" w:rsidTr="00083F7F">
        <w:tc>
          <w:tcPr>
            <w:tcW w:w="1984" w:type="dxa"/>
          </w:tcPr>
          <w:p w14:paraId="38944B32" w14:textId="50B533BC" w:rsidR="008A2949" w:rsidRPr="00A626CC" w:rsidRDefault="00377922" w:rsidP="00A626CC">
            <w:pPr>
              <w:rPr>
                <w:rFonts w:ascii="Arial" w:hAnsi="Arial" w:cs="Arial"/>
                <w:color w:val="auto"/>
              </w:rPr>
            </w:pPr>
            <w:r w:rsidRPr="00A626CC">
              <w:rPr>
                <w:rFonts w:ascii="Arial" w:hAnsi="Arial" w:cs="Arial"/>
                <w:color w:val="auto"/>
              </w:rPr>
              <w:t>1.1</w:t>
            </w:r>
          </w:p>
        </w:tc>
        <w:tc>
          <w:tcPr>
            <w:tcW w:w="1985" w:type="dxa"/>
          </w:tcPr>
          <w:p w14:paraId="2C159BCD" w14:textId="7EF645B7" w:rsidR="008A2949" w:rsidRPr="00A626CC" w:rsidRDefault="00377922" w:rsidP="00A626CC">
            <w:pPr>
              <w:rPr>
                <w:rFonts w:ascii="Arial" w:hAnsi="Arial" w:cs="Arial"/>
                <w:color w:val="auto"/>
              </w:rPr>
            </w:pPr>
            <w:r w:rsidRPr="00A626CC">
              <w:rPr>
                <w:rFonts w:ascii="Arial" w:hAnsi="Arial" w:cs="Arial"/>
                <w:color w:val="auto"/>
              </w:rPr>
              <w:t>28/10/2023</w:t>
            </w:r>
          </w:p>
        </w:tc>
        <w:tc>
          <w:tcPr>
            <w:tcW w:w="1985" w:type="dxa"/>
          </w:tcPr>
          <w:p w14:paraId="5406CAC2" w14:textId="6EFDC6A3" w:rsidR="008A2949" w:rsidRPr="00A626CC" w:rsidRDefault="00CD5536" w:rsidP="00A626CC">
            <w:pPr>
              <w:rPr>
                <w:rFonts w:ascii="Arial" w:hAnsi="Arial" w:cs="Arial"/>
                <w:color w:val="auto"/>
              </w:rPr>
            </w:pPr>
            <w:r w:rsidRPr="00A626CC">
              <w:rPr>
                <w:rFonts w:ascii="Arial" w:hAnsi="Arial" w:cs="Arial"/>
                <w:color w:val="auto"/>
              </w:rPr>
              <w:t>Kate Fuller, DFAT</w:t>
            </w:r>
          </w:p>
        </w:tc>
        <w:tc>
          <w:tcPr>
            <w:tcW w:w="3798" w:type="dxa"/>
          </w:tcPr>
          <w:p w14:paraId="239D52AA" w14:textId="50502BFD" w:rsidR="008A2949" w:rsidRPr="00A626CC" w:rsidRDefault="00F7354F" w:rsidP="00A626CC">
            <w:pPr>
              <w:rPr>
                <w:rFonts w:ascii="Arial" w:hAnsi="Arial" w:cs="Arial"/>
                <w:color w:val="auto"/>
              </w:rPr>
            </w:pPr>
            <w:r w:rsidRPr="00A626CC">
              <w:rPr>
                <w:rFonts w:ascii="Arial" w:hAnsi="Arial" w:cs="Arial"/>
                <w:color w:val="auto"/>
              </w:rPr>
              <w:t>Included data provided by PLF</w:t>
            </w:r>
          </w:p>
        </w:tc>
      </w:tr>
      <w:tr w:rsidR="001C3EC5" w:rsidRPr="00A626CC" w14:paraId="0C8B15D2" w14:textId="77777777" w:rsidTr="00083F7F">
        <w:tc>
          <w:tcPr>
            <w:tcW w:w="1984" w:type="dxa"/>
          </w:tcPr>
          <w:p w14:paraId="53F39E58" w14:textId="1BA04396" w:rsidR="001C3EC5" w:rsidRPr="00A626CC" w:rsidRDefault="001C3EC5" w:rsidP="00A626CC">
            <w:pPr>
              <w:rPr>
                <w:rFonts w:ascii="Arial" w:hAnsi="Arial" w:cs="Arial"/>
                <w:color w:val="auto"/>
              </w:rPr>
            </w:pPr>
            <w:r w:rsidRPr="00A626CC">
              <w:rPr>
                <w:rFonts w:ascii="Arial" w:hAnsi="Arial" w:cs="Arial"/>
                <w:color w:val="auto"/>
              </w:rPr>
              <w:t>2.</w:t>
            </w:r>
            <w:r w:rsidR="00B510A6" w:rsidRPr="00A626CC">
              <w:rPr>
                <w:rFonts w:ascii="Arial" w:hAnsi="Arial" w:cs="Arial"/>
                <w:color w:val="auto"/>
              </w:rPr>
              <w:t>2</w:t>
            </w:r>
          </w:p>
        </w:tc>
        <w:tc>
          <w:tcPr>
            <w:tcW w:w="1985" w:type="dxa"/>
          </w:tcPr>
          <w:p w14:paraId="440E82B1" w14:textId="7E371AB5" w:rsidR="001C3EC5" w:rsidRPr="00A626CC" w:rsidRDefault="001C3EC5" w:rsidP="00A626CC">
            <w:pPr>
              <w:rPr>
                <w:rFonts w:ascii="Arial" w:hAnsi="Arial" w:cs="Arial"/>
                <w:color w:val="auto"/>
              </w:rPr>
            </w:pPr>
            <w:r w:rsidRPr="00A626CC">
              <w:rPr>
                <w:rFonts w:ascii="Arial" w:hAnsi="Arial" w:cs="Arial"/>
                <w:color w:val="auto"/>
              </w:rPr>
              <w:t>2</w:t>
            </w:r>
            <w:r w:rsidR="00FD2025">
              <w:rPr>
                <w:rFonts w:ascii="Arial" w:hAnsi="Arial" w:cs="Arial"/>
                <w:color w:val="auto"/>
              </w:rPr>
              <w:t>3</w:t>
            </w:r>
            <w:r w:rsidRPr="00A626CC">
              <w:rPr>
                <w:rFonts w:ascii="Arial" w:hAnsi="Arial" w:cs="Arial"/>
                <w:color w:val="auto"/>
              </w:rPr>
              <w:t>/11/2023</w:t>
            </w:r>
          </w:p>
        </w:tc>
        <w:tc>
          <w:tcPr>
            <w:tcW w:w="1985" w:type="dxa"/>
          </w:tcPr>
          <w:p w14:paraId="7BB88947" w14:textId="42DD7DF6" w:rsidR="001C3EC5" w:rsidRPr="00A626CC" w:rsidRDefault="001C3EC5" w:rsidP="00A626CC">
            <w:pPr>
              <w:rPr>
                <w:rFonts w:ascii="Arial" w:hAnsi="Arial" w:cs="Arial"/>
                <w:color w:val="auto"/>
              </w:rPr>
            </w:pPr>
            <w:r w:rsidRPr="00A626CC">
              <w:rPr>
                <w:rFonts w:ascii="Arial" w:hAnsi="Arial" w:cs="Arial"/>
                <w:color w:val="auto"/>
              </w:rPr>
              <w:t>Kate Fuller, DFAT</w:t>
            </w:r>
          </w:p>
        </w:tc>
        <w:tc>
          <w:tcPr>
            <w:tcW w:w="3798" w:type="dxa"/>
          </w:tcPr>
          <w:p w14:paraId="717765D8" w14:textId="69E0B9A9" w:rsidR="001C3EC5" w:rsidRPr="00A626CC" w:rsidRDefault="00061FB1" w:rsidP="00A626CC">
            <w:pPr>
              <w:rPr>
                <w:rFonts w:ascii="Arial" w:hAnsi="Arial" w:cs="Arial"/>
                <w:color w:val="auto"/>
              </w:rPr>
            </w:pPr>
            <w:r w:rsidRPr="00A626CC">
              <w:rPr>
                <w:rFonts w:ascii="Arial" w:hAnsi="Arial" w:cs="Arial"/>
                <w:color w:val="auto"/>
              </w:rPr>
              <w:t>Revisions requested by DFAT, DEWR, PLF</w:t>
            </w:r>
          </w:p>
        </w:tc>
      </w:tr>
      <w:tr w:rsidR="00AB7E68" w:rsidRPr="00A626CC" w14:paraId="1831D102" w14:textId="77777777" w:rsidTr="00083F7F">
        <w:tc>
          <w:tcPr>
            <w:tcW w:w="1984" w:type="dxa"/>
          </w:tcPr>
          <w:p w14:paraId="3C36AF3A" w14:textId="40D2A106" w:rsidR="00AB7E68" w:rsidRPr="00A626CC" w:rsidRDefault="00AB7E68" w:rsidP="00A626CC">
            <w:pPr>
              <w:rPr>
                <w:rFonts w:ascii="Arial" w:hAnsi="Arial" w:cs="Arial"/>
                <w:color w:val="auto"/>
              </w:rPr>
            </w:pPr>
            <w:r>
              <w:rPr>
                <w:rFonts w:ascii="Arial" w:hAnsi="Arial" w:cs="Arial"/>
                <w:color w:val="auto"/>
              </w:rPr>
              <w:t>2.3</w:t>
            </w:r>
          </w:p>
        </w:tc>
        <w:tc>
          <w:tcPr>
            <w:tcW w:w="1985" w:type="dxa"/>
          </w:tcPr>
          <w:p w14:paraId="18ED0F14" w14:textId="1D275CDD" w:rsidR="00AB7E68" w:rsidRPr="00A626CC" w:rsidRDefault="00AB7E68" w:rsidP="00A626CC">
            <w:pPr>
              <w:rPr>
                <w:rFonts w:ascii="Arial" w:hAnsi="Arial" w:cs="Arial"/>
                <w:color w:val="auto"/>
              </w:rPr>
            </w:pPr>
            <w:r>
              <w:rPr>
                <w:rFonts w:ascii="Arial" w:hAnsi="Arial" w:cs="Arial"/>
                <w:color w:val="auto"/>
              </w:rPr>
              <w:t>5/12/2023</w:t>
            </w:r>
          </w:p>
        </w:tc>
        <w:tc>
          <w:tcPr>
            <w:tcW w:w="1985" w:type="dxa"/>
          </w:tcPr>
          <w:p w14:paraId="59681EEC" w14:textId="1D65F2B7" w:rsidR="00AB7E68" w:rsidRPr="00A626CC" w:rsidRDefault="00AB7E68" w:rsidP="00A626CC">
            <w:pPr>
              <w:rPr>
                <w:rFonts w:ascii="Arial" w:hAnsi="Arial" w:cs="Arial"/>
                <w:color w:val="auto"/>
              </w:rPr>
            </w:pPr>
            <w:r w:rsidRPr="00A626CC">
              <w:rPr>
                <w:rFonts w:ascii="Arial" w:hAnsi="Arial" w:cs="Arial"/>
                <w:color w:val="auto"/>
              </w:rPr>
              <w:t>Kate Fuller, DFAT</w:t>
            </w:r>
          </w:p>
        </w:tc>
        <w:tc>
          <w:tcPr>
            <w:tcW w:w="3798" w:type="dxa"/>
          </w:tcPr>
          <w:p w14:paraId="0A772778" w14:textId="33B9BA94" w:rsidR="00AB7E68" w:rsidRPr="00A626CC" w:rsidRDefault="00AB7E68" w:rsidP="00A626CC">
            <w:pPr>
              <w:rPr>
                <w:rFonts w:ascii="Arial" w:hAnsi="Arial" w:cs="Arial"/>
                <w:color w:val="auto"/>
              </w:rPr>
            </w:pPr>
            <w:r w:rsidRPr="00A626CC">
              <w:rPr>
                <w:rFonts w:ascii="Arial" w:hAnsi="Arial" w:cs="Arial"/>
                <w:color w:val="auto"/>
              </w:rPr>
              <w:t>Revisions requested by DFAT</w:t>
            </w:r>
          </w:p>
        </w:tc>
      </w:tr>
      <w:tr w:rsidR="0050542C" w:rsidRPr="00A626CC" w14:paraId="7C889CD8" w14:textId="77777777" w:rsidTr="00083F7F">
        <w:tc>
          <w:tcPr>
            <w:tcW w:w="1984" w:type="dxa"/>
          </w:tcPr>
          <w:p w14:paraId="55441D50" w14:textId="58AD3785" w:rsidR="0050542C" w:rsidRDefault="0050542C" w:rsidP="00A626CC">
            <w:pPr>
              <w:rPr>
                <w:rFonts w:ascii="Arial" w:hAnsi="Arial" w:cs="Arial"/>
                <w:color w:val="auto"/>
              </w:rPr>
            </w:pPr>
            <w:r>
              <w:rPr>
                <w:rFonts w:ascii="Arial" w:hAnsi="Arial" w:cs="Arial"/>
                <w:color w:val="auto"/>
              </w:rPr>
              <w:t>2.4</w:t>
            </w:r>
          </w:p>
        </w:tc>
        <w:tc>
          <w:tcPr>
            <w:tcW w:w="1985" w:type="dxa"/>
          </w:tcPr>
          <w:p w14:paraId="31256380" w14:textId="1DE6AD74" w:rsidR="0050542C" w:rsidRDefault="0050542C" w:rsidP="00A626CC">
            <w:pPr>
              <w:rPr>
                <w:rFonts w:ascii="Arial" w:hAnsi="Arial" w:cs="Arial"/>
                <w:color w:val="auto"/>
              </w:rPr>
            </w:pPr>
            <w:r>
              <w:rPr>
                <w:rFonts w:ascii="Arial" w:hAnsi="Arial" w:cs="Arial"/>
                <w:color w:val="auto"/>
              </w:rPr>
              <w:t>6/3/2024</w:t>
            </w:r>
          </w:p>
        </w:tc>
        <w:tc>
          <w:tcPr>
            <w:tcW w:w="1985" w:type="dxa"/>
          </w:tcPr>
          <w:p w14:paraId="0266EC63" w14:textId="289AD767" w:rsidR="0050542C" w:rsidRPr="00A626CC" w:rsidRDefault="00366CEA" w:rsidP="00A626CC">
            <w:pPr>
              <w:rPr>
                <w:rFonts w:ascii="Arial" w:hAnsi="Arial" w:cs="Arial"/>
                <w:color w:val="auto"/>
              </w:rPr>
            </w:pPr>
            <w:r>
              <w:rPr>
                <w:rFonts w:ascii="Arial" w:hAnsi="Arial" w:cs="Arial"/>
                <w:color w:val="auto"/>
              </w:rPr>
              <w:t>Priya Sivakumaran, DFAT</w:t>
            </w:r>
          </w:p>
        </w:tc>
        <w:tc>
          <w:tcPr>
            <w:tcW w:w="3798" w:type="dxa"/>
          </w:tcPr>
          <w:p w14:paraId="41873EFF" w14:textId="32CA57CB" w:rsidR="0050542C" w:rsidRPr="00A626CC" w:rsidRDefault="00366CEA" w:rsidP="00A626CC">
            <w:pPr>
              <w:rPr>
                <w:rFonts w:ascii="Arial" w:hAnsi="Arial" w:cs="Arial"/>
                <w:color w:val="auto"/>
              </w:rPr>
            </w:pPr>
            <w:r w:rsidRPr="00A626CC">
              <w:rPr>
                <w:rFonts w:ascii="Arial" w:hAnsi="Arial" w:cs="Arial"/>
                <w:color w:val="auto"/>
              </w:rPr>
              <w:t>Revisions requested by DFAT</w:t>
            </w:r>
          </w:p>
        </w:tc>
      </w:tr>
    </w:tbl>
    <w:p w14:paraId="190593A6" w14:textId="12FCFA33" w:rsidR="0096564D" w:rsidRPr="00A626CC" w:rsidRDefault="0096564D" w:rsidP="00A626CC">
      <w:pPr>
        <w:rPr>
          <w:rFonts w:cstheme="minorHAnsi"/>
        </w:rPr>
      </w:pPr>
    </w:p>
    <w:tbl>
      <w:tblPr>
        <w:tblStyle w:val="TableGridwithOptions"/>
        <w:tblW w:w="0" w:type="auto"/>
        <w:tblLook w:val="06A0" w:firstRow="1" w:lastRow="0" w:firstColumn="1" w:lastColumn="0" w:noHBand="1" w:noVBand="1"/>
      </w:tblPr>
      <w:tblGrid>
        <w:gridCol w:w="2977"/>
        <w:gridCol w:w="6775"/>
      </w:tblGrid>
      <w:tr w:rsidR="008A2949" w14:paraId="2A22BF17" w14:textId="7CB195A2" w:rsidTr="00785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F98207B" w14:textId="241544ED" w:rsidR="008A2949" w:rsidRDefault="008A2949" w:rsidP="0096564D">
            <w:r w:rsidRPr="008A2949">
              <w:t>Lead author/evaluator</w:t>
            </w:r>
          </w:p>
        </w:tc>
        <w:tc>
          <w:tcPr>
            <w:tcW w:w="6775" w:type="dxa"/>
          </w:tcPr>
          <w:p w14:paraId="43C654A6" w14:textId="737C22A6" w:rsidR="008A2949" w:rsidRDefault="00F64964" w:rsidP="0096564D">
            <w:pPr>
              <w:cnfStyle w:val="100000000000" w:firstRow="1" w:lastRow="0" w:firstColumn="0" w:lastColumn="0" w:oddVBand="0" w:evenVBand="0" w:oddHBand="0" w:evenHBand="0" w:firstRowFirstColumn="0" w:firstRowLastColumn="0" w:lastRowFirstColumn="0" w:lastRowLastColumn="0"/>
            </w:pPr>
            <w:r>
              <w:t>Dr Paul Crawford</w:t>
            </w:r>
          </w:p>
        </w:tc>
      </w:tr>
      <w:tr w:rsidR="008A2949" w14:paraId="14C74E8D" w14:textId="2AAA3441" w:rsidTr="00785EFB">
        <w:tc>
          <w:tcPr>
            <w:cnfStyle w:val="001000000000" w:firstRow="0" w:lastRow="0" w:firstColumn="1" w:lastColumn="0" w:oddVBand="0" w:evenVBand="0" w:oddHBand="0" w:evenHBand="0" w:firstRowFirstColumn="0" w:firstRowLastColumn="0" w:lastRowFirstColumn="0" w:lastRowLastColumn="0"/>
            <w:tcW w:w="2977" w:type="dxa"/>
          </w:tcPr>
          <w:p w14:paraId="120995DF" w14:textId="154D7259" w:rsidR="008A2949" w:rsidRDefault="008A2949" w:rsidP="0096564D">
            <w:r w:rsidRPr="008A2949">
              <w:t>Project director</w:t>
            </w:r>
          </w:p>
        </w:tc>
        <w:tc>
          <w:tcPr>
            <w:tcW w:w="6775" w:type="dxa"/>
          </w:tcPr>
          <w:p w14:paraId="5EA3742F" w14:textId="7AF62EDC" w:rsidR="008A2949" w:rsidRDefault="00F64964" w:rsidP="0096564D">
            <w:pPr>
              <w:cnfStyle w:val="000000000000" w:firstRow="0" w:lastRow="0" w:firstColumn="0" w:lastColumn="0" w:oddVBand="0" w:evenVBand="0" w:oddHBand="0" w:evenHBand="0" w:firstRowFirstColumn="0" w:firstRowLastColumn="0" w:lastRowFirstColumn="0" w:lastRowLastColumn="0"/>
            </w:pPr>
            <w:r>
              <w:t>Dave Green</w:t>
            </w:r>
          </w:p>
        </w:tc>
      </w:tr>
      <w:tr w:rsidR="008A2949" w14:paraId="24B0D30B" w14:textId="3FAD0F5B" w:rsidTr="00785EFB">
        <w:tc>
          <w:tcPr>
            <w:cnfStyle w:val="001000000000" w:firstRow="0" w:lastRow="0" w:firstColumn="1" w:lastColumn="0" w:oddVBand="0" w:evenVBand="0" w:oddHBand="0" w:evenHBand="0" w:firstRowFirstColumn="0" w:firstRowLastColumn="0" w:lastRowFirstColumn="0" w:lastRowLastColumn="0"/>
            <w:tcW w:w="2977" w:type="dxa"/>
          </w:tcPr>
          <w:p w14:paraId="3D1D3617" w14:textId="1B33E002" w:rsidR="008A2949" w:rsidRDefault="008A2949" w:rsidP="0096564D">
            <w:r w:rsidRPr="008A2949">
              <w:t>Internal contributors</w:t>
            </w:r>
          </w:p>
        </w:tc>
        <w:tc>
          <w:tcPr>
            <w:tcW w:w="6775" w:type="dxa"/>
          </w:tcPr>
          <w:p w14:paraId="6D32FF8E" w14:textId="63E68B5E" w:rsidR="008A2949" w:rsidRDefault="00F64964" w:rsidP="0096564D">
            <w:pPr>
              <w:cnfStyle w:val="000000000000" w:firstRow="0" w:lastRow="0" w:firstColumn="0" w:lastColumn="0" w:oddVBand="0" w:evenVBand="0" w:oddHBand="0" w:evenHBand="0" w:firstRowFirstColumn="0" w:firstRowLastColumn="0" w:lastRowFirstColumn="0" w:lastRowLastColumn="0"/>
            </w:pPr>
            <w:r>
              <w:t>Bardie Barclay-Sutton</w:t>
            </w:r>
          </w:p>
        </w:tc>
      </w:tr>
      <w:tr w:rsidR="008A2949" w14:paraId="5BF387EA" w14:textId="5882E132" w:rsidTr="00785EFB">
        <w:tc>
          <w:tcPr>
            <w:cnfStyle w:val="001000000000" w:firstRow="0" w:lastRow="0" w:firstColumn="1" w:lastColumn="0" w:oddVBand="0" w:evenVBand="0" w:oddHBand="0" w:evenHBand="0" w:firstRowFirstColumn="0" w:firstRowLastColumn="0" w:lastRowFirstColumn="0" w:lastRowLastColumn="0"/>
            <w:tcW w:w="2977" w:type="dxa"/>
          </w:tcPr>
          <w:p w14:paraId="2E9D19CD" w14:textId="26C3AFA2" w:rsidR="008A2949" w:rsidRDefault="008A2949" w:rsidP="0096564D">
            <w:r w:rsidRPr="008A2949">
              <w:t>External contributors</w:t>
            </w:r>
          </w:p>
        </w:tc>
        <w:tc>
          <w:tcPr>
            <w:tcW w:w="6775" w:type="dxa"/>
          </w:tcPr>
          <w:p w14:paraId="300629AF" w14:textId="3A6874B4" w:rsidR="008A2949" w:rsidRDefault="002212CE" w:rsidP="0096564D">
            <w:pPr>
              <w:cnfStyle w:val="000000000000" w:firstRow="0" w:lastRow="0" w:firstColumn="0" w:lastColumn="0" w:oddVBand="0" w:evenVBand="0" w:oddHBand="0" w:evenHBand="0" w:firstRowFirstColumn="0" w:firstRowLastColumn="0" w:lastRowFirstColumn="0" w:lastRowLastColumn="0"/>
            </w:pPr>
            <w:r>
              <w:t xml:space="preserve">Dr </w:t>
            </w:r>
            <w:r w:rsidR="00F64964">
              <w:t xml:space="preserve">Heather Nunns, </w:t>
            </w:r>
            <w:r>
              <w:t>D</w:t>
            </w:r>
            <w:r w:rsidR="00194E07">
              <w:t>r</w:t>
            </w:r>
            <w:r>
              <w:t xml:space="preserve"> </w:t>
            </w:r>
            <w:r w:rsidR="00F64964">
              <w:t>Charlotte Bedford</w:t>
            </w:r>
          </w:p>
        </w:tc>
      </w:tr>
      <w:tr w:rsidR="008A2949" w14:paraId="5219AA7F" w14:textId="7779F557" w:rsidTr="00785EFB">
        <w:tc>
          <w:tcPr>
            <w:cnfStyle w:val="001000000000" w:firstRow="0" w:lastRow="0" w:firstColumn="1" w:lastColumn="0" w:oddVBand="0" w:evenVBand="0" w:oddHBand="0" w:evenHBand="0" w:firstRowFirstColumn="0" w:firstRowLastColumn="0" w:lastRowFirstColumn="0" w:lastRowLastColumn="0"/>
            <w:tcW w:w="2977" w:type="dxa"/>
          </w:tcPr>
          <w:p w14:paraId="28B20FEC" w14:textId="02FB6406" w:rsidR="008A2949" w:rsidRDefault="008A2949" w:rsidP="0096564D">
            <w:r w:rsidRPr="008A2949">
              <w:t>Last saved</w:t>
            </w:r>
          </w:p>
        </w:tc>
        <w:tc>
          <w:tcPr>
            <w:tcW w:w="6775" w:type="dxa"/>
          </w:tcPr>
          <w:p w14:paraId="1CC5F17C" w14:textId="3EFA4B7E" w:rsidR="008A2949" w:rsidRDefault="0048146D" w:rsidP="0096564D">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SAVEDATE  \@ "d/MM/yyyy h:mm am/pm"  \* MERGEFORMAT </w:instrText>
            </w:r>
            <w:r>
              <w:fldChar w:fldCharType="separate"/>
            </w:r>
            <w:r w:rsidR="00DE020C">
              <w:rPr>
                <w:noProof/>
              </w:rPr>
              <w:t>28/05/2024 2:53 PM</w:t>
            </w:r>
            <w:r>
              <w:fldChar w:fldCharType="end"/>
            </w:r>
          </w:p>
        </w:tc>
      </w:tr>
      <w:tr w:rsidR="008A2949" w14:paraId="73509766" w14:textId="70CDE4A8" w:rsidTr="00785EFB">
        <w:tc>
          <w:tcPr>
            <w:cnfStyle w:val="001000000000" w:firstRow="0" w:lastRow="0" w:firstColumn="1" w:lastColumn="0" w:oddVBand="0" w:evenVBand="0" w:oddHBand="0" w:evenHBand="0" w:firstRowFirstColumn="0" w:firstRowLastColumn="0" w:lastRowFirstColumn="0" w:lastRowLastColumn="0"/>
            <w:tcW w:w="2977" w:type="dxa"/>
          </w:tcPr>
          <w:p w14:paraId="3DAEBB34" w14:textId="661EA6B2" w:rsidR="008A2949" w:rsidRDefault="008A2949" w:rsidP="0096564D">
            <w:r w:rsidRPr="008A2949">
              <w:t>Clear Horizon Reference No</w:t>
            </w:r>
            <w:r>
              <w:t>.</w:t>
            </w:r>
          </w:p>
        </w:tc>
        <w:tc>
          <w:tcPr>
            <w:tcW w:w="6775" w:type="dxa"/>
          </w:tcPr>
          <w:p w14:paraId="25C9ED3B" w14:textId="1EF55DB0" w:rsidR="008A2949" w:rsidRDefault="00F64964" w:rsidP="0096564D">
            <w:pPr>
              <w:cnfStyle w:val="000000000000" w:firstRow="0" w:lastRow="0" w:firstColumn="0" w:lastColumn="0" w:oddVBand="0" w:evenVBand="0" w:oddHBand="0" w:evenHBand="0" w:firstRowFirstColumn="0" w:firstRowLastColumn="0" w:lastRowFirstColumn="0" w:lastRowLastColumn="0"/>
            </w:pPr>
            <w:r>
              <w:t>19319</w:t>
            </w:r>
          </w:p>
        </w:tc>
      </w:tr>
    </w:tbl>
    <w:p w14:paraId="0E17407C" w14:textId="77777777" w:rsidR="008A2949" w:rsidRPr="00A626CC" w:rsidRDefault="008A2949" w:rsidP="00A626CC">
      <w:pPr>
        <w:rPr>
          <w:rFonts w:cstheme="minorHAnsi"/>
        </w:rPr>
      </w:pPr>
    </w:p>
    <w:p w14:paraId="05FDF564" w14:textId="77777777" w:rsidR="0096564D" w:rsidRPr="00A626CC" w:rsidRDefault="0096564D" w:rsidP="00A626CC">
      <w:pPr>
        <w:pStyle w:val="Subheading"/>
      </w:pPr>
      <w:r w:rsidRPr="00A626CC">
        <w:t>Disclaimer</w:t>
      </w:r>
    </w:p>
    <w:p w14:paraId="0BCE53C8" w14:textId="63AA0830" w:rsidR="0096564D" w:rsidRPr="00A626CC" w:rsidRDefault="004F3D3F" w:rsidP="00A626CC">
      <w:r w:rsidRPr="00A626CC">
        <w:t xml:space="preserve">This document has been produced with information supplied to Clear Horizon by </w:t>
      </w:r>
      <w:r w:rsidR="00F56208" w:rsidRPr="00A626CC">
        <w:t>DFAT</w:t>
      </w:r>
      <w:r w:rsidRPr="00A626CC">
        <w:t xml:space="preserve">, including </w:t>
      </w:r>
      <w:sdt>
        <w:sdtPr>
          <w:id w:val="-34671083"/>
          <w:placeholder>
            <w:docPart w:val="CF02F40C3EA44120AF209D77B8ED10B7"/>
          </w:placeholder>
          <w:showingPlcHdr/>
          <w:text/>
        </w:sdtPr>
        <w:sdtEndPr/>
        <w:sdtContent>
          <w:r w:rsidR="6D932F54" w:rsidRPr="00A626CC">
            <w:t>document review, key informant interviews and observations</w:t>
          </w:r>
        </w:sdtContent>
      </w:sdt>
      <w:r w:rsidRPr="00A626CC">
        <w:t>. While we make every effort to ensure the accuracy of the information contained in this report, any judgements as to suitability of the information for the client’s purposes are the client’s responsibility. Clear Horizon extends no warranties and assumes no responsibility as to the suitability of this information or for the consequences of its use.</w:t>
      </w:r>
    </w:p>
    <w:p w14:paraId="5F5C709B" w14:textId="2E930505" w:rsidR="5D1A3BD0" w:rsidRDefault="5D1A3BD0" w:rsidP="15FFAE6F">
      <w:r>
        <w:t>Cover photo: © Pacific Labour Facility</w:t>
      </w:r>
    </w:p>
    <w:p w14:paraId="545AD148" w14:textId="61A961A8" w:rsidR="0096564D" w:rsidRPr="00A626CC" w:rsidRDefault="0096564D" w:rsidP="00A626CC">
      <w:r w:rsidRPr="15FFAE6F">
        <w:br w:type="page"/>
      </w:r>
    </w:p>
    <w:p w14:paraId="6BAF5630" w14:textId="52E3CF5F" w:rsidR="005209F0" w:rsidRPr="00A626CC" w:rsidRDefault="005209F0" w:rsidP="00A626CC">
      <w:pPr>
        <w:pStyle w:val="TOCHeading"/>
      </w:pPr>
      <w:r w:rsidRPr="00A626CC">
        <w:lastRenderedPageBreak/>
        <w:t>Contents</w:t>
      </w:r>
    </w:p>
    <w:p w14:paraId="0940EA43" w14:textId="63E74CEE" w:rsidR="00AB7E68" w:rsidRPr="007636DA" w:rsidRDefault="00111A6E" w:rsidP="00AB7E68">
      <w:pPr>
        <w:pStyle w:val="TOC1"/>
        <w:rPr>
          <w:rFonts w:asciiTheme="minorHAnsi" w:eastAsiaTheme="minorEastAsia" w:hAnsiTheme="minorHAnsi"/>
          <w:b/>
          <w:noProof/>
          <w:color w:val="auto"/>
          <w:kern w:val="2"/>
          <w:sz w:val="22"/>
          <w:lang w:eastAsia="en-AU"/>
          <w14:ligatures w14:val="standardContextual"/>
        </w:rPr>
      </w:pPr>
      <w:r w:rsidRPr="00A626CC">
        <w:rPr>
          <w:rStyle w:val="Hyperlink"/>
          <w:noProof/>
          <w:color w:val="222222" w:themeColor="text1"/>
        </w:rPr>
        <w:fldChar w:fldCharType="begin"/>
      </w:r>
      <w:r w:rsidRPr="00A626CC">
        <w:rPr>
          <w:rStyle w:val="Hyperlink"/>
          <w:noProof/>
          <w:color w:val="222222" w:themeColor="text1"/>
        </w:rPr>
        <w:instrText xml:space="preserve"> TOC \o "1-2" \h \z \u \t "Heading 8,1,Heading 9,2" </w:instrText>
      </w:r>
      <w:r w:rsidRPr="00A626CC">
        <w:rPr>
          <w:rStyle w:val="Hyperlink"/>
          <w:noProof/>
          <w:color w:val="222222" w:themeColor="text1"/>
        </w:rPr>
        <w:fldChar w:fldCharType="separate"/>
      </w:r>
      <w:hyperlink w:anchor="_Toc152591508" w:history="1">
        <w:r w:rsidR="00AB7E68" w:rsidRPr="007636DA">
          <w:rPr>
            <w:rStyle w:val="Hyperlink"/>
            <w:b/>
            <w:noProof/>
          </w:rPr>
          <w:t>1. EXECUTIVE SUMMARY</w:t>
        </w:r>
        <w:r w:rsidR="00AB7E68" w:rsidRPr="007636DA">
          <w:rPr>
            <w:b/>
            <w:noProof/>
            <w:webHidden/>
          </w:rPr>
          <w:tab/>
        </w:r>
        <w:r w:rsidR="00AB7E68" w:rsidRPr="007636DA">
          <w:rPr>
            <w:b/>
            <w:noProof/>
            <w:webHidden/>
          </w:rPr>
          <w:fldChar w:fldCharType="begin"/>
        </w:r>
        <w:r w:rsidR="00AB7E68" w:rsidRPr="007636DA">
          <w:rPr>
            <w:b/>
            <w:noProof/>
            <w:webHidden/>
          </w:rPr>
          <w:instrText xml:space="preserve"> PAGEREF _Toc152591508 \h </w:instrText>
        </w:r>
        <w:r w:rsidR="00AB7E68" w:rsidRPr="007636DA">
          <w:rPr>
            <w:b/>
            <w:noProof/>
            <w:webHidden/>
          </w:rPr>
        </w:r>
        <w:r w:rsidR="00AB7E68" w:rsidRPr="007636DA">
          <w:rPr>
            <w:b/>
            <w:noProof/>
            <w:webHidden/>
          </w:rPr>
          <w:fldChar w:fldCharType="separate"/>
        </w:r>
        <w:r w:rsidR="001F6F84">
          <w:rPr>
            <w:b/>
            <w:noProof/>
            <w:webHidden/>
          </w:rPr>
          <w:t>1</w:t>
        </w:r>
        <w:r w:rsidR="00AB7E68" w:rsidRPr="007636DA">
          <w:rPr>
            <w:b/>
            <w:noProof/>
            <w:webHidden/>
          </w:rPr>
          <w:fldChar w:fldCharType="end"/>
        </w:r>
      </w:hyperlink>
    </w:p>
    <w:p w14:paraId="41C579E2" w14:textId="18AD88A3" w:rsidR="00AB7E68" w:rsidRPr="007636DA" w:rsidRDefault="00603D93" w:rsidP="00AB7E68">
      <w:pPr>
        <w:pStyle w:val="TOC1"/>
        <w:rPr>
          <w:rFonts w:asciiTheme="minorHAnsi" w:eastAsiaTheme="minorEastAsia" w:hAnsiTheme="minorHAnsi"/>
          <w:b/>
          <w:noProof/>
          <w:color w:val="auto"/>
          <w:kern w:val="2"/>
          <w:sz w:val="22"/>
          <w:lang w:eastAsia="en-AU"/>
          <w14:ligatures w14:val="standardContextual"/>
        </w:rPr>
      </w:pPr>
      <w:hyperlink w:anchor="_Toc152591514" w:history="1">
        <w:r w:rsidR="00AB7E68" w:rsidRPr="007636DA">
          <w:rPr>
            <w:rStyle w:val="Hyperlink"/>
            <w:b/>
            <w:noProof/>
          </w:rPr>
          <w:t>2. Introduction</w:t>
        </w:r>
        <w:r w:rsidR="00AB7E68" w:rsidRPr="007636DA">
          <w:rPr>
            <w:b/>
            <w:noProof/>
            <w:webHidden/>
          </w:rPr>
          <w:tab/>
        </w:r>
        <w:r w:rsidR="00AB7E68" w:rsidRPr="007636DA">
          <w:rPr>
            <w:b/>
            <w:noProof/>
            <w:webHidden/>
          </w:rPr>
          <w:fldChar w:fldCharType="begin"/>
        </w:r>
        <w:r w:rsidR="00AB7E68" w:rsidRPr="007636DA">
          <w:rPr>
            <w:b/>
            <w:noProof/>
            <w:webHidden/>
          </w:rPr>
          <w:instrText xml:space="preserve"> PAGEREF _Toc152591514 \h </w:instrText>
        </w:r>
        <w:r w:rsidR="00AB7E68" w:rsidRPr="007636DA">
          <w:rPr>
            <w:b/>
            <w:noProof/>
            <w:webHidden/>
          </w:rPr>
        </w:r>
        <w:r w:rsidR="00AB7E68" w:rsidRPr="007636DA">
          <w:rPr>
            <w:b/>
            <w:noProof/>
            <w:webHidden/>
          </w:rPr>
          <w:fldChar w:fldCharType="separate"/>
        </w:r>
        <w:r w:rsidR="001F6F84">
          <w:rPr>
            <w:b/>
            <w:noProof/>
            <w:webHidden/>
          </w:rPr>
          <w:t>6</w:t>
        </w:r>
        <w:r w:rsidR="00AB7E68" w:rsidRPr="007636DA">
          <w:rPr>
            <w:b/>
            <w:noProof/>
            <w:webHidden/>
          </w:rPr>
          <w:fldChar w:fldCharType="end"/>
        </w:r>
      </w:hyperlink>
    </w:p>
    <w:p w14:paraId="4FE1B46F" w14:textId="712E12E8"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15" w:history="1">
        <w:r w:rsidR="00AB7E68" w:rsidRPr="00FD220F">
          <w:rPr>
            <w:rStyle w:val="Hyperlink"/>
            <w:noProof/>
          </w:rPr>
          <w:t>2.1. Synopsis</w:t>
        </w:r>
        <w:r w:rsidR="00AB7E68">
          <w:rPr>
            <w:noProof/>
            <w:webHidden/>
          </w:rPr>
          <w:tab/>
        </w:r>
        <w:r w:rsidR="00AB7E68">
          <w:rPr>
            <w:noProof/>
            <w:webHidden/>
          </w:rPr>
          <w:fldChar w:fldCharType="begin"/>
        </w:r>
        <w:r w:rsidR="00AB7E68">
          <w:rPr>
            <w:noProof/>
            <w:webHidden/>
          </w:rPr>
          <w:instrText xml:space="preserve"> PAGEREF _Toc152591515 \h </w:instrText>
        </w:r>
        <w:r w:rsidR="00AB7E68">
          <w:rPr>
            <w:noProof/>
            <w:webHidden/>
          </w:rPr>
        </w:r>
        <w:r w:rsidR="00AB7E68">
          <w:rPr>
            <w:noProof/>
            <w:webHidden/>
          </w:rPr>
          <w:fldChar w:fldCharType="separate"/>
        </w:r>
        <w:r w:rsidR="001F6F84">
          <w:rPr>
            <w:noProof/>
            <w:webHidden/>
          </w:rPr>
          <w:t>6</w:t>
        </w:r>
        <w:r w:rsidR="00AB7E68">
          <w:rPr>
            <w:noProof/>
            <w:webHidden/>
          </w:rPr>
          <w:fldChar w:fldCharType="end"/>
        </w:r>
      </w:hyperlink>
    </w:p>
    <w:p w14:paraId="20D3DE4B" w14:textId="61D3D3AF"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16" w:history="1">
        <w:r w:rsidR="00AB7E68" w:rsidRPr="00FD220F">
          <w:rPr>
            <w:rStyle w:val="Hyperlink"/>
            <w:noProof/>
          </w:rPr>
          <w:t>2.2. Background</w:t>
        </w:r>
        <w:r w:rsidR="00AB7E68">
          <w:rPr>
            <w:noProof/>
            <w:webHidden/>
          </w:rPr>
          <w:tab/>
        </w:r>
        <w:r w:rsidR="00AB7E68">
          <w:rPr>
            <w:noProof/>
            <w:webHidden/>
          </w:rPr>
          <w:fldChar w:fldCharType="begin"/>
        </w:r>
        <w:r w:rsidR="00AB7E68">
          <w:rPr>
            <w:noProof/>
            <w:webHidden/>
          </w:rPr>
          <w:instrText xml:space="preserve"> PAGEREF _Toc152591516 \h </w:instrText>
        </w:r>
        <w:r w:rsidR="00AB7E68">
          <w:rPr>
            <w:noProof/>
            <w:webHidden/>
          </w:rPr>
        </w:r>
        <w:r w:rsidR="00AB7E68">
          <w:rPr>
            <w:noProof/>
            <w:webHidden/>
          </w:rPr>
          <w:fldChar w:fldCharType="separate"/>
        </w:r>
        <w:r w:rsidR="001F6F84">
          <w:rPr>
            <w:noProof/>
            <w:webHidden/>
          </w:rPr>
          <w:t>6</w:t>
        </w:r>
        <w:r w:rsidR="00AB7E68">
          <w:rPr>
            <w:noProof/>
            <w:webHidden/>
          </w:rPr>
          <w:fldChar w:fldCharType="end"/>
        </w:r>
      </w:hyperlink>
    </w:p>
    <w:p w14:paraId="7B03A029" w14:textId="6862B633"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17" w:history="1">
        <w:r w:rsidR="00AB7E68" w:rsidRPr="00FD220F">
          <w:rPr>
            <w:rStyle w:val="Hyperlink"/>
            <w:noProof/>
          </w:rPr>
          <w:t>2.3. Context</w:t>
        </w:r>
        <w:r w:rsidR="00AB7E68">
          <w:rPr>
            <w:noProof/>
            <w:webHidden/>
          </w:rPr>
          <w:tab/>
        </w:r>
        <w:r w:rsidR="00AB7E68">
          <w:rPr>
            <w:noProof/>
            <w:webHidden/>
          </w:rPr>
          <w:fldChar w:fldCharType="begin"/>
        </w:r>
        <w:r w:rsidR="00AB7E68">
          <w:rPr>
            <w:noProof/>
            <w:webHidden/>
          </w:rPr>
          <w:instrText xml:space="preserve"> PAGEREF _Toc152591517 \h </w:instrText>
        </w:r>
        <w:r w:rsidR="00AB7E68">
          <w:rPr>
            <w:noProof/>
            <w:webHidden/>
          </w:rPr>
        </w:r>
        <w:r w:rsidR="00AB7E68">
          <w:rPr>
            <w:noProof/>
            <w:webHidden/>
          </w:rPr>
          <w:fldChar w:fldCharType="separate"/>
        </w:r>
        <w:r w:rsidR="001F6F84">
          <w:rPr>
            <w:noProof/>
            <w:webHidden/>
          </w:rPr>
          <w:t>6</w:t>
        </w:r>
        <w:r w:rsidR="00AB7E68">
          <w:rPr>
            <w:noProof/>
            <w:webHidden/>
          </w:rPr>
          <w:fldChar w:fldCharType="end"/>
        </w:r>
      </w:hyperlink>
    </w:p>
    <w:p w14:paraId="55243895" w14:textId="1CE5EAE6" w:rsidR="00AB7E68" w:rsidRPr="007636DA" w:rsidRDefault="00603D93" w:rsidP="00AB7E68">
      <w:pPr>
        <w:pStyle w:val="TOC1"/>
        <w:rPr>
          <w:rFonts w:asciiTheme="minorHAnsi" w:eastAsiaTheme="minorEastAsia" w:hAnsiTheme="minorHAnsi"/>
          <w:b/>
          <w:noProof/>
          <w:color w:val="auto"/>
          <w:kern w:val="2"/>
          <w:sz w:val="22"/>
          <w:lang w:eastAsia="en-AU"/>
          <w14:ligatures w14:val="standardContextual"/>
        </w:rPr>
      </w:pPr>
      <w:hyperlink w:anchor="_Toc152591518" w:history="1">
        <w:r w:rsidR="00AB7E68" w:rsidRPr="007636DA">
          <w:rPr>
            <w:rStyle w:val="Hyperlink"/>
            <w:b/>
            <w:noProof/>
          </w:rPr>
          <w:t>3. METHODOLOGY</w:t>
        </w:r>
        <w:r w:rsidR="00AB7E68" w:rsidRPr="007636DA">
          <w:rPr>
            <w:b/>
            <w:noProof/>
            <w:webHidden/>
          </w:rPr>
          <w:tab/>
        </w:r>
        <w:r w:rsidR="00AB7E68" w:rsidRPr="007636DA">
          <w:rPr>
            <w:b/>
            <w:noProof/>
            <w:webHidden/>
          </w:rPr>
          <w:fldChar w:fldCharType="begin"/>
        </w:r>
        <w:r w:rsidR="00AB7E68" w:rsidRPr="007636DA">
          <w:rPr>
            <w:b/>
            <w:noProof/>
            <w:webHidden/>
          </w:rPr>
          <w:instrText xml:space="preserve"> PAGEREF _Toc152591518 \h </w:instrText>
        </w:r>
        <w:r w:rsidR="00AB7E68" w:rsidRPr="007636DA">
          <w:rPr>
            <w:b/>
            <w:noProof/>
            <w:webHidden/>
          </w:rPr>
        </w:r>
        <w:r w:rsidR="00AB7E68" w:rsidRPr="007636DA">
          <w:rPr>
            <w:b/>
            <w:noProof/>
            <w:webHidden/>
          </w:rPr>
          <w:fldChar w:fldCharType="separate"/>
        </w:r>
        <w:r w:rsidR="001F6F84">
          <w:rPr>
            <w:b/>
            <w:noProof/>
            <w:webHidden/>
          </w:rPr>
          <w:t>10</w:t>
        </w:r>
        <w:r w:rsidR="00AB7E68" w:rsidRPr="007636DA">
          <w:rPr>
            <w:b/>
            <w:noProof/>
            <w:webHidden/>
          </w:rPr>
          <w:fldChar w:fldCharType="end"/>
        </w:r>
      </w:hyperlink>
    </w:p>
    <w:p w14:paraId="699B9759" w14:textId="0329576E"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19" w:history="1">
        <w:r w:rsidR="00AB7E68" w:rsidRPr="00FD220F">
          <w:rPr>
            <w:rStyle w:val="Hyperlink"/>
            <w:noProof/>
          </w:rPr>
          <w:t>3.1. Audience</w:t>
        </w:r>
        <w:r w:rsidR="00AB7E68">
          <w:rPr>
            <w:noProof/>
            <w:webHidden/>
          </w:rPr>
          <w:tab/>
        </w:r>
        <w:r w:rsidR="00AB7E68">
          <w:rPr>
            <w:noProof/>
            <w:webHidden/>
          </w:rPr>
          <w:fldChar w:fldCharType="begin"/>
        </w:r>
        <w:r w:rsidR="00AB7E68">
          <w:rPr>
            <w:noProof/>
            <w:webHidden/>
          </w:rPr>
          <w:instrText xml:space="preserve"> PAGEREF _Toc152591519 \h </w:instrText>
        </w:r>
        <w:r w:rsidR="00AB7E68">
          <w:rPr>
            <w:noProof/>
            <w:webHidden/>
          </w:rPr>
        </w:r>
        <w:r w:rsidR="00AB7E68">
          <w:rPr>
            <w:noProof/>
            <w:webHidden/>
          </w:rPr>
          <w:fldChar w:fldCharType="separate"/>
        </w:r>
        <w:r w:rsidR="001F6F84">
          <w:rPr>
            <w:noProof/>
            <w:webHidden/>
          </w:rPr>
          <w:t>10</w:t>
        </w:r>
        <w:r w:rsidR="00AB7E68">
          <w:rPr>
            <w:noProof/>
            <w:webHidden/>
          </w:rPr>
          <w:fldChar w:fldCharType="end"/>
        </w:r>
      </w:hyperlink>
    </w:p>
    <w:p w14:paraId="110A2EC4" w14:textId="3519C893"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20" w:history="1">
        <w:r w:rsidR="00AB7E68" w:rsidRPr="00FD220F">
          <w:rPr>
            <w:rStyle w:val="Hyperlink"/>
            <w:noProof/>
          </w:rPr>
          <w:t>3.2. Scope</w:t>
        </w:r>
        <w:r w:rsidR="00AB7E68">
          <w:rPr>
            <w:noProof/>
            <w:webHidden/>
          </w:rPr>
          <w:tab/>
        </w:r>
        <w:r w:rsidR="00AB7E68">
          <w:rPr>
            <w:noProof/>
            <w:webHidden/>
          </w:rPr>
          <w:fldChar w:fldCharType="begin"/>
        </w:r>
        <w:r w:rsidR="00AB7E68">
          <w:rPr>
            <w:noProof/>
            <w:webHidden/>
          </w:rPr>
          <w:instrText xml:space="preserve"> PAGEREF _Toc152591520 \h </w:instrText>
        </w:r>
        <w:r w:rsidR="00AB7E68">
          <w:rPr>
            <w:noProof/>
            <w:webHidden/>
          </w:rPr>
        </w:r>
        <w:r w:rsidR="00AB7E68">
          <w:rPr>
            <w:noProof/>
            <w:webHidden/>
          </w:rPr>
          <w:fldChar w:fldCharType="separate"/>
        </w:r>
        <w:r w:rsidR="001F6F84">
          <w:rPr>
            <w:noProof/>
            <w:webHidden/>
          </w:rPr>
          <w:t>10</w:t>
        </w:r>
        <w:r w:rsidR="00AB7E68">
          <w:rPr>
            <w:noProof/>
            <w:webHidden/>
          </w:rPr>
          <w:fldChar w:fldCharType="end"/>
        </w:r>
      </w:hyperlink>
    </w:p>
    <w:p w14:paraId="4EB0CB3A" w14:textId="16EE171C"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21" w:history="1">
        <w:r w:rsidR="00AB7E68" w:rsidRPr="00FD220F">
          <w:rPr>
            <w:rStyle w:val="Hyperlink"/>
            <w:noProof/>
          </w:rPr>
          <w:t>3.3. Methods</w:t>
        </w:r>
        <w:r w:rsidR="00AB7E68">
          <w:rPr>
            <w:noProof/>
            <w:webHidden/>
          </w:rPr>
          <w:tab/>
        </w:r>
        <w:r w:rsidR="00AB7E68">
          <w:rPr>
            <w:noProof/>
            <w:webHidden/>
          </w:rPr>
          <w:fldChar w:fldCharType="begin"/>
        </w:r>
        <w:r w:rsidR="00AB7E68">
          <w:rPr>
            <w:noProof/>
            <w:webHidden/>
          </w:rPr>
          <w:instrText xml:space="preserve"> PAGEREF _Toc152591521 \h </w:instrText>
        </w:r>
        <w:r w:rsidR="00AB7E68">
          <w:rPr>
            <w:noProof/>
            <w:webHidden/>
          </w:rPr>
        </w:r>
        <w:r w:rsidR="00AB7E68">
          <w:rPr>
            <w:noProof/>
            <w:webHidden/>
          </w:rPr>
          <w:fldChar w:fldCharType="separate"/>
        </w:r>
        <w:r w:rsidR="001F6F84">
          <w:rPr>
            <w:noProof/>
            <w:webHidden/>
          </w:rPr>
          <w:t>10</w:t>
        </w:r>
        <w:r w:rsidR="00AB7E68">
          <w:rPr>
            <w:noProof/>
            <w:webHidden/>
          </w:rPr>
          <w:fldChar w:fldCharType="end"/>
        </w:r>
      </w:hyperlink>
    </w:p>
    <w:p w14:paraId="6F71487C" w14:textId="66B2C9A0"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22" w:history="1">
        <w:r w:rsidR="00AB7E68" w:rsidRPr="00FD220F">
          <w:rPr>
            <w:rStyle w:val="Hyperlink"/>
            <w:noProof/>
          </w:rPr>
          <w:t>3.4. Limitations</w:t>
        </w:r>
        <w:r w:rsidR="00AB7E68">
          <w:rPr>
            <w:noProof/>
            <w:webHidden/>
          </w:rPr>
          <w:tab/>
        </w:r>
        <w:r w:rsidR="00AB7E68">
          <w:rPr>
            <w:noProof/>
            <w:webHidden/>
          </w:rPr>
          <w:fldChar w:fldCharType="begin"/>
        </w:r>
        <w:r w:rsidR="00AB7E68">
          <w:rPr>
            <w:noProof/>
            <w:webHidden/>
          </w:rPr>
          <w:instrText xml:space="preserve"> PAGEREF _Toc152591522 \h </w:instrText>
        </w:r>
        <w:r w:rsidR="00AB7E68">
          <w:rPr>
            <w:noProof/>
            <w:webHidden/>
          </w:rPr>
        </w:r>
        <w:r w:rsidR="00AB7E68">
          <w:rPr>
            <w:noProof/>
            <w:webHidden/>
          </w:rPr>
          <w:fldChar w:fldCharType="separate"/>
        </w:r>
        <w:r w:rsidR="001F6F84">
          <w:rPr>
            <w:noProof/>
            <w:webHidden/>
          </w:rPr>
          <w:t>11</w:t>
        </w:r>
        <w:r w:rsidR="00AB7E68">
          <w:rPr>
            <w:noProof/>
            <w:webHidden/>
          </w:rPr>
          <w:fldChar w:fldCharType="end"/>
        </w:r>
      </w:hyperlink>
    </w:p>
    <w:p w14:paraId="67F6A3C5" w14:textId="0960EE1C" w:rsidR="00AB7E68" w:rsidRPr="007636DA" w:rsidRDefault="00603D93" w:rsidP="00AB7E68">
      <w:pPr>
        <w:pStyle w:val="TOC1"/>
        <w:rPr>
          <w:rFonts w:asciiTheme="minorHAnsi" w:eastAsiaTheme="minorEastAsia" w:hAnsiTheme="minorHAnsi"/>
          <w:b/>
          <w:noProof/>
          <w:color w:val="auto"/>
          <w:kern w:val="2"/>
          <w:sz w:val="22"/>
          <w:lang w:eastAsia="en-AU"/>
          <w14:ligatures w14:val="standardContextual"/>
        </w:rPr>
      </w:pPr>
      <w:hyperlink w:anchor="_Toc152591523" w:history="1">
        <w:r w:rsidR="00AB7E68" w:rsidRPr="007636DA">
          <w:rPr>
            <w:rStyle w:val="Hyperlink"/>
            <w:b/>
            <w:noProof/>
          </w:rPr>
          <w:t>4. FINDINGS</w:t>
        </w:r>
        <w:r w:rsidR="00AB7E68" w:rsidRPr="007636DA">
          <w:rPr>
            <w:b/>
            <w:noProof/>
            <w:webHidden/>
          </w:rPr>
          <w:tab/>
        </w:r>
        <w:r w:rsidR="00AB7E68" w:rsidRPr="007636DA">
          <w:rPr>
            <w:b/>
            <w:noProof/>
            <w:webHidden/>
          </w:rPr>
          <w:fldChar w:fldCharType="begin"/>
        </w:r>
        <w:r w:rsidR="00AB7E68" w:rsidRPr="007636DA">
          <w:rPr>
            <w:b/>
            <w:noProof/>
            <w:webHidden/>
          </w:rPr>
          <w:instrText xml:space="preserve"> PAGEREF _Toc152591523 \h </w:instrText>
        </w:r>
        <w:r w:rsidR="00AB7E68" w:rsidRPr="007636DA">
          <w:rPr>
            <w:b/>
            <w:noProof/>
            <w:webHidden/>
          </w:rPr>
        </w:r>
        <w:r w:rsidR="00AB7E68" w:rsidRPr="007636DA">
          <w:rPr>
            <w:b/>
            <w:noProof/>
            <w:webHidden/>
          </w:rPr>
          <w:fldChar w:fldCharType="separate"/>
        </w:r>
        <w:r w:rsidR="001F6F84">
          <w:rPr>
            <w:b/>
            <w:noProof/>
            <w:webHidden/>
          </w:rPr>
          <w:t>12</w:t>
        </w:r>
        <w:r w:rsidR="00AB7E68" w:rsidRPr="007636DA">
          <w:rPr>
            <w:b/>
            <w:noProof/>
            <w:webHidden/>
          </w:rPr>
          <w:fldChar w:fldCharType="end"/>
        </w:r>
      </w:hyperlink>
    </w:p>
    <w:p w14:paraId="7BF5BDF7" w14:textId="710C417E"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24" w:history="1">
        <w:r w:rsidR="00AB7E68" w:rsidRPr="00FD220F">
          <w:rPr>
            <w:rStyle w:val="Hyperlink"/>
            <w:noProof/>
          </w:rPr>
          <w:t>4.1. Summary of findings</w:t>
        </w:r>
        <w:r w:rsidR="00AB7E68">
          <w:rPr>
            <w:noProof/>
            <w:webHidden/>
          </w:rPr>
          <w:tab/>
        </w:r>
        <w:r w:rsidR="00AB7E68">
          <w:rPr>
            <w:noProof/>
            <w:webHidden/>
          </w:rPr>
          <w:fldChar w:fldCharType="begin"/>
        </w:r>
        <w:r w:rsidR="00AB7E68">
          <w:rPr>
            <w:noProof/>
            <w:webHidden/>
          </w:rPr>
          <w:instrText xml:space="preserve"> PAGEREF _Toc152591524 \h </w:instrText>
        </w:r>
        <w:r w:rsidR="00AB7E68">
          <w:rPr>
            <w:noProof/>
            <w:webHidden/>
          </w:rPr>
        </w:r>
        <w:r w:rsidR="00AB7E68">
          <w:rPr>
            <w:noProof/>
            <w:webHidden/>
          </w:rPr>
          <w:fldChar w:fldCharType="separate"/>
        </w:r>
        <w:r w:rsidR="001F6F84">
          <w:rPr>
            <w:noProof/>
            <w:webHidden/>
          </w:rPr>
          <w:t>12</w:t>
        </w:r>
        <w:r w:rsidR="00AB7E68">
          <w:rPr>
            <w:noProof/>
            <w:webHidden/>
          </w:rPr>
          <w:fldChar w:fldCharType="end"/>
        </w:r>
      </w:hyperlink>
    </w:p>
    <w:p w14:paraId="1D85A12C" w14:textId="7B70751A"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25" w:history="1">
        <w:r w:rsidR="00AB7E68" w:rsidRPr="00FD220F">
          <w:rPr>
            <w:rStyle w:val="Hyperlink"/>
            <w:noProof/>
          </w:rPr>
          <w:t>4.2. Effectiveness and efficiency of PLF services</w:t>
        </w:r>
        <w:r w:rsidR="00AB7E68">
          <w:rPr>
            <w:noProof/>
            <w:webHidden/>
          </w:rPr>
          <w:tab/>
        </w:r>
        <w:r w:rsidR="00AB7E68">
          <w:rPr>
            <w:noProof/>
            <w:webHidden/>
          </w:rPr>
          <w:fldChar w:fldCharType="begin"/>
        </w:r>
        <w:r w:rsidR="00AB7E68">
          <w:rPr>
            <w:noProof/>
            <w:webHidden/>
          </w:rPr>
          <w:instrText xml:space="preserve"> PAGEREF _Toc152591525 \h </w:instrText>
        </w:r>
        <w:r w:rsidR="00AB7E68">
          <w:rPr>
            <w:noProof/>
            <w:webHidden/>
          </w:rPr>
        </w:r>
        <w:r w:rsidR="00AB7E68">
          <w:rPr>
            <w:noProof/>
            <w:webHidden/>
          </w:rPr>
          <w:fldChar w:fldCharType="separate"/>
        </w:r>
        <w:r w:rsidR="001F6F84">
          <w:rPr>
            <w:noProof/>
            <w:webHidden/>
          </w:rPr>
          <w:t>13</w:t>
        </w:r>
        <w:r w:rsidR="00AB7E68">
          <w:rPr>
            <w:noProof/>
            <w:webHidden/>
          </w:rPr>
          <w:fldChar w:fldCharType="end"/>
        </w:r>
      </w:hyperlink>
    </w:p>
    <w:p w14:paraId="2A84D2F4" w14:textId="3001F3E5"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26" w:history="1">
        <w:r w:rsidR="00AB7E68" w:rsidRPr="00FD220F">
          <w:rPr>
            <w:rStyle w:val="Hyperlink"/>
            <w:noProof/>
          </w:rPr>
          <w:t>4.3. Effectiveness of support to sending countries</w:t>
        </w:r>
        <w:r w:rsidR="00AB7E68">
          <w:rPr>
            <w:noProof/>
            <w:webHidden/>
          </w:rPr>
          <w:tab/>
        </w:r>
        <w:r w:rsidR="00AB7E68">
          <w:rPr>
            <w:noProof/>
            <w:webHidden/>
          </w:rPr>
          <w:fldChar w:fldCharType="begin"/>
        </w:r>
        <w:r w:rsidR="00AB7E68">
          <w:rPr>
            <w:noProof/>
            <w:webHidden/>
          </w:rPr>
          <w:instrText xml:space="preserve"> PAGEREF _Toc152591526 \h </w:instrText>
        </w:r>
        <w:r w:rsidR="00AB7E68">
          <w:rPr>
            <w:noProof/>
            <w:webHidden/>
          </w:rPr>
        </w:r>
        <w:r w:rsidR="00AB7E68">
          <w:rPr>
            <w:noProof/>
            <w:webHidden/>
          </w:rPr>
          <w:fldChar w:fldCharType="separate"/>
        </w:r>
        <w:r w:rsidR="001F6F84">
          <w:rPr>
            <w:noProof/>
            <w:webHidden/>
          </w:rPr>
          <w:t>35</w:t>
        </w:r>
        <w:r w:rsidR="00AB7E68">
          <w:rPr>
            <w:noProof/>
            <w:webHidden/>
          </w:rPr>
          <w:fldChar w:fldCharType="end"/>
        </w:r>
      </w:hyperlink>
    </w:p>
    <w:p w14:paraId="449D966F" w14:textId="6AEBC9CA" w:rsidR="00AB7E68" w:rsidRDefault="00603D93" w:rsidP="007636DA">
      <w:pPr>
        <w:pStyle w:val="TOC1"/>
        <w:rPr>
          <w:rFonts w:asciiTheme="minorHAnsi" w:eastAsiaTheme="minorEastAsia" w:hAnsiTheme="minorHAnsi"/>
          <w:noProof/>
          <w:color w:val="auto"/>
          <w:kern w:val="2"/>
          <w:lang w:eastAsia="en-AU"/>
          <w14:ligatures w14:val="standardContextual"/>
        </w:rPr>
      </w:pPr>
      <w:hyperlink w:anchor="_Toc152591527" w:history="1">
        <w:r w:rsidR="00AB7E68" w:rsidRPr="00FD220F">
          <w:rPr>
            <w:rStyle w:val="Hyperlink"/>
            <w:noProof/>
          </w:rPr>
          <w:t>4.4. Appropriateness and utility of MEL arrangements</w:t>
        </w:r>
        <w:r w:rsidR="00AB7E68">
          <w:rPr>
            <w:noProof/>
            <w:webHidden/>
          </w:rPr>
          <w:tab/>
        </w:r>
        <w:r w:rsidR="00AB7E68">
          <w:rPr>
            <w:noProof/>
            <w:webHidden/>
          </w:rPr>
          <w:fldChar w:fldCharType="begin"/>
        </w:r>
        <w:r w:rsidR="00AB7E68">
          <w:rPr>
            <w:noProof/>
            <w:webHidden/>
          </w:rPr>
          <w:instrText xml:space="preserve"> PAGEREF _Toc152591527 \h </w:instrText>
        </w:r>
        <w:r w:rsidR="00AB7E68">
          <w:rPr>
            <w:noProof/>
            <w:webHidden/>
          </w:rPr>
        </w:r>
        <w:r w:rsidR="00AB7E68">
          <w:rPr>
            <w:noProof/>
            <w:webHidden/>
          </w:rPr>
          <w:fldChar w:fldCharType="separate"/>
        </w:r>
        <w:r w:rsidR="001F6F84">
          <w:rPr>
            <w:noProof/>
            <w:webHidden/>
          </w:rPr>
          <w:t>39</w:t>
        </w:r>
        <w:r w:rsidR="00AB7E68">
          <w:rPr>
            <w:noProof/>
            <w:webHidden/>
          </w:rPr>
          <w:fldChar w:fldCharType="end"/>
        </w:r>
      </w:hyperlink>
    </w:p>
    <w:p w14:paraId="6CA0F836" w14:textId="63B34D68" w:rsidR="00AB7E68" w:rsidRPr="007636DA" w:rsidRDefault="00603D93" w:rsidP="00AB7E68">
      <w:pPr>
        <w:pStyle w:val="TOC1"/>
        <w:rPr>
          <w:rFonts w:asciiTheme="minorHAnsi" w:eastAsiaTheme="minorEastAsia" w:hAnsiTheme="minorHAnsi"/>
          <w:b/>
          <w:noProof/>
          <w:color w:val="auto"/>
          <w:kern w:val="2"/>
          <w:sz w:val="22"/>
          <w:lang w:eastAsia="en-AU"/>
          <w14:ligatures w14:val="standardContextual"/>
        </w:rPr>
      </w:pPr>
      <w:hyperlink w:anchor="_Toc152591528" w:history="1">
        <w:r w:rsidR="00AB7E68" w:rsidRPr="007636DA">
          <w:rPr>
            <w:rStyle w:val="Hyperlink"/>
            <w:b/>
            <w:noProof/>
          </w:rPr>
          <w:t>5. Conclusion</w:t>
        </w:r>
        <w:r w:rsidR="00AB7E68" w:rsidRPr="007636DA">
          <w:rPr>
            <w:b/>
            <w:noProof/>
            <w:webHidden/>
          </w:rPr>
          <w:tab/>
        </w:r>
        <w:r w:rsidR="00AB7E68" w:rsidRPr="007636DA">
          <w:rPr>
            <w:b/>
            <w:noProof/>
            <w:webHidden/>
          </w:rPr>
          <w:fldChar w:fldCharType="begin"/>
        </w:r>
        <w:r w:rsidR="00AB7E68" w:rsidRPr="007636DA">
          <w:rPr>
            <w:b/>
            <w:noProof/>
            <w:webHidden/>
          </w:rPr>
          <w:instrText xml:space="preserve"> PAGEREF _Toc152591528 \h </w:instrText>
        </w:r>
        <w:r w:rsidR="00AB7E68" w:rsidRPr="007636DA">
          <w:rPr>
            <w:b/>
            <w:noProof/>
            <w:webHidden/>
          </w:rPr>
        </w:r>
        <w:r w:rsidR="00AB7E68" w:rsidRPr="007636DA">
          <w:rPr>
            <w:b/>
            <w:noProof/>
            <w:webHidden/>
          </w:rPr>
          <w:fldChar w:fldCharType="separate"/>
        </w:r>
        <w:r w:rsidR="001F6F84">
          <w:rPr>
            <w:b/>
            <w:noProof/>
            <w:webHidden/>
          </w:rPr>
          <w:t>43</w:t>
        </w:r>
        <w:r w:rsidR="00AB7E68" w:rsidRPr="007636DA">
          <w:rPr>
            <w:b/>
            <w:noProof/>
            <w:webHidden/>
          </w:rPr>
          <w:fldChar w:fldCharType="end"/>
        </w:r>
      </w:hyperlink>
    </w:p>
    <w:p w14:paraId="765F324A" w14:textId="4B08C59A" w:rsidR="00AB7E68" w:rsidRDefault="00603D93" w:rsidP="00AB7E68">
      <w:pPr>
        <w:pStyle w:val="TOC1"/>
        <w:rPr>
          <w:rFonts w:asciiTheme="minorHAnsi" w:eastAsiaTheme="minorEastAsia" w:hAnsiTheme="minorHAnsi"/>
          <w:noProof/>
          <w:color w:val="auto"/>
          <w:kern w:val="2"/>
          <w:sz w:val="22"/>
          <w:lang w:eastAsia="en-AU"/>
          <w14:ligatures w14:val="standardContextual"/>
        </w:rPr>
      </w:pPr>
      <w:hyperlink w:anchor="_Toc152591529" w:history="1">
        <w:r w:rsidR="00AB7E68" w:rsidRPr="00FD220F">
          <w:rPr>
            <w:rStyle w:val="Hyperlink"/>
            <w:noProof/>
          </w:rPr>
          <w:t>Appendix A Terms of reference</w:t>
        </w:r>
        <w:r w:rsidR="00AB7E68">
          <w:rPr>
            <w:noProof/>
            <w:webHidden/>
          </w:rPr>
          <w:tab/>
        </w:r>
        <w:r w:rsidR="00AB7E68">
          <w:rPr>
            <w:noProof/>
            <w:webHidden/>
          </w:rPr>
          <w:fldChar w:fldCharType="begin"/>
        </w:r>
        <w:r w:rsidR="00AB7E68">
          <w:rPr>
            <w:noProof/>
            <w:webHidden/>
          </w:rPr>
          <w:instrText xml:space="preserve"> PAGEREF _Toc152591529 \h </w:instrText>
        </w:r>
        <w:r w:rsidR="00AB7E68">
          <w:rPr>
            <w:noProof/>
            <w:webHidden/>
          </w:rPr>
        </w:r>
        <w:r w:rsidR="00AB7E68">
          <w:rPr>
            <w:noProof/>
            <w:webHidden/>
          </w:rPr>
          <w:fldChar w:fldCharType="separate"/>
        </w:r>
        <w:r w:rsidR="001F6F84">
          <w:rPr>
            <w:noProof/>
            <w:webHidden/>
          </w:rPr>
          <w:t>46</w:t>
        </w:r>
        <w:r w:rsidR="00AB7E68">
          <w:rPr>
            <w:noProof/>
            <w:webHidden/>
          </w:rPr>
          <w:fldChar w:fldCharType="end"/>
        </w:r>
      </w:hyperlink>
    </w:p>
    <w:p w14:paraId="3D1938B2" w14:textId="2A2FBCE7" w:rsidR="00AB7E68" w:rsidRDefault="00603D93" w:rsidP="00AB7E68">
      <w:pPr>
        <w:pStyle w:val="TOC1"/>
        <w:rPr>
          <w:rFonts w:asciiTheme="minorHAnsi" w:eastAsiaTheme="minorEastAsia" w:hAnsiTheme="minorHAnsi"/>
          <w:noProof/>
          <w:color w:val="auto"/>
          <w:kern w:val="2"/>
          <w:sz w:val="22"/>
          <w:lang w:eastAsia="en-AU"/>
          <w14:ligatures w14:val="standardContextual"/>
        </w:rPr>
      </w:pPr>
      <w:hyperlink w:anchor="_Toc152591530" w:history="1">
        <w:r w:rsidR="00AB7E68" w:rsidRPr="00FD220F">
          <w:rPr>
            <w:rStyle w:val="Hyperlink"/>
            <w:noProof/>
          </w:rPr>
          <w:t>Appendix B Employer – Worker Journey</w:t>
        </w:r>
        <w:r w:rsidR="00AB7E68">
          <w:rPr>
            <w:noProof/>
            <w:webHidden/>
          </w:rPr>
          <w:tab/>
        </w:r>
        <w:r w:rsidR="00AB7E68">
          <w:rPr>
            <w:noProof/>
            <w:webHidden/>
          </w:rPr>
          <w:fldChar w:fldCharType="begin"/>
        </w:r>
        <w:r w:rsidR="00AB7E68">
          <w:rPr>
            <w:noProof/>
            <w:webHidden/>
          </w:rPr>
          <w:instrText xml:space="preserve"> PAGEREF _Toc152591530 \h </w:instrText>
        </w:r>
        <w:r w:rsidR="00AB7E68">
          <w:rPr>
            <w:noProof/>
            <w:webHidden/>
          </w:rPr>
        </w:r>
        <w:r w:rsidR="00AB7E68">
          <w:rPr>
            <w:noProof/>
            <w:webHidden/>
          </w:rPr>
          <w:fldChar w:fldCharType="separate"/>
        </w:r>
        <w:r w:rsidR="001F6F84">
          <w:rPr>
            <w:noProof/>
            <w:webHidden/>
          </w:rPr>
          <w:t>51</w:t>
        </w:r>
        <w:r w:rsidR="00AB7E68">
          <w:rPr>
            <w:noProof/>
            <w:webHidden/>
          </w:rPr>
          <w:fldChar w:fldCharType="end"/>
        </w:r>
      </w:hyperlink>
    </w:p>
    <w:p w14:paraId="0BA0C93A" w14:textId="236DB3CC" w:rsidR="00AB7E68" w:rsidRDefault="00603D93" w:rsidP="00AB7E68">
      <w:pPr>
        <w:pStyle w:val="TOC1"/>
        <w:rPr>
          <w:rFonts w:asciiTheme="minorHAnsi" w:eastAsiaTheme="minorEastAsia" w:hAnsiTheme="minorHAnsi"/>
          <w:noProof/>
          <w:color w:val="auto"/>
          <w:kern w:val="2"/>
          <w:sz w:val="22"/>
          <w:lang w:eastAsia="en-AU"/>
          <w14:ligatures w14:val="standardContextual"/>
        </w:rPr>
      </w:pPr>
      <w:hyperlink w:anchor="_Toc152591531" w:history="1">
        <w:r w:rsidR="00AB7E68" w:rsidRPr="00FD220F">
          <w:rPr>
            <w:rStyle w:val="Hyperlink"/>
            <w:noProof/>
          </w:rPr>
          <w:t>Appendix C Interviewees</w:t>
        </w:r>
        <w:r w:rsidR="00AB7E68">
          <w:rPr>
            <w:noProof/>
            <w:webHidden/>
          </w:rPr>
          <w:tab/>
        </w:r>
        <w:r w:rsidR="00AB7E68">
          <w:rPr>
            <w:noProof/>
            <w:webHidden/>
          </w:rPr>
          <w:fldChar w:fldCharType="begin"/>
        </w:r>
        <w:r w:rsidR="00AB7E68">
          <w:rPr>
            <w:noProof/>
            <w:webHidden/>
          </w:rPr>
          <w:instrText xml:space="preserve"> PAGEREF _Toc152591531 \h </w:instrText>
        </w:r>
        <w:r w:rsidR="00AB7E68">
          <w:rPr>
            <w:noProof/>
            <w:webHidden/>
          </w:rPr>
        </w:r>
        <w:r w:rsidR="00AB7E68">
          <w:rPr>
            <w:noProof/>
            <w:webHidden/>
          </w:rPr>
          <w:fldChar w:fldCharType="separate"/>
        </w:r>
        <w:r w:rsidR="001F6F84">
          <w:rPr>
            <w:noProof/>
            <w:webHidden/>
          </w:rPr>
          <w:t>52</w:t>
        </w:r>
        <w:r w:rsidR="00AB7E68">
          <w:rPr>
            <w:noProof/>
            <w:webHidden/>
          </w:rPr>
          <w:fldChar w:fldCharType="end"/>
        </w:r>
      </w:hyperlink>
    </w:p>
    <w:p w14:paraId="6A902ED5" w14:textId="107AB532" w:rsidR="00111A6E" w:rsidRPr="00A626CC" w:rsidRDefault="00111A6E" w:rsidP="00AB7E68">
      <w:pPr>
        <w:pStyle w:val="TOC1"/>
      </w:pPr>
      <w:r w:rsidRPr="00A626CC">
        <w:rPr>
          <w:rStyle w:val="Hyperlink"/>
          <w:noProof/>
          <w:color w:val="222222" w:themeColor="text1"/>
        </w:rPr>
        <w:fldChar w:fldCharType="end"/>
      </w:r>
      <w:r w:rsidR="00AE4225" w:rsidRPr="00A626CC">
        <w:t xml:space="preserve">      </w:t>
      </w:r>
    </w:p>
    <w:p w14:paraId="089753D8" w14:textId="2D59D6BF" w:rsidR="00111A6E" w:rsidRPr="00A626CC" w:rsidRDefault="00111A6E" w:rsidP="00A626CC">
      <w:pPr>
        <w:rPr>
          <w:rFonts w:cstheme="minorHAnsi"/>
        </w:rPr>
      </w:pPr>
      <w:r w:rsidRPr="00A626CC">
        <w:rPr>
          <w:rFonts w:cstheme="minorHAnsi"/>
        </w:rPr>
        <w:br w:type="page"/>
      </w:r>
    </w:p>
    <w:p w14:paraId="3DBF1F87" w14:textId="0F5C687C" w:rsidR="00F1412B" w:rsidRPr="00A626CC" w:rsidRDefault="00F1412B" w:rsidP="00A626CC">
      <w:pPr>
        <w:pStyle w:val="ToH2"/>
      </w:pPr>
      <w:r w:rsidRPr="00A626CC">
        <w:lastRenderedPageBreak/>
        <w:t>List of F</w:t>
      </w:r>
      <w:r w:rsidR="006125AA" w:rsidRPr="00A626CC">
        <w:t>igures</w:t>
      </w:r>
    </w:p>
    <w:p w14:paraId="51BB7E49" w14:textId="419B6594" w:rsidR="00AA6216" w:rsidRDefault="001F4019">
      <w:pPr>
        <w:pStyle w:val="TableofFigures"/>
        <w:tabs>
          <w:tab w:val="right" w:leader="dot" w:pos="9742"/>
        </w:tabs>
        <w:rPr>
          <w:rFonts w:eastAsiaTheme="minorEastAsia"/>
          <w:noProof/>
          <w:color w:val="auto"/>
          <w:kern w:val="2"/>
          <w:lang w:eastAsia="en-AU"/>
          <w14:ligatures w14:val="standardContextual"/>
        </w:rPr>
      </w:pPr>
      <w:r w:rsidRPr="00A626CC">
        <w:rPr>
          <w:b/>
          <w:sz w:val="18"/>
          <w:szCs w:val="18"/>
        </w:rPr>
        <w:fldChar w:fldCharType="begin"/>
      </w:r>
      <w:r w:rsidRPr="00A626CC">
        <w:rPr>
          <w:b/>
          <w:sz w:val="18"/>
          <w:szCs w:val="18"/>
        </w:rPr>
        <w:instrText xml:space="preserve"> TOC \h \z \c "Figure" </w:instrText>
      </w:r>
      <w:r w:rsidRPr="00A626CC">
        <w:rPr>
          <w:b/>
          <w:sz w:val="18"/>
          <w:szCs w:val="18"/>
        </w:rPr>
        <w:fldChar w:fldCharType="separate"/>
      </w:r>
      <w:hyperlink w:anchor="_Toc151625297" w:history="1">
        <w:r w:rsidR="00AA6216" w:rsidRPr="001B47E0">
          <w:rPr>
            <w:rStyle w:val="Hyperlink"/>
            <w:noProof/>
          </w:rPr>
          <w:t>Figure 1: Timeline of key events in the life-of-investment</w:t>
        </w:r>
        <w:r w:rsidR="00AA6216">
          <w:rPr>
            <w:noProof/>
            <w:webHidden/>
          </w:rPr>
          <w:tab/>
        </w:r>
        <w:r w:rsidR="00AA6216">
          <w:rPr>
            <w:noProof/>
            <w:webHidden/>
          </w:rPr>
          <w:fldChar w:fldCharType="begin"/>
        </w:r>
        <w:r w:rsidR="00AA6216">
          <w:rPr>
            <w:noProof/>
            <w:webHidden/>
          </w:rPr>
          <w:instrText xml:space="preserve"> PAGEREF _Toc151625297 \h </w:instrText>
        </w:r>
        <w:r w:rsidR="00AA6216">
          <w:rPr>
            <w:noProof/>
            <w:webHidden/>
          </w:rPr>
        </w:r>
        <w:r w:rsidR="00AA6216">
          <w:rPr>
            <w:noProof/>
            <w:webHidden/>
          </w:rPr>
          <w:fldChar w:fldCharType="separate"/>
        </w:r>
        <w:r w:rsidR="001F6F84">
          <w:rPr>
            <w:noProof/>
            <w:webHidden/>
          </w:rPr>
          <w:t>9</w:t>
        </w:r>
        <w:r w:rsidR="00AA6216">
          <w:rPr>
            <w:noProof/>
            <w:webHidden/>
          </w:rPr>
          <w:fldChar w:fldCharType="end"/>
        </w:r>
      </w:hyperlink>
    </w:p>
    <w:p w14:paraId="20E89E13" w14:textId="408F2E96" w:rsidR="00AA6216" w:rsidRDefault="00603D93">
      <w:pPr>
        <w:pStyle w:val="TableofFigures"/>
        <w:tabs>
          <w:tab w:val="right" w:leader="dot" w:pos="9742"/>
        </w:tabs>
        <w:rPr>
          <w:rFonts w:eastAsiaTheme="minorEastAsia"/>
          <w:noProof/>
          <w:color w:val="auto"/>
          <w:kern w:val="2"/>
          <w:lang w:eastAsia="en-AU"/>
          <w14:ligatures w14:val="standardContextual"/>
        </w:rPr>
      </w:pPr>
      <w:hyperlink w:anchor="_Toc151625298" w:history="1">
        <w:r w:rsidR="00AA6216" w:rsidRPr="001B47E0">
          <w:rPr>
            <w:rStyle w:val="Hyperlink"/>
            <w:noProof/>
          </w:rPr>
          <w:t>Figure 2: DFAT FIMR Validation sub-criteria for effectiveness and efficiency</w:t>
        </w:r>
        <w:r w:rsidR="00AA6216">
          <w:rPr>
            <w:noProof/>
            <w:webHidden/>
          </w:rPr>
          <w:tab/>
        </w:r>
        <w:r w:rsidR="00AA6216">
          <w:rPr>
            <w:noProof/>
            <w:webHidden/>
          </w:rPr>
          <w:fldChar w:fldCharType="begin"/>
        </w:r>
        <w:r w:rsidR="00AA6216">
          <w:rPr>
            <w:noProof/>
            <w:webHidden/>
          </w:rPr>
          <w:instrText xml:space="preserve"> PAGEREF _Toc151625298 \h </w:instrText>
        </w:r>
        <w:r w:rsidR="00AA6216">
          <w:rPr>
            <w:noProof/>
            <w:webHidden/>
          </w:rPr>
        </w:r>
        <w:r w:rsidR="00AA6216">
          <w:rPr>
            <w:noProof/>
            <w:webHidden/>
          </w:rPr>
          <w:fldChar w:fldCharType="separate"/>
        </w:r>
        <w:r w:rsidR="001F6F84">
          <w:rPr>
            <w:noProof/>
            <w:webHidden/>
          </w:rPr>
          <w:t>13</w:t>
        </w:r>
        <w:r w:rsidR="00AA6216">
          <w:rPr>
            <w:noProof/>
            <w:webHidden/>
          </w:rPr>
          <w:fldChar w:fldCharType="end"/>
        </w:r>
      </w:hyperlink>
    </w:p>
    <w:p w14:paraId="1704F36E" w14:textId="6B9D4976" w:rsidR="00AA6216" w:rsidRDefault="00603D93">
      <w:pPr>
        <w:pStyle w:val="TableofFigures"/>
        <w:tabs>
          <w:tab w:val="right" w:leader="dot" w:pos="9742"/>
        </w:tabs>
        <w:rPr>
          <w:rFonts w:eastAsiaTheme="minorEastAsia"/>
          <w:noProof/>
          <w:color w:val="auto"/>
          <w:kern w:val="2"/>
          <w:lang w:eastAsia="en-AU"/>
          <w14:ligatures w14:val="standardContextual"/>
        </w:rPr>
      </w:pPr>
      <w:hyperlink w:anchor="_Toc151625299" w:history="1">
        <w:r w:rsidR="00AA6216" w:rsidRPr="001B47E0">
          <w:rPr>
            <w:rStyle w:val="Hyperlink"/>
            <w:noProof/>
          </w:rPr>
          <w:t>Figure 3: Community of Care model and risk escalation framework</w:t>
        </w:r>
        <w:r w:rsidR="00AA6216">
          <w:rPr>
            <w:noProof/>
            <w:webHidden/>
          </w:rPr>
          <w:tab/>
        </w:r>
        <w:r w:rsidR="00AA6216">
          <w:rPr>
            <w:noProof/>
            <w:webHidden/>
          </w:rPr>
          <w:fldChar w:fldCharType="begin"/>
        </w:r>
        <w:r w:rsidR="00AA6216">
          <w:rPr>
            <w:noProof/>
            <w:webHidden/>
          </w:rPr>
          <w:instrText xml:space="preserve"> PAGEREF _Toc151625299 \h </w:instrText>
        </w:r>
        <w:r w:rsidR="00AA6216">
          <w:rPr>
            <w:noProof/>
            <w:webHidden/>
          </w:rPr>
        </w:r>
        <w:r w:rsidR="00AA6216">
          <w:rPr>
            <w:noProof/>
            <w:webHidden/>
          </w:rPr>
          <w:fldChar w:fldCharType="separate"/>
        </w:r>
        <w:r w:rsidR="001F6F84">
          <w:rPr>
            <w:noProof/>
            <w:webHidden/>
          </w:rPr>
          <w:t>18</w:t>
        </w:r>
        <w:r w:rsidR="00AA6216">
          <w:rPr>
            <w:noProof/>
            <w:webHidden/>
          </w:rPr>
          <w:fldChar w:fldCharType="end"/>
        </w:r>
      </w:hyperlink>
    </w:p>
    <w:p w14:paraId="33FB831A" w14:textId="174A8B99" w:rsidR="00AA6216" w:rsidRDefault="00603D93">
      <w:pPr>
        <w:pStyle w:val="TableofFigures"/>
        <w:tabs>
          <w:tab w:val="right" w:leader="dot" w:pos="9742"/>
        </w:tabs>
        <w:rPr>
          <w:rFonts w:eastAsiaTheme="minorEastAsia"/>
          <w:noProof/>
          <w:color w:val="auto"/>
          <w:kern w:val="2"/>
          <w:lang w:eastAsia="en-AU"/>
          <w14:ligatures w14:val="standardContextual"/>
        </w:rPr>
      </w:pPr>
      <w:hyperlink w:anchor="_Toc151625300" w:history="1">
        <w:r w:rsidR="00AA6216" w:rsidRPr="001B47E0">
          <w:rPr>
            <w:rStyle w:val="Hyperlink"/>
            <w:noProof/>
          </w:rPr>
          <w:t>Figure 4: Key stakeholders with an expectation to be kept informed by PLF</w:t>
        </w:r>
        <w:r w:rsidR="00AA6216">
          <w:rPr>
            <w:noProof/>
            <w:webHidden/>
          </w:rPr>
          <w:tab/>
        </w:r>
        <w:r w:rsidR="00AA6216">
          <w:rPr>
            <w:noProof/>
            <w:webHidden/>
          </w:rPr>
          <w:fldChar w:fldCharType="begin"/>
        </w:r>
        <w:r w:rsidR="00AA6216">
          <w:rPr>
            <w:noProof/>
            <w:webHidden/>
          </w:rPr>
          <w:instrText xml:space="preserve"> PAGEREF _Toc151625300 \h </w:instrText>
        </w:r>
        <w:r w:rsidR="00AA6216">
          <w:rPr>
            <w:noProof/>
            <w:webHidden/>
          </w:rPr>
        </w:r>
        <w:r w:rsidR="00AA6216">
          <w:rPr>
            <w:noProof/>
            <w:webHidden/>
          </w:rPr>
          <w:fldChar w:fldCharType="separate"/>
        </w:r>
        <w:r w:rsidR="001F6F84">
          <w:rPr>
            <w:noProof/>
            <w:webHidden/>
          </w:rPr>
          <w:t>25</w:t>
        </w:r>
        <w:r w:rsidR="00AA6216">
          <w:rPr>
            <w:noProof/>
            <w:webHidden/>
          </w:rPr>
          <w:fldChar w:fldCharType="end"/>
        </w:r>
      </w:hyperlink>
    </w:p>
    <w:p w14:paraId="52E14281" w14:textId="48434EAA" w:rsidR="00AA6216" w:rsidRDefault="00603D93">
      <w:pPr>
        <w:pStyle w:val="TableofFigures"/>
        <w:tabs>
          <w:tab w:val="right" w:leader="dot" w:pos="9742"/>
        </w:tabs>
        <w:rPr>
          <w:rFonts w:eastAsiaTheme="minorEastAsia"/>
          <w:noProof/>
          <w:color w:val="auto"/>
          <w:kern w:val="2"/>
          <w:lang w:eastAsia="en-AU"/>
          <w14:ligatures w14:val="standardContextual"/>
        </w:rPr>
      </w:pPr>
      <w:hyperlink w:anchor="_Toc151625301" w:history="1">
        <w:r w:rsidR="00AA6216" w:rsidRPr="001B47E0">
          <w:rPr>
            <w:rStyle w:val="Hyperlink"/>
            <w:noProof/>
          </w:rPr>
          <w:t>Figure 5: 'Equation for change’' defining building blocks for sustainable LSU capacity</w:t>
        </w:r>
        <w:r w:rsidR="00AA6216">
          <w:rPr>
            <w:noProof/>
            <w:webHidden/>
          </w:rPr>
          <w:tab/>
        </w:r>
        <w:r w:rsidR="00AA6216">
          <w:rPr>
            <w:noProof/>
            <w:webHidden/>
          </w:rPr>
          <w:fldChar w:fldCharType="begin"/>
        </w:r>
        <w:r w:rsidR="00AA6216">
          <w:rPr>
            <w:noProof/>
            <w:webHidden/>
          </w:rPr>
          <w:instrText xml:space="preserve"> PAGEREF _Toc151625301 \h </w:instrText>
        </w:r>
        <w:r w:rsidR="00AA6216">
          <w:rPr>
            <w:noProof/>
            <w:webHidden/>
          </w:rPr>
        </w:r>
        <w:r w:rsidR="00AA6216">
          <w:rPr>
            <w:noProof/>
            <w:webHidden/>
          </w:rPr>
          <w:fldChar w:fldCharType="separate"/>
        </w:r>
        <w:r w:rsidR="001F6F84">
          <w:rPr>
            <w:noProof/>
            <w:webHidden/>
          </w:rPr>
          <w:t>37</w:t>
        </w:r>
        <w:r w:rsidR="00AA6216">
          <w:rPr>
            <w:noProof/>
            <w:webHidden/>
          </w:rPr>
          <w:fldChar w:fldCharType="end"/>
        </w:r>
      </w:hyperlink>
    </w:p>
    <w:p w14:paraId="229C3378" w14:textId="26C12256" w:rsidR="00F1412B" w:rsidRPr="00A626CC" w:rsidRDefault="001F4019" w:rsidP="00A626CC">
      <w:pPr>
        <w:pStyle w:val="Subheading"/>
      </w:pPr>
      <w:r w:rsidRPr="00A626CC">
        <w:rPr>
          <w:b/>
          <w:iCs/>
          <w:sz w:val="18"/>
          <w:szCs w:val="18"/>
        </w:rPr>
        <w:fldChar w:fldCharType="end"/>
      </w:r>
      <w:r w:rsidR="00F1412B" w:rsidRPr="00A626CC">
        <w:t>Dictionary</w:t>
      </w:r>
    </w:p>
    <w:tbl>
      <w:tblPr>
        <w:tblStyle w:val="TableGrid"/>
        <w:tblW w:w="0" w:type="auto"/>
        <w:tblLook w:val="06A0" w:firstRow="1" w:lastRow="0" w:firstColumn="1" w:lastColumn="0" w:noHBand="1" w:noVBand="1"/>
      </w:tblPr>
      <w:tblGrid>
        <w:gridCol w:w="3119"/>
        <w:gridCol w:w="6623"/>
      </w:tblGrid>
      <w:tr w:rsidR="00F1412B" w:rsidRPr="00A626CC" w14:paraId="2CC32DC0" w14:textId="77777777" w:rsidTr="00A04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81FB954" w14:textId="5097ECB8" w:rsidR="00F1412B" w:rsidRPr="00A626CC" w:rsidRDefault="00235B7B" w:rsidP="00A626CC">
            <w:r w:rsidRPr="00A626CC">
              <w:t>Acronyms</w:t>
            </w:r>
          </w:p>
        </w:tc>
        <w:tc>
          <w:tcPr>
            <w:tcW w:w="6623" w:type="dxa"/>
          </w:tcPr>
          <w:p w14:paraId="6415A0B5" w14:textId="62A62A47" w:rsidR="00F1412B" w:rsidRPr="00A626CC" w:rsidRDefault="00235B7B" w:rsidP="00A626CC">
            <w:pPr>
              <w:cnfStyle w:val="100000000000" w:firstRow="1" w:lastRow="0" w:firstColumn="0" w:lastColumn="0" w:oddVBand="0" w:evenVBand="0" w:oddHBand="0" w:evenHBand="0" w:firstRowFirstColumn="0" w:firstRowLastColumn="0" w:lastRowFirstColumn="0" w:lastRowLastColumn="0"/>
            </w:pPr>
            <w:r w:rsidRPr="00A626CC">
              <w:t>Description</w:t>
            </w:r>
          </w:p>
        </w:tc>
      </w:tr>
      <w:tr w:rsidR="00A04DDA" w:rsidRPr="00A626CC" w14:paraId="366CFE8D"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3FA34E8C" w14:textId="77777777" w:rsidR="00A04DDA" w:rsidRPr="00A626CC" w:rsidRDefault="00A04DDA" w:rsidP="00A626CC">
            <w:pPr>
              <w:rPr>
                <w:rFonts w:ascii="Arial" w:hAnsi="Arial" w:cs="Arial"/>
                <w:color w:val="auto"/>
              </w:rPr>
            </w:pPr>
            <w:r w:rsidRPr="00A626CC">
              <w:rPr>
                <w:rFonts w:ascii="Arial" w:hAnsi="Arial" w:cs="Arial"/>
                <w:color w:val="auto"/>
              </w:rPr>
              <w:t>AE </w:t>
            </w:r>
          </w:p>
        </w:tc>
        <w:tc>
          <w:tcPr>
            <w:tcW w:w="6623" w:type="dxa"/>
            <w:hideMark/>
          </w:tcPr>
          <w:p w14:paraId="77092F6A"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Approved Employer </w:t>
            </w:r>
          </w:p>
        </w:tc>
      </w:tr>
      <w:tr w:rsidR="00A04DDA" w:rsidRPr="00A626CC" w14:paraId="06B999FA"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0E6E499B" w14:textId="77777777" w:rsidR="00A04DDA" w:rsidRPr="00A626CC" w:rsidRDefault="00A04DDA" w:rsidP="00A626CC">
            <w:pPr>
              <w:rPr>
                <w:rFonts w:ascii="Arial" w:hAnsi="Arial" w:cs="Arial"/>
                <w:color w:val="auto"/>
              </w:rPr>
            </w:pPr>
            <w:r w:rsidRPr="00A626CC">
              <w:rPr>
                <w:rFonts w:ascii="Arial" w:hAnsi="Arial" w:cs="Arial"/>
                <w:color w:val="auto"/>
              </w:rPr>
              <w:t>APTC </w:t>
            </w:r>
          </w:p>
        </w:tc>
        <w:tc>
          <w:tcPr>
            <w:tcW w:w="6623" w:type="dxa"/>
            <w:hideMark/>
          </w:tcPr>
          <w:p w14:paraId="380A85BE"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Australia Pacific Training Coalition </w:t>
            </w:r>
          </w:p>
        </w:tc>
      </w:tr>
      <w:tr w:rsidR="00CC7391" w:rsidRPr="00A626CC" w14:paraId="2CE744EB"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2F04337C" w14:textId="1C689166" w:rsidR="00CC7391" w:rsidRPr="00A626CC" w:rsidRDefault="00CC7391" w:rsidP="00A626CC">
            <w:pPr>
              <w:rPr>
                <w:rFonts w:ascii="Arial" w:hAnsi="Arial" w:cs="Arial"/>
                <w:color w:val="auto"/>
              </w:rPr>
            </w:pPr>
            <w:r w:rsidRPr="00A626CC">
              <w:rPr>
                <w:rFonts w:ascii="Arial" w:hAnsi="Arial" w:cs="Arial"/>
                <w:color w:val="auto"/>
              </w:rPr>
              <w:t>AUD</w:t>
            </w:r>
          </w:p>
        </w:tc>
        <w:tc>
          <w:tcPr>
            <w:tcW w:w="6623" w:type="dxa"/>
          </w:tcPr>
          <w:p w14:paraId="4F37DB5C" w14:textId="02C5A44A" w:rsidR="00CC7391" w:rsidRPr="00A626CC" w:rsidRDefault="00CC7391"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Australian Dollar</w:t>
            </w:r>
          </w:p>
        </w:tc>
      </w:tr>
      <w:tr w:rsidR="00A04DDA" w:rsidRPr="00A626CC" w14:paraId="379FBC27"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1954B808" w14:textId="77777777" w:rsidR="00A04DDA" w:rsidRPr="00A626CC" w:rsidRDefault="00A04DDA" w:rsidP="00A626CC">
            <w:pPr>
              <w:rPr>
                <w:rFonts w:ascii="Arial" w:hAnsi="Arial" w:cs="Arial"/>
                <w:color w:val="auto"/>
              </w:rPr>
            </w:pPr>
            <w:r w:rsidRPr="00A626CC">
              <w:rPr>
                <w:rFonts w:ascii="Arial" w:hAnsi="Arial" w:cs="Arial"/>
                <w:color w:val="auto"/>
              </w:rPr>
              <w:t>CLO </w:t>
            </w:r>
          </w:p>
        </w:tc>
        <w:tc>
          <w:tcPr>
            <w:tcW w:w="6623" w:type="dxa"/>
            <w:hideMark/>
          </w:tcPr>
          <w:p w14:paraId="6224C4D3"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Country Liaison Officer </w:t>
            </w:r>
          </w:p>
        </w:tc>
      </w:tr>
      <w:tr w:rsidR="00A04DDA" w:rsidRPr="00A626CC" w14:paraId="70358470"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0601F46C" w14:textId="77777777" w:rsidR="00A04DDA" w:rsidRPr="00A626CC" w:rsidRDefault="00A04DDA" w:rsidP="00A626CC">
            <w:pPr>
              <w:rPr>
                <w:rFonts w:ascii="Arial" w:hAnsi="Arial" w:cs="Arial"/>
                <w:color w:val="auto"/>
              </w:rPr>
            </w:pPr>
            <w:r w:rsidRPr="00A626CC">
              <w:rPr>
                <w:rFonts w:ascii="Arial" w:hAnsi="Arial" w:cs="Arial"/>
                <w:color w:val="auto"/>
              </w:rPr>
              <w:t>DAC </w:t>
            </w:r>
          </w:p>
        </w:tc>
        <w:tc>
          <w:tcPr>
            <w:tcW w:w="6623" w:type="dxa"/>
            <w:hideMark/>
          </w:tcPr>
          <w:p w14:paraId="140A74F5"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Development Assistance Committee </w:t>
            </w:r>
          </w:p>
        </w:tc>
      </w:tr>
      <w:tr w:rsidR="00F10521" w:rsidRPr="00A626CC" w14:paraId="58704D60"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026968A6" w14:textId="7341FC81" w:rsidR="00F10521" w:rsidRPr="00A626CC" w:rsidRDefault="00F10521" w:rsidP="00A626CC">
            <w:pPr>
              <w:rPr>
                <w:rFonts w:ascii="Arial" w:hAnsi="Arial" w:cs="Arial"/>
                <w:color w:val="auto"/>
              </w:rPr>
            </w:pPr>
            <w:r w:rsidRPr="00A626CC">
              <w:rPr>
                <w:rFonts w:ascii="Arial" w:hAnsi="Arial" w:cs="Arial"/>
                <w:color w:val="auto"/>
              </w:rPr>
              <w:t>DESE</w:t>
            </w:r>
          </w:p>
        </w:tc>
        <w:tc>
          <w:tcPr>
            <w:tcW w:w="6623" w:type="dxa"/>
          </w:tcPr>
          <w:p w14:paraId="20E0502B" w14:textId="0F79770A" w:rsidR="00F10521" w:rsidRPr="00A626CC" w:rsidRDefault="00F10521"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Department of Education, Skills, and Employment</w:t>
            </w:r>
          </w:p>
        </w:tc>
      </w:tr>
      <w:tr w:rsidR="00A04DDA" w:rsidRPr="00A626CC" w14:paraId="57F820D5"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5026A7AF" w14:textId="77777777" w:rsidR="00A04DDA" w:rsidRPr="00A626CC" w:rsidRDefault="00A04DDA" w:rsidP="00A626CC">
            <w:pPr>
              <w:rPr>
                <w:rFonts w:ascii="Arial" w:hAnsi="Arial" w:cs="Arial"/>
                <w:color w:val="auto"/>
              </w:rPr>
            </w:pPr>
            <w:r w:rsidRPr="00A626CC">
              <w:rPr>
                <w:rFonts w:ascii="Arial" w:hAnsi="Arial" w:cs="Arial"/>
                <w:color w:val="auto"/>
              </w:rPr>
              <w:t>DEWR </w:t>
            </w:r>
          </w:p>
        </w:tc>
        <w:tc>
          <w:tcPr>
            <w:tcW w:w="6623" w:type="dxa"/>
            <w:hideMark/>
          </w:tcPr>
          <w:p w14:paraId="75FBCD19"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Department of Employment and Workplace Relations </w:t>
            </w:r>
          </w:p>
        </w:tc>
      </w:tr>
      <w:tr w:rsidR="00A04DDA" w:rsidRPr="00A626CC" w14:paraId="1E692158"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651062D1" w14:textId="77777777" w:rsidR="00A04DDA" w:rsidRPr="00A626CC" w:rsidRDefault="00A04DDA" w:rsidP="00A626CC">
            <w:pPr>
              <w:rPr>
                <w:rFonts w:ascii="Arial" w:hAnsi="Arial" w:cs="Arial"/>
                <w:color w:val="auto"/>
              </w:rPr>
            </w:pPr>
            <w:r w:rsidRPr="00A626CC">
              <w:rPr>
                <w:rFonts w:ascii="Arial" w:hAnsi="Arial" w:cs="Arial"/>
                <w:color w:val="auto"/>
              </w:rPr>
              <w:t>DFAT </w:t>
            </w:r>
          </w:p>
        </w:tc>
        <w:tc>
          <w:tcPr>
            <w:tcW w:w="6623" w:type="dxa"/>
            <w:hideMark/>
          </w:tcPr>
          <w:p w14:paraId="40ABEB28"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Department of Foreign Affairs and Trade </w:t>
            </w:r>
          </w:p>
        </w:tc>
      </w:tr>
      <w:tr w:rsidR="0030023B" w:rsidRPr="00A626CC" w14:paraId="69EF103E"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65E5E7B1" w14:textId="48A3A227" w:rsidR="0030023B" w:rsidRPr="00A626CC" w:rsidRDefault="0030023B" w:rsidP="00A626CC">
            <w:pPr>
              <w:rPr>
                <w:rFonts w:ascii="Arial" w:hAnsi="Arial" w:cs="Arial"/>
                <w:color w:val="auto"/>
              </w:rPr>
            </w:pPr>
            <w:r w:rsidRPr="00A626CC">
              <w:rPr>
                <w:rFonts w:ascii="Arial" w:hAnsi="Arial" w:cs="Arial"/>
                <w:color w:val="auto"/>
              </w:rPr>
              <w:t>DPP</w:t>
            </w:r>
          </w:p>
        </w:tc>
        <w:tc>
          <w:tcPr>
            <w:tcW w:w="6623" w:type="dxa"/>
          </w:tcPr>
          <w:p w14:paraId="3FF660DF" w14:textId="0C7153F9" w:rsidR="0030023B" w:rsidRPr="00A626CC" w:rsidRDefault="0030023B"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Development Partnership Plans</w:t>
            </w:r>
          </w:p>
        </w:tc>
      </w:tr>
      <w:tr w:rsidR="00A04DDA" w:rsidRPr="00A626CC" w14:paraId="6F266CD7"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4230EF35" w14:textId="77777777" w:rsidR="00A04DDA" w:rsidRPr="00A626CC" w:rsidRDefault="00A04DDA" w:rsidP="00A626CC">
            <w:pPr>
              <w:rPr>
                <w:rFonts w:ascii="Arial" w:hAnsi="Arial" w:cs="Arial"/>
                <w:color w:val="auto"/>
              </w:rPr>
            </w:pPr>
            <w:r w:rsidRPr="00A626CC">
              <w:rPr>
                <w:rFonts w:ascii="Arial" w:hAnsi="Arial" w:cs="Arial"/>
                <w:color w:val="auto"/>
              </w:rPr>
              <w:t>EOPO </w:t>
            </w:r>
          </w:p>
        </w:tc>
        <w:tc>
          <w:tcPr>
            <w:tcW w:w="6623" w:type="dxa"/>
            <w:hideMark/>
          </w:tcPr>
          <w:p w14:paraId="6A558D9B"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End-of-Program Outcome </w:t>
            </w:r>
          </w:p>
        </w:tc>
      </w:tr>
      <w:tr w:rsidR="00A04DDA" w:rsidRPr="00A626CC" w14:paraId="3F9FD2FC"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302A65C6" w14:textId="77777777" w:rsidR="00A04DDA" w:rsidRPr="00A626CC" w:rsidRDefault="00A04DDA" w:rsidP="00A626CC">
            <w:pPr>
              <w:rPr>
                <w:rFonts w:ascii="Arial" w:hAnsi="Arial" w:cs="Arial"/>
                <w:color w:val="auto"/>
              </w:rPr>
            </w:pPr>
            <w:r w:rsidRPr="00A626CC">
              <w:rPr>
                <w:rFonts w:ascii="Arial" w:hAnsi="Arial" w:cs="Arial"/>
                <w:color w:val="auto"/>
              </w:rPr>
              <w:t>FIMR </w:t>
            </w:r>
          </w:p>
        </w:tc>
        <w:tc>
          <w:tcPr>
            <w:tcW w:w="6623" w:type="dxa"/>
            <w:hideMark/>
          </w:tcPr>
          <w:p w14:paraId="658F2589"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Final Investment Monitoring Report </w:t>
            </w:r>
          </w:p>
        </w:tc>
      </w:tr>
      <w:tr w:rsidR="00A04DDA" w:rsidRPr="00A626CC" w14:paraId="67E7C9CF"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716DDBB2" w14:textId="77777777" w:rsidR="00A04DDA" w:rsidRPr="00A626CC" w:rsidRDefault="00A04DDA" w:rsidP="00A626CC">
            <w:pPr>
              <w:rPr>
                <w:rFonts w:ascii="Arial" w:hAnsi="Arial" w:cs="Arial"/>
                <w:color w:val="auto"/>
              </w:rPr>
            </w:pPr>
            <w:r w:rsidRPr="00A626CC">
              <w:rPr>
                <w:rFonts w:ascii="Arial" w:hAnsi="Arial" w:cs="Arial"/>
                <w:color w:val="auto"/>
              </w:rPr>
              <w:t>GEDSI </w:t>
            </w:r>
          </w:p>
        </w:tc>
        <w:tc>
          <w:tcPr>
            <w:tcW w:w="6623" w:type="dxa"/>
            <w:hideMark/>
          </w:tcPr>
          <w:p w14:paraId="1E9226D0"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Gender Equality, Disability and Social Inclusion </w:t>
            </w:r>
          </w:p>
        </w:tc>
      </w:tr>
      <w:tr w:rsidR="00A04DDA" w:rsidRPr="00A626CC" w14:paraId="6699BAA8"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4235F8A5" w14:textId="77777777" w:rsidR="00A04DDA" w:rsidRPr="00A626CC" w:rsidRDefault="00A04DDA" w:rsidP="00A626CC">
            <w:pPr>
              <w:rPr>
                <w:rFonts w:ascii="Arial" w:hAnsi="Arial" w:cs="Arial"/>
                <w:color w:val="auto"/>
              </w:rPr>
            </w:pPr>
            <w:r w:rsidRPr="00A626CC">
              <w:rPr>
                <w:rFonts w:ascii="Arial" w:hAnsi="Arial" w:cs="Arial"/>
                <w:color w:val="auto"/>
              </w:rPr>
              <w:t>HoM </w:t>
            </w:r>
          </w:p>
        </w:tc>
        <w:tc>
          <w:tcPr>
            <w:tcW w:w="6623" w:type="dxa"/>
            <w:hideMark/>
          </w:tcPr>
          <w:p w14:paraId="2B90A1BE"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Head of Mission </w:t>
            </w:r>
          </w:p>
        </w:tc>
      </w:tr>
      <w:tr w:rsidR="00A04DDA" w:rsidRPr="00A626CC" w14:paraId="0B5D498A"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329AA78F" w14:textId="77777777" w:rsidR="00A04DDA" w:rsidRPr="00A626CC" w:rsidRDefault="00A04DDA" w:rsidP="00A626CC">
            <w:pPr>
              <w:rPr>
                <w:rFonts w:ascii="Arial" w:hAnsi="Arial" w:cs="Arial"/>
                <w:color w:val="auto"/>
              </w:rPr>
            </w:pPr>
            <w:r w:rsidRPr="00A626CC">
              <w:rPr>
                <w:rFonts w:ascii="Arial" w:hAnsi="Arial" w:cs="Arial"/>
                <w:color w:val="auto"/>
              </w:rPr>
              <w:t>IOM </w:t>
            </w:r>
          </w:p>
        </w:tc>
        <w:tc>
          <w:tcPr>
            <w:tcW w:w="6623" w:type="dxa"/>
            <w:hideMark/>
          </w:tcPr>
          <w:p w14:paraId="721ADB55" w14:textId="30097446"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International Organi</w:t>
            </w:r>
            <w:r w:rsidR="00A25BB4">
              <w:rPr>
                <w:rFonts w:ascii="Arial" w:hAnsi="Arial" w:cs="Arial"/>
                <w:color w:val="auto"/>
              </w:rPr>
              <w:t>z</w:t>
            </w:r>
            <w:r w:rsidRPr="00A626CC">
              <w:rPr>
                <w:rFonts w:ascii="Arial" w:hAnsi="Arial" w:cs="Arial"/>
                <w:color w:val="auto"/>
              </w:rPr>
              <w:t>ation for Migration </w:t>
            </w:r>
          </w:p>
        </w:tc>
      </w:tr>
      <w:tr w:rsidR="00A04DDA" w:rsidRPr="00A626CC" w14:paraId="21E2E302"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14DAD7C7" w14:textId="77777777" w:rsidR="00A04DDA" w:rsidRPr="00A626CC" w:rsidRDefault="00A04DDA" w:rsidP="00A626CC">
            <w:pPr>
              <w:rPr>
                <w:rFonts w:ascii="Arial" w:hAnsi="Arial" w:cs="Arial"/>
                <w:color w:val="auto"/>
              </w:rPr>
            </w:pPr>
            <w:r w:rsidRPr="00A626CC">
              <w:rPr>
                <w:rFonts w:ascii="Arial" w:hAnsi="Arial" w:cs="Arial"/>
                <w:color w:val="auto"/>
              </w:rPr>
              <w:t>IRD </w:t>
            </w:r>
          </w:p>
        </w:tc>
        <w:tc>
          <w:tcPr>
            <w:tcW w:w="6623" w:type="dxa"/>
            <w:hideMark/>
          </w:tcPr>
          <w:p w14:paraId="2A9499F4"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In-country Recruitment Database </w:t>
            </w:r>
          </w:p>
        </w:tc>
      </w:tr>
      <w:tr w:rsidR="00B75755" w:rsidRPr="00A626CC" w14:paraId="6E2539B8"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14CAB747" w14:textId="2573DE28" w:rsidR="00B75755" w:rsidRPr="00A626CC" w:rsidRDefault="00B75755" w:rsidP="00A626CC">
            <w:pPr>
              <w:rPr>
                <w:rFonts w:ascii="Arial" w:hAnsi="Arial" w:cs="Arial"/>
                <w:color w:val="auto"/>
              </w:rPr>
            </w:pPr>
            <w:r w:rsidRPr="00A626CC">
              <w:rPr>
                <w:rFonts w:ascii="Arial" w:hAnsi="Arial" w:cs="Arial"/>
                <w:color w:val="auto"/>
              </w:rPr>
              <w:t>IT</w:t>
            </w:r>
          </w:p>
        </w:tc>
        <w:tc>
          <w:tcPr>
            <w:tcW w:w="6623" w:type="dxa"/>
          </w:tcPr>
          <w:p w14:paraId="3FE5CE39" w14:textId="266B551A" w:rsidR="00B75755" w:rsidRPr="00A626CC" w:rsidRDefault="00B75755"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Information Technology</w:t>
            </w:r>
          </w:p>
        </w:tc>
      </w:tr>
      <w:tr w:rsidR="00A04DDA" w:rsidRPr="00A626CC" w14:paraId="484E43F3"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182B9481" w14:textId="77777777" w:rsidR="00A04DDA" w:rsidRPr="00A626CC" w:rsidRDefault="00A04DDA" w:rsidP="00A626CC">
            <w:pPr>
              <w:rPr>
                <w:rFonts w:ascii="Arial" w:hAnsi="Arial" w:cs="Arial"/>
                <w:color w:val="auto"/>
              </w:rPr>
            </w:pPr>
            <w:r w:rsidRPr="00A626CC">
              <w:rPr>
                <w:rFonts w:ascii="Arial" w:hAnsi="Arial" w:cs="Arial"/>
                <w:color w:val="auto"/>
              </w:rPr>
              <w:t>KIT </w:t>
            </w:r>
          </w:p>
        </w:tc>
        <w:tc>
          <w:tcPr>
            <w:tcW w:w="6623" w:type="dxa"/>
            <w:hideMark/>
          </w:tcPr>
          <w:p w14:paraId="5AECC4FF"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Kiribati Institute of Technology </w:t>
            </w:r>
          </w:p>
        </w:tc>
      </w:tr>
      <w:tr w:rsidR="0030023B" w:rsidRPr="00A626CC" w14:paraId="62152D6B"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28FEBFEB" w14:textId="62A5DDA8" w:rsidR="0030023B" w:rsidRPr="00A626CC" w:rsidRDefault="0030023B" w:rsidP="00A626CC">
            <w:pPr>
              <w:rPr>
                <w:rFonts w:ascii="Arial" w:hAnsi="Arial" w:cs="Arial"/>
                <w:color w:val="auto"/>
              </w:rPr>
            </w:pPr>
            <w:r w:rsidRPr="00A626CC">
              <w:rPr>
                <w:rFonts w:ascii="Arial" w:hAnsi="Arial" w:cs="Arial"/>
                <w:color w:val="auto"/>
              </w:rPr>
              <w:t>LMAP</w:t>
            </w:r>
          </w:p>
        </w:tc>
        <w:tc>
          <w:tcPr>
            <w:tcW w:w="6623" w:type="dxa"/>
          </w:tcPr>
          <w:p w14:paraId="50157422" w14:textId="76C9F4AA" w:rsidR="0030023B" w:rsidRPr="00A626CC" w:rsidRDefault="0030023B"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Labour Mobility Assistance Program</w:t>
            </w:r>
          </w:p>
        </w:tc>
      </w:tr>
      <w:tr w:rsidR="00A04DDA" w:rsidRPr="00A626CC" w14:paraId="76ABB0B6"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7D91AEE5" w14:textId="77777777" w:rsidR="00A04DDA" w:rsidRPr="00A626CC" w:rsidRDefault="00A04DDA" w:rsidP="00A626CC">
            <w:pPr>
              <w:rPr>
                <w:rFonts w:ascii="Arial" w:hAnsi="Arial" w:cs="Arial"/>
                <w:color w:val="auto"/>
              </w:rPr>
            </w:pPr>
            <w:r w:rsidRPr="00A626CC">
              <w:rPr>
                <w:rFonts w:ascii="Arial" w:hAnsi="Arial" w:cs="Arial"/>
                <w:color w:val="auto"/>
              </w:rPr>
              <w:t>LSU </w:t>
            </w:r>
          </w:p>
        </w:tc>
        <w:tc>
          <w:tcPr>
            <w:tcW w:w="6623" w:type="dxa"/>
            <w:hideMark/>
          </w:tcPr>
          <w:p w14:paraId="58EF7D6D"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Labour Sending Unit </w:t>
            </w:r>
          </w:p>
        </w:tc>
      </w:tr>
      <w:tr w:rsidR="00262C03" w:rsidRPr="00A626CC" w14:paraId="5304B3DD"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27C7E0E2" w14:textId="3255ECC9" w:rsidR="00262C03" w:rsidRPr="00A626CC" w:rsidRDefault="00262C03" w:rsidP="00A626CC">
            <w:pPr>
              <w:rPr>
                <w:rFonts w:ascii="Arial" w:hAnsi="Arial" w:cs="Arial"/>
                <w:color w:val="auto"/>
              </w:rPr>
            </w:pPr>
            <w:r w:rsidRPr="00A626CC">
              <w:rPr>
                <w:rFonts w:ascii="Arial" w:hAnsi="Arial" w:cs="Arial"/>
                <w:color w:val="auto"/>
              </w:rPr>
              <w:t>M&amp;E</w:t>
            </w:r>
          </w:p>
        </w:tc>
        <w:tc>
          <w:tcPr>
            <w:tcW w:w="6623" w:type="dxa"/>
          </w:tcPr>
          <w:p w14:paraId="3A0AFFD0" w14:textId="3B62CEC1" w:rsidR="00262C03" w:rsidRPr="00A626CC" w:rsidRDefault="00262C03"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Monitoring &amp; Evaluation</w:t>
            </w:r>
          </w:p>
        </w:tc>
      </w:tr>
      <w:tr w:rsidR="00A04DDA" w:rsidRPr="00A626CC" w14:paraId="4789F73A"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33A72875" w14:textId="77777777" w:rsidR="00A04DDA" w:rsidRPr="00A626CC" w:rsidRDefault="00A04DDA" w:rsidP="00A626CC">
            <w:pPr>
              <w:rPr>
                <w:rFonts w:ascii="Arial" w:hAnsi="Arial" w:cs="Arial"/>
                <w:color w:val="auto"/>
              </w:rPr>
            </w:pPr>
            <w:r w:rsidRPr="00A626CC">
              <w:rPr>
                <w:rFonts w:ascii="Arial" w:hAnsi="Arial" w:cs="Arial"/>
                <w:color w:val="auto"/>
              </w:rPr>
              <w:t>MEL </w:t>
            </w:r>
          </w:p>
        </w:tc>
        <w:tc>
          <w:tcPr>
            <w:tcW w:w="6623" w:type="dxa"/>
            <w:hideMark/>
          </w:tcPr>
          <w:p w14:paraId="2EC7F18A"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Monitoring, Evaluation and Learning </w:t>
            </w:r>
          </w:p>
        </w:tc>
      </w:tr>
      <w:tr w:rsidR="00CC7391" w:rsidRPr="00A626CC" w14:paraId="1038B275"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1E4954B9" w14:textId="00483F72" w:rsidR="00CC7391" w:rsidRPr="00A626CC" w:rsidRDefault="00CC7391" w:rsidP="00A626CC">
            <w:pPr>
              <w:rPr>
                <w:rFonts w:ascii="Arial" w:hAnsi="Arial" w:cs="Arial"/>
                <w:color w:val="auto"/>
              </w:rPr>
            </w:pPr>
            <w:r w:rsidRPr="00A626CC">
              <w:rPr>
                <w:rFonts w:ascii="Arial" w:hAnsi="Arial" w:cs="Arial"/>
                <w:color w:val="auto"/>
              </w:rPr>
              <w:t>MoG</w:t>
            </w:r>
          </w:p>
        </w:tc>
        <w:tc>
          <w:tcPr>
            <w:tcW w:w="6623" w:type="dxa"/>
          </w:tcPr>
          <w:p w14:paraId="7E43F5C6" w14:textId="035E11F9" w:rsidR="00CC7391" w:rsidRPr="00A626CC" w:rsidRDefault="00CC7391"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Machinery of Government</w:t>
            </w:r>
          </w:p>
        </w:tc>
      </w:tr>
      <w:tr w:rsidR="00CC7391" w:rsidRPr="00A626CC" w14:paraId="30C49BAD"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1F0A58E8" w14:textId="2610F05E" w:rsidR="00CC7391" w:rsidRPr="00A626CC" w:rsidRDefault="00CC7391" w:rsidP="00A626CC">
            <w:pPr>
              <w:rPr>
                <w:rFonts w:ascii="Arial" w:hAnsi="Arial" w:cs="Arial"/>
                <w:color w:val="auto"/>
              </w:rPr>
            </w:pPr>
            <w:r w:rsidRPr="00A626CC">
              <w:rPr>
                <w:rFonts w:ascii="Arial" w:hAnsi="Arial" w:cs="Arial"/>
                <w:color w:val="auto"/>
              </w:rPr>
              <w:t>NAWPP</w:t>
            </w:r>
          </w:p>
        </w:tc>
        <w:tc>
          <w:tcPr>
            <w:tcW w:w="6623" w:type="dxa"/>
          </w:tcPr>
          <w:p w14:paraId="6B016D22" w14:textId="3A9FB9A9" w:rsidR="00CC7391" w:rsidRPr="00A626CC" w:rsidRDefault="00CC7391"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Northern Australia Worker Pilot Program</w:t>
            </w:r>
          </w:p>
        </w:tc>
      </w:tr>
      <w:tr w:rsidR="00A04DDA" w:rsidRPr="00A626CC" w14:paraId="7424CBF6"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12DE3979" w14:textId="77777777" w:rsidR="00A04DDA" w:rsidRPr="00A626CC" w:rsidRDefault="00A04DDA" w:rsidP="00A626CC">
            <w:pPr>
              <w:rPr>
                <w:rFonts w:ascii="Arial" w:hAnsi="Arial" w:cs="Arial"/>
                <w:color w:val="auto"/>
              </w:rPr>
            </w:pPr>
            <w:r w:rsidRPr="00A626CC">
              <w:rPr>
                <w:rFonts w:ascii="Arial" w:hAnsi="Arial" w:cs="Arial"/>
                <w:color w:val="auto"/>
              </w:rPr>
              <w:t>PALM </w:t>
            </w:r>
          </w:p>
        </w:tc>
        <w:tc>
          <w:tcPr>
            <w:tcW w:w="6623" w:type="dxa"/>
            <w:hideMark/>
          </w:tcPr>
          <w:p w14:paraId="724FA2C8"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Pacific Australia Labour Mobility </w:t>
            </w:r>
          </w:p>
        </w:tc>
      </w:tr>
      <w:tr w:rsidR="00A04DDA" w:rsidRPr="00A626CC" w14:paraId="39D1B101"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42B19F91" w14:textId="77777777" w:rsidR="00A04DDA" w:rsidRPr="00A626CC" w:rsidRDefault="00A04DDA" w:rsidP="00A626CC">
            <w:pPr>
              <w:rPr>
                <w:rFonts w:ascii="Arial" w:hAnsi="Arial" w:cs="Arial"/>
                <w:color w:val="auto"/>
              </w:rPr>
            </w:pPr>
            <w:r w:rsidRPr="00A626CC">
              <w:rPr>
                <w:rFonts w:ascii="Arial" w:hAnsi="Arial" w:cs="Arial"/>
                <w:color w:val="auto"/>
              </w:rPr>
              <w:t>PALMIS </w:t>
            </w:r>
          </w:p>
        </w:tc>
        <w:tc>
          <w:tcPr>
            <w:tcW w:w="6623" w:type="dxa"/>
            <w:hideMark/>
          </w:tcPr>
          <w:p w14:paraId="3343599D"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PALM Information System </w:t>
            </w:r>
          </w:p>
        </w:tc>
      </w:tr>
      <w:tr w:rsidR="00A04DDA" w:rsidRPr="00A626CC" w14:paraId="5E9C6BCB"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3C804C74" w14:textId="77777777" w:rsidR="00A04DDA" w:rsidRPr="00A626CC" w:rsidRDefault="00A04DDA" w:rsidP="00A626CC">
            <w:pPr>
              <w:rPr>
                <w:rFonts w:ascii="Arial" w:hAnsi="Arial" w:cs="Arial"/>
                <w:color w:val="auto"/>
              </w:rPr>
            </w:pPr>
            <w:r w:rsidRPr="00A626CC">
              <w:rPr>
                <w:rFonts w:ascii="Arial" w:hAnsi="Arial" w:cs="Arial"/>
                <w:color w:val="auto"/>
              </w:rPr>
              <w:t>PDB </w:t>
            </w:r>
          </w:p>
        </w:tc>
        <w:tc>
          <w:tcPr>
            <w:tcW w:w="6623" w:type="dxa"/>
            <w:hideMark/>
          </w:tcPr>
          <w:p w14:paraId="2101D6DC"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Pre-departure Briefing </w:t>
            </w:r>
          </w:p>
        </w:tc>
      </w:tr>
      <w:tr w:rsidR="00A04DDA" w:rsidRPr="00A626CC" w14:paraId="722F0114"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31E03B97" w14:textId="77777777" w:rsidR="00A04DDA" w:rsidRPr="00A626CC" w:rsidRDefault="00A04DDA" w:rsidP="00A626CC">
            <w:pPr>
              <w:rPr>
                <w:rFonts w:ascii="Arial" w:hAnsi="Arial" w:cs="Arial"/>
                <w:color w:val="auto"/>
              </w:rPr>
            </w:pPr>
            <w:r w:rsidRPr="00A626CC">
              <w:rPr>
                <w:rFonts w:ascii="Arial" w:hAnsi="Arial" w:cs="Arial"/>
                <w:color w:val="auto"/>
              </w:rPr>
              <w:t>PIC </w:t>
            </w:r>
          </w:p>
        </w:tc>
        <w:tc>
          <w:tcPr>
            <w:tcW w:w="6623" w:type="dxa"/>
            <w:hideMark/>
          </w:tcPr>
          <w:p w14:paraId="025AD877"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Pacific Island Countries </w:t>
            </w:r>
          </w:p>
        </w:tc>
      </w:tr>
      <w:tr w:rsidR="00A04DDA" w:rsidRPr="00A626CC" w14:paraId="6EC4B072"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104950C9" w14:textId="77777777" w:rsidR="00A04DDA" w:rsidRPr="00A626CC" w:rsidRDefault="00A04DDA" w:rsidP="00A626CC">
            <w:pPr>
              <w:rPr>
                <w:rFonts w:ascii="Arial" w:hAnsi="Arial" w:cs="Arial"/>
                <w:color w:val="auto"/>
              </w:rPr>
            </w:pPr>
            <w:r w:rsidRPr="00A626CC">
              <w:rPr>
                <w:rFonts w:ascii="Arial" w:hAnsi="Arial" w:cs="Arial"/>
                <w:color w:val="auto"/>
              </w:rPr>
              <w:t>PLF </w:t>
            </w:r>
          </w:p>
        </w:tc>
        <w:tc>
          <w:tcPr>
            <w:tcW w:w="6623" w:type="dxa"/>
            <w:hideMark/>
          </w:tcPr>
          <w:p w14:paraId="67ACE471"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Pacific Labour Facility </w:t>
            </w:r>
          </w:p>
        </w:tc>
      </w:tr>
      <w:tr w:rsidR="00A04DDA" w:rsidRPr="00A626CC" w14:paraId="775310D8"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0AB1E6C0" w14:textId="77777777" w:rsidR="00A04DDA" w:rsidRPr="00A626CC" w:rsidRDefault="00A04DDA" w:rsidP="00A626CC">
            <w:pPr>
              <w:rPr>
                <w:rFonts w:ascii="Arial" w:hAnsi="Arial" w:cs="Arial"/>
                <w:color w:val="auto"/>
              </w:rPr>
            </w:pPr>
            <w:r w:rsidRPr="00A626CC">
              <w:rPr>
                <w:rFonts w:ascii="Arial" w:hAnsi="Arial" w:cs="Arial"/>
                <w:color w:val="auto"/>
              </w:rPr>
              <w:t>PLS </w:t>
            </w:r>
          </w:p>
        </w:tc>
        <w:tc>
          <w:tcPr>
            <w:tcW w:w="6623" w:type="dxa"/>
            <w:hideMark/>
          </w:tcPr>
          <w:p w14:paraId="65EE056D"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Pacific Labour Scheme </w:t>
            </w:r>
          </w:p>
        </w:tc>
      </w:tr>
      <w:tr w:rsidR="00A04DDA" w:rsidRPr="00A626CC" w14:paraId="71BF3A10"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48BA1E09" w14:textId="77777777" w:rsidR="00A04DDA" w:rsidRPr="00A626CC" w:rsidRDefault="00A04DDA" w:rsidP="00A626CC">
            <w:pPr>
              <w:rPr>
                <w:rFonts w:ascii="Arial" w:hAnsi="Arial" w:cs="Arial"/>
                <w:color w:val="auto"/>
              </w:rPr>
            </w:pPr>
            <w:r w:rsidRPr="00A626CC">
              <w:rPr>
                <w:rFonts w:ascii="Arial" w:hAnsi="Arial" w:cs="Arial"/>
                <w:color w:val="auto"/>
              </w:rPr>
              <w:t>PTL </w:t>
            </w:r>
          </w:p>
        </w:tc>
        <w:tc>
          <w:tcPr>
            <w:tcW w:w="6623" w:type="dxa"/>
            <w:hideMark/>
          </w:tcPr>
          <w:p w14:paraId="271F2AF1" w14:textId="77777777" w:rsidR="00A04DDA" w:rsidRPr="00A626CC" w:rsidRDefault="00A04DDA"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Pacific Timor-Leste </w:t>
            </w:r>
          </w:p>
        </w:tc>
      </w:tr>
      <w:tr w:rsidR="0030023B" w:rsidRPr="00A626CC" w14:paraId="749C18CE"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565E69D4" w14:textId="38E57223" w:rsidR="0030023B" w:rsidRPr="00A626CC" w:rsidRDefault="0030023B" w:rsidP="00A626CC">
            <w:pPr>
              <w:rPr>
                <w:rFonts w:ascii="Arial" w:hAnsi="Arial" w:cs="Arial"/>
                <w:color w:val="auto"/>
              </w:rPr>
            </w:pPr>
            <w:r w:rsidRPr="00A626CC">
              <w:rPr>
                <w:rFonts w:ascii="Arial" w:hAnsi="Arial" w:cs="Arial"/>
                <w:color w:val="auto"/>
              </w:rPr>
              <w:lastRenderedPageBreak/>
              <w:t>QLP</w:t>
            </w:r>
          </w:p>
        </w:tc>
        <w:tc>
          <w:tcPr>
            <w:tcW w:w="6623" w:type="dxa"/>
          </w:tcPr>
          <w:p w14:paraId="7F0EC4AD" w14:textId="7E4B0356" w:rsidR="0030023B" w:rsidRPr="00A626CC" w:rsidRDefault="0030023B"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Quality, Learning and Performance</w:t>
            </w:r>
          </w:p>
        </w:tc>
      </w:tr>
      <w:tr w:rsidR="00BF6BC6" w:rsidRPr="00A626CC" w14:paraId="45283D95"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3ABAB16C" w14:textId="0794846F" w:rsidR="00BF6BC6" w:rsidRPr="00A626CC" w:rsidRDefault="00BF6BC6" w:rsidP="00A626CC">
            <w:pPr>
              <w:rPr>
                <w:rFonts w:ascii="Arial" w:hAnsi="Arial" w:cs="Arial"/>
                <w:color w:val="auto"/>
              </w:rPr>
            </w:pPr>
            <w:r w:rsidRPr="00A626CC">
              <w:rPr>
                <w:rFonts w:ascii="Arial" w:hAnsi="Arial" w:cs="Arial"/>
                <w:color w:val="auto"/>
              </w:rPr>
              <w:t>QTAG</w:t>
            </w:r>
          </w:p>
        </w:tc>
        <w:tc>
          <w:tcPr>
            <w:tcW w:w="6623" w:type="dxa"/>
          </w:tcPr>
          <w:p w14:paraId="27355C72" w14:textId="67A93B30" w:rsidR="00BF6BC6" w:rsidRPr="00A626CC" w:rsidRDefault="00BF6BC6"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Quality Technical Assurance Group</w:t>
            </w:r>
          </w:p>
        </w:tc>
      </w:tr>
      <w:tr w:rsidR="00BF6BC6" w:rsidRPr="00A626CC" w14:paraId="3B800BC9"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0C9AD392" w14:textId="72359CBF" w:rsidR="00BF6BC6" w:rsidRPr="00A626CC" w:rsidRDefault="00BF6BC6" w:rsidP="00A626CC">
            <w:pPr>
              <w:rPr>
                <w:rFonts w:ascii="Arial" w:hAnsi="Arial" w:cs="Arial"/>
                <w:color w:val="auto"/>
              </w:rPr>
            </w:pPr>
            <w:r w:rsidRPr="00A626CC">
              <w:rPr>
                <w:rFonts w:ascii="Arial" w:hAnsi="Arial" w:cs="Arial"/>
                <w:color w:val="auto"/>
              </w:rPr>
              <w:t>RSE</w:t>
            </w:r>
          </w:p>
        </w:tc>
        <w:tc>
          <w:tcPr>
            <w:tcW w:w="6623" w:type="dxa"/>
          </w:tcPr>
          <w:p w14:paraId="2AB34C3A" w14:textId="0E6822BC" w:rsidR="00BF6BC6" w:rsidRPr="00A626CC" w:rsidRDefault="00BF6BC6"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Recognised Seasonal Employer scheme</w:t>
            </w:r>
          </w:p>
        </w:tc>
      </w:tr>
      <w:tr w:rsidR="00BF6BC6" w:rsidRPr="00A626CC" w14:paraId="0EDD2C41"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502361D6" w14:textId="77777777" w:rsidR="00BF6BC6" w:rsidRPr="00A626CC" w:rsidRDefault="00BF6BC6" w:rsidP="00A626CC">
            <w:pPr>
              <w:rPr>
                <w:rFonts w:ascii="Arial" w:hAnsi="Arial" w:cs="Arial"/>
                <w:color w:val="auto"/>
              </w:rPr>
            </w:pPr>
            <w:r w:rsidRPr="00A626CC">
              <w:rPr>
                <w:rFonts w:ascii="Arial" w:hAnsi="Arial" w:cs="Arial"/>
                <w:color w:val="auto"/>
              </w:rPr>
              <w:t>SWP </w:t>
            </w:r>
          </w:p>
        </w:tc>
        <w:tc>
          <w:tcPr>
            <w:tcW w:w="6623" w:type="dxa"/>
            <w:hideMark/>
          </w:tcPr>
          <w:p w14:paraId="786D297A" w14:textId="3B256B36" w:rsidR="00BF6BC6" w:rsidRPr="00A626CC" w:rsidRDefault="00BF6BC6"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Seasonal Worker Programme </w:t>
            </w:r>
          </w:p>
        </w:tc>
      </w:tr>
      <w:tr w:rsidR="00BF6BC6" w:rsidRPr="00A626CC" w14:paraId="5DFD4F8D" w14:textId="77777777" w:rsidTr="00A04DD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14:paraId="55F761B3" w14:textId="77777777" w:rsidR="00BF6BC6" w:rsidRPr="00A626CC" w:rsidRDefault="00BF6BC6" w:rsidP="00A626CC">
            <w:pPr>
              <w:rPr>
                <w:rFonts w:ascii="Arial" w:hAnsi="Arial" w:cs="Arial"/>
                <w:color w:val="auto"/>
              </w:rPr>
            </w:pPr>
            <w:r w:rsidRPr="00A626CC">
              <w:rPr>
                <w:rFonts w:ascii="Arial" w:hAnsi="Arial" w:cs="Arial"/>
                <w:color w:val="auto"/>
              </w:rPr>
              <w:t>ToR </w:t>
            </w:r>
          </w:p>
        </w:tc>
        <w:tc>
          <w:tcPr>
            <w:tcW w:w="6623" w:type="dxa"/>
            <w:hideMark/>
          </w:tcPr>
          <w:p w14:paraId="0E6BF0B0" w14:textId="77777777" w:rsidR="00BF6BC6" w:rsidRPr="00A626CC" w:rsidRDefault="00BF6BC6" w:rsidP="00A626C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6CC">
              <w:rPr>
                <w:rFonts w:ascii="Arial" w:hAnsi="Arial" w:cs="Arial"/>
                <w:color w:val="auto"/>
              </w:rPr>
              <w:t>Terms of Reference </w:t>
            </w:r>
          </w:p>
        </w:tc>
      </w:tr>
    </w:tbl>
    <w:p w14:paraId="00A4DC23" w14:textId="77777777" w:rsidR="00F1412B" w:rsidRPr="00A626CC" w:rsidRDefault="00F1412B" w:rsidP="00A626CC">
      <w:pPr>
        <w:pStyle w:val="Subheading"/>
      </w:pPr>
      <w:r w:rsidRPr="00A626CC">
        <w:t>Acknowledgements</w:t>
      </w:r>
    </w:p>
    <w:p w14:paraId="205AB89F" w14:textId="75BE6503" w:rsidR="00A04DDA" w:rsidRPr="00A626CC" w:rsidRDefault="00A04DDA" w:rsidP="00A626CC">
      <w:pPr>
        <w:rPr>
          <w:rFonts w:cstheme="minorHAnsi"/>
        </w:rPr>
      </w:pPr>
      <w:r w:rsidRPr="00A626CC">
        <w:rPr>
          <w:rFonts w:cstheme="minorHAnsi"/>
        </w:rPr>
        <w:t xml:space="preserve">This evaluation was commissioned by Australia’s Department of Foreign Affairs </w:t>
      </w:r>
      <w:r w:rsidR="000975BB">
        <w:rPr>
          <w:rFonts w:cstheme="minorHAnsi"/>
        </w:rPr>
        <w:t>and</w:t>
      </w:r>
      <w:r w:rsidR="000975BB" w:rsidRPr="00A626CC">
        <w:rPr>
          <w:rFonts w:cstheme="minorHAnsi"/>
        </w:rPr>
        <w:t xml:space="preserve"> </w:t>
      </w:r>
      <w:r w:rsidRPr="00A626CC">
        <w:rPr>
          <w:rFonts w:cstheme="minorHAnsi"/>
        </w:rPr>
        <w:t xml:space="preserve">Trade (DFAT) and managed by Kate Fuller. Clear Horizon was the contracted evaluation consultancy. David Green directed the work of the evaluation team and was supported by Rennai Marlais and Bardie Barclay-Sutton. The collaboration of the Pacific Labour Facility (PLF) was critical to the field work. All key staff willingly contributed to the process, providing logistical and administrative support—led </w:t>
      </w:r>
      <w:r w:rsidR="00BA49EF" w:rsidRPr="00A626CC">
        <w:rPr>
          <w:rFonts w:cstheme="minorHAnsi"/>
        </w:rPr>
        <w:t>by</w:t>
      </w:r>
      <w:r w:rsidRPr="00A626CC">
        <w:rPr>
          <w:rFonts w:cstheme="minorHAnsi"/>
        </w:rPr>
        <w:t xml:space="preserve"> Sue Ellen O’Farrell. PLF</w:t>
      </w:r>
      <w:r w:rsidR="00B37FC4" w:rsidRPr="00A626CC">
        <w:rPr>
          <w:rFonts w:cstheme="minorHAnsi"/>
        </w:rPr>
        <w:t xml:space="preserve"> staff,</w:t>
      </w:r>
      <w:r w:rsidRPr="00A626CC">
        <w:rPr>
          <w:rFonts w:cstheme="minorHAnsi"/>
        </w:rPr>
        <w:t xml:space="preserve"> Labour Sending Unit (LSU) staff</w:t>
      </w:r>
      <w:r w:rsidR="00B37FC4" w:rsidRPr="00A626CC">
        <w:rPr>
          <w:rFonts w:cstheme="minorHAnsi"/>
        </w:rPr>
        <w:t xml:space="preserve"> and DFAT staff at posts provided logistical support for in-country consultations</w:t>
      </w:r>
      <w:r w:rsidRPr="00A626CC">
        <w:rPr>
          <w:rFonts w:cstheme="minorHAnsi"/>
        </w:rPr>
        <w:t>.</w:t>
      </w:r>
      <w:r w:rsidR="00FE7112" w:rsidRPr="00A626CC">
        <w:rPr>
          <w:rFonts w:cstheme="minorHAnsi"/>
        </w:rPr>
        <w:t xml:space="preserve"> A large and diverse range of interv</w:t>
      </w:r>
      <w:r w:rsidR="00241B44" w:rsidRPr="00A626CC">
        <w:rPr>
          <w:rFonts w:cstheme="minorHAnsi"/>
        </w:rPr>
        <w:t>iewees generously contributed time and insights.</w:t>
      </w:r>
    </w:p>
    <w:p w14:paraId="4DE09EB3" w14:textId="60EA2DFA" w:rsidR="00A04DDA" w:rsidRPr="00A626CC" w:rsidRDefault="00A04DDA" w:rsidP="00A626CC">
      <w:pPr>
        <w:pStyle w:val="Subheading"/>
      </w:pPr>
      <w:r w:rsidRPr="00A626CC">
        <w:t>Author details</w:t>
      </w:r>
    </w:p>
    <w:p w14:paraId="7439D9F0" w14:textId="60D6D689" w:rsidR="00ED3BBE" w:rsidRPr="00A626CC" w:rsidRDefault="00A04DDA" w:rsidP="00A626CC">
      <w:pPr>
        <w:rPr>
          <w:rFonts w:cstheme="minorHAnsi"/>
        </w:rPr>
      </w:pPr>
      <w:r w:rsidRPr="00A626CC">
        <w:rPr>
          <w:rFonts w:cstheme="minorHAnsi"/>
          <w:b/>
          <w:bCs/>
        </w:rPr>
        <w:t>Dr Paul Crawford</w:t>
      </w:r>
      <w:r w:rsidRPr="00A626CC">
        <w:rPr>
          <w:rFonts w:cstheme="minorHAnsi"/>
        </w:rPr>
        <w:t xml:space="preserve"> (Aid-IT Solutions Pty Ltd) is an independent monitoring, </w:t>
      </w:r>
      <w:r w:rsidR="00BA49EF" w:rsidRPr="00A626CC">
        <w:rPr>
          <w:rFonts w:cstheme="minorHAnsi"/>
        </w:rPr>
        <w:t>evaluation,</w:t>
      </w:r>
      <w:r w:rsidRPr="00A626CC">
        <w:rPr>
          <w:rFonts w:cstheme="minorHAnsi"/>
        </w:rPr>
        <w:t xml:space="preserve"> and learning (MEL) specialist who takes a ‘soft systems’ approach, drawing on experience in around 40 countries with a range of development and humanitarian organisations spanning more than 30 years. Paul has led or participated in numerous DFAT evaluations over the past 20 years. </w:t>
      </w:r>
    </w:p>
    <w:p w14:paraId="7AF06854" w14:textId="0C640249" w:rsidR="00A04DDA" w:rsidRPr="00A626CC" w:rsidRDefault="00A04DDA" w:rsidP="00A626CC">
      <w:pPr>
        <w:rPr>
          <w:rFonts w:cstheme="minorHAnsi"/>
        </w:rPr>
      </w:pPr>
      <w:r w:rsidRPr="00A626CC">
        <w:rPr>
          <w:rFonts w:cstheme="minorHAnsi"/>
        </w:rPr>
        <w:t>Contact: pcrawford@aid-it.com.au</w:t>
      </w:r>
      <w:r w:rsidR="00AD1DAC">
        <w:rPr>
          <w:rFonts w:cstheme="minorHAnsi"/>
        </w:rPr>
        <w:t>,</w:t>
      </w:r>
      <w:r w:rsidRPr="00A626CC">
        <w:rPr>
          <w:rFonts w:cstheme="minorHAnsi"/>
        </w:rPr>
        <w:t xml:space="preserve"> +61 410 451</w:t>
      </w:r>
      <w:r w:rsidR="002547FB">
        <w:rPr>
          <w:rFonts w:cstheme="minorHAnsi"/>
        </w:rPr>
        <w:t xml:space="preserve"> </w:t>
      </w:r>
      <w:r w:rsidRPr="00A626CC">
        <w:rPr>
          <w:rFonts w:cstheme="minorHAnsi"/>
        </w:rPr>
        <w:t>369. </w:t>
      </w:r>
    </w:p>
    <w:p w14:paraId="1ED0E2D6" w14:textId="64276DD5" w:rsidR="00ED3BBE" w:rsidRPr="00A626CC" w:rsidRDefault="00ED3BBE" w:rsidP="00A626CC">
      <w:r w:rsidRPr="00A626CC">
        <w:rPr>
          <w:b/>
          <w:bdr w:val="none" w:sz="0" w:space="0" w:color="auto" w:frame="1"/>
          <w:lang w:val="en-NZ"/>
        </w:rPr>
        <w:t>Dr Heather Nunns</w:t>
      </w:r>
      <w:r w:rsidRPr="00A626CC">
        <w:rPr>
          <w:bdr w:val="none" w:sz="0" w:space="0" w:color="auto" w:frame="1"/>
          <w:lang w:val="en-NZ"/>
        </w:rPr>
        <w:t xml:space="preserve"> (Analytic </w:t>
      </w:r>
      <w:r w:rsidRPr="00A626CC">
        <w:t xml:space="preserve">Matters) </w:t>
      </w:r>
      <w:r w:rsidR="00072122">
        <w:t xml:space="preserve">is an independent evaluator who </w:t>
      </w:r>
      <w:r w:rsidRPr="00A626CC">
        <w:t xml:space="preserve">has been involved in evaluating and designing Pacific labour mobility initiatives since New Zealand’s Recognised Seasonal Employer (RSE) scheme began in 2007. Heather has </w:t>
      </w:r>
      <w:r w:rsidR="003551D3">
        <w:t xml:space="preserve">reviewed various aspects of </w:t>
      </w:r>
      <w:r w:rsidRPr="00A626CC">
        <w:t xml:space="preserve">the PLS/PALM scheme since 2019. </w:t>
      </w:r>
    </w:p>
    <w:p w14:paraId="3E919EF9" w14:textId="728CCC16" w:rsidR="00ED3BBE" w:rsidRPr="00A626CC" w:rsidRDefault="00ED3BBE" w:rsidP="00A626CC">
      <w:r w:rsidRPr="00A626CC">
        <w:t>Contact: </w:t>
      </w:r>
      <w:hyperlink r:id="rId17" w:history="1">
        <w:r w:rsidRPr="00A626CC">
          <w:t>Heather@analyticmatters.co.nz</w:t>
        </w:r>
      </w:hyperlink>
      <w:r w:rsidRPr="00A626CC">
        <w:t xml:space="preserve">, </w:t>
      </w:r>
      <w:r w:rsidR="005618C6">
        <w:t>+</w:t>
      </w:r>
      <w:r w:rsidRPr="00A626CC">
        <w:t>64 27 332</w:t>
      </w:r>
      <w:r w:rsidR="002547FB">
        <w:t xml:space="preserve"> </w:t>
      </w:r>
      <w:r w:rsidRPr="00A626CC">
        <w:t>9785.</w:t>
      </w:r>
    </w:p>
    <w:p w14:paraId="27554ECD" w14:textId="74F544A9" w:rsidR="00ED3BBE" w:rsidRPr="00A626CC" w:rsidRDefault="00ED3BBE" w:rsidP="00A626CC">
      <w:r w:rsidRPr="00A626CC">
        <w:rPr>
          <w:b/>
          <w:bdr w:val="none" w:sz="0" w:space="0" w:color="auto" w:frame="1"/>
        </w:rPr>
        <w:t>Dr Charlotte Bedford</w:t>
      </w:r>
      <w:r w:rsidRPr="00A626CC">
        <w:rPr>
          <w:bdr w:val="none" w:sz="0" w:space="0" w:color="auto" w:frame="1"/>
        </w:rPr>
        <w:t xml:space="preserve"> is a</w:t>
      </w:r>
      <w:r w:rsidR="00072122">
        <w:rPr>
          <w:bdr w:val="none" w:sz="0" w:space="0" w:color="auto" w:frame="1"/>
        </w:rPr>
        <w:t>n independent evaluator and</w:t>
      </w:r>
      <w:r w:rsidRPr="00A626CC">
        <w:rPr>
          <w:bdr w:val="none" w:sz="0" w:space="0" w:color="auto" w:frame="1"/>
        </w:rPr>
        <w:t xml:space="preserve"> Research Fellow in the Development Policy Centre at the Australian National University. She has been involved in research and evaluation work on Pacific labour mobility since 2007 with the commencement of New Zealand’s RSE scheme, and more recently, on Australia’s Pacific-focused temporary labour schemes as well as working on broader aspects of regional labour mobility.</w:t>
      </w:r>
    </w:p>
    <w:p w14:paraId="2783871B" w14:textId="5857571D" w:rsidR="003719E4" w:rsidRPr="003719E4" w:rsidRDefault="00ED3BBE" w:rsidP="00A626CC">
      <w:pPr>
        <w:sectPr w:rsidR="003719E4" w:rsidRPr="003719E4" w:rsidSect="00993E00">
          <w:footerReference w:type="default" r:id="rId18"/>
          <w:pgSz w:w="11906" w:h="16838"/>
          <w:pgMar w:top="1440" w:right="1077" w:bottom="1440" w:left="1077" w:header="567" w:footer="567" w:gutter="0"/>
          <w:pgNumType w:fmt="lowerRoman" w:start="1"/>
          <w:cols w:space="708"/>
          <w:titlePg/>
          <w:docGrid w:linePitch="360"/>
        </w:sectPr>
      </w:pPr>
      <w:r w:rsidRPr="00A626CC">
        <w:t>Contact: </w:t>
      </w:r>
      <w:hyperlink r:id="rId19" w:history="1">
        <w:r w:rsidRPr="00A626CC">
          <w:t>charlotte.bedford@anu.edu.au</w:t>
        </w:r>
      </w:hyperlink>
      <w:r w:rsidRPr="00A626CC">
        <w:t>, +64 27 454 1808.</w:t>
      </w:r>
    </w:p>
    <w:p w14:paraId="2ADCE57D" w14:textId="77777777" w:rsidR="0096564D" w:rsidRPr="00A626CC" w:rsidRDefault="0096564D" w:rsidP="00A626CC">
      <w:pPr>
        <w:pStyle w:val="Heading1"/>
      </w:pPr>
      <w:bookmarkStart w:id="2" w:name="_Toc123726784"/>
      <w:bookmarkStart w:id="3" w:name="_Ref151388850"/>
      <w:bookmarkStart w:id="4" w:name="_Toc152591508"/>
      <w:r w:rsidRPr="00A626CC">
        <w:lastRenderedPageBreak/>
        <w:t>EXECUTIVE SUMMARY</w:t>
      </w:r>
      <w:bookmarkEnd w:id="2"/>
      <w:bookmarkEnd w:id="3"/>
      <w:bookmarkEnd w:id="4"/>
    </w:p>
    <w:p w14:paraId="5C10E256" w14:textId="31FEEB5A" w:rsidR="002B0C9E" w:rsidRPr="00A626CC" w:rsidRDefault="00C26285" w:rsidP="00A626CC">
      <w:r w:rsidRPr="00A626CC">
        <w:t xml:space="preserve">This document reports the findings of an independent evaluation of the </w:t>
      </w:r>
      <w:r w:rsidRPr="00A626CC">
        <w:rPr>
          <w:i/>
        </w:rPr>
        <w:t>Pacific Labour Facility</w:t>
      </w:r>
      <w:r w:rsidRPr="00A626CC">
        <w:t xml:space="preserve"> (PLF)—a contracted mechanism to support implementation of the </w:t>
      </w:r>
      <w:r w:rsidRPr="00A626CC">
        <w:rPr>
          <w:i/>
        </w:rPr>
        <w:t>Pacific Labour Scheme</w:t>
      </w:r>
      <w:r w:rsidRPr="00A626CC">
        <w:t xml:space="preserve"> (PLS, 2018-2021) and the </w:t>
      </w:r>
      <w:r w:rsidRPr="00A626CC">
        <w:rPr>
          <w:i/>
        </w:rPr>
        <w:t>Pacific Australia Labour Mobility</w:t>
      </w:r>
      <w:r w:rsidRPr="00A626CC">
        <w:t xml:space="preserve"> (PALM) scheme (2022-2023). The PALM scheme allows eligible Australian businesses to hire workers from </w:t>
      </w:r>
      <w:r w:rsidR="000B0F43" w:rsidRPr="00A626CC">
        <w:t>nine</w:t>
      </w:r>
      <w:r w:rsidRPr="00A626CC">
        <w:t xml:space="preserve"> Pacific </w:t>
      </w:r>
      <w:r w:rsidR="00296EFD">
        <w:t>i</w:t>
      </w:r>
      <w:r w:rsidRPr="00A626CC">
        <w:t xml:space="preserve">sland </w:t>
      </w:r>
      <w:r w:rsidR="00296EFD">
        <w:t>c</w:t>
      </w:r>
      <w:r w:rsidRPr="00A626CC">
        <w:t xml:space="preserve">ountries and Timor-Leste to fill labour gaps in Australia. The scheme is managed by Australia’s Department of Foreign Affairs and Trade (DFAT) and the Department of Employment and Workplace Relations (DEWR). </w:t>
      </w:r>
    </w:p>
    <w:p w14:paraId="34BBB795" w14:textId="10A3B966" w:rsidR="00C26285" w:rsidRPr="00A626CC" w:rsidRDefault="00C26285" w:rsidP="00A626CC">
      <w:r w:rsidRPr="00A626CC">
        <w:rPr>
          <w:rFonts w:cstheme="minorHAnsi"/>
        </w:rPr>
        <w:t>External factors heavily influenced the PLS/PALM scheme’s trajectory over the period 2018</w:t>
      </w:r>
      <w:r w:rsidR="002B0C9E" w:rsidRPr="00A626CC">
        <w:rPr>
          <w:rFonts w:cstheme="minorHAnsi"/>
        </w:rPr>
        <w:t>–</w:t>
      </w:r>
      <w:r w:rsidRPr="00A626CC">
        <w:rPr>
          <w:rFonts w:cstheme="minorHAnsi"/>
        </w:rPr>
        <w:t>2023, impacting all stakeholders. The pandemic is the most obvious example of unexpected externalities. Other events impacting implementation of the scheme included the Black Summer bush fires (2019</w:t>
      </w:r>
      <w:r w:rsidR="0075030C" w:rsidRPr="00A626CC">
        <w:rPr>
          <w:rFonts w:cstheme="minorHAnsi"/>
        </w:rPr>
        <w:t>–</w:t>
      </w:r>
      <w:r w:rsidRPr="00A626CC">
        <w:rPr>
          <w:rFonts w:cstheme="minorHAnsi"/>
        </w:rPr>
        <w:t xml:space="preserve">2020), numerous localised flooding events, a change of Australian Government, and changes in labour mobility policy manifesting as two machinery of government changes (2021 and 2022) which transferred responsibility for the scheme between Australian </w:t>
      </w:r>
      <w:r w:rsidR="00AE0997">
        <w:rPr>
          <w:rFonts w:cstheme="minorHAnsi"/>
        </w:rPr>
        <w:t>g</w:t>
      </w:r>
      <w:r w:rsidRPr="00A626CC">
        <w:rPr>
          <w:rFonts w:cstheme="minorHAnsi"/>
        </w:rPr>
        <w:t>overnment departments. During 2023 there has been progressive transition of PLF responsibilities to DEWR. While the intention was always to grow the scheme incrementally, pandemic-induced labour shortages meant the Australian Government sought a very rapid increase in worker numbers. This growth target was welcomed by labour sending countries given the pandemic-induced economic challenges facing the region. For PLF, the rapid increase in worker numbers demanded new tasks and new scope</w:t>
      </w:r>
      <w:r w:rsidR="006A74A9" w:rsidRPr="00A626CC">
        <w:rPr>
          <w:rFonts w:cstheme="minorHAnsi"/>
        </w:rPr>
        <w:t>, supported by additional DFAT funding</w:t>
      </w:r>
      <w:r w:rsidRPr="00A626CC">
        <w:rPr>
          <w:rFonts w:cstheme="minorHAnsi"/>
        </w:rPr>
        <w:t>.</w:t>
      </w:r>
    </w:p>
    <w:p w14:paraId="207E8E12" w14:textId="77777777" w:rsidR="00C26285" w:rsidRPr="00F74CE1" w:rsidRDefault="00C26285" w:rsidP="003D137E">
      <w:pPr>
        <w:pStyle w:val="Heading2"/>
      </w:pPr>
      <w:bookmarkStart w:id="5" w:name="_Toc151627734"/>
      <w:bookmarkStart w:id="6" w:name="_Toc152591509"/>
      <w:r w:rsidRPr="00F74CE1">
        <w:t>Effectiveness</w:t>
      </w:r>
      <w:bookmarkEnd w:id="5"/>
      <w:bookmarkEnd w:id="6"/>
    </w:p>
    <w:p w14:paraId="321D1232" w14:textId="46FA466F" w:rsidR="00C26285" w:rsidRPr="00A626CC" w:rsidRDefault="00C26285" w:rsidP="00A626CC">
      <w:r w:rsidRPr="00A626CC">
        <w:t xml:space="preserve">Overall, the evaluation team formed the view that PLF delivered effective services to PALM scheme stakeholders against the backdrop of a highly complex and dynamic operating and policy context. </w:t>
      </w:r>
      <w:r w:rsidRPr="00A626CC">
        <w:rPr>
          <w:rFonts w:cstheme="minorHAnsi"/>
        </w:rPr>
        <w:t>PLF has been flexible and responsive to the evolving needs and policy settings of DFAT and DEWR. It has proactively worked to support Approved Employers (AE), workers, Labour Sending Units (LSU), and a range of other stakeholders against dramatic contextual changes. Given the diversity of interests across the classes of stakeholder, it is unsurprising that there are differing levels of satisfaction with PLF performance. PLF has been required to build and maintain relationships with an array of stakeholders in Australia and in 10 countries who each have a legitimate expectation to be kept informed. This has been a challenging task, if only because the efficient flow of information across the whole ‘system’ requires all parties to play their role, not just PLF.</w:t>
      </w:r>
    </w:p>
    <w:p w14:paraId="204FD0D9" w14:textId="2E0E8FF1" w:rsidR="00D46D39" w:rsidRDefault="00C26285" w:rsidP="00A626CC">
      <w:r w:rsidRPr="00A626CC">
        <w:t xml:space="preserve">Labour mobility is acknowledged to be a complex policy domain. The evaluation team heard from multiple stakeholders a sense of wrestling with the core purpose or emphasis of the PALM scheme broadly, and hence PLF’s role specifically. Tension arises from the fact that the scheme </w:t>
      </w:r>
      <w:r w:rsidR="004A31BA" w:rsidRPr="00A626CC">
        <w:t xml:space="preserve">can be characterised as both </w:t>
      </w:r>
      <w:r w:rsidRPr="00A626CC">
        <w:t xml:space="preserve">i) a domestic employment program </w:t>
      </w:r>
      <w:r w:rsidR="00256341" w:rsidRPr="00A626CC">
        <w:t xml:space="preserve">aiming to </w:t>
      </w:r>
      <w:r w:rsidRPr="00A626CC">
        <w:t xml:space="preserve">fill labour shortages in Australia; </w:t>
      </w:r>
      <w:r w:rsidR="00256341" w:rsidRPr="00A626CC">
        <w:t xml:space="preserve">and </w:t>
      </w:r>
      <w:r w:rsidRPr="00A626CC">
        <w:t xml:space="preserve">ii) a development program contributing to family and community wellbeing in </w:t>
      </w:r>
      <w:r w:rsidRPr="00440DBD">
        <w:t>labour sending countries</w:t>
      </w:r>
      <w:r w:rsidRPr="00A626CC">
        <w:t xml:space="preserve">. Managing these dual </w:t>
      </w:r>
      <w:r w:rsidR="00256341" w:rsidRPr="00A626CC">
        <w:t xml:space="preserve">priorities </w:t>
      </w:r>
      <w:r w:rsidRPr="00A626CC">
        <w:t xml:space="preserve">has required balance and proportionality. The evaluation team was advised of current and ongoing steps by DFAT and DEWR to clarify the mandates and responsibilities of the departments in relation to the PALM scheme, and to clarify the various roles of key actors moving forward. </w:t>
      </w:r>
    </w:p>
    <w:p w14:paraId="7FB4EBBC" w14:textId="77777777" w:rsidR="00D46D39" w:rsidRDefault="00D46D39">
      <w:r>
        <w:br w:type="page"/>
      </w:r>
    </w:p>
    <w:p w14:paraId="310BCFA7" w14:textId="4CCB60BA" w:rsidR="00C26285" w:rsidRPr="00A626CC" w:rsidRDefault="00C26285" w:rsidP="00A626CC">
      <w:r w:rsidRPr="00A626CC">
        <w:lastRenderedPageBreak/>
        <w:t>PLF’s purpose was formally defined in terms of three end-of-program outcomes (EOPO): </w:t>
      </w:r>
    </w:p>
    <w:p w14:paraId="2D2A03B3" w14:textId="77777777" w:rsidR="00C26285" w:rsidRPr="00A626CC" w:rsidRDefault="00C26285" w:rsidP="00A626CC">
      <w:pPr>
        <w:pStyle w:val="ListBullet"/>
      </w:pPr>
      <w:r w:rsidRPr="00A626CC">
        <w:rPr>
          <w:b/>
        </w:rPr>
        <w:t>EOPO 1:</w:t>
      </w:r>
      <w:r w:rsidRPr="00A626CC">
        <w:t xml:space="preserve"> An increase of appropriately skilled and diverse women and men are mobilised to work in Australia. </w:t>
      </w:r>
    </w:p>
    <w:p w14:paraId="3FDCAF30" w14:textId="77777777" w:rsidR="00C26285" w:rsidRPr="00A626CC" w:rsidRDefault="00C26285" w:rsidP="00A626CC">
      <w:pPr>
        <w:pStyle w:val="ListBullet"/>
        <w:numPr>
          <w:ilvl w:val="0"/>
          <w:numId w:val="80"/>
        </w:numPr>
      </w:pPr>
      <w:r w:rsidRPr="00A626CC">
        <w:rPr>
          <w:b/>
        </w:rPr>
        <w:t>EOPO 2:</w:t>
      </w:r>
      <w:r w:rsidRPr="00A626CC">
        <w:t xml:space="preserve"> There is a sustainable and growing demand for Pacific women and men workers from Australian industry. </w:t>
      </w:r>
    </w:p>
    <w:p w14:paraId="10399104" w14:textId="77777777" w:rsidR="00C26285" w:rsidRPr="00A626CC" w:rsidRDefault="00C26285" w:rsidP="00A626CC">
      <w:pPr>
        <w:pStyle w:val="ListBullet"/>
        <w:numPr>
          <w:ilvl w:val="0"/>
          <w:numId w:val="81"/>
        </w:numPr>
      </w:pPr>
      <w:r w:rsidRPr="00A626CC">
        <w:rPr>
          <w:b/>
        </w:rPr>
        <w:t xml:space="preserve">EOPO 3: </w:t>
      </w:r>
      <w:r w:rsidRPr="00A626CC">
        <w:t>The PALM scheme maximises benefit and minimises risk to Pacific women and men workers and Pacific and Australian communities. </w:t>
      </w:r>
    </w:p>
    <w:p w14:paraId="0B7D125C" w14:textId="158CA0C9" w:rsidR="00C26285" w:rsidRPr="00A626CC" w:rsidRDefault="00C26285" w:rsidP="00A626CC">
      <w:r w:rsidRPr="00A626CC">
        <w:t xml:space="preserve">In general terms, PLF achieved the broad foci of all three </w:t>
      </w:r>
      <w:r w:rsidR="00F969E2">
        <w:t>EOPOs</w:t>
      </w:r>
      <w:r w:rsidRPr="00A626CC">
        <w:t xml:space="preserve"> under difficult circumstances. This is most evident in the expansion (</w:t>
      </w:r>
      <w:r w:rsidRPr="00A626CC">
        <w:rPr>
          <w:b/>
        </w:rPr>
        <w:t>EOPO 1</w:t>
      </w:r>
      <w:r w:rsidRPr="00A626CC">
        <w:t xml:space="preserve">) of the scheme in Australia, representing growth of </w:t>
      </w:r>
      <w:r w:rsidRPr="00A626CC">
        <w:rPr>
          <w:b/>
        </w:rPr>
        <w:t>15,782%</w:t>
      </w:r>
      <w:r w:rsidRPr="00A626CC">
        <w:t xml:space="preserve"> of the long-term </w:t>
      </w:r>
      <w:r w:rsidR="00F969E2">
        <w:t>stream</w:t>
      </w:r>
      <w:r w:rsidRPr="00A626CC">
        <w:t xml:space="preserve">, and </w:t>
      </w:r>
      <w:r w:rsidRPr="00A626CC">
        <w:rPr>
          <w:b/>
        </w:rPr>
        <w:t xml:space="preserve">51% </w:t>
      </w:r>
      <w:r w:rsidRPr="00A626CC">
        <w:t xml:space="preserve">growth of the short-term </w:t>
      </w:r>
      <w:r w:rsidR="00F969E2">
        <w:t>stream</w:t>
      </w:r>
      <w:r w:rsidRPr="00A626CC">
        <w:t>.</w:t>
      </w:r>
    </w:p>
    <w:p w14:paraId="583606F9" w14:textId="2D5B7083" w:rsidR="00C26285" w:rsidRPr="00A626CC" w:rsidRDefault="00C26285" w:rsidP="00A626CC">
      <w:r w:rsidRPr="00A626CC">
        <w:t xml:space="preserve">In relation to </w:t>
      </w:r>
      <w:r w:rsidRPr="00A626CC">
        <w:rPr>
          <w:b/>
        </w:rPr>
        <w:t>EOPO 2</w:t>
      </w:r>
      <w:r w:rsidRPr="00A626CC">
        <w:t xml:space="preserve">, the long-term stream grew from </w:t>
      </w:r>
      <w:r w:rsidRPr="00A626CC">
        <w:rPr>
          <w:b/>
        </w:rPr>
        <w:t xml:space="preserve">36 </w:t>
      </w:r>
      <w:r w:rsidRPr="00A626CC">
        <w:t>approved employers (FY2018</w:t>
      </w:r>
      <w:r w:rsidR="00F969E2">
        <w:rPr>
          <w:rFonts w:ascii="Calibri" w:hAnsi="Calibri" w:cs="Calibri"/>
        </w:rPr>
        <w:t>‒</w:t>
      </w:r>
      <w:r w:rsidRPr="00A626CC">
        <w:t xml:space="preserve">19) to a current </w:t>
      </w:r>
      <w:r w:rsidRPr="00A626CC">
        <w:rPr>
          <w:b/>
        </w:rPr>
        <w:t>460</w:t>
      </w:r>
      <w:r w:rsidRPr="00A626CC">
        <w:t xml:space="preserve"> (including all PALM scheme AEs, long-term and short-term) covering </w:t>
      </w:r>
      <w:r w:rsidRPr="00A626CC">
        <w:rPr>
          <w:b/>
        </w:rPr>
        <w:t>33</w:t>
      </w:r>
      <w:r w:rsidRPr="00A626CC">
        <w:t xml:space="preserve"> industries. At the time of this evaluation there were a further </w:t>
      </w:r>
      <w:r w:rsidRPr="00A626CC">
        <w:rPr>
          <w:b/>
        </w:rPr>
        <w:t>167</w:t>
      </w:r>
      <w:r w:rsidRPr="00A626CC">
        <w:t xml:space="preserve"> applications by prospective AEs under review. Many stakeholders acknowledged the apparent sustainability of demand for short-term workers by Australian employers. </w:t>
      </w:r>
      <w:r w:rsidR="0022145B">
        <w:t>W</w:t>
      </w:r>
      <w:r w:rsidR="0022145B" w:rsidRPr="0022145B">
        <w:t xml:space="preserve">hile the number of women </w:t>
      </w:r>
      <w:r w:rsidR="00BE61DB">
        <w:t xml:space="preserve">has </w:t>
      </w:r>
      <w:r w:rsidR="0022145B" w:rsidRPr="0022145B">
        <w:t>increased substantially since 2018</w:t>
      </w:r>
      <w:r w:rsidR="008226C4">
        <w:rPr>
          <w:rFonts w:ascii="Calibri" w:hAnsi="Calibri" w:cs="Calibri"/>
        </w:rPr>
        <w:t>‒</w:t>
      </w:r>
      <w:r w:rsidR="0022145B" w:rsidRPr="0022145B">
        <w:t>19, women make up just 20% of the current worker caseload</w:t>
      </w:r>
      <w:r w:rsidRPr="00A626CC">
        <w:t xml:space="preserve">, arguably reflecting persistent challenges to gender equality in </w:t>
      </w:r>
      <w:r w:rsidRPr="00440DBD">
        <w:t>labour sending countries</w:t>
      </w:r>
      <w:r w:rsidRPr="00A626CC">
        <w:t xml:space="preserve"> and in Australian workplaces.</w:t>
      </w:r>
    </w:p>
    <w:p w14:paraId="2BB65719" w14:textId="07A28A54" w:rsidR="00C26285" w:rsidRPr="00A626CC" w:rsidRDefault="00C26285" w:rsidP="00A626CC">
      <w:r w:rsidRPr="00A626CC">
        <w:t xml:space="preserve">An important value proposition to the Australian Government of an outsourced facility such as </w:t>
      </w:r>
      <w:r w:rsidR="008226C4">
        <w:t xml:space="preserve">the </w:t>
      </w:r>
      <w:r w:rsidRPr="00A626CC">
        <w:t xml:space="preserve">PLF is reflected in </w:t>
      </w:r>
      <w:r w:rsidRPr="00A626CC">
        <w:rPr>
          <w:b/>
        </w:rPr>
        <w:t xml:space="preserve">EOPO 3 </w:t>
      </w:r>
      <w:r w:rsidRPr="00A626CC">
        <w:t>in relation to PLF's efforts to minimise risk to Pacific/Timorese women and men while they are working in Australia. The key risks for workers and the scheme itself can be understood to arise from the three key phases of circular labour mobility: i) Worker readiness; ii) Worker welfare; iii) Worker reintegration—each discussed below. </w:t>
      </w:r>
    </w:p>
    <w:p w14:paraId="0D382F5B" w14:textId="77777777" w:rsidR="00C26285" w:rsidRPr="00A626CC" w:rsidRDefault="00C26285" w:rsidP="00F74CE1">
      <w:pPr>
        <w:pStyle w:val="Heading3nonumber"/>
      </w:pPr>
      <w:r w:rsidRPr="00A626CC">
        <w:t>Worker readiness</w:t>
      </w:r>
    </w:p>
    <w:p w14:paraId="3F7D5E4C" w14:textId="6E286DB6" w:rsidR="00784B60" w:rsidRDefault="00C26285" w:rsidP="00A626CC">
      <w:r w:rsidRPr="00A626CC">
        <w:t xml:space="preserve">Preparing workers for working and living in Australia is the responsibility of </w:t>
      </w:r>
      <w:r w:rsidRPr="0099659A">
        <w:t>labour sending countries</w:t>
      </w:r>
      <w:r w:rsidRPr="00A626CC">
        <w:t xml:space="preserve">. A key PLF initiative was the development and refinement of pre-departure briefing (PDB) material. The length and comprehensiveness of the PDBs evolved over time to respond to the central issue that many workers are unprepared for life/work in Australia and the impact on their families/communities at home. Because worker preparedness underpins the worker welfare caseload (discussed below) there is an understandable reflex to invest more and more in pre-departure training. However, there is a counter argument that there is a diminishing ‘finish line’ for additional content that should be included in PDB to improve worker readiness. PLF has developed an e-learning platform for workers that </w:t>
      </w:r>
      <w:r w:rsidR="00764E27">
        <w:t xml:space="preserve">will </w:t>
      </w:r>
      <w:r w:rsidRPr="00A626CC">
        <w:t xml:space="preserve">provide information and resources </w:t>
      </w:r>
      <w:r w:rsidRPr="00A626CC">
        <w:rPr>
          <w:rFonts w:cstheme="minorHAnsi"/>
        </w:rPr>
        <w:t xml:space="preserve">to support them while living and working in Australia. </w:t>
      </w:r>
      <w:r w:rsidRPr="00A626CC">
        <w:t>The evaluation team formed the view that PLF’s approach to progressively evolving and refining the PDB approach and resources was appropriate</w:t>
      </w:r>
      <w:r w:rsidR="00D1349D" w:rsidRPr="00A626CC">
        <w:t>.</w:t>
      </w:r>
    </w:p>
    <w:p w14:paraId="608F226C" w14:textId="54F6A05A" w:rsidR="00C26285" w:rsidRPr="00A626CC" w:rsidRDefault="00784B60" w:rsidP="00A626CC">
      <w:r>
        <w:br w:type="page"/>
      </w:r>
    </w:p>
    <w:p w14:paraId="479751D7" w14:textId="77777777" w:rsidR="00C26285" w:rsidRPr="00A626CC" w:rsidRDefault="00C26285" w:rsidP="00F74CE1">
      <w:pPr>
        <w:pStyle w:val="Heading3nonumber"/>
      </w:pPr>
      <w:r w:rsidRPr="00A626CC">
        <w:lastRenderedPageBreak/>
        <w:t>Worker welfare</w:t>
      </w:r>
    </w:p>
    <w:p w14:paraId="132B82D8" w14:textId="0630A127" w:rsidR="00C26285" w:rsidRPr="00A626CC" w:rsidRDefault="00C26285" w:rsidP="00A626CC">
      <w:pPr>
        <w:rPr>
          <w:rFonts w:cstheme="minorHAnsi"/>
        </w:rPr>
      </w:pPr>
      <w:r w:rsidRPr="00A626CC">
        <w:t xml:space="preserve">Worker welfare issues dominate the PALM scheme and are the greatest source of risk to all parties—not least the workers and their families. Worker support services provided by PLF were highly regarded when worker numbers were limited and demand on the scheme was manageable. But the ability to continue intensive support was outstripped by the growth in worker numbers, necessitating the introduction of a new regional structure and development of new approaches, most notably the ‘Community of Care model’ and Risk Escalation Matrix backstopped by a Support Services Line. The very rapid growth in worker numbers was accompanied by an increase in adverse impacts in both Australia and labour sending countries arising from workers’ lengthy separation from families and communities (the number of critical incidents reported rose from 94 (FY2020-21) to 258 (FY2021-2022), a 274% increase. The management of such risks is critical to preserving the social license for the scheme in Australia and sending countries. The development of the Community of Care model was in response to an October 2020 review that recommended delegating responsibility for worker welfare across an array of stakeholders. While several stakeholders affirmed the rationale, a cross-section of interviewees, including independent researchers, expressed concerns about its efficacy in practice. The firmest criticism of worker support services came from some Pacific diplomatic staff posted in Australia. While there is no disputing the depth of concern, some issues raised indicated misunderstanding about the established processes and mandates, which itself may indicate inadequate communication by Australia-based actors. All stakeholders affirmed the </w:t>
      </w:r>
      <w:r w:rsidRPr="00A626CC">
        <w:rPr>
          <w:rFonts w:cstheme="minorHAnsi"/>
        </w:rPr>
        <w:t xml:space="preserve">importance of Country Liaison Officers (CLO) resourced by the scheme but answerable to </w:t>
      </w:r>
      <w:r w:rsidRPr="00006B98">
        <w:rPr>
          <w:rFonts w:cstheme="minorHAnsi"/>
        </w:rPr>
        <w:t>labour sending</w:t>
      </w:r>
      <w:r w:rsidRPr="00A626CC">
        <w:rPr>
          <w:rFonts w:cstheme="minorHAnsi"/>
        </w:rPr>
        <w:t xml:space="preserve"> governments. These roles are seen to provide valuable culturally relevant support for worker welfare, but are currently under-resourced, and may have some overlapping responsibilities with PLF regional staff. </w:t>
      </w:r>
    </w:p>
    <w:p w14:paraId="074754DD" w14:textId="77777777" w:rsidR="00C26285" w:rsidRPr="00A626CC" w:rsidRDefault="00C26285" w:rsidP="00A626CC">
      <w:r w:rsidRPr="00A626CC">
        <w:rPr>
          <w:rFonts w:cstheme="minorHAnsi"/>
        </w:rPr>
        <w:t xml:space="preserve">Overall, worker welfare poses significant risks to the scheme in Australia and in </w:t>
      </w:r>
      <w:r w:rsidRPr="00006B98">
        <w:rPr>
          <w:rFonts w:cstheme="minorHAnsi"/>
        </w:rPr>
        <w:t>sending countries</w:t>
      </w:r>
      <w:r w:rsidRPr="00A626CC">
        <w:rPr>
          <w:rFonts w:cstheme="minorHAnsi"/>
        </w:rPr>
        <w:t xml:space="preserve">. As it stands, DFAT and DEWR carry almost all risks associated with the scheme, and hence are exposed to criticisms by all parties. Empowering other stakeholders to share responsibility in line with natural incentives and accountabilities may enable a more balanced, sustainable, and cost-effective scheme. </w:t>
      </w:r>
    </w:p>
    <w:p w14:paraId="568F6532" w14:textId="77777777" w:rsidR="00C26285" w:rsidRPr="00A626CC" w:rsidRDefault="00C26285" w:rsidP="00F74CE1">
      <w:pPr>
        <w:pStyle w:val="Heading3nonumber"/>
      </w:pPr>
      <w:r w:rsidRPr="00A626CC">
        <w:t>Worker reintegration</w:t>
      </w:r>
    </w:p>
    <w:p w14:paraId="562A10DF" w14:textId="38D8D5A5" w:rsidR="00165624" w:rsidRDefault="00C26285" w:rsidP="00A626CC">
      <w:pPr>
        <w:rPr>
          <w:rFonts w:cstheme="minorHAnsi"/>
        </w:rPr>
      </w:pPr>
      <w:r w:rsidRPr="00A626CC">
        <w:rPr>
          <w:rFonts w:cstheme="minorHAnsi"/>
        </w:rPr>
        <w:t xml:space="preserve">PLF had planned to develop a range of reintegration initiatives to support returning workers prior to the first cohorts of PLS workers returning home in 2020-21. This work was side tracked due to reallocating resources to COVID-19 responses and the scheme scale-up. Arguably, the successful social and economic </w:t>
      </w:r>
      <w:r w:rsidR="00230C46">
        <w:rPr>
          <w:rFonts w:cstheme="minorHAnsi"/>
        </w:rPr>
        <w:t>reintegration</w:t>
      </w:r>
      <w:r w:rsidRPr="00A626CC">
        <w:rPr>
          <w:rFonts w:cstheme="minorHAnsi"/>
        </w:rPr>
        <w:t xml:space="preserve"> of workers underpins the ‘development rationale’ for labour mobility. While studies by the World Bank and Australia National University have established evidence of development impact in Pacific/Timorese households and communities arising from increased expenditure, there are legitimate questions about whether increased expenditure </w:t>
      </w:r>
      <w:r w:rsidRPr="00A626CC">
        <w:rPr>
          <w:rFonts w:cstheme="minorHAnsi"/>
          <w:i/>
          <w:iCs/>
        </w:rPr>
        <w:t>alone</w:t>
      </w:r>
      <w:r w:rsidRPr="00A626CC">
        <w:rPr>
          <w:rFonts w:cstheme="minorHAnsi"/>
        </w:rPr>
        <w:t xml:space="preserve"> adequately capitalises on the opportunities presented through labour mobility in terms of fostering </w:t>
      </w:r>
      <w:r w:rsidRPr="00A626CC">
        <w:rPr>
          <w:rFonts w:cstheme="minorHAnsi"/>
          <w:i/>
          <w:iCs/>
        </w:rPr>
        <w:t>sustainable</w:t>
      </w:r>
      <w:r w:rsidRPr="00A626CC">
        <w:rPr>
          <w:rFonts w:cstheme="minorHAnsi"/>
        </w:rPr>
        <w:t xml:space="preserve"> development outcomes. The concept note commissioned by DFAT for the next phase of support for the PALM scheme again prioritises support for worker reintegration.</w:t>
      </w:r>
    </w:p>
    <w:p w14:paraId="7188EDBC" w14:textId="77777777" w:rsidR="00165624" w:rsidRDefault="00165624">
      <w:pPr>
        <w:rPr>
          <w:rFonts w:cstheme="minorHAnsi"/>
        </w:rPr>
      </w:pPr>
      <w:r>
        <w:rPr>
          <w:rFonts w:cstheme="minorHAnsi"/>
        </w:rPr>
        <w:br w:type="page"/>
      </w:r>
    </w:p>
    <w:p w14:paraId="26D60F75" w14:textId="77777777" w:rsidR="00C26285" w:rsidRPr="00A626CC" w:rsidRDefault="00C26285" w:rsidP="003D137E">
      <w:pPr>
        <w:pStyle w:val="Heading2"/>
      </w:pPr>
      <w:bookmarkStart w:id="7" w:name="_Toc151627735"/>
      <w:bookmarkStart w:id="8" w:name="_Toc152591510"/>
      <w:r w:rsidRPr="00A626CC">
        <w:lastRenderedPageBreak/>
        <w:t>Efficiency</w:t>
      </w:r>
      <w:bookmarkEnd w:id="7"/>
      <w:bookmarkEnd w:id="8"/>
    </w:p>
    <w:p w14:paraId="2E2815E9" w14:textId="61DD8860" w:rsidR="00C26285" w:rsidRPr="00A626CC" w:rsidRDefault="00C26285" w:rsidP="00A626CC">
      <w:pPr>
        <w:rPr>
          <w:rFonts w:cstheme="minorHAnsi"/>
        </w:rPr>
      </w:pPr>
      <w:r w:rsidRPr="00A626CC">
        <w:rPr>
          <w:rFonts w:cstheme="minorHAnsi"/>
        </w:rPr>
        <w:t xml:space="preserve">Over the life of the current contract, there were </w:t>
      </w:r>
      <w:r w:rsidR="00122F10" w:rsidRPr="00A626CC">
        <w:rPr>
          <w:rFonts w:cstheme="minorHAnsi"/>
        </w:rPr>
        <w:t>six</w:t>
      </w:r>
      <w:r w:rsidRPr="00A626CC">
        <w:rPr>
          <w:rFonts w:cstheme="minorHAnsi"/>
        </w:rPr>
        <w:t xml:space="preserve"> contract amendments (with a </w:t>
      </w:r>
      <w:r w:rsidR="00122F10" w:rsidRPr="00A626CC">
        <w:rPr>
          <w:rFonts w:cstheme="minorHAnsi"/>
        </w:rPr>
        <w:t xml:space="preserve">seventh </w:t>
      </w:r>
      <w:r w:rsidRPr="00A626CC">
        <w:rPr>
          <w:rFonts w:cstheme="minorHAnsi"/>
        </w:rPr>
        <w:t xml:space="preserve">underway at the time of this evaluation), corresponding to growth in the scheme. Contract amendments were each approved by Commonwealth </w:t>
      </w:r>
      <w:r w:rsidR="008E31F6" w:rsidRPr="00A626CC">
        <w:rPr>
          <w:rFonts w:cstheme="minorHAnsi"/>
        </w:rPr>
        <w:t xml:space="preserve">Section </w:t>
      </w:r>
      <w:r w:rsidRPr="00A626CC">
        <w:rPr>
          <w:rFonts w:cstheme="minorHAnsi"/>
        </w:rPr>
        <w:t xml:space="preserve">23 minutes and justified by the additional resources required to respond to growth, and/or changes in PLF’s scope of work. Amendments spanned budget increases from AUD 50 million at PLF’s inception to a current total of AUD 127,501,134. This growth represents </w:t>
      </w:r>
      <w:r w:rsidR="008E31F6" w:rsidRPr="00A626CC">
        <w:rPr>
          <w:rFonts w:cstheme="minorHAnsi"/>
        </w:rPr>
        <w:t xml:space="preserve">a </w:t>
      </w:r>
      <w:r w:rsidRPr="00A626CC">
        <w:rPr>
          <w:rFonts w:cstheme="minorHAnsi"/>
        </w:rPr>
        <w:t xml:space="preserve">155% budget increase against the backdrop of a 15,000% increase in the number of workers, along with a substantial contribution to both Australia’s and </w:t>
      </w:r>
      <w:r w:rsidRPr="00006B98">
        <w:rPr>
          <w:rFonts w:cstheme="minorHAnsi"/>
        </w:rPr>
        <w:t>labour sending country</w:t>
      </w:r>
      <w:r w:rsidRPr="00A626CC">
        <w:rPr>
          <w:rFonts w:cstheme="minorHAnsi"/>
        </w:rPr>
        <w:t xml:space="preserve"> economic activity. Much of the budget increase was required to support additional staff, including for </w:t>
      </w:r>
      <w:r w:rsidRPr="00006B98">
        <w:rPr>
          <w:rFonts w:cstheme="minorHAnsi"/>
        </w:rPr>
        <w:t>labour sending</w:t>
      </w:r>
      <w:r w:rsidRPr="00A626CC">
        <w:rPr>
          <w:rFonts w:cstheme="minorHAnsi"/>
        </w:rPr>
        <w:t xml:space="preserve"> governments to meet the growth in worker mobilisations. Whole new PLF teams were engaged to respond to the expanding scope, most notably the Australia Engagement through regionally</w:t>
      </w:r>
      <w:r w:rsidR="00686B28">
        <w:rPr>
          <w:rFonts w:cstheme="minorHAnsi"/>
        </w:rPr>
        <w:t>-</w:t>
      </w:r>
      <w:r w:rsidRPr="00A626CC">
        <w:rPr>
          <w:rFonts w:cstheme="minorHAnsi"/>
        </w:rPr>
        <w:t>based teams to enable worker support and industry engagement. Many stakeholders conveyed to the evaluation team admiration for PLF’s adaptiveness and diligence under these circumstances. While development program management is rarely flawless, the evaluation team concluded that in the main, PLF made appropriate use of time and resources at each point in the evolution of labour mobility. That said, there were diverse views about the comparative value of the PLF modality. Some Pacific Heads of Mission in Australia expressed concern about the Australian Government engaging a managing contractor, which was perceived to impede the bilateral relationship, though these concerns may derive from not fully understanding DFAT’s contractor-led business model—noting that DFAT does not implement programs directly.</w:t>
      </w:r>
      <w:r w:rsidR="0005427C">
        <w:rPr>
          <w:rFonts w:cstheme="minorHAnsi"/>
        </w:rPr>
        <w:t xml:space="preserve"> </w:t>
      </w:r>
      <w:r w:rsidRPr="00A626CC">
        <w:rPr>
          <w:rFonts w:cstheme="minorHAnsi"/>
        </w:rPr>
        <w:t xml:space="preserve">The evaluation team considered key aspects of PLF’s management arrangements and the extent to which they promoted efficiency. The organisation grew from around 10 staff at inception to over 190 staff working through 8 ‘work-streams’. These workstreams were added progressively in step with changes in demand and were staffed systematically by appropriately qualified individuals—essentially taking a ‘just-in-time’ approach to growth which conferred value to the Commonwealth. Many stakeholders appreciated the increasing representation of Pacific Islanders among PLF staff. Others acknowledged the culture of reflection and learning that was considered a feature </w:t>
      </w:r>
      <w:r w:rsidR="00686B28">
        <w:rPr>
          <w:rFonts w:cstheme="minorHAnsi"/>
        </w:rPr>
        <w:t xml:space="preserve">of </w:t>
      </w:r>
      <w:r w:rsidRPr="00A626CC">
        <w:rPr>
          <w:rFonts w:cstheme="minorHAnsi"/>
        </w:rPr>
        <w:t>the way PLF was managed. Particular structures or initiatives were established by PLF and observed to contribute significantly to the efficiency of PALM scheme operations. One example was the PLF Engagement Managers positioned within LSUs to provide capacity building and to broker engagement with Australia-based stakeholders. These roles were key to achieving the growth agenda, and hence contributed significantly to the efficiency of the scheme. A further initiative that increased the efficiency of PLF operations was the establishment of the Community of Care model discussed above. The evaluation team observed clear passion and commitment to labour mobility among PLF staff and noted that many keenly felt responsibility for the scheme’s success.</w:t>
      </w:r>
    </w:p>
    <w:p w14:paraId="52DD6555" w14:textId="50F900CC" w:rsidR="0005427C" w:rsidRDefault="00C26285" w:rsidP="00A626CC">
      <w:pPr>
        <w:rPr>
          <w:rFonts w:cstheme="minorHAnsi"/>
        </w:rPr>
      </w:pPr>
      <w:r w:rsidRPr="00A626CC">
        <w:rPr>
          <w:rFonts w:cstheme="minorHAnsi"/>
        </w:rPr>
        <w:t>The evaluation team considered that strengthening of partner systems was a strength of PLF’s way of working. Clear examples included PLF staff embedded in LSUs and the development of information systems to improve the scheme’s efficiency and transparency. In terms of donor harmonisation, there is evidence of cooperation with New Zealand’s Recognised Seasonal Employer (RSE) scheme.</w:t>
      </w:r>
    </w:p>
    <w:p w14:paraId="3CBD9B3B" w14:textId="57D9894D" w:rsidR="00C26285" w:rsidRPr="0005427C" w:rsidRDefault="0005427C" w:rsidP="00A626CC">
      <w:pPr>
        <w:rPr>
          <w:rFonts w:cstheme="minorHAnsi"/>
        </w:rPr>
      </w:pPr>
      <w:r>
        <w:rPr>
          <w:rFonts w:cstheme="minorHAnsi"/>
        </w:rPr>
        <w:br w:type="page"/>
      </w:r>
    </w:p>
    <w:p w14:paraId="128557FB" w14:textId="77777777" w:rsidR="00C26285" w:rsidRPr="00A626CC" w:rsidRDefault="00C26285" w:rsidP="003D137E">
      <w:pPr>
        <w:pStyle w:val="Heading2"/>
      </w:pPr>
      <w:bookmarkStart w:id="9" w:name="_Toc151627736"/>
      <w:bookmarkStart w:id="10" w:name="_Toc152591511"/>
      <w:r w:rsidRPr="00A626CC">
        <w:lastRenderedPageBreak/>
        <w:t>LSU support</w:t>
      </w:r>
      <w:bookmarkEnd w:id="9"/>
      <w:bookmarkEnd w:id="10"/>
    </w:p>
    <w:p w14:paraId="208CF374" w14:textId="3F420E07" w:rsidR="00C26285" w:rsidRPr="00A626CC" w:rsidRDefault="00C26285" w:rsidP="00A626CC">
      <w:pPr>
        <w:rPr>
          <w:rFonts w:cstheme="minorHAnsi"/>
        </w:rPr>
      </w:pPr>
      <w:r w:rsidRPr="00A626CC">
        <w:rPr>
          <w:rFonts w:cstheme="minorHAnsi"/>
        </w:rPr>
        <w:t>The LSUs are widely acknowledged as being critical to the scheme, and in that context, the capacity</w:t>
      </w:r>
      <w:r w:rsidR="003848F1">
        <w:rPr>
          <w:rFonts w:cstheme="minorHAnsi"/>
        </w:rPr>
        <w:t>-</w:t>
      </w:r>
      <w:r w:rsidRPr="00A626CC">
        <w:rPr>
          <w:rFonts w:cstheme="minorHAnsi"/>
        </w:rPr>
        <w:t xml:space="preserve">building support provided by DFAT and PLF has been fundamental. There is broad acknowledgement of the value of PLF’s work in supporting LSUs. Many stakeholders considered that LSU capacity has improved—including LSU staff themselves as reflected in the results of LSU capacity-self assessments. </w:t>
      </w:r>
      <w:r w:rsidRPr="00A626CC">
        <w:t>Nevertheless, other stakeholders questioned the efficacy of capacity</w:t>
      </w:r>
      <w:r w:rsidR="003848F1">
        <w:t>-</w:t>
      </w:r>
      <w:r w:rsidRPr="00A626CC">
        <w:t xml:space="preserve">building efforts, expecting </w:t>
      </w:r>
      <w:r w:rsidRPr="00A626CC">
        <w:rPr>
          <w:rFonts w:cstheme="minorHAnsi"/>
        </w:rPr>
        <w:t xml:space="preserve">that LSUs should by now independently meet Australian demand for workers. This is an assumption of ‘sustainability’ premised on LSUs being resourced and operated independently of Australian investment. LSU capacity across the region is not uniform, however there is broad agreement (including among LSU staff and PLF staff) that </w:t>
      </w:r>
      <w:r w:rsidRPr="00A626CC">
        <w:t xml:space="preserve">further support for skills and systems consolidation will be required in the next phase of DFAT funding. </w:t>
      </w:r>
      <w:r w:rsidRPr="00A626CC">
        <w:rPr>
          <w:rFonts w:cstheme="minorHAnsi"/>
        </w:rPr>
        <w:t xml:space="preserve">PLF has invested significantly in LSU payroll, equipment, travel, and office fit-out in circumstances where none of the </w:t>
      </w:r>
      <w:r w:rsidRPr="00930DD4">
        <w:rPr>
          <w:rFonts w:cstheme="minorHAnsi"/>
        </w:rPr>
        <w:t>labour sending</w:t>
      </w:r>
      <w:r w:rsidRPr="00A626CC">
        <w:rPr>
          <w:rFonts w:cstheme="minorHAnsi"/>
        </w:rPr>
        <w:t xml:space="preserve"> governments are allocating budget for PLF, and many PLF staff are not yet recognised public servants. Clearly the issue of ‘LSU sustainability’ sits within a wider strategic context that demands more nuanced debate.</w:t>
      </w:r>
    </w:p>
    <w:p w14:paraId="5A64769D" w14:textId="549709F2" w:rsidR="00E625D0" w:rsidRDefault="00C26285" w:rsidP="00A626CC">
      <w:pPr>
        <w:rPr>
          <w:rFonts w:cstheme="minorHAnsi"/>
        </w:rPr>
      </w:pPr>
      <w:r w:rsidRPr="00A626CC">
        <w:t xml:space="preserve">In addition to investing in LSUs, there may be need for broader support to </w:t>
      </w:r>
      <w:r w:rsidRPr="00930DD4">
        <w:t>labour sending</w:t>
      </w:r>
      <w:r w:rsidRPr="00A626CC">
        <w:t xml:space="preserve"> governments to evolve their own unique vision/strategy for labour mobility and the resourcing of these strategies. </w:t>
      </w:r>
      <w:r w:rsidRPr="00A626CC">
        <w:rPr>
          <w:rFonts w:cstheme="minorHAnsi"/>
        </w:rPr>
        <w:t xml:space="preserve">Each </w:t>
      </w:r>
      <w:r w:rsidRPr="00930DD4">
        <w:rPr>
          <w:rFonts w:cstheme="minorHAnsi"/>
        </w:rPr>
        <w:t>labour sending</w:t>
      </w:r>
      <w:r w:rsidRPr="00A626CC">
        <w:rPr>
          <w:rFonts w:cstheme="minorHAnsi"/>
        </w:rPr>
        <w:t xml:space="preserve"> country is progressively evolving its priorities for labour mobility, which remains highly regarded by Pacific citizens. Meanwhile labour mobility offers Australia significant strategic potential. </w:t>
      </w:r>
      <w:r w:rsidRPr="00A626CC">
        <w:t xml:space="preserve">DFAT is currently selecting and deploying Australia-based staff in DFAT posts in the labour sending countries to support more strategic engagement directly by the Australian Government. </w:t>
      </w:r>
      <w:r w:rsidRPr="00930DD4">
        <w:t>L</w:t>
      </w:r>
      <w:r w:rsidRPr="00930DD4">
        <w:rPr>
          <w:rFonts w:cstheme="minorHAnsi"/>
        </w:rPr>
        <w:t>abour</w:t>
      </w:r>
      <w:r w:rsidRPr="00A626CC">
        <w:rPr>
          <w:rFonts w:cstheme="minorHAnsi"/>
        </w:rPr>
        <w:t xml:space="preserve"> </w:t>
      </w:r>
      <w:r w:rsidRPr="00930DD4">
        <w:rPr>
          <w:rFonts w:cstheme="minorHAnsi"/>
        </w:rPr>
        <w:t xml:space="preserve">sending </w:t>
      </w:r>
      <w:r w:rsidRPr="005A1D47">
        <w:rPr>
          <w:rFonts w:cstheme="minorHAnsi"/>
        </w:rPr>
        <w:t>country</w:t>
      </w:r>
      <w:r w:rsidRPr="00A626CC">
        <w:rPr>
          <w:rFonts w:cstheme="minorHAnsi"/>
        </w:rPr>
        <w:t xml:space="preserve"> officials affirmed the need for more strategic government-to-government engagement, indicating that the new strategic labour mobility engagement role in Posts is timely. </w:t>
      </w:r>
    </w:p>
    <w:p w14:paraId="41655A49" w14:textId="77777777" w:rsidR="00E625D0" w:rsidRDefault="00E625D0">
      <w:pPr>
        <w:rPr>
          <w:rFonts w:cstheme="minorHAnsi"/>
        </w:rPr>
      </w:pPr>
      <w:r>
        <w:rPr>
          <w:rFonts w:cstheme="minorHAnsi"/>
        </w:rPr>
        <w:br w:type="page"/>
      </w:r>
    </w:p>
    <w:p w14:paraId="5B275E31" w14:textId="77777777" w:rsidR="00C26285" w:rsidRPr="00A626CC" w:rsidRDefault="00C26285" w:rsidP="003D137E">
      <w:pPr>
        <w:pStyle w:val="Heading2"/>
      </w:pPr>
      <w:bookmarkStart w:id="11" w:name="_Toc151627737"/>
      <w:bookmarkStart w:id="12" w:name="_Toc152591512"/>
      <w:r w:rsidRPr="00A626CC">
        <w:lastRenderedPageBreak/>
        <w:t>Monitoring, Evaluation and Learning (MEL) arrangements</w:t>
      </w:r>
      <w:bookmarkEnd w:id="11"/>
      <w:bookmarkEnd w:id="12"/>
    </w:p>
    <w:p w14:paraId="105572FE" w14:textId="6636A41E" w:rsidR="00C26285" w:rsidRPr="00A626CC" w:rsidRDefault="00C26285" w:rsidP="00A626CC">
      <w:r w:rsidRPr="00A626CC">
        <w:t xml:space="preserve">The general sentiments amongst key stakeholders with knowledge of PLF’s MEL work is positive. Within the PLF organisational structure MEL was managed by the Quality, Learning and Performance (QLP) team, which also included </w:t>
      </w:r>
      <w:r w:rsidR="0037788F" w:rsidRPr="00A626CC">
        <w:t>two</w:t>
      </w:r>
      <w:r w:rsidRPr="00A626CC">
        <w:t xml:space="preserve"> gender equality and social inclusion (GEDSI) specialists—a structure widely seen as a strength. The MEL work was adequately resourced. Ordinarily, MEL for international development programs may be conceived as testing the merits of the underlying theory of change. But a parallel focus of PLF was on keeping track of a range of service metrics for in-Australia operations. For much of the early implementation period, this data management was done with spreadsheets before PLF was tasked to undertake significant information system development. A software development team (2.5 FTE) was recruited in-house and consumed significant focus by QLP. </w:t>
      </w:r>
    </w:p>
    <w:p w14:paraId="3929310C" w14:textId="1C53D491" w:rsidR="00C26285" w:rsidRPr="00A626CC" w:rsidRDefault="00C26285" w:rsidP="00A626CC">
      <w:r w:rsidRPr="00A626CC">
        <w:t>Beyond the data management and responsiveness to DFAT/DEWR information needs, there is evidence that the work of the QLP team had more profound influence. MEL information was used for program improvement, such as responsive research that addressed shortcomings in the Skills Development Program, and analysis of critical incident and worker disengagement data that informed the Regional Engagement team planning. In retrospect, PLF’s research strategy many have been ambitious relative to the resources investment, however it nonetheless underpinned important products and directions. A key feature of the research agenda was the way that the QLP team coordinated with third</w:t>
      </w:r>
      <w:r w:rsidR="00FA016B">
        <w:t>-</w:t>
      </w:r>
      <w:r w:rsidRPr="00A626CC">
        <w:t>party researchers in labour mobility, thereby adding value and promoting cross-sector learning.</w:t>
      </w:r>
    </w:p>
    <w:p w14:paraId="42A62F2A" w14:textId="0A940E6F" w:rsidR="003E17F4" w:rsidRPr="00A626CC" w:rsidRDefault="003E17F4" w:rsidP="00A626CC">
      <w:pPr>
        <w:pStyle w:val="Heading2"/>
      </w:pPr>
      <w:bookmarkStart w:id="13" w:name="_Ref151536066"/>
      <w:bookmarkStart w:id="14" w:name="_Toc151627738"/>
      <w:bookmarkStart w:id="15" w:name="_Toc152591513"/>
      <w:r w:rsidRPr="00A626CC">
        <w:t>Summary of recommendations</w:t>
      </w:r>
      <w:bookmarkEnd w:id="13"/>
      <w:bookmarkEnd w:id="14"/>
      <w:bookmarkEnd w:id="15"/>
    </w:p>
    <w:p w14:paraId="51D16A3F" w14:textId="570E6EDB" w:rsidR="00167146" w:rsidRPr="00A626CC" w:rsidRDefault="00167146" w:rsidP="00B37052">
      <w:pPr>
        <w:pStyle w:val="ListNumber"/>
      </w:pPr>
      <w:r w:rsidRPr="00A626CC">
        <w:t xml:space="preserve">DFAT should continue to resource through diplomatic missions in Australia an expanded gender equitable network of </w:t>
      </w:r>
      <w:r w:rsidR="00FA016B">
        <w:t>CLOs</w:t>
      </w:r>
      <w:r w:rsidRPr="00A626CC">
        <w:t xml:space="preserve"> commensurate with the number and distribution of workers. </w:t>
      </w:r>
    </w:p>
    <w:p w14:paraId="69E5DF3B" w14:textId="6420EF58" w:rsidR="00167146" w:rsidRPr="00167146" w:rsidRDefault="00167146" w:rsidP="00B37052">
      <w:pPr>
        <w:pStyle w:val="ListNumber"/>
      </w:pPr>
      <w:r w:rsidRPr="00167146">
        <w:t>DFAT/DEWR should commission a comprehensive review of the Community of Care model, including the delineation of roles between LSUs, AEs</w:t>
      </w:r>
      <w:r w:rsidR="003848F1">
        <w:t xml:space="preserve"> and</w:t>
      </w:r>
      <w:r w:rsidRPr="00167146">
        <w:t xml:space="preserve"> CLO</w:t>
      </w:r>
      <w:r w:rsidR="006E16F5">
        <w:t>s</w:t>
      </w:r>
      <w:r w:rsidRPr="00167146">
        <w:t>.</w:t>
      </w:r>
    </w:p>
    <w:p w14:paraId="32B1CD4D" w14:textId="199BFFA8" w:rsidR="00167146" w:rsidRPr="00167146" w:rsidRDefault="00167146" w:rsidP="00B37052">
      <w:pPr>
        <w:pStyle w:val="ListNumber"/>
      </w:pPr>
      <w:r w:rsidRPr="00167146">
        <w:t xml:space="preserve">The next phase of </w:t>
      </w:r>
      <w:r w:rsidR="00FA016B">
        <w:t xml:space="preserve">the </w:t>
      </w:r>
      <w:r w:rsidRPr="00167146">
        <w:t xml:space="preserve">PLF should further prioritise ways to support employability and entrepreneurship among returning workers to leverage the development benefits of labour mobility. </w:t>
      </w:r>
    </w:p>
    <w:p w14:paraId="6A1DC7E8" w14:textId="1E29922E" w:rsidR="00167146" w:rsidRPr="00167146" w:rsidRDefault="00167146" w:rsidP="00B37052">
      <w:pPr>
        <w:pStyle w:val="ListNumber"/>
      </w:pPr>
      <w:r w:rsidRPr="00167146">
        <w:t>DFAT Posts should explore ways to integrate/align upcoming Development Partnership Plans (DPP) with relevant strategies that leverage local PALM scheme priorities (e.g. skills development, entrepreneurship, employment incentives, government revenue).</w:t>
      </w:r>
    </w:p>
    <w:p w14:paraId="5F47D7C8" w14:textId="3BD9B9DD" w:rsidR="00536E5C" w:rsidRDefault="00167146" w:rsidP="00B37052">
      <w:pPr>
        <w:pStyle w:val="ListNumber"/>
      </w:pPr>
      <w:r w:rsidRPr="00167146">
        <w:t>DFAT and DEWR should commission a process to broker and articulate understanding of mandates and responsibilities among all key PALM scheme stakeholders, including periodic review and update.</w:t>
      </w:r>
    </w:p>
    <w:p w14:paraId="195A5508" w14:textId="75963065" w:rsidR="001439BA" w:rsidRDefault="001439BA" w:rsidP="00B37052">
      <w:pPr>
        <w:pStyle w:val="ListNumber"/>
      </w:pPr>
      <w:r w:rsidRPr="001439BA">
        <w:t>DFAT should continue to proactively engage in strategic bilateral dialogue and programming with partner countries in support of their national labour mobility policy, strategy, and governance.</w:t>
      </w:r>
    </w:p>
    <w:p w14:paraId="3BCD6D65" w14:textId="7E47E6DE" w:rsidR="00200C96" w:rsidRPr="00D01014" w:rsidRDefault="008F0CF5" w:rsidP="00B37052">
      <w:pPr>
        <w:pStyle w:val="ListNumber"/>
      </w:pPr>
      <w:r w:rsidRPr="00860576">
        <w:rPr>
          <w:lang w:val="en-GB"/>
        </w:rPr>
        <w:t xml:space="preserve">The design team for the next phase of </w:t>
      </w:r>
      <w:r w:rsidR="00FA016B">
        <w:rPr>
          <w:lang w:val="en-GB"/>
        </w:rPr>
        <w:t xml:space="preserve">the </w:t>
      </w:r>
      <w:r w:rsidRPr="00860576">
        <w:rPr>
          <w:lang w:val="en-GB"/>
        </w:rPr>
        <w:t>PLF should ensure adequate resourcing of ongoing information system rollout and support, a robust and responsive research agenda, and a high standard of MEL including benchmarking of quality and value-for-money</w:t>
      </w:r>
      <w:r w:rsidR="00781A8E">
        <w:rPr>
          <w:lang w:val="en-GB"/>
        </w:rPr>
        <w:t>.</w:t>
      </w:r>
    </w:p>
    <w:p w14:paraId="60B17ECF" w14:textId="77777777" w:rsidR="0013285E" w:rsidRPr="00A626CC" w:rsidRDefault="0013285E" w:rsidP="00A626CC">
      <w:pPr>
        <w:pStyle w:val="Heading1"/>
      </w:pPr>
      <w:bookmarkStart w:id="16" w:name="_Toc113443761"/>
      <w:bookmarkStart w:id="17" w:name="_Toc152591514"/>
      <w:bookmarkEnd w:id="0"/>
      <w:r w:rsidRPr="00A626CC">
        <w:lastRenderedPageBreak/>
        <w:t>Introduction</w:t>
      </w:r>
      <w:bookmarkEnd w:id="16"/>
      <w:bookmarkEnd w:id="17"/>
    </w:p>
    <w:p w14:paraId="4CE6C09B" w14:textId="02B428DD" w:rsidR="00012A0F" w:rsidRPr="00A626CC" w:rsidRDefault="00A84B01" w:rsidP="00A626CC">
      <w:pPr>
        <w:pStyle w:val="Heading2"/>
      </w:pPr>
      <w:bookmarkStart w:id="18" w:name="_Toc152591515"/>
      <w:r w:rsidRPr="00A626CC">
        <w:t>Synopsis</w:t>
      </w:r>
      <w:bookmarkEnd w:id="18"/>
    </w:p>
    <w:p w14:paraId="4B77EA07" w14:textId="5471C54E" w:rsidR="00012A0F" w:rsidRPr="00A626CC" w:rsidRDefault="00012A0F" w:rsidP="00A626CC">
      <w:pPr>
        <w:pStyle w:val="Orangeblocktext"/>
      </w:pPr>
      <w:r w:rsidRPr="00A626CC">
        <w:t xml:space="preserve">This document reports the findings of an independent evaluation of the Pacific Labour Facility (PLF)—a contracted mechanism to support implementation of </w:t>
      </w:r>
      <w:r w:rsidR="008470C3" w:rsidRPr="00A626CC">
        <w:t xml:space="preserve">the </w:t>
      </w:r>
      <w:r w:rsidR="00082940" w:rsidRPr="00A626CC">
        <w:t>Pacific Labour Scheme (</w:t>
      </w:r>
      <w:r w:rsidR="008470C3" w:rsidRPr="00A626CC">
        <w:t xml:space="preserve">PLS, </w:t>
      </w:r>
      <w:r w:rsidR="00082940" w:rsidRPr="00A626CC">
        <w:t>2018-2021) and the Pacific Australia Labour Mobility (PALM) scheme (2022-2023).</w:t>
      </w:r>
      <w:r w:rsidRPr="00A626CC">
        <w:t xml:space="preserve"> The evaluation was undertaken </w:t>
      </w:r>
      <w:r w:rsidR="009423BE" w:rsidRPr="00A626CC">
        <w:t>over the period</w:t>
      </w:r>
      <w:r w:rsidRPr="00A626CC">
        <w:t xml:space="preserve"> June – September 2023</w:t>
      </w:r>
      <w:r w:rsidR="009423BE" w:rsidRPr="00A626CC">
        <w:t xml:space="preserve"> and</w:t>
      </w:r>
      <w:r w:rsidRPr="00A626CC">
        <w:t xml:space="preserve"> focuss</w:t>
      </w:r>
      <w:r w:rsidR="009423BE" w:rsidRPr="00A626CC">
        <w:t>ed</w:t>
      </w:r>
      <w:r w:rsidRPr="00A626CC">
        <w:t xml:space="preserve"> on the coordination of support services by PLF, including capacity building invested in labour sending countries and the monitoring, </w:t>
      </w:r>
      <w:r w:rsidR="00BA49EF" w:rsidRPr="00A626CC">
        <w:t>evaluation,</w:t>
      </w:r>
      <w:r w:rsidRPr="00A626CC">
        <w:t xml:space="preserve"> and learning (MEL) arrangements. </w:t>
      </w:r>
      <w:r w:rsidR="00925E50" w:rsidRPr="00A626CC">
        <w:t xml:space="preserve">The evaluation team comprised </w:t>
      </w:r>
      <w:r w:rsidR="007013B2" w:rsidRPr="00A626CC">
        <w:t>one</w:t>
      </w:r>
      <w:r w:rsidR="00D517EC" w:rsidRPr="00A626CC">
        <w:t xml:space="preserve"> independent evaluator and </w:t>
      </w:r>
      <w:r w:rsidR="007013B2" w:rsidRPr="00A626CC">
        <w:t>two</w:t>
      </w:r>
      <w:r w:rsidR="00D517EC" w:rsidRPr="00A626CC">
        <w:t xml:space="preserve"> </w:t>
      </w:r>
      <w:r w:rsidR="00925E50" w:rsidRPr="00A626CC">
        <w:t xml:space="preserve">core members of </w:t>
      </w:r>
      <w:r w:rsidR="00CE19B6" w:rsidRPr="00A626CC">
        <w:t>a Quality Technical Assurance Group (QTAG) commissioned by DFAT to undertake annual reviews of PLF</w:t>
      </w:r>
      <w:r w:rsidR="00D517EC" w:rsidRPr="00A626CC">
        <w:t xml:space="preserve">. </w:t>
      </w:r>
      <w:r w:rsidRPr="00A626CC">
        <w:t xml:space="preserve">The evaluation team reviewed key documentation and undertook more than 50 hours of interviews with an array of stakeholders in Australia Vanuatu, </w:t>
      </w:r>
      <w:r w:rsidR="00BA49EF" w:rsidRPr="00A626CC">
        <w:t>Tonga,</w:t>
      </w:r>
      <w:r w:rsidRPr="00A626CC">
        <w:t xml:space="preserve"> and Kiribati. </w:t>
      </w:r>
    </w:p>
    <w:p w14:paraId="5259E1B6" w14:textId="77777777" w:rsidR="00012A0F" w:rsidRPr="00A626CC" w:rsidRDefault="00012A0F" w:rsidP="00A626CC">
      <w:pPr>
        <w:pStyle w:val="Heading2"/>
      </w:pPr>
      <w:bookmarkStart w:id="19" w:name="_Toc152591516"/>
      <w:r w:rsidRPr="00A626CC">
        <w:t>Background</w:t>
      </w:r>
      <w:bookmarkEnd w:id="19"/>
      <w:r w:rsidRPr="00A626CC">
        <w:t> </w:t>
      </w:r>
    </w:p>
    <w:p w14:paraId="5D34F4C8" w14:textId="2D1FF8C9" w:rsidR="00012A0F" w:rsidRPr="00A626CC" w:rsidRDefault="00012A0F" w:rsidP="00A626CC">
      <w:pPr>
        <w:rPr>
          <w:rFonts w:cstheme="minorHAnsi"/>
        </w:rPr>
      </w:pPr>
      <w:r w:rsidRPr="00A626CC">
        <w:rPr>
          <w:rFonts w:cstheme="minorHAnsi"/>
        </w:rPr>
        <w:t>The PALM scheme</w:t>
      </w:r>
      <w:r w:rsidR="003102A4" w:rsidRPr="00A626CC">
        <w:rPr>
          <w:rStyle w:val="FootnoteReference"/>
          <w:rFonts w:cstheme="minorHAnsi"/>
        </w:rPr>
        <w:footnoteReference w:id="2"/>
      </w:r>
      <w:r w:rsidRPr="00A626CC">
        <w:rPr>
          <w:rFonts w:cstheme="minorHAnsi"/>
        </w:rPr>
        <w:t xml:space="preserve"> allows eligible Australian businesses to hire workers from </w:t>
      </w:r>
      <w:r w:rsidR="00FC0D1D" w:rsidRPr="00A626CC">
        <w:rPr>
          <w:rFonts w:cstheme="minorHAnsi"/>
        </w:rPr>
        <w:t>nine</w:t>
      </w:r>
      <w:r w:rsidRPr="00A626CC">
        <w:rPr>
          <w:rFonts w:cstheme="minorHAnsi"/>
        </w:rPr>
        <w:t xml:space="preserve"> Pacific Island Countries (PIC) and Timor-Leste to fill labour gaps in rural and regional Australia</w:t>
      </w:r>
      <w:r w:rsidR="00473115" w:rsidRPr="00A626CC">
        <w:rPr>
          <w:rFonts w:cstheme="minorHAnsi"/>
        </w:rPr>
        <w:t>,</w:t>
      </w:r>
      <w:r w:rsidRPr="00A626CC">
        <w:rPr>
          <w:rFonts w:cstheme="minorHAnsi"/>
        </w:rPr>
        <w:t xml:space="preserve"> and nationally for agriculture and select agriculture-related food product manufacturing sectors. The scheme offers employers access to a pool of reliable, productive workers. It also allows Pacific and Timor-Leste (PTL) workers to take up jobs in Australia, develop their skills and send income home. Through the PALM scheme, eligible businesses can recruit workers for short-term jobs for up to </w:t>
      </w:r>
      <w:r w:rsidR="00DA209E" w:rsidRPr="00A626CC">
        <w:rPr>
          <w:rFonts w:cstheme="minorHAnsi"/>
        </w:rPr>
        <w:t>nine</w:t>
      </w:r>
      <w:r w:rsidRPr="00A626CC">
        <w:rPr>
          <w:rFonts w:cstheme="minorHAnsi"/>
        </w:rPr>
        <w:t xml:space="preserve"> months</w:t>
      </w:r>
      <w:r w:rsidR="00DA209E" w:rsidRPr="00A626CC">
        <w:rPr>
          <w:rFonts w:cstheme="minorHAnsi"/>
        </w:rPr>
        <w:t>,</w:t>
      </w:r>
      <w:r w:rsidRPr="00A626CC">
        <w:rPr>
          <w:rFonts w:cstheme="minorHAnsi"/>
        </w:rPr>
        <w:t xml:space="preserve"> or long-term roles for between one and </w:t>
      </w:r>
      <w:r w:rsidR="00DA209E" w:rsidRPr="00A626CC">
        <w:rPr>
          <w:rFonts w:cstheme="minorHAnsi"/>
        </w:rPr>
        <w:t>four</w:t>
      </w:r>
      <w:r w:rsidRPr="00A626CC">
        <w:rPr>
          <w:rFonts w:cstheme="minorHAnsi"/>
        </w:rPr>
        <w:t xml:space="preserve"> years</w:t>
      </w:r>
      <w:r w:rsidR="00DA209E" w:rsidRPr="00A626CC">
        <w:rPr>
          <w:rFonts w:cstheme="minorHAnsi"/>
        </w:rPr>
        <w:t>,</w:t>
      </w:r>
      <w:r w:rsidRPr="00A626CC">
        <w:rPr>
          <w:rFonts w:cstheme="minorHAnsi"/>
        </w:rPr>
        <w:t xml:space="preserve"> in unskilled, low-</w:t>
      </w:r>
      <w:r w:rsidR="00BA49EF" w:rsidRPr="00A626CC">
        <w:rPr>
          <w:rFonts w:cstheme="minorHAnsi"/>
        </w:rPr>
        <w:t>skilled,</w:t>
      </w:r>
      <w:r w:rsidRPr="00A626CC">
        <w:rPr>
          <w:rFonts w:cstheme="minorHAnsi"/>
        </w:rPr>
        <w:t xml:space="preserve"> and semi-skilled positions. </w:t>
      </w:r>
    </w:p>
    <w:p w14:paraId="5ED62031" w14:textId="6CC5512F" w:rsidR="006C726E" w:rsidRPr="00A626CC" w:rsidRDefault="006C726E" w:rsidP="00A626CC">
      <w:pPr>
        <w:rPr>
          <w:rFonts w:cstheme="minorHAnsi"/>
        </w:rPr>
      </w:pPr>
      <w:r w:rsidRPr="00A626CC">
        <w:rPr>
          <w:rFonts w:cstheme="minorHAnsi"/>
        </w:rPr>
        <w:t xml:space="preserve">The </w:t>
      </w:r>
      <w:r w:rsidR="007368E7" w:rsidRPr="00A626CC">
        <w:rPr>
          <w:rFonts w:cstheme="minorHAnsi"/>
        </w:rPr>
        <w:t>PALM scheme</w:t>
      </w:r>
      <w:r w:rsidRPr="00A626CC">
        <w:rPr>
          <w:rFonts w:cstheme="minorHAnsi"/>
        </w:rPr>
        <w:t xml:space="preserve"> is managed by Australia’s Department of Foreign Affairs and Trade (DFAT) and the Department of Employment and Workplace Relations (DEWR). The PLF is a professional support service contracted </w:t>
      </w:r>
      <w:r w:rsidR="00577038" w:rsidRPr="00A626CC">
        <w:rPr>
          <w:rFonts w:cstheme="minorHAnsi"/>
        </w:rPr>
        <w:t xml:space="preserve">to Palladium </w:t>
      </w:r>
      <w:r w:rsidRPr="00A626CC">
        <w:rPr>
          <w:rFonts w:cstheme="minorHAnsi"/>
        </w:rPr>
        <w:t>by the Commonwealth of Australia</w:t>
      </w:r>
      <w:r w:rsidR="00E64377" w:rsidRPr="00A626CC">
        <w:rPr>
          <w:rFonts w:cstheme="minorHAnsi"/>
        </w:rPr>
        <w:t xml:space="preserve">. </w:t>
      </w:r>
      <w:r w:rsidR="008D039E" w:rsidRPr="00A626CC">
        <w:rPr>
          <w:rFonts w:cstheme="minorHAnsi"/>
        </w:rPr>
        <w:t xml:space="preserve">The contract was established by DFAT for management of the PLS and was administered by DFAT from its inception in 2018 until July 2022, when responsibility for management of the contract was transferred to DEWR as part of Machinery of Government </w:t>
      </w:r>
      <w:r w:rsidR="009423BE" w:rsidRPr="00A626CC">
        <w:rPr>
          <w:rFonts w:cstheme="minorHAnsi"/>
        </w:rPr>
        <w:t xml:space="preserve">(MoG) </w:t>
      </w:r>
      <w:r w:rsidR="008D039E" w:rsidRPr="00A626CC">
        <w:rPr>
          <w:rFonts w:cstheme="minorHAnsi"/>
        </w:rPr>
        <w:t xml:space="preserve">changes that followed the change of Australian </w:t>
      </w:r>
      <w:r w:rsidR="002421DA" w:rsidRPr="00A626CC">
        <w:rPr>
          <w:rFonts w:cstheme="minorHAnsi"/>
        </w:rPr>
        <w:t>G</w:t>
      </w:r>
      <w:r w:rsidR="008D039E" w:rsidRPr="00A626CC">
        <w:rPr>
          <w:rFonts w:cstheme="minorHAnsi"/>
        </w:rPr>
        <w:t xml:space="preserve">overnment. </w:t>
      </w:r>
      <w:r w:rsidRPr="00A626CC">
        <w:rPr>
          <w:rFonts w:cstheme="minorHAnsi"/>
        </w:rPr>
        <w:t>Its budget increased from AUD 50 million at inception to a current total of AUD 127,501,134 (representing a 155% expansion). It is currently set to conclude on 31 December 2023.</w:t>
      </w:r>
      <w:r w:rsidR="00B50B1E">
        <w:rPr>
          <w:rStyle w:val="FootnoteReference"/>
          <w:rFonts w:cstheme="minorHAnsi"/>
        </w:rPr>
        <w:footnoteReference w:id="3"/>
      </w:r>
    </w:p>
    <w:p w14:paraId="2AB97378" w14:textId="4ED52CA4" w:rsidR="00E07C9D" w:rsidRDefault="00012A0F" w:rsidP="00A626CC">
      <w:pPr>
        <w:rPr>
          <w:rFonts w:cstheme="minorHAnsi"/>
        </w:rPr>
      </w:pPr>
      <w:r w:rsidRPr="00A626CC">
        <w:rPr>
          <w:rFonts w:cstheme="minorHAnsi"/>
        </w:rPr>
        <w:t xml:space="preserve">In accord with DFAT’s International Development Programming Guide, an independent evaluation was commissioned by the department to ensure accountability, promote learning, support </w:t>
      </w:r>
      <w:r w:rsidR="00DA209E" w:rsidRPr="00A626CC">
        <w:rPr>
          <w:rFonts w:cstheme="minorHAnsi"/>
        </w:rPr>
        <w:t xml:space="preserve">the </w:t>
      </w:r>
      <w:r w:rsidRPr="00A626CC">
        <w:rPr>
          <w:rFonts w:cstheme="minorHAnsi"/>
        </w:rPr>
        <w:t>Final Investment Monitoring Reporting (FIMR</w:t>
      </w:r>
      <w:r w:rsidR="00BA49EF" w:rsidRPr="00A626CC">
        <w:rPr>
          <w:rFonts w:cstheme="minorHAnsi"/>
        </w:rPr>
        <w:t>),</w:t>
      </w:r>
      <w:r w:rsidRPr="00A626CC">
        <w:rPr>
          <w:rFonts w:cstheme="minorHAnsi"/>
        </w:rPr>
        <w:t xml:space="preserve"> and inform the design of a new phase of support for the PALM scheme. </w:t>
      </w:r>
    </w:p>
    <w:p w14:paraId="631E5F26" w14:textId="77777777" w:rsidR="00E07C9D" w:rsidRDefault="00E07C9D">
      <w:pPr>
        <w:rPr>
          <w:rFonts w:cstheme="minorHAnsi"/>
        </w:rPr>
      </w:pPr>
      <w:r>
        <w:rPr>
          <w:rFonts w:cstheme="minorHAnsi"/>
        </w:rPr>
        <w:br w:type="page"/>
      </w:r>
    </w:p>
    <w:p w14:paraId="278F94DE" w14:textId="77777777" w:rsidR="00012A0F" w:rsidRPr="00A626CC" w:rsidRDefault="00012A0F" w:rsidP="00A626CC">
      <w:pPr>
        <w:pStyle w:val="Heading2"/>
      </w:pPr>
      <w:bookmarkStart w:id="20" w:name="_Ref149258177"/>
      <w:bookmarkStart w:id="21" w:name="_Toc152591517"/>
      <w:r w:rsidRPr="00A626CC">
        <w:lastRenderedPageBreak/>
        <w:t>Context</w:t>
      </w:r>
      <w:bookmarkEnd w:id="20"/>
      <w:bookmarkEnd w:id="21"/>
      <w:r w:rsidRPr="00A626CC">
        <w:t> </w:t>
      </w:r>
    </w:p>
    <w:p w14:paraId="4A4ECD0F" w14:textId="70F06FB0" w:rsidR="00012A0F" w:rsidRPr="00A626CC" w:rsidRDefault="00012A0F" w:rsidP="00A626CC">
      <w:pPr>
        <w:rPr>
          <w:rFonts w:cstheme="minorHAnsi"/>
        </w:rPr>
      </w:pPr>
      <w:r w:rsidRPr="00A626CC">
        <w:rPr>
          <w:rFonts w:cstheme="minorHAnsi"/>
        </w:rPr>
        <w:t>The report findings require some knowledge of the recent history of circular labour mobility to Australia from the nine participating Pacific countries and Timor</w:t>
      </w:r>
      <w:r w:rsidR="00A818A3">
        <w:rPr>
          <w:rFonts w:cstheme="minorHAnsi"/>
        </w:rPr>
        <w:t>-</w:t>
      </w:r>
      <w:r w:rsidRPr="00A626CC">
        <w:rPr>
          <w:rFonts w:cstheme="minorHAnsi"/>
        </w:rPr>
        <w:t>Leste, as follows (in chronological order).</w:t>
      </w:r>
      <w:r w:rsidR="003102A4" w:rsidRPr="00A626CC">
        <w:rPr>
          <w:rStyle w:val="FootnoteReference"/>
          <w:rFonts w:cstheme="minorHAnsi"/>
        </w:rPr>
        <w:footnoteReference w:id="4"/>
      </w:r>
    </w:p>
    <w:p w14:paraId="4C1D8C12" w14:textId="5EF0DDA0" w:rsidR="00012A0F" w:rsidRPr="00A626CC" w:rsidRDefault="00012A0F" w:rsidP="00A626CC">
      <w:pPr>
        <w:rPr>
          <w:rFonts w:cstheme="minorHAnsi"/>
        </w:rPr>
      </w:pPr>
      <w:r w:rsidRPr="00A626CC">
        <w:rPr>
          <w:rFonts w:cstheme="minorHAnsi"/>
          <w:i/>
          <w:iCs/>
        </w:rPr>
        <w:t>The Seasonal Worker Program</w:t>
      </w:r>
      <w:r w:rsidR="00B73716" w:rsidRPr="00A626CC">
        <w:rPr>
          <w:rFonts w:cstheme="minorHAnsi"/>
          <w:i/>
          <w:iCs/>
        </w:rPr>
        <w:t>me</w:t>
      </w:r>
      <w:r w:rsidRPr="00A626CC">
        <w:rPr>
          <w:rFonts w:cstheme="minorHAnsi"/>
          <w:b/>
          <w:bCs/>
        </w:rPr>
        <w:t xml:space="preserve"> </w:t>
      </w:r>
      <w:r w:rsidRPr="00A626CC">
        <w:rPr>
          <w:rFonts w:cstheme="minorHAnsi"/>
        </w:rPr>
        <w:t>(SWP) was launched in 2012 following a pilot which began in 2008. SWP was a seasonal work program in the agriculture and horticulture industries.</w:t>
      </w:r>
      <w:r w:rsidR="00F65E2B" w:rsidRPr="00A626CC">
        <w:rPr>
          <w:rStyle w:val="FootnoteReference"/>
          <w:rFonts w:cstheme="minorHAnsi"/>
        </w:rPr>
        <w:t xml:space="preserve"> </w:t>
      </w:r>
      <w:r w:rsidR="00F65E2B" w:rsidRPr="00A626CC">
        <w:rPr>
          <w:rStyle w:val="FootnoteReference"/>
          <w:rFonts w:cstheme="minorHAnsi"/>
        </w:rPr>
        <w:footnoteReference w:id="5"/>
      </w:r>
      <w:r w:rsidRPr="00A626CC">
        <w:rPr>
          <w:rFonts w:cstheme="minorHAnsi"/>
        </w:rPr>
        <w:t xml:space="preserve"> Workers were granted visas to work for up to </w:t>
      </w:r>
      <w:r w:rsidR="00CD456E" w:rsidRPr="00A626CC">
        <w:rPr>
          <w:rFonts w:cstheme="minorHAnsi"/>
        </w:rPr>
        <w:t>9</w:t>
      </w:r>
      <w:r w:rsidRPr="00A626CC">
        <w:rPr>
          <w:rFonts w:cstheme="minorHAnsi"/>
        </w:rPr>
        <w:t xml:space="preserve"> months in any 12-month period. The program was managed by the Department of Education, </w:t>
      </w:r>
      <w:r w:rsidR="00BA49EF" w:rsidRPr="00A626CC">
        <w:rPr>
          <w:rFonts w:cstheme="minorHAnsi"/>
        </w:rPr>
        <w:t>Skills,</w:t>
      </w:r>
      <w:r w:rsidRPr="00A626CC">
        <w:rPr>
          <w:rFonts w:cstheme="minorHAnsi"/>
        </w:rPr>
        <w:t xml:space="preserve"> and Employment (DESE)</w:t>
      </w:r>
      <w:r w:rsidR="00FA3652" w:rsidRPr="00A626CC">
        <w:rPr>
          <w:rFonts w:cstheme="minorHAnsi"/>
        </w:rPr>
        <w:t>.</w:t>
      </w:r>
      <w:r w:rsidR="009A6553" w:rsidRPr="00A626CC">
        <w:rPr>
          <w:rStyle w:val="FootnoteReference"/>
          <w:rFonts w:cstheme="minorHAnsi"/>
        </w:rPr>
        <w:footnoteReference w:id="6"/>
      </w:r>
      <w:r w:rsidR="00FA3652" w:rsidRPr="00A626CC">
        <w:rPr>
          <w:rFonts w:cstheme="minorHAnsi"/>
        </w:rPr>
        <w:t xml:space="preserve"> It is now managed by the Department of Employment and Workplace Relations</w:t>
      </w:r>
      <w:r w:rsidR="00013855" w:rsidRPr="00A626CC">
        <w:rPr>
          <w:rFonts w:cstheme="minorHAnsi"/>
        </w:rPr>
        <w:t xml:space="preserve"> (DEWR)</w:t>
      </w:r>
      <w:r w:rsidRPr="00A626CC">
        <w:rPr>
          <w:rFonts w:cstheme="minorHAnsi"/>
        </w:rPr>
        <w:t>   </w:t>
      </w:r>
    </w:p>
    <w:p w14:paraId="24935D4A" w14:textId="52F9B397" w:rsidR="00012A0F" w:rsidRPr="00A626CC" w:rsidRDefault="00012A0F" w:rsidP="00A626CC">
      <w:pPr>
        <w:rPr>
          <w:rFonts w:cstheme="minorHAnsi"/>
        </w:rPr>
      </w:pPr>
      <w:r w:rsidRPr="00A626CC">
        <w:rPr>
          <w:rFonts w:cstheme="minorHAnsi"/>
          <w:i/>
          <w:iCs/>
        </w:rPr>
        <w:t>The Pacific Labour Scheme</w:t>
      </w:r>
      <w:r w:rsidRPr="00A626CC">
        <w:rPr>
          <w:rFonts w:cstheme="minorHAnsi"/>
        </w:rPr>
        <w:t xml:space="preserve"> (PLS) officially began on 1 July 2018 (following </w:t>
      </w:r>
      <w:r w:rsidR="007E1F98" w:rsidRPr="00A626CC">
        <w:rPr>
          <w:rFonts w:cstheme="minorHAnsi"/>
        </w:rPr>
        <w:t>N</w:t>
      </w:r>
      <w:r w:rsidRPr="00A626CC">
        <w:rPr>
          <w:rFonts w:cstheme="minorHAnsi"/>
        </w:rPr>
        <w:t>orthern Australia</w:t>
      </w:r>
      <w:r w:rsidR="00195EA3" w:rsidRPr="00A626CC">
        <w:rPr>
          <w:rFonts w:cstheme="minorHAnsi"/>
        </w:rPr>
        <w:t xml:space="preserve"> Worker Pilot Program</w:t>
      </w:r>
      <w:r w:rsidR="004B4A37" w:rsidRPr="00A626CC">
        <w:rPr>
          <w:rFonts w:cstheme="minorHAnsi"/>
        </w:rPr>
        <w:t>, NAWPP</w:t>
      </w:r>
      <w:r w:rsidR="00195EA3" w:rsidRPr="00A626CC">
        <w:rPr>
          <w:rFonts w:cstheme="minorHAnsi"/>
        </w:rPr>
        <w:t>)</w:t>
      </w:r>
      <w:r w:rsidR="00195EA3" w:rsidRPr="00A626CC">
        <w:rPr>
          <w:rStyle w:val="FootnoteReference"/>
          <w:rFonts w:cstheme="minorHAnsi"/>
        </w:rPr>
        <w:footnoteReference w:id="7"/>
      </w:r>
      <w:r w:rsidRPr="00A626CC">
        <w:rPr>
          <w:rFonts w:cstheme="minorHAnsi"/>
        </w:rPr>
        <w:t xml:space="preserve"> but the contract with the managing provider (referred to as the ‘Pacific Labour Facility’) was not signed until </w:t>
      </w:r>
      <w:r w:rsidR="00577B5A">
        <w:rPr>
          <w:rFonts w:cstheme="minorHAnsi"/>
        </w:rPr>
        <w:t>September</w:t>
      </w:r>
      <w:r w:rsidR="00577B5A" w:rsidRPr="00A626CC">
        <w:rPr>
          <w:rFonts w:cstheme="minorHAnsi"/>
        </w:rPr>
        <w:t xml:space="preserve"> </w:t>
      </w:r>
      <w:r w:rsidRPr="00A626CC">
        <w:rPr>
          <w:rFonts w:cstheme="minorHAnsi"/>
        </w:rPr>
        <w:t>2018. The scheme was managed by DFAT. </w:t>
      </w:r>
    </w:p>
    <w:p w14:paraId="446EB60D" w14:textId="46A9235B" w:rsidR="00012A0F" w:rsidRPr="00A626CC" w:rsidRDefault="00012A0F" w:rsidP="00A626CC">
      <w:pPr>
        <w:rPr>
          <w:rFonts w:cstheme="minorHAnsi"/>
        </w:rPr>
      </w:pPr>
      <w:r w:rsidRPr="00A626CC">
        <w:rPr>
          <w:rFonts w:cstheme="minorHAnsi"/>
        </w:rPr>
        <w:t xml:space="preserve">Unlike the SWP which targeted </w:t>
      </w:r>
      <w:r w:rsidR="005A2615" w:rsidRPr="00A626CC">
        <w:rPr>
          <w:rFonts w:cstheme="minorHAnsi"/>
        </w:rPr>
        <w:t xml:space="preserve">seasonal work in </w:t>
      </w:r>
      <w:r w:rsidRPr="00A626CC">
        <w:rPr>
          <w:rFonts w:cstheme="minorHAnsi"/>
        </w:rPr>
        <w:t xml:space="preserve">unskilled </w:t>
      </w:r>
      <w:r w:rsidR="00792CBE" w:rsidRPr="00A626CC">
        <w:rPr>
          <w:rFonts w:cstheme="minorHAnsi"/>
        </w:rPr>
        <w:t xml:space="preserve">and low skilled </w:t>
      </w:r>
      <w:r w:rsidRPr="00A626CC">
        <w:rPr>
          <w:rFonts w:cstheme="minorHAnsi"/>
        </w:rPr>
        <w:t xml:space="preserve">roles, the PLS targeted </w:t>
      </w:r>
      <w:r w:rsidR="005A2615" w:rsidRPr="00A626CC">
        <w:rPr>
          <w:rFonts w:cstheme="minorHAnsi"/>
        </w:rPr>
        <w:t>longer</w:t>
      </w:r>
      <w:r w:rsidR="009054DC">
        <w:rPr>
          <w:rFonts w:cstheme="minorHAnsi"/>
        </w:rPr>
        <w:t>-</w:t>
      </w:r>
      <w:r w:rsidR="005A2615" w:rsidRPr="00A626CC">
        <w:rPr>
          <w:rFonts w:cstheme="minorHAnsi"/>
        </w:rPr>
        <w:t xml:space="preserve">term roles in </w:t>
      </w:r>
      <w:r w:rsidRPr="00A626CC">
        <w:rPr>
          <w:rFonts w:cstheme="minorHAnsi"/>
        </w:rPr>
        <w:t xml:space="preserve">sectors experiencing semi-skilled labour shortages in rural and regional Australia. PLS workers were granted </w:t>
      </w:r>
      <w:r w:rsidR="00860F3C" w:rsidRPr="00A626CC">
        <w:rPr>
          <w:rFonts w:cstheme="minorHAnsi"/>
        </w:rPr>
        <w:t xml:space="preserve">visas of </w:t>
      </w:r>
      <w:r w:rsidR="00F128A5" w:rsidRPr="00A626CC">
        <w:rPr>
          <w:rFonts w:cstheme="minorHAnsi"/>
        </w:rPr>
        <w:t xml:space="preserve">up to </w:t>
      </w:r>
      <w:r w:rsidRPr="00A626CC">
        <w:rPr>
          <w:rFonts w:cstheme="minorHAnsi"/>
        </w:rPr>
        <w:t>three-year</w:t>
      </w:r>
      <w:r w:rsidR="00860F3C" w:rsidRPr="00A626CC">
        <w:rPr>
          <w:rFonts w:cstheme="minorHAnsi"/>
        </w:rPr>
        <w:t>s</w:t>
      </w:r>
      <w:r w:rsidRPr="00A626CC">
        <w:rPr>
          <w:rFonts w:cstheme="minorHAnsi"/>
        </w:rPr>
        <w:t xml:space="preserve"> (subsequently extended to four years).</w:t>
      </w:r>
      <w:r w:rsidR="00E8316F" w:rsidRPr="00A626CC">
        <w:rPr>
          <w:rStyle w:val="FootnoteReference"/>
          <w:rFonts w:cstheme="minorHAnsi"/>
        </w:rPr>
        <w:footnoteReference w:id="8"/>
      </w:r>
      <w:r w:rsidRPr="00A626CC">
        <w:rPr>
          <w:rFonts w:cstheme="minorHAnsi"/>
        </w:rPr>
        <w:t xml:space="preserve"> Most significantly, the PLS aimed to support participating countries in achieving their economic and social development goals. This represented a step-change in Australia’s approach to labour mobility from the Pacific and Timor</w:t>
      </w:r>
      <w:r w:rsidR="00875AED">
        <w:rPr>
          <w:rFonts w:cstheme="minorHAnsi"/>
        </w:rPr>
        <w:t>-</w:t>
      </w:r>
      <w:r w:rsidRPr="00A626CC">
        <w:rPr>
          <w:rFonts w:cstheme="minorHAnsi"/>
        </w:rPr>
        <w:t>Leste.                        </w:t>
      </w:r>
    </w:p>
    <w:p w14:paraId="616CF2DB" w14:textId="61BE2669" w:rsidR="00012A0F" w:rsidRPr="00A626CC" w:rsidRDefault="00012A0F" w:rsidP="00A626CC">
      <w:pPr>
        <w:rPr>
          <w:rFonts w:cstheme="minorHAnsi"/>
        </w:rPr>
      </w:pPr>
      <w:r w:rsidRPr="00A626CC">
        <w:rPr>
          <w:rFonts w:cstheme="minorHAnsi"/>
          <w:i/>
          <w:iCs/>
        </w:rPr>
        <w:t xml:space="preserve">The Pacific Australian Labour </w:t>
      </w:r>
      <w:r w:rsidR="001F574B" w:rsidRPr="00A626CC">
        <w:rPr>
          <w:rFonts w:cstheme="minorHAnsi"/>
          <w:i/>
          <w:iCs/>
        </w:rPr>
        <w:t xml:space="preserve">Mobility </w:t>
      </w:r>
      <w:r w:rsidR="00577B5A">
        <w:rPr>
          <w:rFonts w:cstheme="minorHAnsi"/>
          <w:i/>
          <w:iCs/>
        </w:rPr>
        <w:t>s</w:t>
      </w:r>
      <w:r w:rsidRPr="00A626CC">
        <w:rPr>
          <w:rFonts w:cstheme="minorHAnsi"/>
          <w:i/>
          <w:iCs/>
        </w:rPr>
        <w:t>cheme</w:t>
      </w:r>
      <w:r w:rsidRPr="00A626CC">
        <w:rPr>
          <w:rFonts w:cstheme="minorHAnsi"/>
        </w:rPr>
        <w:t xml:space="preserve"> (</w:t>
      </w:r>
      <w:r w:rsidR="007368E7" w:rsidRPr="00A626CC">
        <w:rPr>
          <w:rFonts w:cstheme="minorHAnsi"/>
        </w:rPr>
        <w:t>PALM scheme</w:t>
      </w:r>
      <w:r w:rsidRPr="00A626CC">
        <w:rPr>
          <w:rFonts w:cstheme="minorHAnsi"/>
        </w:rPr>
        <w:t xml:space="preserve">) was announced in mid-September 2021, and (notionally) began on 4 April 2022. </w:t>
      </w:r>
      <w:r w:rsidR="00E96447" w:rsidRPr="00A626CC">
        <w:rPr>
          <w:rFonts w:cstheme="minorHAnsi"/>
        </w:rPr>
        <w:t xml:space="preserve">The </w:t>
      </w:r>
      <w:r w:rsidR="007368E7" w:rsidRPr="00A626CC">
        <w:rPr>
          <w:rFonts w:cstheme="minorHAnsi"/>
        </w:rPr>
        <w:t>PALM scheme</w:t>
      </w:r>
      <w:r w:rsidR="00E96447" w:rsidRPr="00A626CC">
        <w:rPr>
          <w:rFonts w:cstheme="minorHAnsi"/>
        </w:rPr>
        <w:t xml:space="preserve"> </w:t>
      </w:r>
      <w:r w:rsidRPr="00A626CC">
        <w:rPr>
          <w:rFonts w:cstheme="minorHAnsi"/>
        </w:rPr>
        <w:t>combine</w:t>
      </w:r>
      <w:r w:rsidR="004B4A37" w:rsidRPr="00A626CC">
        <w:rPr>
          <w:rFonts w:cstheme="minorHAnsi"/>
        </w:rPr>
        <w:t>d</w:t>
      </w:r>
      <w:r w:rsidRPr="00A626CC">
        <w:rPr>
          <w:rFonts w:cstheme="minorHAnsi"/>
        </w:rPr>
        <w:t xml:space="preserve"> SWP (now referred to as the ‘short-term stream’) and PLS (now referred to as the ‘long-term stream’). </w:t>
      </w:r>
      <w:r w:rsidR="00CF7477" w:rsidRPr="00A626CC">
        <w:rPr>
          <w:rFonts w:cstheme="minorHAnsi"/>
        </w:rPr>
        <w:t>The scheme helps fill labour gaps in rural and regional Australia and nationally for agriculture and select agriculture-related food product manufacturing sectors by offering employers access to a pool of reliable, productive workers. It allows Pacific and Timor-Leste workers to take up jobs in Australia, develop their skills and send income home.</w:t>
      </w:r>
      <w:r w:rsidR="00CF7477" w:rsidRPr="00A626CC">
        <w:rPr>
          <w:rStyle w:val="FootnoteReference"/>
          <w:rFonts w:cstheme="minorHAnsi"/>
        </w:rPr>
        <w:footnoteReference w:id="9"/>
      </w:r>
      <w:r w:rsidR="00CF7477" w:rsidRPr="00A626CC">
        <w:rPr>
          <w:rFonts w:cstheme="minorHAnsi"/>
        </w:rPr>
        <w:t> </w:t>
      </w:r>
      <w:r w:rsidRPr="00A626CC">
        <w:rPr>
          <w:rFonts w:cstheme="minorHAnsi"/>
        </w:rPr>
        <w:t xml:space="preserve">Information about the departmental responsibilities for </w:t>
      </w:r>
      <w:r w:rsidR="00061200" w:rsidRPr="00A626CC">
        <w:rPr>
          <w:rFonts w:cstheme="minorHAnsi"/>
        </w:rPr>
        <w:t xml:space="preserve">the </w:t>
      </w:r>
      <w:r w:rsidR="007368E7" w:rsidRPr="00A626CC">
        <w:rPr>
          <w:rFonts w:cstheme="minorHAnsi"/>
        </w:rPr>
        <w:t>PALM scheme</w:t>
      </w:r>
      <w:r w:rsidR="00061200" w:rsidRPr="00A626CC">
        <w:rPr>
          <w:rFonts w:cstheme="minorHAnsi"/>
        </w:rPr>
        <w:t xml:space="preserve"> </w:t>
      </w:r>
      <w:r w:rsidRPr="00A626CC">
        <w:rPr>
          <w:rFonts w:cstheme="minorHAnsi"/>
        </w:rPr>
        <w:t>is provided below. </w:t>
      </w:r>
    </w:p>
    <w:p w14:paraId="41D5675A" w14:textId="427BF31E" w:rsidR="007C590D" w:rsidRDefault="00012A0F" w:rsidP="00A626CC">
      <w:pPr>
        <w:rPr>
          <w:rFonts w:cstheme="minorHAnsi"/>
        </w:rPr>
      </w:pPr>
      <w:r w:rsidRPr="00A626CC">
        <w:rPr>
          <w:rFonts w:cstheme="minorHAnsi"/>
        </w:rPr>
        <w:t xml:space="preserve">External factors </w:t>
      </w:r>
      <w:r w:rsidR="00C14BCD" w:rsidRPr="00A626CC">
        <w:rPr>
          <w:rFonts w:cstheme="minorHAnsi"/>
        </w:rPr>
        <w:t xml:space="preserve">heavily influenced </w:t>
      </w:r>
      <w:r w:rsidRPr="00A626CC">
        <w:rPr>
          <w:rFonts w:cstheme="minorHAnsi"/>
        </w:rPr>
        <w:t xml:space="preserve">the PLS/PALM </w:t>
      </w:r>
      <w:r w:rsidR="00802815" w:rsidRPr="00A626CC">
        <w:rPr>
          <w:rFonts w:cstheme="minorHAnsi"/>
        </w:rPr>
        <w:t>s</w:t>
      </w:r>
      <w:r w:rsidRPr="00A626CC">
        <w:rPr>
          <w:rFonts w:cstheme="minorHAnsi"/>
        </w:rPr>
        <w:t>cheme’s trajectory over the period 2018 - 2023</w:t>
      </w:r>
      <w:r w:rsidR="00CD589B" w:rsidRPr="00A626CC">
        <w:rPr>
          <w:rFonts w:cstheme="minorHAnsi"/>
        </w:rPr>
        <w:t>, impact</w:t>
      </w:r>
      <w:r w:rsidR="00E97DF1" w:rsidRPr="00A626CC">
        <w:rPr>
          <w:rFonts w:cstheme="minorHAnsi"/>
        </w:rPr>
        <w:t>ing</w:t>
      </w:r>
      <w:r w:rsidR="00CD589B" w:rsidRPr="00A626CC">
        <w:rPr>
          <w:rFonts w:cstheme="minorHAnsi"/>
        </w:rPr>
        <w:t xml:space="preserve"> </w:t>
      </w:r>
      <w:r w:rsidR="00AD4A16" w:rsidRPr="00A626CC">
        <w:rPr>
          <w:rFonts w:cstheme="minorHAnsi"/>
        </w:rPr>
        <w:t xml:space="preserve">all </w:t>
      </w:r>
      <w:r w:rsidR="00856AF7" w:rsidRPr="00A626CC">
        <w:rPr>
          <w:rFonts w:cstheme="minorHAnsi"/>
        </w:rPr>
        <w:t>PLS/</w:t>
      </w:r>
      <w:r w:rsidR="007368E7" w:rsidRPr="00A626CC">
        <w:rPr>
          <w:rFonts w:cstheme="minorHAnsi"/>
        </w:rPr>
        <w:t>PALM scheme</w:t>
      </w:r>
      <w:r w:rsidR="00D610DD" w:rsidRPr="00A626CC">
        <w:rPr>
          <w:rFonts w:cstheme="minorHAnsi"/>
        </w:rPr>
        <w:t xml:space="preserve"> </w:t>
      </w:r>
      <w:r w:rsidR="00856AF7" w:rsidRPr="00A626CC">
        <w:rPr>
          <w:rFonts w:cstheme="minorHAnsi"/>
        </w:rPr>
        <w:t>stakeholders</w:t>
      </w:r>
      <w:r w:rsidRPr="00A626CC">
        <w:rPr>
          <w:rFonts w:cstheme="minorHAnsi"/>
        </w:rPr>
        <w:t>. The PLF has operated within a changing environment requiring the facility to operate in a constantly reactive mode to unanticipated externalities beyond its control. </w:t>
      </w:r>
      <w:r w:rsidR="00D034D2" w:rsidRPr="00A626CC">
        <w:rPr>
          <w:rFonts w:cstheme="minorHAnsi"/>
        </w:rPr>
        <w:t>Consequently,</w:t>
      </w:r>
      <w:r w:rsidRPr="00A626CC">
        <w:rPr>
          <w:rFonts w:cstheme="minorHAnsi"/>
        </w:rPr>
        <w:t xml:space="preserve"> other than during its first 12-18 months, PLF has not operated in a stable business-as-usual state. </w:t>
      </w:r>
    </w:p>
    <w:p w14:paraId="282A8B0F" w14:textId="77777777" w:rsidR="007C590D" w:rsidRDefault="007C590D">
      <w:pPr>
        <w:rPr>
          <w:rFonts w:cstheme="minorHAnsi"/>
        </w:rPr>
      </w:pPr>
      <w:r>
        <w:rPr>
          <w:rFonts w:cstheme="minorHAnsi"/>
        </w:rPr>
        <w:br w:type="page"/>
      </w:r>
    </w:p>
    <w:p w14:paraId="32EAADAE" w14:textId="66C967C3" w:rsidR="00012A0F" w:rsidRPr="00A626CC" w:rsidRDefault="00012A0F" w:rsidP="00A626CC">
      <w:pPr>
        <w:rPr>
          <w:rFonts w:cstheme="minorHAnsi"/>
        </w:rPr>
      </w:pPr>
      <w:r w:rsidRPr="00A626CC">
        <w:rPr>
          <w:rFonts w:cstheme="minorHAnsi"/>
        </w:rPr>
        <w:lastRenderedPageBreak/>
        <w:t xml:space="preserve">The pandemic is the most obvious example of unexpected externalities which created a complicated and at times unpredictable operating environment. Border closures meant PLS </w:t>
      </w:r>
      <w:r w:rsidR="00A45A0B" w:rsidRPr="00A626CC">
        <w:rPr>
          <w:rFonts w:cstheme="minorHAnsi"/>
        </w:rPr>
        <w:t xml:space="preserve">and SWP </w:t>
      </w:r>
      <w:r w:rsidRPr="00A626CC">
        <w:rPr>
          <w:rFonts w:cstheme="minorHAnsi"/>
        </w:rPr>
        <w:t xml:space="preserve">workers </w:t>
      </w:r>
      <w:r w:rsidR="00ED6598" w:rsidRPr="00A626CC">
        <w:rPr>
          <w:rFonts w:cstheme="minorHAnsi"/>
        </w:rPr>
        <w:t xml:space="preserve">were </w:t>
      </w:r>
      <w:r w:rsidRPr="00A626CC">
        <w:rPr>
          <w:rFonts w:cstheme="minorHAnsi"/>
        </w:rPr>
        <w:t>unable to return home (and in some cases unable to work) requir</w:t>
      </w:r>
      <w:r w:rsidR="00F03745" w:rsidRPr="00A626CC">
        <w:rPr>
          <w:rFonts w:cstheme="minorHAnsi"/>
        </w:rPr>
        <w:t>ing</w:t>
      </w:r>
      <w:r w:rsidRPr="00A626CC">
        <w:rPr>
          <w:rFonts w:cstheme="minorHAnsi"/>
        </w:rPr>
        <w:t xml:space="preserve"> ongoing welfare monitoring. The emergence of more complex welfare cases such as worker pregnancies and serious illness required intensive welfare management by PLF. Some </w:t>
      </w:r>
      <w:r w:rsidR="00903368" w:rsidRPr="00A626CC">
        <w:rPr>
          <w:rFonts w:cstheme="minorHAnsi"/>
        </w:rPr>
        <w:t xml:space="preserve">Approved </w:t>
      </w:r>
      <w:r w:rsidR="00F10521" w:rsidRPr="00A626CC">
        <w:rPr>
          <w:rFonts w:cstheme="minorHAnsi"/>
        </w:rPr>
        <w:t>Employer (</w:t>
      </w:r>
      <w:r w:rsidRPr="00A626CC">
        <w:rPr>
          <w:rFonts w:cstheme="minorHAnsi"/>
        </w:rPr>
        <w:t>AE</w:t>
      </w:r>
      <w:r w:rsidR="00F10521" w:rsidRPr="00A626CC">
        <w:rPr>
          <w:rFonts w:cstheme="minorHAnsi"/>
        </w:rPr>
        <w:t>)</w:t>
      </w:r>
      <w:r w:rsidRPr="00A626CC">
        <w:rPr>
          <w:rFonts w:cstheme="minorHAnsi"/>
        </w:rPr>
        <w:t xml:space="preserve"> businesses such as hospitality were closed indefinitely due to </w:t>
      </w:r>
      <w:r w:rsidR="00626E78" w:rsidRPr="00A626CC">
        <w:rPr>
          <w:rFonts w:cstheme="minorHAnsi"/>
        </w:rPr>
        <w:t xml:space="preserve">COVID, </w:t>
      </w:r>
      <w:r w:rsidRPr="00A626CC">
        <w:rPr>
          <w:rFonts w:cstheme="minorHAnsi"/>
        </w:rPr>
        <w:t>requiring workers to be redeployed into other industries</w:t>
      </w:r>
      <w:r w:rsidR="00626E78" w:rsidRPr="00A626CC">
        <w:rPr>
          <w:rFonts w:cstheme="minorHAnsi"/>
        </w:rPr>
        <w:t xml:space="preserve"> and locations</w:t>
      </w:r>
      <w:r w:rsidRPr="00A626CC">
        <w:rPr>
          <w:rFonts w:cstheme="minorHAnsi"/>
        </w:rPr>
        <w:t xml:space="preserve">. During this time PLF </w:t>
      </w:r>
      <w:r w:rsidR="007D1411" w:rsidRPr="00A626CC">
        <w:rPr>
          <w:rFonts w:cstheme="minorHAnsi"/>
        </w:rPr>
        <w:t xml:space="preserve">assisted DEWR with </w:t>
      </w:r>
      <w:r w:rsidRPr="00A626CC">
        <w:rPr>
          <w:rFonts w:cstheme="minorHAnsi"/>
        </w:rPr>
        <w:t>welfare support of SWP workers unable to return home</w:t>
      </w:r>
      <w:r w:rsidR="00964CD9" w:rsidRPr="00A626CC">
        <w:rPr>
          <w:rFonts w:cstheme="minorHAnsi"/>
        </w:rPr>
        <w:t>,</w:t>
      </w:r>
      <w:r w:rsidRPr="00A626CC">
        <w:rPr>
          <w:rFonts w:cstheme="minorHAnsi"/>
        </w:rPr>
        <w:t xml:space="preserve"> which created significant increase in the PLF’s Worker Support Team’s workload. Other events affecting worker welfare such as the Black Summer bush fires (2019-2020) and numerous localised flooding events in areas where AEs and workers are located also added pressure to PLF’s business-as-usual work. </w:t>
      </w:r>
    </w:p>
    <w:p w14:paraId="4F1F2AEA" w14:textId="0CFADCE5" w:rsidR="00737842" w:rsidRPr="00A626CC" w:rsidRDefault="00012A0F" w:rsidP="00A626CC">
      <w:pPr>
        <w:rPr>
          <w:rFonts w:cstheme="minorHAnsi"/>
        </w:rPr>
      </w:pPr>
      <w:r w:rsidRPr="00A626CC">
        <w:rPr>
          <w:rFonts w:cstheme="minorHAnsi"/>
        </w:rPr>
        <w:t xml:space="preserve">While the original intention was to grow PLS incrementally, pandemic-induced labour shortages meant </w:t>
      </w:r>
      <w:r w:rsidR="00753963" w:rsidRPr="00A626CC">
        <w:rPr>
          <w:rFonts w:cstheme="minorHAnsi"/>
        </w:rPr>
        <w:t xml:space="preserve">the Australian </w:t>
      </w:r>
      <w:r w:rsidRPr="00A626CC">
        <w:rPr>
          <w:rFonts w:cstheme="minorHAnsi"/>
        </w:rPr>
        <w:t xml:space="preserve">Government </w:t>
      </w:r>
      <w:r w:rsidR="00DA7B4B" w:rsidRPr="00A626CC">
        <w:rPr>
          <w:rFonts w:cstheme="minorHAnsi"/>
        </w:rPr>
        <w:t xml:space="preserve">sought </w:t>
      </w:r>
      <w:r w:rsidRPr="00A626CC">
        <w:rPr>
          <w:rFonts w:cstheme="minorHAnsi"/>
        </w:rPr>
        <w:t>a very rapid increase in worker numbers via its “Restart” (September 2020) and “Doubling” (September 2021) announcements.</w:t>
      </w:r>
      <w:r w:rsidR="00E8316F" w:rsidRPr="00A626CC">
        <w:rPr>
          <w:rStyle w:val="FootnoteReference"/>
          <w:rFonts w:cstheme="minorHAnsi"/>
        </w:rPr>
        <w:footnoteReference w:id="10"/>
      </w:r>
      <w:r w:rsidRPr="00A626CC">
        <w:rPr>
          <w:rFonts w:cstheme="minorHAnsi"/>
        </w:rPr>
        <w:t xml:space="preserve">  </w:t>
      </w:r>
      <w:r w:rsidR="001771D4" w:rsidRPr="00A626CC">
        <w:rPr>
          <w:rFonts w:cstheme="minorHAnsi"/>
        </w:rPr>
        <w:t xml:space="preserve">This growth target was welcomed by labour sending countries given the pandemic-induced economic challenges facing </w:t>
      </w:r>
      <w:r w:rsidR="00774843" w:rsidRPr="00A626CC">
        <w:rPr>
          <w:rFonts w:cstheme="minorHAnsi"/>
        </w:rPr>
        <w:t>the region</w:t>
      </w:r>
      <w:r w:rsidR="001771D4" w:rsidRPr="00A626CC">
        <w:rPr>
          <w:rFonts w:cstheme="minorHAnsi"/>
        </w:rPr>
        <w:t xml:space="preserve">. </w:t>
      </w:r>
      <w:r w:rsidR="00074ED6" w:rsidRPr="00A626CC">
        <w:rPr>
          <w:rFonts w:cstheme="minorHAnsi"/>
        </w:rPr>
        <w:t>For PLF, t</w:t>
      </w:r>
      <w:r w:rsidR="001771D4" w:rsidRPr="00A626CC">
        <w:rPr>
          <w:rFonts w:cstheme="minorHAnsi"/>
        </w:rPr>
        <w:t xml:space="preserve">he very rapid increase in worker numbers required </w:t>
      </w:r>
      <w:r w:rsidR="00A6740E" w:rsidRPr="00A626CC">
        <w:rPr>
          <w:rFonts w:cstheme="minorHAnsi"/>
        </w:rPr>
        <w:t xml:space="preserve">new </w:t>
      </w:r>
      <w:r w:rsidR="00A621EB" w:rsidRPr="00A626CC">
        <w:rPr>
          <w:rFonts w:cstheme="minorHAnsi"/>
        </w:rPr>
        <w:t xml:space="preserve">tasks </w:t>
      </w:r>
      <w:r w:rsidR="00A6740E" w:rsidRPr="00A626CC">
        <w:rPr>
          <w:rFonts w:cstheme="minorHAnsi"/>
        </w:rPr>
        <w:t xml:space="preserve">such as chartering flights and navigating state-based </w:t>
      </w:r>
      <w:r w:rsidR="00B12F01" w:rsidRPr="00A626CC">
        <w:rPr>
          <w:rFonts w:cstheme="minorHAnsi"/>
        </w:rPr>
        <w:t xml:space="preserve">quarantine processes, as well as </w:t>
      </w:r>
      <w:r w:rsidR="00023878" w:rsidRPr="00A626CC">
        <w:rPr>
          <w:rFonts w:cstheme="minorHAnsi"/>
        </w:rPr>
        <w:t>rapidly</w:t>
      </w:r>
      <w:r w:rsidR="001771D4" w:rsidRPr="00A626CC">
        <w:rPr>
          <w:rFonts w:cstheme="minorHAnsi"/>
        </w:rPr>
        <w:t xml:space="preserve"> design</w:t>
      </w:r>
      <w:r w:rsidR="00A621EB" w:rsidRPr="00A626CC">
        <w:rPr>
          <w:rFonts w:cstheme="minorHAnsi"/>
        </w:rPr>
        <w:t>ing</w:t>
      </w:r>
      <w:r w:rsidR="001771D4" w:rsidRPr="00A626CC">
        <w:rPr>
          <w:rFonts w:cstheme="minorHAnsi"/>
        </w:rPr>
        <w:t xml:space="preserve"> new systems appropriate for operating at scale, </w:t>
      </w:r>
      <w:r w:rsidR="00A621EB" w:rsidRPr="00A626CC">
        <w:rPr>
          <w:rFonts w:cstheme="minorHAnsi"/>
        </w:rPr>
        <w:t>such as</w:t>
      </w:r>
      <w:r w:rsidR="001771D4" w:rsidRPr="00A626CC">
        <w:rPr>
          <w:rFonts w:cstheme="minorHAnsi"/>
        </w:rPr>
        <w:t xml:space="preserve"> </w:t>
      </w:r>
      <w:r w:rsidR="00C3088B" w:rsidRPr="00A626CC">
        <w:rPr>
          <w:rFonts w:cstheme="minorHAnsi"/>
        </w:rPr>
        <w:t xml:space="preserve">expanded </w:t>
      </w:r>
      <w:r w:rsidR="001771D4" w:rsidRPr="00A626CC">
        <w:rPr>
          <w:rFonts w:cstheme="minorHAnsi"/>
        </w:rPr>
        <w:t>worker welfare arrangements.</w:t>
      </w:r>
      <w:r w:rsidR="001771D4" w:rsidRPr="00A626CC">
        <w:rPr>
          <w:rStyle w:val="FootnoteReference"/>
          <w:rFonts w:cstheme="minorHAnsi"/>
        </w:rPr>
        <w:footnoteReference w:id="11"/>
      </w:r>
      <w:r w:rsidR="001771D4" w:rsidRPr="00A626CC">
        <w:rPr>
          <w:rFonts w:cstheme="minorHAnsi"/>
        </w:rPr>
        <w:t xml:space="preserve"> Most importantly, the increase in worker numbers meant PLF’s role changed from a hands-on implementor to one of facilitator and oversight. AEs were required to assume more responsibilities that were previously undertaken by PLF - for mobilisation, on-arrival briefing and worker welfare support. Given the growth priority, mobilisation-related activities became the focus of PLF, LSU and DFAT efforts. Put simply, everybody’s efforts were focused on getting workers on charter flights and ensuring they could cross federal and state borders and complete quarantine requirements. Given this focus, quality indicators were given less attention e.g. AE/industry diversity, GEDSI, and building the capacity of government teams in </w:t>
      </w:r>
      <w:r w:rsidR="001771D4" w:rsidRPr="00A818A3">
        <w:rPr>
          <w:rFonts w:cstheme="minorHAnsi"/>
        </w:rPr>
        <w:t>sending</w:t>
      </w:r>
      <w:r w:rsidR="001771D4" w:rsidRPr="00A626CC">
        <w:rPr>
          <w:rFonts w:cstheme="minorHAnsi"/>
        </w:rPr>
        <w:t xml:space="preserve"> countries responsible for worker recruitment and mobilisation (referred to as </w:t>
      </w:r>
      <w:r w:rsidR="001771D4" w:rsidRPr="00A818A3">
        <w:rPr>
          <w:rFonts w:cstheme="minorHAnsi"/>
        </w:rPr>
        <w:t>Labour Sending Units</w:t>
      </w:r>
      <w:r w:rsidR="001771D4" w:rsidRPr="00A626CC">
        <w:rPr>
          <w:rFonts w:cstheme="minorHAnsi"/>
        </w:rPr>
        <w:t xml:space="preserve"> or LSUs). </w:t>
      </w:r>
    </w:p>
    <w:p w14:paraId="41E2058B" w14:textId="3B08A3DA" w:rsidR="00012A0F" w:rsidRPr="00A626CC" w:rsidRDefault="00012A0F" w:rsidP="00A626CC">
      <w:pPr>
        <w:rPr>
          <w:rFonts w:cstheme="minorHAnsi"/>
        </w:rPr>
      </w:pPr>
      <w:r w:rsidRPr="00A626CC">
        <w:rPr>
          <w:rFonts w:cstheme="minorHAnsi"/>
        </w:rPr>
        <w:t>On-going political decision-making about labour mobility arrangements led to uncertainty and concern among SWP/PLS/</w:t>
      </w:r>
      <w:r w:rsidR="007368E7" w:rsidRPr="00A626CC">
        <w:rPr>
          <w:rFonts w:cstheme="minorHAnsi"/>
        </w:rPr>
        <w:t>PALM scheme</w:t>
      </w:r>
      <w:r w:rsidR="00061200" w:rsidRPr="00A626CC">
        <w:rPr>
          <w:rFonts w:cstheme="minorHAnsi"/>
        </w:rPr>
        <w:t xml:space="preserve"> </w:t>
      </w:r>
      <w:r w:rsidRPr="00A626CC">
        <w:rPr>
          <w:rFonts w:cstheme="minorHAnsi"/>
        </w:rPr>
        <w:t>stakeholders</w:t>
      </w:r>
      <w:r w:rsidR="00BA30E9" w:rsidRPr="00A626CC">
        <w:rPr>
          <w:rFonts w:cstheme="minorHAnsi"/>
        </w:rPr>
        <w:t>,</w:t>
      </w:r>
      <w:r w:rsidRPr="00A626CC">
        <w:rPr>
          <w:rFonts w:cstheme="minorHAnsi"/>
        </w:rPr>
        <w:t xml:space="preserve"> requiring PLF to significantly increase its communication and relationship management efforts. Such decision-making has led to two substantial </w:t>
      </w:r>
      <w:r w:rsidR="001D74E4" w:rsidRPr="00A626CC">
        <w:rPr>
          <w:rFonts w:cstheme="minorHAnsi"/>
        </w:rPr>
        <w:t>MoG</w:t>
      </w:r>
      <w:r w:rsidRPr="00A626CC">
        <w:rPr>
          <w:rFonts w:cstheme="minorHAnsi"/>
        </w:rPr>
        <w:t xml:space="preserve"> changes – in the first (2021) the DESE </w:t>
      </w:r>
      <w:r w:rsidR="00E8278C" w:rsidRPr="00A626CC">
        <w:rPr>
          <w:rFonts w:cstheme="minorHAnsi"/>
        </w:rPr>
        <w:t xml:space="preserve">transferred </w:t>
      </w:r>
      <w:r w:rsidRPr="00A626CC">
        <w:rPr>
          <w:rFonts w:cstheme="minorHAnsi"/>
        </w:rPr>
        <w:t xml:space="preserve">management of SWP to DFAT as part of the alignment of SWP and PLS under </w:t>
      </w:r>
      <w:r w:rsidR="00D610DD" w:rsidRPr="00A626CC">
        <w:rPr>
          <w:rFonts w:cstheme="minorHAnsi"/>
        </w:rPr>
        <w:t xml:space="preserve">the </w:t>
      </w:r>
      <w:r w:rsidR="007368E7" w:rsidRPr="00A626CC">
        <w:rPr>
          <w:rFonts w:cstheme="minorHAnsi"/>
        </w:rPr>
        <w:t>PALM scheme</w:t>
      </w:r>
      <w:r w:rsidRPr="00A626CC">
        <w:rPr>
          <w:rFonts w:cstheme="minorHAnsi"/>
        </w:rPr>
        <w:t xml:space="preserve">; and in the second (2022), the newly formed DEWR </w:t>
      </w:r>
      <w:r w:rsidR="002331A2" w:rsidRPr="00A626CC">
        <w:rPr>
          <w:rFonts w:cstheme="minorHAnsi"/>
        </w:rPr>
        <w:t xml:space="preserve">assumed responsibility for domestic operations including operational policy, while DFAT retained responsibility for PALM scheme policy (non-operational), engagement with </w:t>
      </w:r>
      <w:r w:rsidR="002331A2" w:rsidRPr="00750AAC">
        <w:rPr>
          <w:rFonts w:cstheme="minorHAnsi"/>
        </w:rPr>
        <w:t>sending countries</w:t>
      </w:r>
      <w:r w:rsidR="002331A2" w:rsidRPr="00A626CC">
        <w:rPr>
          <w:rFonts w:cstheme="minorHAnsi"/>
        </w:rPr>
        <w:t>, strategic communications and stakeholder engagement.</w:t>
      </w:r>
      <w:r w:rsidR="002331A2" w:rsidRPr="00A626CC">
        <w:rPr>
          <w:rStyle w:val="FootnoteReference"/>
          <w:rFonts w:cstheme="minorHAnsi"/>
        </w:rPr>
        <w:footnoteReference w:id="12"/>
      </w:r>
      <w:r w:rsidR="002331A2" w:rsidRPr="00A626CC">
        <w:rPr>
          <w:rFonts w:cstheme="minorHAnsi"/>
        </w:rPr>
        <w:t xml:space="preserve"> </w:t>
      </w:r>
      <w:r w:rsidRPr="00A626CC">
        <w:rPr>
          <w:rFonts w:cstheme="minorHAnsi"/>
        </w:rPr>
        <w:t>During 2023 there has been progressive transition of PLF responsibilities to DEWR. </w:t>
      </w:r>
    </w:p>
    <w:p w14:paraId="4FB22F99" w14:textId="78399782" w:rsidR="00C92B97" w:rsidRPr="00A626CC" w:rsidRDefault="00335D7F" w:rsidP="00A626CC">
      <w:pPr>
        <w:rPr>
          <w:rFonts w:cstheme="minorHAnsi"/>
        </w:rPr>
      </w:pPr>
      <w:r>
        <w:rPr>
          <w:rFonts w:cstheme="minorHAnsi"/>
        </w:rPr>
        <w:t xml:space="preserve">The graph </w:t>
      </w:r>
      <w:r w:rsidR="00447E44">
        <w:rPr>
          <w:rFonts w:cstheme="minorHAnsi"/>
        </w:rPr>
        <w:t>overleaf</w:t>
      </w:r>
      <w:r w:rsidR="00012A0F" w:rsidRPr="00A626CC">
        <w:rPr>
          <w:rFonts w:cstheme="minorHAnsi"/>
        </w:rPr>
        <w:t xml:space="preserve"> depicts a timeline of key events. </w:t>
      </w:r>
    </w:p>
    <w:p w14:paraId="367AA23B" w14:textId="77777777" w:rsidR="001E05B4" w:rsidRPr="00A626CC" w:rsidRDefault="001E05B4" w:rsidP="00A626CC">
      <w:pPr>
        <w:sectPr w:rsidR="001E05B4" w:rsidRPr="00A626CC" w:rsidSect="00993E00">
          <w:pgSz w:w="11906" w:h="16838"/>
          <w:pgMar w:top="1440" w:right="1077" w:bottom="1440" w:left="1077" w:header="567" w:footer="567" w:gutter="0"/>
          <w:pgNumType w:start="1"/>
          <w:cols w:space="708"/>
          <w:docGrid w:linePitch="360"/>
        </w:sectPr>
      </w:pPr>
      <w:bookmarkStart w:id="22" w:name="_Hlk149255449"/>
    </w:p>
    <w:p w14:paraId="14E7B9F2" w14:textId="77777777" w:rsidR="00700903" w:rsidRPr="00A626CC" w:rsidRDefault="00700903" w:rsidP="00A626CC">
      <w:pPr>
        <w:pStyle w:val="Caption"/>
      </w:pPr>
      <w:r w:rsidRPr="00A626CC">
        <w:rPr>
          <w:noProof/>
        </w:rPr>
        <w:lastRenderedPageBreak/>
        <w:drawing>
          <wp:inline distT="0" distB="0" distL="0" distR="0" wp14:anchorId="2E6EC499" wp14:editId="6A74DFF2">
            <wp:extent cx="9323493" cy="4103739"/>
            <wp:effectExtent l="0" t="0" r="0" b="0"/>
            <wp:docPr id="2054133135" name="Picture 2054133135" descr="July 2018&#10;PLF officially started contract signed with Palladium by October&#10;&#10;2020 Pandemic impacts created significant work for PLF&#10;Hands- on support to SWP workers during COVID.&#10;Emergence of complex welfare cases.&#10;Worker redeployments due to closure of AEs.&#10;&#10;September 2020 ‘’ The Restart”&#10;Rapid increase in worker numbers within restrictive pandemic conditions.&#10;Agriculture &amp; meat processing dominated recruitment.&#10;&#10;2021 Changes to PLF role &amp;AEs responsibilities &#10;Shift to facilitation &amp; oversight.&#10;New worker welfare framework&#10;&#10;September 2021 – Focus on quantity.&#10;Governments doubling announcements creates significant pressure fir PLF &amp; LSUs&#10;Progressive roll-out of IRD in sending countries.&#10;&#10;November 2021 Announcement: PLS &amp;SWP to integrate into single PALM scheme, DFAT to manage&#10;&#10;2022&#10;Machinery of Government change&#10;PLF contract transfer from DFAT to DEWR (July)&#10;Onshore operations transfer to DEWR.&#10;DFAT retain overall policy responsibility for PALM &amp;delivery of offshore operations.&#10;Efforts to expand PALM to other sectors esp. aged care&#10;&#10;January – July 2023 family accompaniment pilot announced.&#10;PALMIS fully operational&#10;&#10;2023 Progressive transition of PLF responsibilities to DEW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33135" name="Picture 2054133135" descr="July 2018&#10;PLF officially started contract signed with Palladium by October&#10;&#10;2020 Pandemic impacts created significant work for PLF&#10;Hands- on support to SWP workers during COVID.&#10;Emergence of complex welfare cases.&#10;Worker redeployments due to closure of AEs.&#10;&#10;September 2020 ‘’ The Restart”&#10;Rapid increase in worker numbers within restrictive pandemic conditions.&#10;Agriculture &amp; meat processing dominated recruitment.&#10;&#10;2021 Changes to PLF role &amp;AEs responsibilities &#10;Shift to facilitation &amp; oversight.&#10;New worker welfare framework&#10;&#10;September 2021 – Focus on quantity.&#10;Governments doubling announcements creates significant pressure fir PLF &amp; LSUs&#10;Progressive roll-out of IRD in sending countries.&#10;&#10;November 2021 Announcement: PLS &amp;SWP to integrate into single PALM scheme, DFAT to manage&#10;&#10;2022&#10;Machinery of Government change&#10;PLF contract transfer from DFAT to DEWR (July)&#10;Onshore operations transfer to DEWR.&#10;DFAT retain overall policy responsibility for PALM &amp;delivery of offshore operations.&#10;Efforts to expand PALM to other sectors esp. aged care&#10;&#10;January – July 2023 family accompaniment pilot announced.&#10;PALMIS fully operational&#10;&#10;2023 Progressive transition of PLF responsibilities to DEWR&#10;&#10;&#10;"/>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9323493" cy="4103739"/>
                    </a:xfrm>
                    <a:prstGeom prst="rect">
                      <a:avLst/>
                    </a:prstGeom>
                    <a:ln>
                      <a:noFill/>
                    </a:ln>
                    <a:extLst>
                      <a:ext uri="{53640926-AAD7-44D8-BBD7-CCE9431645EC}">
                        <a14:shadowObscured xmlns:a14="http://schemas.microsoft.com/office/drawing/2010/main"/>
                      </a:ext>
                    </a:extLst>
                  </pic:spPr>
                </pic:pic>
              </a:graphicData>
            </a:graphic>
          </wp:inline>
        </w:drawing>
      </w:r>
      <w:r w:rsidRPr="00A626CC">
        <w:t xml:space="preserve"> </w:t>
      </w:r>
    </w:p>
    <w:p w14:paraId="2E3D614D" w14:textId="282A6150" w:rsidR="00700903" w:rsidRPr="00A626CC" w:rsidRDefault="00700903" w:rsidP="00A626CC">
      <w:pPr>
        <w:pStyle w:val="Caption"/>
      </w:pPr>
      <w:bookmarkStart w:id="23" w:name="_Toc151625297"/>
      <w:r w:rsidRPr="00A626CC">
        <w:t xml:space="preserve">Figure </w:t>
      </w:r>
      <w:fldSimple w:instr=" SEQ Figure \* ARABIC ">
        <w:r w:rsidR="001F6F84">
          <w:rPr>
            <w:noProof/>
          </w:rPr>
          <w:t>1</w:t>
        </w:r>
      </w:fldSimple>
      <w:r w:rsidRPr="00A626CC">
        <w:t>: Timeline of key events in the life-of-investment</w:t>
      </w:r>
      <w:bookmarkEnd w:id="23"/>
    </w:p>
    <w:p w14:paraId="60871195" w14:textId="03CA9AAC" w:rsidR="00700903" w:rsidRPr="00A626CC" w:rsidRDefault="00700903" w:rsidP="00A626CC">
      <w:pPr>
        <w:sectPr w:rsidR="00700903" w:rsidRPr="00A626CC" w:rsidSect="00993E00">
          <w:headerReference w:type="default" r:id="rId21"/>
          <w:footerReference w:type="default" r:id="rId22"/>
          <w:pgSz w:w="16838" w:h="11906" w:orient="landscape"/>
          <w:pgMar w:top="1440" w:right="1077" w:bottom="1440" w:left="1077" w:header="567" w:footer="567" w:gutter="0"/>
          <w:cols w:space="708"/>
          <w:docGrid w:linePitch="360"/>
        </w:sectPr>
      </w:pPr>
    </w:p>
    <w:p w14:paraId="58D85424" w14:textId="03C769F4" w:rsidR="00012A0F" w:rsidRPr="00A626CC" w:rsidRDefault="00700903" w:rsidP="00A626CC">
      <w:pPr>
        <w:pStyle w:val="Heading1"/>
      </w:pPr>
      <w:bookmarkStart w:id="24" w:name="_Toc152591518"/>
      <w:bookmarkEnd w:id="22"/>
      <w:r w:rsidRPr="00A626CC">
        <w:lastRenderedPageBreak/>
        <w:t>M</w:t>
      </w:r>
      <w:r w:rsidR="00012A0F" w:rsidRPr="00A626CC">
        <w:t>ETHODOLOGY</w:t>
      </w:r>
      <w:bookmarkEnd w:id="24"/>
      <w:r w:rsidR="00012A0F" w:rsidRPr="00A626CC">
        <w:t> </w:t>
      </w:r>
    </w:p>
    <w:p w14:paraId="7E20CDDA" w14:textId="77777777" w:rsidR="00012A0F" w:rsidRPr="00A626CC" w:rsidRDefault="00012A0F" w:rsidP="00A626CC">
      <w:pPr>
        <w:pStyle w:val="Heading2"/>
      </w:pPr>
      <w:bookmarkStart w:id="25" w:name="_Toc152591519"/>
      <w:r w:rsidRPr="00A626CC">
        <w:t>Audience</w:t>
      </w:r>
      <w:bookmarkEnd w:id="25"/>
      <w:r w:rsidRPr="00A626CC">
        <w:t> </w:t>
      </w:r>
    </w:p>
    <w:p w14:paraId="4B863029" w14:textId="5771D33A" w:rsidR="00012A0F" w:rsidRPr="00A626CC" w:rsidRDefault="00012A0F" w:rsidP="00A626CC">
      <w:pPr>
        <w:rPr>
          <w:rFonts w:cstheme="minorHAnsi"/>
        </w:rPr>
      </w:pPr>
      <w:r w:rsidRPr="00A626CC">
        <w:rPr>
          <w:rFonts w:cstheme="minorHAnsi"/>
        </w:rPr>
        <w:t xml:space="preserve">DFAT commissioned this evaluation to meet internal corporate needs, and hence will be the primary audience (specifically, the Pacific Labour Policy and Engagement Branch). A DFAT-appointed design team for the next phase of support for the </w:t>
      </w:r>
      <w:r w:rsidR="007368E7" w:rsidRPr="00A626CC">
        <w:rPr>
          <w:rFonts w:cstheme="minorHAnsi"/>
        </w:rPr>
        <w:t>PALM scheme</w:t>
      </w:r>
      <w:r w:rsidRPr="00A626CC">
        <w:rPr>
          <w:rFonts w:cstheme="minorHAnsi"/>
        </w:rPr>
        <w:t xml:space="preserve"> will also benefit from the evaluation findings, along with DEWR, which has been undertaking stakeholder consultations since December 2022 about the next phase of in-Australia support for labour mobility. Secondary audiences</w:t>
      </w:r>
      <w:r w:rsidRPr="00A626CC" w:rsidDel="00F024BF">
        <w:rPr>
          <w:rFonts w:cstheme="minorHAnsi"/>
        </w:rPr>
        <w:t xml:space="preserve"> </w:t>
      </w:r>
      <w:r w:rsidRPr="00A626CC">
        <w:rPr>
          <w:rFonts w:cstheme="minorHAnsi"/>
        </w:rPr>
        <w:t xml:space="preserve">include </w:t>
      </w:r>
      <w:r w:rsidR="00793AD3">
        <w:rPr>
          <w:rFonts w:cstheme="minorHAnsi"/>
        </w:rPr>
        <w:t>PTL</w:t>
      </w:r>
      <w:r w:rsidRPr="00A626CC">
        <w:rPr>
          <w:rFonts w:cstheme="minorHAnsi"/>
        </w:rPr>
        <w:t xml:space="preserve"> governments (in particular, Heads of Mission based in Australia, LSU Directors, and other senior government officials involved in labour mobility). PLF management and staff </w:t>
      </w:r>
      <w:r w:rsidR="007778BF">
        <w:rPr>
          <w:rFonts w:cstheme="minorHAnsi"/>
        </w:rPr>
        <w:t xml:space="preserve">who </w:t>
      </w:r>
      <w:r w:rsidRPr="00A626CC">
        <w:rPr>
          <w:rFonts w:cstheme="minorHAnsi"/>
        </w:rPr>
        <w:t>provided support for the evaluation and may also benefit from findings. </w:t>
      </w:r>
    </w:p>
    <w:p w14:paraId="75F27A6B" w14:textId="77777777" w:rsidR="00012A0F" w:rsidRPr="00A626CC" w:rsidRDefault="00012A0F" w:rsidP="00A626CC">
      <w:pPr>
        <w:pStyle w:val="Heading2"/>
      </w:pPr>
      <w:bookmarkStart w:id="26" w:name="_Toc152591520"/>
      <w:r w:rsidRPr="00A626CC">
        <w:t>Scope</w:t>
      </w:r>
      <w:bookmarkEnd w:id="26"/>
      <w:r w:rsidRPr="00A626CC">
        <w:t> </w:t>
      </w:r>
    </w:p>
    <w:p w14:paraId="724F5FCB" w14:textId="44C13655" w:rsidR="00012A0F" w:rsidRPr="00A626CC" w:rsidRDefault="00012A0F" w:rsidP="00A626CC">
      <w:pPr>
        <w:rPr>
          <w:rFonts w:cstheme="minorHAnsi"/>
        </w:rPr>
      </w:pPr>
      <w:r w:rsidRPr="00A626CC">
        <w:rPr>
          <w:rFonts w:cstheme="minorHAnsi"/>
        </w:rPr>
        <w:t xml:space="preserve">The evaluation was framed by a Terms of Reference (ToR) prepared by DFAT (see Appendix A). The evaluation pursued three lines of inquiry </w:t>
      </w:r>
      <w:r w:rsidR="007E3645" w:rsidRPr="00A626CC">
        <w:rPr>
          <w:rFonts w:cstheme="minorHAnsi"/>
        </w:rPr>
        <w:t>which assimilate</w:t>
      </w:r>
      <w:r w:rsidR="00194C5E" w:rsidRPr="00A626CC">
        <w:rPr>
          <w:rFonts w:cstheme="minorHAnsi"/>
        </w:rPr>
        <w:t>d</w:t>
      </w:r>
      <w:r w:rsidR="007E3645" w:rsidRPr="00A626CC">
        <w:rPr>
          <w:rFonts w:cstheme="minorHAnsi"/>
        </w:rPr>
        <w:t xml:space="preserve"> the </w:t>
      </w:r>
      <w:r w:rsidR="007778BF">
        <w:rPr>
          <w:rFonts w:cstheme="minorHAnsi"/>
        </w:rPr>
        <w:t xml:space="preserve">more than </w:t>
      </w:r>
      <w:r w:rsidR="00B92686" w:rsidRPr="00A626CC">
        <w:rPr>
          <w:rFonts w:cstheme="minorHAnsi"/>
        </w:rPr>
        <w:t xml:space="preserve">16 </w:t>
      </w:r>
      <w:r w:rsidR="00F745AD" w:rsidRPr="00A626CC">
        <w:rPr>
          <w:rFonts w:cstheme="minorHAnsi"/>
        </w:rPr>
        <w:t xml:space="preserve">questions </w:t>
      </w:r>
      <w:r w:rsidR="00DA2184" w:rsidRPr="00A626CC">
        <w:rPr>
          <w:rFonts w:cstheme="minorHAnsi"/>
        </w:rPr>
        <w:t>posed</w:t>
      </w:r>
      <w:r w:rsidR="00F745AD" w:rsidRPr="00A626CC">
        <w:rPr>
          <w:rFonts w:cstheme="minorHAnsi"/>
        </w:rPr>
        <w:t xml:space="preserve"> in the ToR</w:t>
      </w:r>
      <w:r w:rsidR="009C6212" w:rsidRPr="00A626CC">
        <w:rPr>
          <w:rStyle w:val="FootnoteReference"/>
          <w:rFonts w:cstheme="minorHAnsi"/>
        </w:rPr>
        <w:footnoteReference w:id="13"/>
      </w:r>
      <w:r w:rsidRPr="00A626CC">
        <w:rPr>
          <w:rFonts w:cstheme="minorHAnsi"/>
        </w:rPr>
        <w:t>: </w:t>
      </w:r>
    </w:p>
    <w:p w14:paraId="6A1AD193" w14:textId="57510F55" w:rsidR="00012A0F" w:rsidRPr="00A626CC" w:rsidRDefault="00012A0F" w:rsidP="00A626CC">
      <w:pPr>
        <w:pStyle w:val="ListBullet"/>
        <w:numPr>
          <w:ilvl w:val="0"/>
          <w:numId w:val="82"/>
        </w:numPr>
      </w:pPr>
      <w:r w:rsidRPr="00A626CC">
        <w:t>The effectiveness and efficiency of PLF’s coordination of support services across all stages of the employer and worker journey in the PALM scheme (see Appendix B for an articulation of ‘employer-worker journey’).  </w:t>
      </w:r>
    </w:p>
    <w:p w14:paraId="21E6E4B9" w14:textId="46E9FCFB" w:rsidR="00012A0F" w:rsidRPr="00A626CC" w:rsidRDefault="00012A0F" w:rsidP="00A626CC">
      <w:pPr>
        <w:pStyle w:val="ListBullet"/>
        <w:numPr>
          <w:ilvl w:val="0"/>
          <w:numId w:val="83"/>
        </w:numPr>
      </w:pPr>
      <w:r w:rsidRPr="00A626CC">
        <w:t>The effectiveness of PLF’s services and capacity building of LSUs. </w:t>
      </w:r>
    </w:p>
    <w:p w14:paraId="31E14B66" w14:textId="77777777" w:rsidR="00012A0F" w:rsidRPr="00A626CC" w:rsidRDefault="00012A0F" w:rsidP="00A626CC">
      <w:pPr>
        <w:pStyle w:val="ListBullet"/>
        <w:numPr>
          <w:ilvl w:val="0"/>
          <w:numId w:val="84"/>
        </w:numPr>
      </w:pPr>
      <w:r w:rsidRPr="00A626CC">
        <w:t>The appropriateness and utility of MEL arrangements. </w:t>
      </w:r>
    </w:p>
    <w:p w14:paraId="1BF1BDB5" w14:textId="34CE892D" w:rsidR="00144A41" w:rsidRPr="00A626CC" w:rsidRDefault="00012A0F" w:rsidP="00A626CC">
      <w:pPr>
        <w:rPr>
          <w:rFonts w:cstheme="minorHAnsi"/>
        </w:rPr>
      </w:pPr>
      <w:r w:rsidRPr="00A626CC">
        <w:rPr>
          <w:rFonts w:cstheme="minorHAnsi"/>
        </w:rPr>
        <w:t xml:space="preserve">In line with DFAT policy priorities, the evaluation team also explored the integration of gender equality, </w:t>
      </w:r>
      <w:r w:rsidR="00BA49EF" w:rsidRPr="00A626CC">
        <w:rPr>
          <w:rFonts w:cstheme="minorHAnsi"/>
        </w:rPr>
        <w:t>disability,</w:t>
      </w:r>
      <w:r w:rsidRPr="00A626CC">
        <w:rPr>
          <w:rFonts w:cstheme="minorHAnsi"/>
        </w:rPr>
        <w:t xml:space="preserve"> and social inclusion (GEDSI) and sustainability principles across the various domains of PLF work. </w:t>
      </w:r>
      <w:r w:rsidR="00144A41" w:rsidRPr="00A626CC">
        <w:rPr>
          <w:rFonts w:cstheme="minorHAnsi"/>
        </w:rPr>
        <w:t xml:space="preserve">The evaluation focussed on PLF’s role in the period </w:t>
      </w:r>
      <w:r w:rsidR="00914910">
        <w:rPr>
          <w:rFonts w:cstheme="minorHAnsi"/>
        </w:rPr>
        <w:t>September</w:t>
      </w:r>
      <w:r w:rsidR="00144A41" w:rsidRPr="00A626CC">
        <w:rPr>
          <w:rFonts w:cstheme="minorHAnsi"/>
        </w:rPr>
        <w:t xml:space="preserve"> 2018 – June 2023.</w:t>
      </w:r>
    </w:p>
    <w:p w14:paraId="1357AFA5" w14:textId="4F26517F" w:rsidR="00012A0F" w:rsidRPr="00A626CC" w:rsidRDefault="00012A0F" w:rsidP="00A626CC">
      <w:pPr>
        <w:pStyle w:val="Heading2"/>
      </w:pPr>
      <w:bookmarkStart w:id="27" w:name="_Toc152591521"/>
      <w:r w:rsidRPr="00A626CC">
        <w:t>Methods</w:t>
      </w:r>
      <w:bookmarkEnd w:id="27"/>
      <w:r w:rsidRPr="00A626CC">
        <w:t> </w:t>
      </w:r>
    </w:p>
    <w:p w14:paraId="25FA0404" w14:textId="38A0E007" w:rsidR="00012A0F" w:rsidRPr="00A626CC" w:rsidRDefault="00012A0F" w:rsidP="00A626CC">
      <w:pPr>
        <w:rPr>
          <w:rFonts w:cstheme="minorHAnsi"/>
        </w:rPr>
      </w:pPr>
      <w:r w:rsidRPr="00A626CC">
        <w:rPr>
          <w:rFonts w:cstheme="minorHAnsi"/>
        </w:rPr>
        <w:t>The evaluation team was influenced by a ‘utilisation focused approach’</w:t>
      </w:r>
      <w:r w:rsidR="00E8316F" w:rsidRPr="00A626CC">
        <w:rPr>
          <w:rStyle w:val="FootnoteReference"/>
          <w:rFonts w:cstheme="minorHAnsi"/>
        </w:rPr>
        <w:footnoteReference w:id="14"/>
      </w:r>
      <w:r w:rsidR="005F05B9" w:rsidRPr="00A626CC">
        <w:rPr>
          <w:rFonts w:cstheme="minorHAnsi"/>
        </w:rPr>
        <w:t xml:space="preserve"> </w:t>
      </w:r>
      <w:r w:rsidRPr="00A626CC">
        <w:rPr>
          <w:rFonts w:cstheme="minorHAnsi"/>
        </w:rPr>
        <w:t>which is based on the premise that an evaluation should be judged by the extent to which it is useful for its intended users. In line with DFAT’s M&amp;E Standards</w:t>
      </w:r>
      <w:r w:rsidR="0082649E" w:rsidRPr="00A626CC">
        <w:rPr>
          <w:rFonts w:cstheme="minorHAnsi"/>
        </w:rPr>
        <w:t>,</w:t>
      </w:r>
      <w:r w:rsidR="00E8316F" w:rsidRPr="00A626CC">
        <w:rPr>
          <w:rStyle w:val="FootnoteReference"/>
          <w:rFonts w:cstheme="minorHAnsi"/>
        </w:rPr>
        <w:footnoteReference w:id="15"/>
      </w:r>
      <w:r w:rsidRPr="00A626CC">
        <w:rPr>
          <w:rFonts w:cstheme="minorHAnsi"/>
        </w:rPr>
        <w:t xml:space="preserve"> the evaluation team drafted an evaluation plan which was approved by DFAT after consultation with key stakeholders. The plan identified three broad methods: </w:t>
      </w:r>
    </w:p>
    <w:p w14:paraId="0378D457" w14:textId="3F3C0BEF" w:rsidR="00012A0F" w:rsidRPr="00A626CC" w:rsidRDefault="00012A0F" w:rsidP="00A626CC">
      <w:pPr>
        <w:pStyle w:val="ListBullet"/>
        <w:numPr>
          <w:ilvl w:val="0"/>
          <w:numId w:val="85"/>
        </w:numPr>
      </w:pPr>
      <w:r w:rsidRPr="00A626CC">
        <w:rPr>
          <w:b/>
        </w:rPr>
        <w:t>Document review:</w:t>
      </w:r>
      <w:r w:rsidRPr="00A626CC">
        <w:t xml:space="preserve"> a review of key PLF and PALM scheme documents provided by DFAT and PLF; relevant literature in relation to the target countries or labour mobility policy. </w:t>
      </w:r>
    </w:p>
    <w:p w14:paraId="4D76BAA3" w14:textId="7DF4ABC5" w:rsidR="00012A0F" w:rsidRPr="00A626CC" w:rsidRDefault="00012A0F" w:rsidP="00A626CC">
      <w:pPr>
        <w:pStyle w:val="ListBullet"/>
        <w:numPr>
          <w:ilvl w:val="0"/>
          <w:numId w:val="86"/>
        </w:numPr>
      </w:pPr>
      <w:r w:rsidRPr="00A626CC">
        <w:rPr>
          <w:b/>
        </w:rPr>
        <w:t>Key informant interviews:</w:t>
      </w:r>
      <w:r w:rsidRPr="00A626CC">
        <w:t xml:space="preserve"> semi-structured conversations with purposively sampled stakeholders to accrue responses to key evaluation questions. Interviews were undertaken in Australia (Canberra, Brisbane and on virtual platforms), Vanuatu, </w:t>
      </w:r>
      <w:r w:rsidR="00BA49EF" w:rsidRPr="00A626CC">
        <w:t>Kiribati,</w:t>
      </w:r>
      <w:r w:rsidRPr="00A626CC">
        <w:t xml:space="preserve"> and Tonga. </w:t>
      </w:r>
    </w:p>
    <w:p w14:paraId="5EE2DF6C" w14:textId="434E21B0" w:rsidR="00012A0F" w:rsidRPr="00A626CC" w:rsidRDefault="00012A0F" w:rsidP="00A626CC">
      <w:pPr>
        <w:pStyle w:val="ListBullet"/>
        <w:numPr>
          <w:ilvl w:val="0"/>
          <w:numId w:val="87"/>
        </w:numPr>
      </w:pPr>
      <w:r w:rsidRPr="00A626CC">
        <w:rPr>
          <w:b/>
        </w:rPr>
        <w:lastRenderedPageBreak/>
        <w:t xml:space="preserve">Observations: </w:t>
      </w:r>
      <w:r w:rsidRPr="00A626CC">
        <w:t>general observations of operating contexts, processes and stakeholder interactions including</w:t>
      </w:r>
      <w:r w:rsidR="00A624FC">
        <w:t>,</w:t>
      </w:r>
      <w:r w:rsidRPr="00A626CC">
        <w:t xml:space="preserve"> but not limited to</w:t>
      </w:r>
      <w:r w:rsidR="00A624FC">
        <w:t>,</w:t>
      </w:r>
      <w:r w:rsidRPr="00A626CC">
        <w:t xml:space="preserve"> PLF corporate headquarters, LSU offices, stakeholder workshops, partner government departments, Australian </w:t>
      </w:r>
      <w:r w:rsidR="007778BF">
        <w:t>g</w:t>
      </w:r>
      <w:r w:rsidRPr="00A626CC">
        <w:t>overnment departments. </w:t>
      </w:r>
    </w:p>
    <w:p w14:paraId="40A214C4" w14:textId="6F2F8C6C" w:rsidR="00012A0F" w:rsidRPr="00A626CC" w:rsidRDefault="00BA49EF" w:rsidP="00A626CC">
      <w:pPr>
        <w:rPr>
          <w:rFonts w:cstheme="minorHAnsi"/>
        </w:rPr>
      </w:pPr>
      <w:r w:rsidRPr="00A626CC">
        <w:rPr>
          <w:rFonts w:cstheme="minorHAnsi"/>
        </w:rPr>
        <w:t>More than</w:t>
      </w:r>
      <w:r w:rsidR="00012A0F" w:rsidRPr="00A626CC">
        <w:rPr>
          <w:rFonts w:cstheme="minorHAnsi"/>
        </w:rPr>
        <w:t xml:space="preserve"> 50 hours of interviews were undertaken with an array of stakeholders (see Appendix C). Evaluation team members took individual notes, which were then assimilated against the evaluation questions using qualitative analysis techniques to identify predominant and exceptional/outlier responses. Findings were structured against DFAT’s FIMR sub-criteria (see box </w:t>
      </w:r>
      <w:r w:rsidR="00487C75" w:rsidRPr="00A626CC">
        <w:rPr>
          <w:rFonts w:cstheme="minorHAnsi"/>
        </w:rPr>
        <w:t>in section 4.2</w:t>
      </w:r>
      <w:r w:rsidR="00012A0F" w:rsidRPr="00A626CC">
        <w:rPr>
          <w:rFonts w:cstheme="minorHAnsi"/>
        </w:rPr>
        <w:t>). </w:t>
      </w:r>
    </w:p>
    <w:p w14:paraId="25037793" w14:textId="22D8CB3B" w:rsidR="00012A0F" w:rsidRPr="00A626CC" w:rsidRDefault="00012A0F" w:rsidP="00A626CC">
      <w:pPr>
        <w:rPr>
          <w:rFonts w:cstheme="minorHAnsi"/>
        </w:rPr>
      </w:pPr>
      <w:r w:rsidRPr="00A626CC">
        <w:rPr>
          <w:rFonts w:cstheme="minorHAnsi"/>
        </w:rPr>
        <w:t xml:space="preserve">This report gives voice to the key themes identified in interviews and documents, structured around the three lines of inquiry set out above. </w:t>
      </w:r>
      <w:r w:rsidR="00B956B6" w:rsidRPr="00A626CC">
        <w:rPr>
          <w:rFonts w:cstheme="minorHAnsi"/>
        </w:rPr>
        <w:t>When deemed appropriate</w:t>
      </w:r>
      <w:r w:rsidR="001A6EBF" w:rsidRPr="00A626CC">
        <w:rPr>
          <w:rFonts w:cstheme="minorHAnsi"/>
        </w:rPr>
        <w:t>,</w:t>
      </w:r>
      <w:r w:rsidR="00B956B6" w:rsidRPr="00A626CC">
        <w:rPr>
          <w:rFonts w:cstheme="minorHAnsi"/>
        </w:rPr>
        <w:t xml:space="preserve"> the evaluation team have provided verbatim to highlight indicative or </w:t>
      </w:r>
      <w:r w:rsidR="00B71F9B" w:rsidRPr="00A626CC">
        <w:rPr>
          <w:rFonts w:cstheme="minorHAnsi"/>
        </w:rPr>
        <w:t>predominate</w:t>
      </w:r>
      <w:r w:rsidR="00B956B6" w:rsidRPr="00A626CC">
        <w:rPr>
          <w:rFonts w:cstheme="minorHAnsi"/>
        </w:rPr>
        <w:t xml:space="preserve"> perspectives, noting that in </w:t>
      </w:r>
      <w:r w:rsidR="008E54DF" w:rsidRPr="00A626CC">
        <w:rPr>
          <w:rFonts w:cstheme="minorHAnsi"/>
        </w:rPr>
        <w:t>evaluation and social research</w:t>
      </w:r>
      <w:r w:rsidR="00D47DAB" w:rsidRPr="00A626CC">
        <w:rPr>
          <w:rFonts w:cstheme="minorHAnsi"/>
        </w:rPr>
        <w:t xml:space="preserve"> literature</w:t>
      </w:r>
      <w:r w:rsidR="008E54DF" w:rsidRPr="00A626CC">
        <w:rPr>
          <w:rFonts w:cstheme="minorHAnsi"/>
        </w:rPr>
        <w:t xml:space="preserve">, </w:t>
      </w:r>
      <w:r w:rsidR="00D47DAB" w:rsidRPr="00A626CC">
        <w:rPr>
          <w:rFonts w:cstheme="minorHAnsi"/>
        </w:rPr>
        <w:t xml:space="preserve">direct quotations are </w:t>
      </w:r>
      <w:r w:rsidR="00E3180C" w:rsidRPr="00A626CC">
        <w:rPr>
          <w:rFonts w:cstheme="minorHAnsi"/>
        </w:rPr>
        <w:t xml:space="preserve">an important way to </w:t>
      </w:r>
      <w:r w:rsidR="008E54DF" w:rsidRPr="00A626CC">
        <w:rPr>
          <w:rFonts w:cstheme="minorHAnsi"/>
        </w:rPr>
        <w:t xml:space="preserve">strengthen the validity of </w:t>
      </w:r>
      <w:r w:rsidR="001A6EBF" w:rsidRPr="00A626CC">
        <w:rPr>
          <w:rFonts w:cstheme="minorHAnsi"/>
        </w:rPr>
        <w:t>qualitative findings. However, t</w:t>
      </w:r>
      <w:r w:rsidRPr="00A626CC">
        <w:rPr>
          <w:rFonts w:cstheme="minorHAnsi"/>
        </w:rPr>
        <w:t>he identity of specific interviewees is protected beyond identifying their general role. </w:t>
      </w:r>
    </w:p>
    <w:p w14:paraId="28099732" w14:textId="6BD6E1C1" w:rsidR="000F5F85" w:rsidRPr="00A626CC" w:rsidRDefault="000F5F85" w:rsidP="00A626CC">
      <w:pPr>
        <w:rPr>
          <w:rFonts w:cstheme="minorHAnsi"/>
        </w:rPr>
      </w:pPr>
      <w:r w:rsidRPr="00A626CC">
        <w:rPr>
          <w:rFonts w:cstheme="minorHAnsi"/>
        </w:rPr>
        <w:t xml:space="preserve">The evaluation team acknowledges </w:t>
      </w:r>
      <w:r w:rsidR="00B23CB4" w:rsidRPr="00A626CC">
        <w:rPr>
          <w:rFonts w:cstheme="minorHAnsi"/>
        </w:rPr>
        <w:t xml:space="preserve">that this evaluation was informed by </w:t>
      </w:r>
      <w:r w:rsidRPr="00A626CC">
        <w:rPr>
          <w:rFonts w:cstheme="minorHAnsi"/>
        </w:rPr>
        <w:t>a wide range of documentation by PLF</w:t>
      </w:r>
      <w:r w:rsidR="00E41097" w:rsidRPr="00A626CC">
        <w:rPr>
          <w:rFonts w:cstheme="minorHAnsi"/>
        </w:rPr>
        <w:t xml:space="preserve">, researchers and government departments. Most of this information </w:t>
      </w:r>
      <w:r w:rsidR="00AD3E16" w:rsidRPr="00A626CC">
        <w:rPr>
          <w:rFonts w:cstheme="minorHAnsi"/>
        </w:rPr>
        <w:t xml:space="preserve">was previously submitted as </w:t>
      </w:r>
      <w:r w:rsidR="00176FAD" w:rsidRPr="00A626CC">
        <w:rPr>
          <w:rFonts w:cstheme="minorHAnsi"/>
        </w:rPr>
        <w:t xml:space="preserve">discrete </w:t>
      </w:r>
      <w:r w:rsidR="00AD3E16" w:rsidRPr="00A626CC">
        <w:rPr>
          <w:rFonts w:cstheme="minorHAnsi"/>
        </w:rPr>
        <w:t xml:space="preserve">reports. In </w:t>
      </w:r>
      <w:r w:rsidR="00E57306" w:rsidRPr="00A626CC">
        <w:rPr>
          <w:rFonts w:cstheme="minorHAnsi"/>
        </w:rPr>
        <w:t xml:space="preserve">this report, </w:t>
      </w:r>
      <w:r w:rsidR="00AD3E16" w:rsidRPr="00A626CC">
        <w:rPr>
          <w:rFonts w:cstheme="minorHAnsi"/>
        </w:rPr>
        <w:t xml:space="preserve">the evaluation team has </w:t>
      </w:r>
      <w:r w:rsidR="00AB4E5A" w:rsidRPr="00A626CC">
        <w:rPr>
          <w:rFonts w:cstheme="minorHAnsi"/>
        </w:rPr>
        <w:t>emphasised primary data (mostly from key informant interviews)</w:t>
      </w:r>
      <w:r w:rsidR="00CC05B1" w:rsidRPr="00A626CC">
        <w:rPr>
          <w:rFonts w:cstheme="minorHAnsi"/>
        </w:rPr>
        <w:t xml:space="preserve"> but has cited secondary data sources </w:t>
      </w:r>
      <w:r w:rsidR="00176FAD" w:rsidRPr="00A626CC">
        <w:rPr>
          <w:rFonts w:cstheme="minorHAnsi"/>
        </w:rPr>
        <w:t>when relevant.</w:t>
      </w:r>
    </w:p>
    <w:p w14:paraId="110F0A1D" w14:textId="77777777" w:rsidR="00012A0F" w:rsidRPr="00A626CC" w:rsidRDefault="00012A0F" w:rsidP="00A626CC">
      <w:pPr>
        <w:pStyle w:val="Heading2"/>
      </w:pPr>
      <w:bookmarkStart w:id="28" w:name="_Toc152591522"/>
      <w:r w:rsidRPr="00A626CC">
        <w:t>Limitations</w:t>
      </w:r>
      <w:bookmarkEnd w:id="28"/>
      <w:r w:rsidRPr="00A626CC">
        <w:t> </w:t>
      </w:r>
    </w:p>
    <w:p w14:paraId="0903A77F" w14:textId="77777777" w:rsidR="00012A0F" w:rsidRPr="00A626CC" w:rsidRDefault="00012A0F" w:rsidP="00A626CC">
      <w:pPr>
        <w:rPr>
          <w:rFonts w:cstheme="minorHAnsi"/>
        </w:rPr>
      </w:pPr>
      <w:r w:rsidRPr="00A626CC">
        <w:rPr>
          <w:rFonts w:cstheme="minorHAnsi"/>
        </w:rPr>
        <w:t>All evaluations of this kind encounter limitations—if only because of the pragmatics of time and resource constraints. These and a range of other factors limit the capacity for independent evaluators to grasp the full breadth of nuance that underpins a complex policy domain such as the PALM scheme. </w:t>
      </w:r>
    </w:p>
    <w:p w14:paraId="6C3D6603" w14:textId="6E92B91D" w:rsidR="00012A0F" w:rsidRPr="00A626CC" w:rsidRDefault="00012A0F" w:rsidP="00A626CC">
      <w:pPr>
        <w:rPr>
          <w:rFonts w:cstheme="minorHAnsi"/>
        </w:rPr>
      </w:pPr>
      <w:r w:rsidRPr="00A626CC">
        <w:rPr>
          <w:rFonts w:cstheme="minorHAnsi"/>
        </w:rPr>
        <w:t>The evaluation team endeavoured to manage obvious limitations by seeking gender</w:t>
      </w:r>
      <w:r w:rsidR="00E76733">
        <w:rPr>
          <w:rFonts w:cstheme="minorHAnsi"/>
        </w:rPr>
        <w:t>-</w:t>
      </w:r>
      <w:r w:rsidRPr="00A626CC">
        <w:rPr>
          <w:rFonts w:cstheme="minorHAnsi"/>
        </w:rPr>
        <w:t>equitable coverage where possible and otherwise aligning with international good practice as set out in DFAT’s M&amp;E standards and in relevant codes of ethics</w:t>
      </w:r>
      <w:r w:rsidR="0082649E" w:rsidRPr="00A626CC">
        <w:rPr>
          <w:rFonts w:cstheme="minorHAnsi"/>
        </w:rPr>
        <w:t>.</w:t>
      </w:r>
      <w:r w:rsidR="00E8316F" w:rsidRPr="00A626CC">
        <w:rPr>
          <w:rStyle w:val="FootnoteReference"/>
          <w:rFonts w:cstheme="minorHAnsi"/>
        </w:rPr>
        <w:footnoteReference w:id="16"/>
      </w:r>
      <w:r w:rsidRPr="00A626CC">
        <w:rPr>
          <w:rFonts w:cstheme="minorHAnsi"/>
        </w:rPr>
        <w:t>  Central to the strategy to address methodological limitations was close collaboration with DFAT and PLF staff. </w:t>
      </w:r>
    </w:p>
    <w:p w14:paraId="0A7F67BF" w14:textId="74EB4389" w:rsidR="00012A0F" w:rsidRPr="00A626CC" w:rsidRDefault="00012A0F" w:rsidP="00A626CC">
      <w:pPr>
        <w:rPr>
          <w:rFonts w:cstheme="minorHAnsi"/>
        </w:rPr>
      </w:pPr>
      <w:r w:rsidRPr="00A626CC">
        <w:rPr>
          <w:rFonts w:cstheme="minorHAnsi"/>
        </w:rPr>
        <w:t>A specific challenge encountered by the evaluation team related to the boundaries between PLF and the PALM scheme more broadly. While the evaluation team’s scope was limited to PLF, the nature of the work and the policy domain meant that broader policy and context issues inevitably emerged as relevant to discussions and findings. </w:t>
      </w:r>
      <w:r w:rsidR="00352BD4" w:rsidRPr="00A626CC">
        <w:rPr>
          <w:rFonts w:cstheme="minorHAnsi"/>
        </w:rPr>
        <w:t xml:space="preserve">The evaluation did not explore the impact of labour mobility </w:t>
      </w:r>
      <w:r w:rsidR="006B395F" w:rsidRPr="00A626CC">
        <w:rPr>
          <w:rFonts w:cstheme="minorHAnsi"/>
        </w:rPr>
        <w:t xml:space="preserve">in </w:t>
      </w:r>
      <w:r w:rsidR="006B395F" w:rsidRPr="00B906CE">
        <w:rPr>
          <w:rFonts w:cstheme="minorHAnsi"/>
        </w:rPr>
        <w:t>labour sending</w:t>
      </w:r>
      <w:r w:rsidR="006B395F" w:rsidRPr="00A626CC">
        <w:rPr>
          <w:rFonts w:cstheme="minorHAnsi"/>
        </w:rPr>
        <w:t xml:space="preserve"> countries or on individual workers. That said, several returned workers were interviewed and provided valuable insights.</w:t>
      </w:r>
      <w:r w:rsidRPr="00A626CC">
        <w:rPr>
          <w:rFonts w:cstheme="minorHAnsi"/>
        </w:rPr>
        <w:t> </w:t>
      </w:r>
    </w:p>
    <w:p w14:paraId="54BBB82B" w14:textId="77777777" w:rsidR="00012A0F" w:rsidRPr="00A626CC" w:rsidRDefault="00012A0F" w:rsidP="00A626CC">
      <w:pPr>
        <w:rPr>
          <w:rFonts w:cstheme="minorHAnsi"/>
        </w:rPr>
      </w:pPr>
      <w:r w:rsidRPr="00A626CC">
        <w:rPr>
          <w:rFonts w:cstheme="minorHAnsi"/>
        </w:rPr>
        <w:t>Other practical limitations included: </w:t>
      </w:r>
    </w:p>
    <w:p w14:paraId="409522C9" w14:textId="4FAA6CEA" w:rsidR="00012A0F" w:rsidRPr="00A626CC" w:rsidRDefault="00012A0F" w:rsidP="00A626CC">
      <w:pPr>
        <w:pStyle w:val="ListBullet"/>
        <w:numPr>
          <w:ilvl w:val="0"/>
          <w:numId w:val="88"/>
        </w:numPr>
      </w:pPr>
      <w:r w:rsidRPr="00A626CC">
        <w:t xml:space="preserve">The evaluation team did not visit any work sites in Australia </w:t>
      </w:r>
      <w:r w:rsidR="00EE56C4" w:rsidRPr="00A626CC">
        <w:t xml:space="preserve">but interviewed </w:t>
      </w:r>
      <w:r w:rsidR="00352BD4" w:rsidRPr="00A626CC">
        <w:t xml:space="preserve">an </w:t>
      </w:r>
      <w:r w:rsidRPr="00A626CC">
        <w:t>Australian AE representative</w:t>
      </w:r>
      <w:r w:rsidR="00000F4C" w:rsidRPr="00A626CC">
        <w:t xml:space="preserve"> body</w:t>
      </w:r>
      <w:r w:rsidRPr="00A626CC">
        <w:t>. </w:t>
      </w:r>
    </w:p>
    <w:p w14:paraId="346458B4" w14:textId="6E068CEB" w:rsidR="00012A0F" w:rsidRPr="00A626CC" w:rsidRDefault="00012A0F" w:rsidP="00A626CC">
      <w:pPr>
        <w:pStyle w:val="ListBullet"/>
        <w:numPr>
          <w:ilvl w:val="0"/>
          <w:numId w:val="89"/>
        </w:numPr>
      </w:pPr>
      <w:r w:rsidRPr="00A626CC">
        <w:t xml:space="preserve">The evaluation team was resourced to visit three labour sending countries: Vanuatu, </w:t>
      </w:r>
      <w:r w:rsidR="00BA49EF" w:rsidRPr="00A626CC">
        <w:t>Kiribati,</w:t>
      </w:r>
      <w:r w:rsidRPr="00A626CC">
        <w:t xml:space="preserve"> and Tonga. This sample of countries was informed by extensive stakeholder consultations led by DFAT</w:t>
      </w:r>
      <w:r w:rsidR="00190DFC" w:rsidRPr="00A626CC">
        <w:t xml:space="preserve">. The sample </w:t>
      </w:r>
      <w:r w:rsidR="009C666A" w:rsidRPr="00A626CC">
        <w:t>provide</w:t>
      </w:r>
      <w:r w:rsidR="00190DFC" w:rsidRPr="00A626CC">
        <w:t>d</w:t>
      </w:r>
      <w:r w:rsidR="009C666A" w:rsidRPr="00A626CC">
        <w:t xml:space="preserve"> the evaluation team </w:t>
      </w:r>
      <w:r w:rsidR="00190DFC" w:rsidRPr="00A626CC">
        <w:t xml:space="preserve">with </w:t>
      </w:r>
      <w:r w:rsidR="009C666A" w:rsidRPr="00A626CC">
        <w:t xml:space="preserve">exposure to a breadth of </w:t>
      </w:r>
      <w:r w:rsidR="00190DFC" w:rsidRPr="00A626CC">
        <w:t>relevant contexts</w:t>
      </w:r>
      <w:r w:rsidR="008C6EFD" w:rsidRPr="00A626CC">
        <w:t xml:space="preserve">, though self-evidently was not a census of all </w:t>
      </w:r>
      <w:r w:rsidR="00C74718" w:rsidRPr="00A626CC">
        <w:t xml:space="preserve">10 </w:t>
      </w:r>
      <w:r w:rsidR="00C74718" w:rsidRPr="00B906CE">
        <w:t>labour sending</w:t>
      </w:r>
      <w:r w:rsidR="00C74718" w:rsidRPr="00A626CC">
        <w:t xml:space="preserve"> countries</w:t>
      </w:r>
      <w:r w:rsidRPr="00A626CC">
        <w:t>. </w:t>
      </w:r>
    </w:p>
    <w:p w14:paraId="08ABC983" w14:textId="71F94C87" w:rsidR="00012A0F" w:rsidRPr="00A626CC" w:rsidRDefault="00012A0F" w:rsidP="00A626CC">
      <w:pPr>
        <w:pStyle w:val="ListBullet"/>
        <w:numPr>
          <w:ilvl w:val="0"/>
          <w:numId w:val="90"/>
        </w:numPr>
      </w:pPr>
      <w:r w:rsidRPr="00A626CC">
        <w:t>The evaluation team had limited time in each country visited, and hence some stakeholders were unavailable for interview—including some important partner government stakeholders. </w:t>
      </w:r>
    </w:p>
    <w:p w14:paraId="597329B6" w14:textId="698A5756" w:rsidR="00012A0F" w:rsidRPr="00A626CC" w:rsidRDefault="00012A0F" w:rsidP="00A626CC">
      <w:pPr>
        <w:pStyle w:val="ListBullet"/>
        <w:numPr>
          <w:ilvl w:val="0"/>
          <w:numId w:val="91"/>
        </w:numPr>
      </w:pPr>
      <w:r w:rsidRPr="00A626CC">
        <w:t>Many key stakeholders have changed roles over the life of the PLF investment, and hence were unavailable or no longer recalled (or had access to) specific information. </w:t>
      </w:r>
    </w:p>
    <w:p w14:paraId="32141717" w14:textId="77777777" w:rsidR="00012A0F" w:rsidRPr="00A626CC" w:rsidRDefault="00012A0F" w:rsidP="00A626CC">
      <w:pPr>
        <w:pStyle w:val="Heading1"/>
      </w:pPr>
      <w:bookmarkStart w:id="29" w:name="_Toc152591523"/>
      <w:r w:rsidRPr="00A626CC">
        <w:lastRenderedPageBreak/>
        <w:t>FINDINGS</w:t>
      </w:r>
      <w:bookmarkEnd w:id="29"/>
      <w:r w:rsidRPr="00A626CC">
        <w:t> </w:t>
      </w:r>
    </w:p>
    <w:p w14:paraId="3B17B456" w14:textId="71ACC986" w:rsidR="001E5F2F" w:rsidRPr="00A626CC" w:rsidRDefault="001E5F2F" w:rsidP="00A626CC">
      <w:r w:rsidRPr="00A626CC">
        <w:t xml:space="preserve">This section presents the findings of this evaluation, structured around the three key evaluation questions concerned with: the effectiveness and efficiency of PLF services, the effectiveness of PLF’s capacity building of LSUs, and the appropriateness and utility of the MEL arrangements. The evaluation team has highlighted verbatim from stakeholders to illustrate the predominant themes/viewpoints, and on some occasions, exceptional or outlier themes to illustrate diversity. We confirm that we approached this evaluation in good faith, without bias and present balanced findings in the report. Recommendations are presented in grey boxes in the narrative, in the context in which they arise. They are summarised for convenience on page </w:t>
      </w:r>
      <w:r w:rsidR="00C21582" w:rsidRPr="00A626CC">
        <w:fldChar w:fldCharType="begin"/>
      </w:r>
      <w:r w:rsidR="00C21582" w:rsidRPr="00A626CC">
        <w:instrText xml:space="preserve"> PAGEREF _Ref151536066 \h </w:instrText>
      </w:r>
      <w:r w:rsidR="00C21582" w:rsidRPr="00A626CC">
        <w:fldChar w:fldCharType="separate"/>
      </w:r>
      <w:r w:rsidR="001F6F84">
        <w:rPr>
          <w:noProof/>
        </w:rPr>
        <w:t>5</w:t>
      </w:r>
      <w:r w:rsidR="00C21582" w:rsidRPr="00A626CC">
        <w:fldChar w:fldCharType="end"/>
      </w:r>
      <w:r w:rsidRPr="00A626CC">
        <w:t xml:space="preserve"> in the introductory pages of this document. </w:t>
      </w:r>
    </w:p>
    <w:p w14:paraId="176E0848" w14:textId="252AA1CC" w:rsidR="001E5F2F" w:rsidRPr="00A626CC" w:rsidRDefault="001E5F2F" w:rsidP="00A626CC">
      <w:r w:rsidRPr="00A626CC">
        <w:t xml:space="preserve">The evaluation team appreciates that evaluations may be perceived as inherently critical when directed at program improvement. Notwithstanding critique in this report, the overwhelming feedback from the majority of stakeholders was positivity towards labour mobility in general and PLF in particular. It is clear that Australia’s labour mobility scheme continues to evolve and improve, benefiting a large number of households and communities in the Pacific and Timor-Leste, as well as benefiting Australian industry and the economy more broadly. Moreover, the scheme fosters people-to-people links through the array of engagements between workers and host communities across Australia. While there are undoubtedly areas for further improvement in the implementation of the scheme, it is clear that there is strong support from most stakeholders for its continued development. </w:t>
      </w:r>
    </w:p>
    <w:p w14:paraId="64CC207F" w14:textId="6E87139B" w:rsidR="00F47371" w:rsidRPr="00A626CC" w:rsidRDefault="006B4951" w:rsidP="00A626CC">
      <w:pPr>
        <w:pStyle w:val="Heading2"/>
      </w:pPr>
      <w:bookmarkStart w:id="30" w:name="_Toc152591524"/>
      <w:r w:rsidRPr="00A626CC">
        <w:t>Summary of findings</w:t>
      </w:r>
      <w:bookmarkEnd w:id="30"/>
    </w:p>
    <w:p w14:paraId="7A1B1975" w14:textId="56D12E89" w:rsidR="003B33E0" w:rsidRDefault="000217A1" w:rsidP="00A626CC">
      <w:r w:rsidRPr="00A626CC">
        <w:t xml:space="preserve">Overall, the evaluation team formed the view that PLF has delivered effective and efficient services to PALM scheme stakeholders against the backdrop of a highly complex and dynamic operating and policy context. </w:t>
      </w:r>
      <w:r w:rsidR="0059390D" w:rsidRPr="00A626CC">
        <w:t xml:space="preserve">These services were delivered in culturally appropriate ways with </w:t>
      </w:r>
      <w:r w:rsidR="0059390D" w:rsidRPr="00BA381B">
        <w:t>sending country</w:t>
      </w:r>
      <w:r w:rsidR="0059390D" w:rsidRPr="00A626CC">
        <w:t xml:space="preserve"> stakeholders (discussed in section </w:t>
      </w:r>
      <w:r w:rsidR="00EE5D43" w:rsidRPr="00A626CC">
        <w:rPr>
          <w:highlight w:val="yellow"/>
        </w:rPr>
        <w:fldChar w:fldCharType="begin"/>
      </w:r>
      <w:r w:rsidR="00EE5D43" w:rsidRPr="00A626CC">
        <w:instrText xml:space="preserve"> REF _Ref151390478 \r \h </w:instrText>
      </w:r>
      <w:r w:rsidR="00EE5D43" w:rsidRPr="00A626CC">
        <w:rPr>
          <w:highlight w:val="yellow"/>
        </w:rPr>
      </w:r>
      <w:r w:rsidR="00EE5D43" w:rsidRPr="00A626CC">
        <w:rPr>
          <w:highlight w:val="yellow"/>
        </w:rPr>
        <w:fldChar w:fldCharType="separate"/>
      </w:r>
      <w:r w:rsidR="001F6F84">
        <w:t>4.2.1</w:t>
      </w:r>
      <w:r w:rsidR="00EE5D43" w:rsidRPr="00A626CC">
        <w:rPr>
          <w:highlight w:val="yellow"/>
        </w:rPr>
        <w:fldChar w:fldCharType="end"/>
      </w:r>
      <w:r w:rsidR="0059390D" w:rsidRPr="00A626CC">
        <w:t xml:space="preserve">). </w:t>
      </w:r>
      <w:r w:rsidRPr="00A626CC">
        <w:t>PLF supported unforeseen increases in the number of workers arriving in Australia, including a modest increase in female workers</w:t>
      </w:r>
      <w:r w:rsidR="00B674CE" w:rsidRPr="00A626CC">
        <w:t>, during a period of global and domestic upheaval</w:t>
      </w:r>
      <w:r w:rsidRPr="00A626CC">
        <w:t>. To accommodate the increase in scale, PLF evolved its structure, size and ways of working, while remaining responsive to key stakeholders</w:t>
      </w:r>
      <w:r w:rsidR="008604BF" w:rsidRPr="00A626CC">
        <w:t xml:space="preserve"> (see section </w:t>
      </w:r>
      <w:r w:rsidR="00EE5D43" w:rsidRPr="00A626CC">
        <w:rPr>
          <w:highlight w:val="yellow"/>
        </w:rPr>
        <w:fldChar w:fldCharType="begin"/>
      </w:r>
      <w:r w:rsidR="00EE5D43" w:rsidRPr="00A626CC">
        <w:instrText xml:space="preserve"> REF _Ref149258468 \r \h </w:instrText>
      </w:r>
      <w:r w:rsidR="00EE5D43" w:rsidRPr="00A626CC">
        <w:rPr>
          <w:highlight w:val="yellow"/>
        </w:rPr>
      </w:r>
      <w:r w:rsidR="00EE5D43" w:rsidRPr="00A626CC">
        <w:rPr>
          <w:highlight w:val="yellow"/>
        </w:rPr>
        <w:fldChar w:fldCharType="separate"/>
      </w:r>
      <w:r w:rsidR="001F6F84">
        <w:t>4.2.2</w:t>
      </w:r>
      <w:r w:rsidR="00EE5D43" w:rsidRPr="00A626CC">
        <w:rPr>
          <w:highlight w:val="yellow"/>
        </w:rPr>
        <w:fldChar w:fldCharType="end"/>
      </w:r>
      <w:r w:rsidR="00B9140F" w:rsidRPr="00A626CC">
        <w:t>)</w:t>
      </w:r>
      <w:r w:rsidRPr="00A626CC">
        <w:t xml:space="preserve">. </w:t>
      </w:r>
      <w:r w:rsidR="002D7082" w:rsidRPr="00A626CC">
        <w:t xml:space="preserve">There was a strong focus </w:t>
      </w:r>
      <w:r w:rsidRPr="00A626CC">
        <w:t xml:space="preserve">on assuring worker welfare in Australia—though a range of stakeholders reflected concerns that current arrangements </w:t>
      </w:r>
      <w:r w:rsidR="00AB3CC3" w:rsidRPr="00A626CC">
        <w:t>in relation to frontline worker support</w:t>
      </w:r>
      <w:r w:rsidR="00950579" w:rsidRPr="00A626CC">
        <w:t xml:space="preserve"> </w:t>
      </w:r>
      <w:r w:rsidR="00140BAB" w:rsidRPr="00A626CC">
        <w:t>could be improved</w:t>
      </w:r>
      <w:r w:rsidR="00950579" w:rsidRPr="00A626CC">
        <w:t xml:space="preserve"> or at least clarified</w:t>
      </w:r>
      <w:r w:rsidR="00140BAB" w:rsidRPr="00A626CC">
        <w:t>—a finding also borne out in independent research</w:t>
      </w:r>
      <w:r w:rsidRPr="00A626CC">
        <w:t>.</w:t>
      </w:r>
      <w:r w:rsidR="00477D85" w:rsidRPr="00A626CC">
        <w:rPr>
          <w:rStyle w:val="FootnoteReference"/>
        </w:rPr>
        <w:footnoteReference w:id="17"/>
      </w:r>
      <w:r w:rsidRPr="00A626CC">
        <w:t xml:space="preserve"> In </w:t>
      </w:r>
      <w:r w:rsidRPr="00BA381B">
        <w:t>labour sending</w:t>
      </w:r>
      <w:r w:rsidRPr="00A626CC">
        <w:t xml:space="preserve"> countries, PLF support to LSUs is widely </w:t>
      </w:r>
      <w:r w:rsidR="00A00C03" w:rsidRPr="00A626CC">
        <w:t>appreciated</w:t>
      </w:r>
      <w:r w:rsidRPr="00A626CC">
        <w:t xml:space="preserve">, though capacity building ambition was curbed by the </w:t>
      </w:r>
      <w:r w:rsidR="00A00C03" w:rsidRPr="00A626CC">
        <w:t xml:space="preserve">need for </w:t>
      </w:r>
      <w:r w:rsidRPr="00A626CC">
        <w:t>capacity substitution to respond to growth</w:t>
      </w:r>
      <w:r w:rsidR="00A00C03" w:rsidRPr="00A626CC">
        <w:t xml:space="preserve"> in the scheme</w:t>
      </w:r>
      <w:r w:rsidRPr="00A626CC">
        <w:t xml:space="preserve">. There </w:t>
      </w:r>
      <w:r w:rsidR="00A00C03" w:rsidRPr="00A626CC">
        <w:t xml:space="preserve">were </w:t>
      </w:r>
      <w:r w:rsidRPr="00A626CC">
        <w:t>notable improvements to worker readiness processes, and the rollout of bespoke information systems is considered an important contributor to the scheme’s efficiency and transparency</w:t>
      </w:r>
      <w:r w:rsidR="00A00C03" w:rsidRPr="00A626CC">
        <w:t xml:space="preserve"> moving forward</w:t>
      </w:r>
      <w:r w:rsidRPr="00A626CC">
        <w:t xml:space="preserve">. Plans to develop worker reintegration processes were not fully delivered, again compromised by the demands of growth. MEL processes were found to be responsive, and while there was heavy emphasis on capturing and reporting worker metrics, there were also clear cases of research and reflexive practice that contributed to program improvement and informed policy directions. </w:t>
      </w:r>
    </w:p>
    <w:p w14:paraId="31F32E2A" w14:textId="77777777" w:rsidR="003B33E0" w:rsidRDefault="003B33E0">
      <w:r>
        <w:br w:type="page"/>
      </w:r>
    </w:p>
    <w:p w14:paraId="23F18351" w14:textId="5913DA16" w:rsidR="007B2124" w:rsidRPr="00A626CC" w:rsidRDefault="000217A1" w:rsidP="00A626CC">
      <w:r w:rsidRPr="00A626CC">
        <w:lastRenderedPageBreak/>
        <w:t xml:space="preserve">The PALM scheme remains an appealing proposition for workers, their communities and for </w:t>
      </w:r>
      <w:r w:rsidRPr="00BA381B">
        <w:t>labour sending</w:t>
      </w:r>
      <w:r w:rsidRPr="00A626CC">
        <w:t xml:space="preserve"> government</w:t>
      </w:r>
      <w:r w:rsidR="00E154A9" w:rsidRPr="00A626CC">
        <w:t>s</w:t>
      </w:r>
      <w:r w:rsidRPr="00A626CC">
        <w:t xml:space="preserve">. It is also a strategically important initiative for Australian foreign policy, and for Australian domestic </w:t>
      </w:r>
      <w:r w:rsidR="00392812" w:rsidRPr="00A626CC">
        <w:t>workforce</w:t>
      </w:r>
      <w:r w:rsidRPr="00A626CC">
        <w:t>. Most stakeholders agree that there will need to be further support provided to the scheme along the lines of PLF, though there must be clearer delineation of responsibilities and accountabilities between the large array of stakeholders concerned.</w:t>
      </w:r>
    </w:p>
    <w:p w14:paraId="178284C0" w14:textId="1A0E7288" w:rsidR="006B4951" w:rsidRPr="00A626CC" w:rsidRDefault="006B4951" w:rsidP="00A626CC">
      <w:r w:rsidRPr="00A626CC">
        <w:t>The above summary of findings is elaborated in the following sections.</w:t>
      </w:r>
    </w:p>
    <w:p w14:paraId="0D687F7C" w14:textId="172796AD" w:rsidR="0013285E" w:rsidRPr="00A626CC" w:rsidRDefault="00F47371" w:rsidP="00A626CC">
      <w:pPr>
        <w:pStyle w:val="Heading2"/>
      </w:pPr>
      <w:bookmarkStart w:id="31" w:name="_Toc152591525"/>
      <w:r w:rsidRPr="00A626CC">
        <w:t>Effectiveness and efficiency of PLF services</w:t>
      </w:r>
      <w:bookmarkEnd w:id="31"/>
      <w:r w:rsidRPr="00A626CC">
        <w:t> </w:t>
      </w:r>
    </w:p>
    <w:p w14:paraId="4BB1FB14" w14:textId="0EEE7C02" w:rsidR="00F47371" w:rsidRPr="00A626CC" w:rsidRDefault="00F47371" w:rsidP="00A626CC">
      <w:r w:rsidRPr="00A626CC">
        <w:t>This evaluation was tasked with assessing the effectiveness and efficiency of PLF’s coordination of services “</w:t>
      </w:r>
      <w:r w:rsidRPr="00A626CC">
        <w:rPr>
          <w:i/>
        </w:rPr>
        <w:t>across all stages of the employer and worker journey</w:t>
      </w:r>
      <w:r w:rsidRPr="00A626CC">
        <w:t>”.</w:t>
      </w:r>
      <w:r w:rsidR="0088213F" w:rsidRPr="00A626CC">
        <w:rPr>
          <w:rStyle w:val="FootnoteReference"/>
        </w:rPr>
        <w:footnoteReference w:id="18"/>
      </w:r>
      <w:r w:rsidRPr="00A626CC">
        <w:t> </w:t>
      </w:r>
      <w:r w:rsidR="00146A7A" w:rsidRPr="00A626CC">
        <w:t>The evaluation team’s conceptualisation of the employer and worker journey is shown in Appendix B.</w:t>
      </w:r>
      <w:r w:rsidRPr="00A626CC">
        <w:t>  </w:t>
      </w:r>
    </w:p>
    <w:p w14:paraId="05FA1020" w14:textId="5082933D" w:rsidR="00F47371" w:rsidRPr="00A626CC" w:rsidRDefault="00F47371" w:rsidP="00A626CC">
      <w:r w:rsidRPr="00A626CC">
        <w:t xml:space="preserve">In this section we present findings in relation to PLF effectiveness and efficiency based on DFAT’s Final Investment Monitoring Report (FIMR) validation sub-criteria (see box). </w:t>
      </w:r>
      <w:r w:rsidR="00EB53BA" w:rsidRPr="00A626CC">
        <w:t>T</w:t>
      </w:r>
      <w:r w:rsidRPr="00A626CC">
        <w:t>his structure provides an established/familiar elaboration of the Development Assistance Committee (DAC) criteria, and will also support DFAT in preparing an upcoming FIMR for PLF.  </w:t>
      </w:r>
    </w:p>
    <w:p w14:paraId="1FDEE304" w14:textId="60BF6B66" w:rsidR="00E8316F" w:rsidRPr="00A626CC" w:rsidRDefault="00E8316F" w:rsidP="00A626CC">
      <w:pPr>
        <w:pStyle w:val="Greyblocktext"/>
      </w:pPr>
      <w:r w:rsidRPr="00A626CC">
        <w:t>DFAT’s FIMR Validation Matrix defines ‘effectiveness’ and ‘efficiency’ with reference to 11 sub-criteria.</w:t>
      </w:r>
    </w:p>
    <w:p w14:paraId="44B7CE92" w14:textId="77777777" w:rsidR="00E8316F" w:rsidRPr="00A626CC" w:rsidRDefault="00E8316F" w:rsidP="00A626CC">
      <w:pPr>
        <w:pStyle w:val="Greyblocktext"/>
      </w:pPr>
      <w:r w:rsidRPr="00A626CC">
        <w:rPr>
          <w:rFonts w:cstheme="minorHAnsi"/>
        </w:rPr>
        <w:t>Effectiveness</w:t>
      </w:r>
      <w:r w:rsidRPr="00A626CC">
        <w:t>:</w:t>
      </w:r>
    </w:p>
    <w:p w14:paraId="5A7C80C4" w14:textId="77777777" w:rsidR="00E8316F" w:rsidRPr="00A626CC" w:rsidRDefault="00E8316F" w:rsidP="00A626CC">
      <w:pPr>
        <w:pStyle w:val="Listgreyblockbullet"/>
      </w:pPr>
      <w:r w:rsidRPr="00A626CC">
        <w:t>Achievement of intended outcomes</w:t>
      </w:r>
    </w:p>
    <w:p w14:paraId="7564D536" w14:textId="77777777" w:rsidR="00E8316F" w:rsidRPr="00A626CC" w:rsidRDefault="00E8316F" w:rsidP="00A626CC">
      <w:pPr>
        <w:pStyle w:val="Listgreyblockbullet"/>
        <w:numPr>
          <w:ilvl w:val="1"/>
          <w:numId w:val="92"/>
        </w:numPr>
        <w:spacing w:after="0" w:line="240" w:lineRule="auto"/>
      </w:pPr>
      <w:r w:rsidRPr="00A626CC">
        <w:t>Measurability and plausibility of outcome statements</w:t>
      </w:r>
    </w:p>
    <w:p w14:paraId="38547C0B" w14:textId="77777777" w:rsidR="00E8316F" w:rsidRPr="00A626CC" w:rsidRDefault="00E8316F" w:rsidP="00A626CC">
      <w:pPr>
        <w:pStyle w:val="Listgreyblockbullet"/>
        <w:numPr>
          <w:ilvl w:val="1"/>
          <w:numId w:val="93"/>
        </w:numPr>
        <w:spacing w:after="0" w:line="240" w:lineRule="auto"/>
      </w:pPr>
      <w:r w:rsidRPr="00A626CC">
        <w:t>Partner and beneficiary satisfaction and behaviour change</w:t>
      </w:r>
    </w:p>
    <w:p w14:paraId="1C277C8D" w14:textId="77777777" w:rsidR="00E8316F" w:rsidRPr="00A626CC" w:rsidRDefault="00E8316F" w:rsidP="00A626CC">
      <w:pPr>
        <w:pStyle w:val="Listgreyblockbullet"/>
        <w:numPr>
          <w:ilvl w:val="1"/>
          <w:numId w:val="94"/>
        </w:numPr>
        <w:spacing w:after="0" w:line="240" w:lineRule="auto"/>
      </w:pPr>
      <w:r w:rsidRPr="00A626CC">
        <w:t>Responsiveness to additional priorities, including in relation to the COVID-19 Development Response Plan</w:t>
      </w:r>
    </w:p>
    <w:p w14:paraId="31E1FCCC" w14:textId="77777777" w:rsidR="00E8316F" w:rsidRPr="00A626CC" w:rsidRDefault="00E8316F" w:rsidP="00A626CC">
      <w:pPr>
        <w:pStyle w:val="Listgreyblockbullet"/>
        <w:numPr>
          <w:ilvl w:val="1"/>
          <w:numId w:val="95"/>
        </w:numPr>
      </w:pPr>
      <w:r w:rsidRPr="00A626CC">
        <w:t>Adequacy of policy dialogue or partner engagement to influence development priorities</w:t>
      </w:r>
    </w:p>
    <w:p w14:paraId="45ABF434" w14:textId="77777777" w:rsidR="00E8316F" w:rsidRPr="00A626CC" w:rsidRDefault="00E8316F" w:rsidP="00A626CC">
      <w:pPr>
        <w:pStyle w:val="Greyblocktext"/>
      </w:pPr>
      <w:r w:rsidRPr="00A626CC">
        <w:rPr>
          <w:rFonts w:cstheme="minorHAnsi"/>
        </w:rPr>
        <w:t>Efficiency</w:t>
      </w:r>
      <w:r w:rsidRPr="00A626CC">
        <w:t>:</w:t>
      </w:r>
    </w:p>
    <w:p w14:paraId="70C43D6A" w14:textId="77777777" w:rsidR="00E8316F" w:rsidRPr="00A626CC" w:rsidRDefault="00E8316F" w:rsidP="00A626CC">
      <w:pPr>
        <w:pStyle w:val="Listgreyblockbullet"/>
        <w:numPr>
          <w:ilvl w:val="1"/>
          <w:numId w:val="96"/>
        </w:numPr>
        <w:spacing w:after="0" w:line="240" w:lineRule="auto"/>
      </w:pPr>
      <w:r w:rsidRPr="00A626CC">
        <w:t>Appropriateness of time and resources used</w:t>
      </w:r>
    </w:p>
    <w:p w14:paraId="3374F322" w14:textId="77777777" w:rsidR="00E8316F" w:rsidRPr="00A626CC" w:rsidRDefault="00E8316F" w:rsidP="00A626CC">
      <w:pPr>
        <w:pStyle w:val="Listgreyblockbullet"/>
        <w:numPr>
          <w:ilvl w:val="1"/>
          <w:numId w:val="97"/>
        </w:numPr>
        <w:spacing w:after="0" w:line="240" w:lineRule="auto"/>
      </w:pPr>
      <w:r w:rsidRPr="00A626CC">
        <w:t>Budget deviation</w:t>
      </w:r>
    </w:p>
    <w:p w14:paraId="28A04149" w14:textId="77777777" w:rsidR="00E8316F" w:rsidRPr="00A626CC" w:rsidRDefault="00E8316F" w:rsidP="00A626CC">
      <w:pPr>
        <w:pStyle w:val="Listgreyblockbullet"/>
        <w:numPr>
          <w:ilvl w:val="1"/>
          <w:numId w:val="98"/>
        </w:numPr>
        <w:spacing w:after="0" w:line="240" w:lineRule="auto"/>
      </w:pPr>
      <w:r w:rsidRPr="00A626CC">
        <w:t>Comparative value of the modality</w:t>
      </w:r>
    </w:p>
    <w:p w14:paraId="26F55082" w14:textId="77777777" w:rsidR="00E8316F" w:rsidRPr="00A626CC" w:rsidRDefault="00E8316F" w:rsidP="00A626CC">
      <w:pPr>
        <w:pStyle w:val="Listgreyblockbullet"/>
        <w:numPr>
          <w:ilvl w:val="1"/>
          <w:numId w:val="99"/>
        </w:numPr>
        <w:spacing w:after="0" w:line="240" w:lineRule="auto"/>
      </w:pPr>
      <w:r w:rsidRPr="00A626CC">
        <w:t xml:space="preserve">Adequacy of governance and management arrangements </w:t>
      </w:r>
    </w:p>
    <w:p w14:paraId="2C1E4D8A" w14:textId="77777777" w:rsidR="00E8316F" w:rsidRPr="00A626CC" w:rsidRDefault="00E8316F" w:rsidP="00A626CC">
      <w:pPr>
        <w:pStyle w:val="Listgreyblockbullet"/>
        <w:numPr>
          <w:ilvl w:val="1"/>
          <w:numId w:val="100"/>
        </w:numPr>
        <w:spacing w:after="0" w:line="240" w:lineRule="auto"/>
      </w:pPr>
      <w:r w:rsidRPr="00A626CC">
        <w:t>Appropriateness of staff skill and experience</w:t>
      </w:r>
    </w:p>
    <w:p w14:paraId="1990B6C9" w14:textId="3306FE00" w:rsidR="00E8316F" w:rsidRPr="00A626CC" w:rsidRDefault="00E8316F" w:rsidP="00A626CC">
      <w:pPr>
        <w:pStyle w:val="Listgreyblockbullet"/>
        <w:numPr>
          <w:ilvl w:val="1"/>
          <w:numId w:val="101"/>
        </w:numPr>
      </w:pPr>
      <w:r w:rsidRPr="00A626CC">
        <w:t>Harmonisation with donors and partner systems</w:t>
      </w:r>
    </w:p>
    <w:p w14:paraId="4C19477E" w14:textId="42F7192A" w:rsidR="003B33E0" w:rsidRDefault="00EC54DB" w:rsidP="00A626CC">
      <w:pPr>
        <w:pStyle w:val="Caption"/>
      </w:pPr>
      <w:bookmarkStart w:id="32" w:name="_Ref151388764"/>
      <w:bookmarkStart w:id="33" w:name="_Toc151625298"/>
      <w:r w:rsidRPr="00A626CC">
        <w:t xml:space="preserve">Figure </w:t>
      </w:r>
      <w:fldSimple w:instr=" SEQ Figure \* ARABIC ">
        <w:r w:rsidR="001F6F84">
          <w:rPr>
            <w:noProof/>
          </w:rPr>
          <w:t>2</w:t>
        </w:r>
      </w:fldSimple>
      <w:r w:rsidRPr="00A626CC">
        <w:t>: DFAT FIMR Validation sub-criteria for effectiveness and efficiency</w:t>
      </w:r>
      <w:bookmarkEnd w:id="32"/>
      <w:bookmarkEnd w:id="33"/>
    </w:p>
    <w:p w14:paraId="1C8D2BB7" w14:textId="77777777" w:rsidR="003B33E0" w:rsidRDefault="003B33E0">
      <w:pPr>
        <w:rPr>
          <w:b/>
          <w:iCs/>
          <w:sz w:val="18"/>
          <w:szCs w:val="18"/>
        </w:rPr>
      </w:pPr>
      <w:r>
        <w:br w:type="page"/>
      </w:r>
    </w:p>
    <w:p w14:paraId="581171D0" w14:textId="6A0EE93C" w:rsidR="006D219C" w:rsidRPr="00A626CC" w:rsidRDefault="00F47371" w:rsidP="00A626CC">
      <w:pPr>
        <w:pStyle w:val="Heading3"/>
      </w:pPr>
      <w:bookmarkStart w:id="34" w:name="_Ref151390478"/>
      <w:r w:rsidRPr="00A626CC">
        <w:lastRenderedPageBreak/>
        <w:t>Effectiveness</w:t>
      </w:r>
      <w:bookmarkEnd w:id="34"/>
      <w:r w:rsidRPr="00A626CC">
        <w:t> </w:t>
      </w:r>
    </w:p>
    <w:p w14:paraId="701A4AE9" w14:textId="2557967A" w:rsidR="00525D76" w:rsidRPr="00A626CC" w:rsidRDefault="00525D76" w:rsidP="00A626CC">
      <w:r w:rsidRPr="00A626CC">
        <w:t xml:space="preserve">The following </w:t>
      </w:r>
      <w:r w:rsidR="006224D5" w:rsidRPr="00A626CC">
        <w:t xml:space="preserve">discussion is </w:t>
      </w:r>
      <w:r w:rsidR="002F6943" w:rsidRPr="00A626CC">
        <w:t xml:space="preserve">structured against </w:t>
      </w:r>
      <w:r w:rsidR="006A0CF1" w:rsidRPr="00A626CC">
        <w:t>DFAT’s</w:t>
      </w:r>
      <w:r w:rsidR="002F6943" w:rsidRPr="00A626CC">
        <w:t xml:space="preserve"> five FIMR </w:t>
      </w:r>
      <w:r w:rsidR="006A0CF1" w:rsidRPr="00A626CC">
        <w:t>sub-criteria for effectiveness.</w:t>
      </w:r>
    </w:p>
    <w:p w14:paraId="49B41B60" w14:textId="77777777" w:rsidR="00F47371" w:rsidRPr="00A626CC" w:rsidRDefault="00F47371" w:rsidP="00A626CC">
      <w:pPr>
        <w:pStyle w:val="ColumnBlock"/>
      </w:pPr>
      <w:r w:rsidRPr="00A626CC">
        <w:t>Achievement of outcomes </w:t>
      </w:r>
    </w:p>
    <w:p w14:paraId="1D8B01D3" w14:textId="26DE3057" w:rsidR="00F47371" w:rsidRPr="00A626CC" w:rsidRDefault="00F47371" w:rsidP="00A626CC">
      <w:r w:rsidRPr="00A626CC">
        <w:t>PLF’s purpose was defined in terms of three end-of-program outcomes (EOPO)</w:t>
      </w:r>
      <w:r w:rsidR="00EB53BA" w:rsidRPr="00A626CC">
        <w:t>:</w:t>
      </w:r>
      <w:r w:rsidRPr="00A626CC">
        <w:t> </w:t>
      </w:r>
    </w:p>
    <w:p w14:paraId="78D1CE38" w14:textId="77777777" w:rsidR="00F47371" w:rsidRPr="00A626CC" w:rsidRDefault="00F47371" w:rsidP="00A626CC">
      <w:pPr>
        <w:pStyle w:val="ListBullet"/>
        <w:numPr>
          <w:ilvl w:val="0"/>
          <w:numId w:val="102"/>
        </w:numPr>
      </w:pPr>
      <w:r w:rsidRPr="00A626CC">
        <w:rPr>
          <w:b/>
        </w:rPr>
        <w:t>EOPO 1:</w:t>
      </w:r>
      <w:r w:rsidRPr="00A626CC">
        <w:t xml:space="preserve"> An increase of appropriately skilled and diverse women and men are mobilised to work in Australia. </w:t>
      </w:r>
    </w:p>
    <w:p w14:paraId="23E140FE" w14:textId="77777777" w:rsidR="00F47371" w:rsidRPr="00A626CC" w:rsidRDefault="00F47371" w:rsidP="00A626CC">
      <w:pPr>
        <w:pStyle w:val="ListBullet"/>
        <w:numPr>
          <w:ilvl w:val="0"/>
          <w:numId w:val="103"/>
        </w:numPr>
      </w:pPr>
      <w:r w:rsidRPr="00A626CC">
        <w:rPr>
          <w:b/>
        </w:rPr>
        <w:t>EOPO 2:</w:t>
      </w:r>
      <w:r w:rsidRPr="00A626CC">
        <w:t xml:space="preserve"> There is a sustainable and growing demand for Pacific women and men workers from Australian industry. </w:t>
      </w:r>
    </w:p>
    <w:p w14:paraId="1387137D" w14:textId="0B57B035" w:rsidR="00F47371" w:rsidRPr="00A626CC" w:rsidRDefault="00F47371" w:rsidP="00A626CC">
      <w:pPr>
        <w:pStyle w:val="ListBullet"/>
        <w:numPr>
          <w:ilvl w:val="0"/>
          <w:numId w:val="104"/>
        </w:numPr>
      </w:pPr>
      <w:r w:rsidRPr="00A626CC">
        <w:rPr>
          <w:b/>
        </w:rPr>
        <w:t xml:space="preserve">EOPO 3: </w:t>
      </w:r>
      <w:r w:rsidRPr="00A626CC">
        <w:t xml:space="preserve">The </w:t>
      </w:r>
      <w:r w:rsidR="007368E7" w:rsidRPr="00A626CC">
        <w:t>PALM scheme</w:t>
      </w:r>
      <w:r w:rsidR="005A2338" w:rsidRPr="00A626CC">
        <w:t xml:space="preserve"> </w:t>
      </w:r>
      <w:r w:rsidRPr="00A626CC">
        <w:t>maximises benefit and minimises risk to Pacific women and men workers and Pacific and Australian communities. </w:t>
      </w:r>
    </w:p>
    <w:p w14:paraId="40035344" w14:textId="56D46781" w:rsidR="00F47371" w:rsidRPr="00A626CC" w:rsidRDefault="00221A57" w:rsidP="00A626CC">
      <w:r w:rsidRPr="00A626CC">
        <w:t>In general terms, PLF achieved the broad foci of all three outcomes under difficult circumstances. This is most evident in the growth (</w:t>
      </w:r>
      <w:r w:rsidRPr="00A626CC">
        <w:rPr>
          <w:b/>
        </w:rPr>
        <w:t>EOPO 1</w:t>
      </w:r>
      <w:r w:rsidRPr="00A626CC">
        <w:t>) in the number of long-term workers in Australia. At the time PLF was mobilised (</w:t>
      </w:r>
      <w:r w:rsidR="00914910">
        <w:t>late</w:t>
      </w:r>
      <w:r w:rsidRPr="00A626CC">
        <w:t xml:space="preserve"> 2018) there were a total of </w:t>
      </w:r>
      <w:r w:rsidRPr="00A626CC">
        <w:rPr>
          <w:b/>
        </w:rPr>
        <w:t>91 workers</w:t>
      </w:r>
      <w:r w:rsidRPr="00A626CC">
        <w:t xml:space="preserve"> in Australia under the then Northern Australia Worker Pilot Program (NAWPP). These visa holders were transferred to PLS. As at the end of September 2023 there were </w:t>
      </w:r>
      <w:r w:rsidRPr="00A626CC">
        <w:rPr>
          <w:b/>
        </w:rPr>
        <w:t>14,453</w:t>
      </w:r>
      <w:r w:rsidRPr="00A626CC">
        <w:t xml:space="preserve"> long-term workers in Australia, representing growth of </w:t>
      </w:r>
      <w:r w:rsidRPr="00A626CC">
        <w:rPr>
          <w:b/>
        </w:rPr>
        <w:t>15,782%</w:t>
      </w:r>
      <w:r w:rsidRPr="00A626CC">
        <w:t xml:space="preserve">. In relation to the short-term </w:t>
      </w:r>
      <w:r w:rsidR="003E2D22">
        <w:t>stream</w:t>
      </w:r>
      <w:r w:rsidRPr="00A626CC">
        <w:t xml:space="preserve">, numbers have also grown. </w:t>
      </w:r>
      <w:r w:rsidR="00F47371" w:rsidRPr="00A626CC">
        <w:t>A PLF man</w:t>
      </w:r>
      <w:r w:rsidR="00FE4D9F" w:rsidRPr="00A626CC">
        <w:t>a</w:t>
      </w:r>
      <w:r w:rsidR="00F47371" w:rsidRPr="00A626CC">
        <w:t>ger reflected: </w:t>
      </w:r>
    </w:p>
    <w:p w14:paraId="5A9E1BA9" w14:textId="77777777" w:rsidR="00F47371" w:rsidRPr="00A626CC" w:rsidRDefault="00F47371" w:rsidP="00A626CC">
      <w:pPr>
        <w:pStyle w:val="Quote"/>
      </w:pPr>
      <w:r w:rsidRPr="00A626CC">
        <w:t>“Initially the concern was, would anybody want workers? The whole orientation of the program was about building demand in Australia. The situation is now very different to what it was then…the original design anticipated 2,000 workers, a target which seemed too big to imagine”. </w:t>
      </w:r>
    </w:p>
    <w:p w14:paraId="7E9818ED" w14:textId="0DD46FB2" w:rsidR="00F47371" w:rsidRPr="00A626CC" w:rsidRDefault="00526B40" w:rsidP="00A626CC">
      <w:r w:rsidRPr="00A626CC">
        <w:t xml:space="preserve">A core intention of the Australian </w:t>
      </w:r>
      <w:r w:rsidR="00977E1B" w:rsidRPr="00A626CC">
        <w:t xml:space="preserve">Government in establishing the scheme was to demonstrate responsiveness to </w:t>
      </w:r>
      <w:r w:rsidR="00E76733">
        <w:t>PTL</w:t>
      </w:r>
      <w:r w:rsidR="00E76733" w:rsidRPr="00A626CC">
        <w:t xml:space="preserve"> </w:t>
      </w:r>
      <w:r w:rsidR="00977E1B" w:rsidRPr="00A626CC">
        <w:t>requests for better access to the Australian labour market. While growth was always an intention—and explicitly part of the PLF scope</w:t>
      </w:r>
      <w:r w:rsidR="003B56E2" w:rsidRPr="00A626CC">
        <w:t xml:space="preserve"> of work—t</w:t>
      </w:r>
      <w:r w:rsidR="00F47371" w:rsidRPr="00A626CC">
        <w:t xml:space="preserve">he unanticipated </w:t>
      </w:r>
      <w:r w:rsidR="003B56E2" w:rsidRPr="00A626CC">
        <w:t xml:space="preserve">high </w:t>
      </w:r>
      <w:r w:rsidR="00F47371" w:rsidRPr="00A626CC">
        <w:t xml:space="preserve">growth was driven by at least </w:t>
      </w:r>
      <w:r w:rsidR="00BD0D31" w:rsidRPr="00A626CC">
        <w:t xml:space="preserve">four interconnected </w:t>
      </w:r>
      <w:r w:rsidR="00F47371" w:rsidRPr="00A626CC">
        <w:t>factors: </w:t>
      </w:r>
    </w:p>
    <w:p w14:paraId="3D8DB665" w14:textId="77777777" w:rsidR="007020B0" w:rsidRPr="00A626CC" w:rsidRDefault="007020B0" w:rsidP="00550833">
      <w:pPr>
        <w:pStyle w:val="ListNumber"/>
        <w:numPr>
          <w:ilvl w:val="0"/>
          <w:numId w:val="177"/>
        </w:numPr>
      </w:pPr>
      <w:r w:rsidRPr="00A626CC">
        <w:t>Australian labour market forces which manifested as falling unemployment rates, creating additional demand for foreign workers.  </w:t>
      </w:r>
    </w:p>
    <w:p w14:paraId="009B08A0" w14:textId="77777777" w:rsidR="007020B0" w:rsidRPr="00A626CC" w:rsidRDefault="007020B0" w:rsidP="00550833">
      <w:pPr>
        <w:pStyle w:val="ListNumber"/>
        <w:numPr>
          <w:ilvl w:val="0"/>
          <w:numId w:val="177"/>
        </w:numPr>
      </w:pPr>
      <w:r w:rsidRPr="00A626CC">
        <w:t>COVID-19 border closures which created additional demand for workers—especially in key industries such as meat processing where a small number of large labour hire companies harnessed the opportunity presented by the PALM scheme.</w:t>
      </w:r>
      <w:r w:rsidRPr="00A626CC">
        <w:rPr>
          <w:rStyle w:val="FootnoteReference"/>
        </w:rPr>
        <w:footnoteReference w:id="19"/>
      </w:r>
      <w:r w:rsidRPr="00A626CC">
        <w:t>  </w:t>
      </w:r>
    </w:p>
    <w:p w14:paraId="56A6A3FC" w14:textId="77777777" w:rsidR="007020B0" w:rsidRPr="00A626CC" w:rsidRDefault="007020B0" w:rsidP="00550833">
      <w:pPr>
        <w:pStyle w:val="ListNumber"/>
        <w:numPr>
          <w:ilvl w:val="0"/>
          <w:numId w:val="177"/>
        </w:numPr>
      </w:pPr>
      <w:r w:rsidRPr="00A626CC">
        <w:t>Pacific workers had developed a reputation for being quality, reliable workers. </w:t>
      </w:r>
    </w:p>
    <w:p w14:paraId="51EDEDC9" w14:textId="77777777" w:rsidR="007020B0" w:rsidRPr="00A626CC" w:rsidRDefault="007020B0" w:rsidP="00550833">
      <w:pPr>
        <w:pStyle w:val="ListNumber"/>
        <w:numPr>
          <w:ilvl w:val="0"/>
          <w:numId w:val="177"/>
        </w:numPr>
      </w:pPr>
      <w:r w:rsidRPr="00A626CC">
        <w:t>Sending countries were seeking labour mobility work opportunities to counter impacts of the pandemic on their economies.</w:t>
      </w:r>
    </w:p>
    <w:p w14:paraId="3F4DFFE6" w14:textId="77777777" w:rsidR="00F47371" w:rsidRPr="00A626CC" w:rsidRDefault="00F47371" w:rsidP="00A626CC">
      <w:r w:rsidRPr="00A626CC">
        <w:t>A DEWR official observed:  </w:t>
      </w:r>
    </w:p>
    <w:p w14:paraId="2E5EF1EC" w14:textId="131C9129" w:rsidR="00F47371" w:rsidRPr="00A626CC" w:rsidRDefault="00F47371" w:rsidP="00A626CC">
      <w:pPr>
        <w:pStyle w:val="Quote"/>
      </w:pPr>
      <w:r w:rsidRPr="00A626CC">
        <w:t xml:space="preserve">“There was a massive incentive to bring people into Australia because there were </w:t>
      </w:r>
      <w:r w:rsidR="00142FE6" w:rsidRPr="00A626CC">
        <w:t xml:space="preserve">[insufficient] </w:t>
      </w:r>
      <w:r w:rsidRPr="00A626CC">
        <w:t>workers. The</w:t>
      </w:r>
      <w:r w:rsidR="009402C0" w:rsidRPr="00A626CC">
        <w:t xml:space="preserve"> [limited economic opportunities</w:t>
      </w:r>
      <w:r w:rsidR="008E1FBD" w:rsidRPr="00A626CC">
        <w:t xml:space="preserve"> in the Pacific] provided an </w:t>
      </w:r>
      <w:r w:rsidRPr="00A626CC">
        <w:t>incentive to supply workers”. </w:t>
      </w:r>
    </w:p>
    <w:p w14:paraId="0B73BCA2" w14:textId="3C68B6F8" w:rsidR="00F47371" w:rsidRPr="00A626CC" w:rsidRDefault="00F47371" w:rsidP="00A626CC">
      <w:r w:rsidRPr="00A626CC">
        <w:lastRenderedPageBreak/>
        <w:t>The evaluation team heard broad acknowledgement from a diversity of interviewees about PLF’s responsiveness and professionalism in the context of dramatic growth. An independent researcher observed: </w:t>
      </w:r>
    </w:p>
    <w:p w14:paraId="72185AC8" w14:textId="77777777" w:rsidR="00F47371" w:rsidRPr="00A626CC" w:rsidRDefault="00F47371" w:rsidP="00A626CC">
      <w:pPr>
        <w:pStyle w:val="Quote"/>
      </w:pPr>
      <w:r w:rsidRPr="00A626CC">
        <w:t>“What has worked well is PLF’s responsiveness to changes that were externally imposed…flexibility has been the main strength. The whole meat industry scale-up was impressive—a huge achievement in the context of COVID”. </w:t>
      </w:r>
    </w:p>
    <w:p w14:paraId="4FB5C342" w14:textId="712F0EF8" w:rsidR="005F1308" w:rsidRPr="00A626CC" w:rsidRDefault="00CA3DC4" w:rsidP="00A626CC">
      <w:r w:rsidRPr="00A626CC">
        <w:t xml:space="preserve">In relation to </w:t>
      </w:r>
      <w:r w:rsidRPr="00A626CC">
        <w:rPr>
          <w:b/>
        </w:rPr>
        <w:t>EOPO 2</w:t>
      </w:r>
      <w:r w:rsidRPr="00A626CC">
        <w:t xml:space="preserve">, the long-term stream has grown </w:t>
      </w:r>
      <w:r w:rsidR="00772AB9" w:rsidRPr="00A626CC">
        <w:t xml:space="preserve">from </w:t>
      </w:r>
      <w:r w:rsidR="00772AB9" w:rsidRPr="00A626CC">
        <w:rPr>
          <w:b/>
        </w:rPr>
        <w:t>36 AEs</w:t>
      </w:r>
      <w:r w:rsidR="00772AB9" w:rsidRPr="00A626CC">
        <w:t xml:space="preserve"> in FY2018-19 </w:t>
      </w:r>
      <w:r w:rsidR="006D0051" w:rsidRPr="00A626CC">
        <w:t xml:space="preserve">to a current </w:t>
      </w:r>
      <w:r w:rsidR="006D0051" w:rsidRPr="00A626CC">
        <w:rPr>
          <w:b/>
        </w:rPr>
        <w:t>460</w:t>
      </w:r>
      <w:r w:rsidR="006D0051" w:rsidRPr="00A626CC">
        <w:t xml:space="preserve"> (including all PALM scheme AEs)</w:t>
      </w:r>
      <w:r w:rsidR="00CA69DF" w:rsidRPr="00A626CC">
        <w:t xml:space="preserve"> </w:t>
      </w:r>
      <w:r w:rsidRPr="00A626CC">
        <w:t xml:space="preserve">covering </w:t>
      </w:r>
      <w:r w:rsidR="00CA69DF" w:rsidRPr="00A626CC">
        <w:rPr>
          <w:b/>
        </w:rPr>
        <w:t>33</w:t>
      </w:r>
      <w:r w:rsidRPr="00A626CC">
        <w:t xml:space="preserve"> industries</w:t>
      </w:r>
      <w:r w:rsidR="00932EE4" w:rsidRPr="00A626CC">
        <w:t xml:space="preserve">. </w:t>
      </w:r>
      <w:r w:rsidR="00C9520D" w:rsidRPr="00A626CC">
        <w:t xml:space="preserve">At the time of this evaluation there were </w:t>
      </w:r>
      <w:r w:rsidR="002A2004" w:rsidRPr="00A626CC">
        <w:t xml:space="preserve">a further </w:t>
      </w:r>
      <w:r w:rsidR="00C9520D" w:rsidRPr="00A626CC">
        <w:t>167 applications by prospective AEs under review</w:t>
      </w:r>
      <w:r w:rsidR="002A2004" w:rsidRPr="00A626CC">
        <w:t>. M</w:t>
      </w:r>
      <w:r w:rsidR="00DD56DF" w:rsidRPr="00A626CC">
        <w:t xml:space="preserve">any stakeholders </w:t>
      </w:r>
      <w:r w:rsidR="00FF2F26" w:rsidRPr="00A626CC">
        <w:t>acknowledged apparent sustainability in demand for</w:t>
      </w:r>
      <w:r w:rsidR="00DC2C40" w:rsidRPr="00A626CC">
        <w:t xml:space="preserve"> short-term workers by Australian employers</w:t>
      </w:r>
      <w:r w:rsidRPr="00A626CC">
        <w:t xml:space="preserve">. </w:t>
      </w:r>
      <w:r w:rsidR="00DC2C40" w:rsidRPr="00A626CC">
        <w:t xml:space="preserve"> </w:t>
      </w:r>
    </w:p>
    <w:p w14:paraId="166FBF4B" w14:textId="03D20C95" w:rsidR="00496EA6" w:rsidRDefault="00041776" w:rsidP="00A626CC">
      <w:r w:rsidRPr="00A626CC">
        <w:t>A</w:t>
      </w:r>
      <w:r w:rsidR="001A30A0" w:rsidRPr="00A626CC">
        <w:t xml:space="preserve"> more nuanced </w:t>
      </w:r>
      <w:r w:rsidRPr="00A626CC">
        <w:t xml:space="preserve">emphasis within EOPO 2 </w:t>
      </w:r>
      <w:r w:rsidR="009E31A3" w:rsidRPr="00A626CC">
        <w:t xml:space="preserve">relates to </w:t>
      </w:r>
      <w:r w:rsidR="00F11B57" w:rsidRPr="00A626CC">
        <w:t>the promotion of gender equality</w:t>
      </w:r>
      <w:r w:rsidR="000D759F">
        <w:t>, disability</w:t>
      </w:r>
      <w:r w:rsidR="00F11B57" w:rsidRPr="00A626CC">
        <w:t xml:space="preserve"> and social inclusion</w:t>
      </w:r>
      <w:r w:rsidR="009F4DB2" w:rsidRPr="00A626CC">
        <w:t xml:space="preserve"> (GEDSI)</w:t>
      </w:r>
      <w:r w:rsidR="00F11B57" w:rsidRPr="00A626CC">
        <w:t xml:space="preserve">. </w:t>
      </w:r>
      <w:r w:rsidR="0003648E" w:rsidRPr="00A626CC">
        <w:t>In this regard</w:t>
      </w:r>
      <w:r w:rsidR="001A30A0" w:rsidRPr="00A626CC">
        <w:t xml:space="preserve">, </w:t>
      </w:r>
      <w:r w:rsidR="0003648E" w:rsidRPr="00A626CC">
        <w:t>w</w:t>
      </w:r>
      <w:r w:rsidR="001A30A0" w:rsidRPr="00A626CC">
        <w:t xml:space="preserve">hile there is clear evidence of growing and sustainable demand in Australia for workers from the Pacific and Timor-Leste, and while </w:t>
      </w:r>
      <w:r w:rsidR="00AE184D" w:rsidRPr="00AE184D">
        <w:t>the number of women increased substantially since 2018</w:t>
      </w:r>
      <w:r w:rsidR="00F83CCD">
        <w:rPr>
          <w:rFonts w:ascii="Calibri" w:hAnsi="Calibri" w:cs="Calibri"/>
        </w:rPr>
        <w:t>‒</w:t>
      </w:r>
      <w:r w:rsidR="00AE184D" w:rsidRPr="00AE184D">
        <w:t xml:space="preserve">19, women </w:t>
      </w:r>
      <w:r w:rsidR="00453966">
        <w:t>make up</w:t>
      </w:r>
      <w:r w:rsidR="00AE184D" w:rsidRPr="00AE184D">
        <w:t xml:space="preserve"> </w:t>
      </w:r>
      <w:r w:rsidR="00804E04">
        <w:t xml:space="preserve">just </w:t>
      </w:r>
      <w:r w:rsidR="00AE184D" w:rsidRPr="00AE184D">
        <w:t>20% of the current worker caseload</w:t>
      </w:r>
      <w:r w:rsidR="001A30A0" w:rsidRPr="00A626CC">
        <w:t xml:space="preserve">. </w:t>
      </w:r>
      <w:r w:rsidR="00F83DCA" w:rsidRPr="00A626CC">
        <w:t xml:space="preserve">The evaluation team was advised </w:t>
      </w:r>
      <w:r w:rsidR="009F4DB2" w:rsidRPr="00A626CC">
        <w:t>of a range of important initiatives undertaken by PLF to promote</w:t>
      </w:r>
      <w:r w:rsidR="00B21698" w:rsidRPr="00A626CC">
        <w:t xml:space="preserve"> GEDSI, but the</w:t>
      </w:r>
      <w:r w:rsidR="008C6DBA" w:rsidRPr="00A626CC">
        <w:t xml:space="preserve"> above</w:t>
      </w:r>
      <w:r w:rsidR="00B21698" w:rsidRPr="00A626CC">
        <w:t xml:space="preserve"> figures highlight </w:t>
      </w:r>
      <w:r w:rsidR="00D20AF3" w:rsidRPr="00A626CC">
        <w:t xml:space="preserve">the </w:t>
      </w:r>
      <w:r w:rsidR="00B21698" w:rsidRPr="00A626CC">
        <w:t xml:space="preserve">fact that </w:t>
      </w:r>
      <w:r w:rsidR="00B37161" w:rsidRPr="00A626CC">
        <w:t>major</w:t>
      </w:r>
      <w:r w:rsidR="00F47371" w:rsidRPr="00A626CC">
        <w:t xml:space="preserve"> cultural and workplace challenges </w:t>
      </w:r>
      <w:r w:rsidR="001921B5" w:rsidRPr="00A626CC">
        <w:t>endure</w:t>
      </w:r>
      <w:r w:rsidR="006846FD" w:rsidRPr="00A626CC">
        <w:t xml:space="preserve"> </w:t>
      </w:r>
      <w:r w:rsidR="00F47371" w:rsidRPr="00A626CC">
        <w:t xml:space="preserve">in </w:t>
      </w:r>
      <w:r w:rsidR="00D20AF3" w:rsidRPr="0048730C">
        <w:t xml:space="preserve">labour </w:t>
      </w:r>
      <w:r w:rsidR="00F47371" w:rsidRPr="0048730C">
        <w:t>sending</w:t>
      </w:r>
      <w:r w:rsidR="00F47371" w:rsidRPr="00A626CC">
        <w:t xml:space="preserve"> countries and in Australian workplaces in relation to the gender equality agenda</w:t>
      </w:r>
      <w:r w:rsidR="00F72F2A" w:rsidRPr="00A626CC">
        <w:t>.</w:t>
      </w:r>
      <w:r w:rsidR="008C6DBA" w:rsidRPr="00A626CC">
        <w:rPr>
          <w:rStyle w:val="FootnoteReference"/>
        </w:rPr>
        <w:footnoteReference w:id="20"/>
      </w:r>
      <w:r w:rsidR="00F72F2A" w:rsidRPr="00A626CC">
        <w:t xml:space="preserve"> Unsurprisingly, there were limits to what PLF could influence in this regard</w:t>
      </w:r>
      <w:r w:rsidR="00C264E0" w:rsidRPr="00A626CC">
        <w:t xml:space="preserve">. Many stakeholders acknowledged the need for </w:t>
      </w:r>
      <w:r w:rsidR="00534937" w:rsidRPr="00A626CC">
        <w:t xml:space="preserve">more </w:t>
      </w:r>
      <w:r w:rsidR="001921B5" w:rsidRPr="00A626CC">
        <w:t>time and persistence</w:t>
      </w:r>
      <w:r w:rsidR="00423061" w:rsidRPr="00A626CC">
        <w:t xml:space="preserve"> to further improve equality and inclusion in the scheme</w:t>
      </w:r>
      <w:r w:rsidR="00F47371" w:rsidRPr="00A626CC">
        <w:t>.</w:t>
      </w:r>
      <w:r w:rsidR="00423061" w:rsidRPr="00A626CC">
        <w:t xml:space="preserve"> </w:t>
      </w:r>
    </w:p>
    <w:p w14:paraId="2C396B8C" w14:textId="77777777" w:rsidR="00496EA6" w:rsidRDefault="00496EA6">
      <w:r>
        <w:br w:type="page"/>
      </w:r>
    </w:p>
    <w:p w14:paraId="5EBD9AE7" w14:textId="77777777" w:rsidR="00F47371" w:rsidRPr="00A626CC" w:rsidRDefault="00F47371" w:rsidP="00A626CC">
      <w:pPr>
        <w:pStyle w:val="Tealblockheading"/>
      </w:pPr>
      <w:r w:rsidRPr="00A626CC">
        <w:lastRenderedPageBreak/>
        <w:t>GEDSI </w:t>
      </w:r>
    </w:p>
    <w:p w14:paraId="2AEC6A82" w14:textId="45BCACC6" w:rsidR="00F47371" w:rsidRPr="00A626CC" w:rsidRDefault="00F47371" w:rsidP="00A626CC">
      <w:pPr>
        <w:pStyle w:val="Tealblocktext"/>
      </w:pPr>
      <w:r w:rsidRPr="00A626CC">
        <w:t xml:space="preserve">PLF appointed two staff in 2020/21 to advance the gender equality, </w:t>
      </w:r>
      <w:r w:rsidR="00BA49EF" w:rsidRPr="00A626CC">
        <w:t>disability,</w:t>
      </w:r>
      <w:r w:rsidRPr="00A626CC">
        <w:t xml:space="preserve"> and social inclusion (GEDSI) agenda in the scheme. Progress was hampered by COVID-19 but notable initiatives are underway; for example: i) establishment of an inclusive employment working group that draws representatives from all PLF teams to identify actions that strengthen GEDSI in PALM scheme systems; ii) integrating GEDSI responsibilities into key PLF in-country position descriptions; iii) undertaking </w:t>
      </w:r>
      <w:r w:rsidR="006D07D7" w:rsidRPr="00A626CC">
        <w:t>three</w:t>
      </w:r>
      <w:r w:rsidRPr="00A626CC">
        <w:t xml:space="preserve"> aged care initiatives to increase employment opportunities for women; </w:t>
      </w:r>
      <w:r w:rsidR="003C34E0" w:rsidRPr="00A626CC">
        <w:t>iv) prioritising GEDSI in the LSU capacity self-assessments that PLF facilitate; v) GEDSI training for PLS staff;  vi) resources such as fact sheets and training materials for various target audiences to address GEDSI-related matters such as gender-based violence and sexual health.</w:t>
      </w:r>
      <w:r w:rsidRPr="00A626CC">
        <w:t>.  </w:t>
      </w:r>
    </w:p>
    <w:p w14:paraId="5C023B8F" w14:textId="77777777" w:rsidR="00ED1859" w:rsidRPr="00A626CC" w:rsidRDefault="00ED1859" w:rsidP="00A626CC">
      <w:pPr>
        <w:pStyle w:val="Tealblocktext"/>
      </w:pPr>
      <w:r w:rsidRPr="00A626CC">
        <w:t xml:space="preserve">Importantly, the concept of GEDSI as a policy priority has been expanded to encompass key issues across the labour mobility “journey” such as family separation, child protection for children left at home, and family psychosocial wellbeing. </w:t>
      </w:r>
    </w:p>
    <w:p w14:paraId="15B671C6" w14:textId="011A6094" w:rsidR="00F1740A" w:rsidRPr="00A626CC" w:rsidRDefault="00ED1859" w:rsidP="00F1740A">
      <w:pPr>
        <w:pStyle w:val="Tealblocktext"/>
      </w:pPr>
      <w:r w:rsidRPr="00A626CC">
        <w:t xml:space="preserve">Notwithstanding a range of significant initiatives to promote inclusive recruitment practices, worker recruitment remains heavily male dominant. There have been some gains in recruitment of women in aged care (approximately 65% female) and meat processing (approximately 26% female), but women continue represent a small proportion (about a fifth) of PALM scheme workers. </w:t>
      </w:r>
    </w:p>
    <w:p w14:paraId="434BFE6B" w14:textId="0AD9DAC4" w:rsidR="00F47371" w:rsidRPr="00A626CC" w:rsidRDefault="00ED1859" w:rsidP="001648B0">
      <w:pPr>
        <w:pStyle w:val="Tealblocktext"/>
      </w:pPr>
      <w:r w:rsidRPr="00A626CC">
        <w:t xml:space="preserve">A Disability Inclusion Pathway Design was produced in April 2022 which was reviewed by DFAT’s Disability, Indigenous Issues and Social Inclusion Section. Progress has been made in </w:t>
      </w:r>
      <w:r w:rsidRPr="0048730C">
        <w:t>sending</w:t>
      </w:r>
      <w:r w:rsidRPr="00A626CC">
        <w:t xml:space="preserve"> countries via a range of initiatives to support LSUs to include </w:t>
      </w:r>
      <w:r w:rsidR="004B1DFC" w:rsidRPr="00A626CC">
        <w:t>d</w:t>
      </w:r>
      <w:r w:rsidRPr="00A626CC">
        <w:t xml:space="preserve">isability </w:t>
      </w:r>
      <w:r w:rsidR="004B1DFC" w:rsidRPr="00A626CC">
        <w:t>i</w:t>
      </w:r>
      <w:r w:rsidRPr="00A626CC">
        <w:t>nclusion in their work. However, implementing this document has proven to be more problematic at the Australian-end, with AEs’ apparent reluctance to recruit PALM scheme workers</w:t>
      </w:r>
      <w:r w:rsidR="00267E8A" w:rsidRPr="00A626CC">
        <w:t xml:space="preserve"> with disability</w:t>
      </w:r>
      <w:r w:rsidRPr="00A626CC">
        <w:t xml:space="preserve">. A study was starting at the time of interviewing for this evaluation to understand how AEs could be supported in PALM scheme </w:t>
      </w:r>
      <w:r w:rsidR="004B1DFC" w:rsidRPr="00A626CC">
        <w:t>d</w:t>
      </w:r>
      <w:r w:rsidRPr="00A626CC">
        <w:t xml:space="preserve">isability </w:t>
      </w:r>
      <w:r w:rsidR="004B1DFC" w:rsidRPr="00A626CC">
        <w:t>i</w:t>
      </w:r>
      <w:r w:rsidRPr="00A626CC">
        <w:t xml:space="preserve">nclusion efforts. This lack of progress is likely a reflection of many Australian employers’ ambivalent responses to </w:t>
      </w:r>
      <w:r w:rsidR="004B1DFC" w:rsidRPr="00A626CC">
        <w:t>d</w:t>
      </w:r>
      <w:r w:rsidRPr="00A626CC">
        <w:t xml:space="preserve">isability </w:t>
      </w:r>
      <w:r w:rsidR="004B1DFC" w:rsidRPr="00A626CC">
        <w:t>i</w:t>
      </w:r>
      <w:r w:rsidRPr="00A626CC">
        <w:t>nclusion, rather than a PALM scheme-specific issue</w:t>
      </w:r>
      <w:r w:rsidR="00F47371" w:rsidRPr="00A626CC" w:rsidDel="004B1DFC">
        <w:t>.</w:t>
      </w:r>
      <w:r w:rsidR="00F47371" w:rsidRPr="00A626CC">
        <w:t> </w:t>
      </w:r>
    </w:p>
    <w:p w14:paraId="556C1DC5" w14:textId="71988217" w:rsidR="00F47371" w:rsidRPr="00A626CC" w:rsidRDefault="00DC66A4" w:rsidP="00A626CC">
      <w:r w:rsidRPr="00A626CC">
        <w:t xml:space="preserve">An important </w:t>
      </w:r>
      <w:r w:rsidR="00F47371" w:rsidRPr="00A626CC">
        <w:t xml:space="preserve">value proposition to the </w:t>
      </w:r>
      <w:r w:rsidR="000F7DE6" w:rsidRPr="00A626CC">
        <w:t>Australian Government</w:t>
      </w:r>
      <w:r w:rsidR="00F47371" w:rsidRPr="00A626CC">
        <w:t xml:space="preserve"> </w:t>
      </w:r>
      <w:r w:rsidR="006028D2" w:rsidRPr="00A626CC">
        <w:t xml:space="preserve">of an outsourced facility such as PLF is reflected </w:t>
      </w:r>
      <w:r w:rsidR="00F47371" w:rsidRPr="00A626CC">
        <w:t xml:space="preserve">in </w:t>
      </w:r>
      <w:r w:rsidR="00F47371" w:rsidRPr="00A626CC">
        <w:rPr>
          <w:b/>
        </w:rPr>
        <w:t>EOPO 3</w:t>
      </w:r>
      <w:r w:rsidR="00B202F0" w:rsidRPr="00A626CC">
        <w:rPr>
          <w:b/>
        </w:rPr>
        <w:t xml:space="preserve"> </w:t>
      </w:r>
      <w:r w:rsidR="00F47371" w:rsidRPr="00A626CC">
        <w:t xml:space="preserve">in </w:t>
      </w:r>
      <w:r w:rsidR="00B202F0" w:rsidRPr="00A626CC">
        <w:t xml:space="preserve">relation to </w:t>
      </w:r>
      <w:r w:rsidR="00F47371" w:rsidRPr="00A626CC">
        <w:t>PLF's efforts to minimise risk to Pacific</w:t>
      </w:r>
      <w:r w:rsidR="00B202F0" w:rsidRPr="00A626CC">
        <w:t>/Timorese</w:t>
      </w:r>
      <w:r w:rsidR="00F47371" w:rsidRPr="00A626CC">
        <w:t xml:space="preserve"> women and men workers while they are working in Australia. Reflecting on risks, </w:t>
      </w:r>
      <w:r w:rsidR="00BE4C83" w:rsidRPr="00A626CC">
        <w:t xml:space="preserve">a senior </w:t>
      </w:r>
      <w:r w:rsidR="00F47371" w:rsidRPr="00A626CC">
        <w:t xml:space="preserve">PLF </w:t>
      </w:r>
      <w:r w:rsidR="00BE4C83" w:rsidRPr="00A626CC">
        <w:t xml:space="preserve">team member </w:t>
      </w:r>
      <w:r w:rsidR="00F47371" w:rsidRPr="00A626CC">
        <w:t>said: </w:t>
      </w:r>
    </w:p>
    <w:p w14:paraId="2FBEF2AC" w14:textId="77777777" w:rsidR="00F47371" w:rsidRPr="00A626CC" w:rsidRDefault="00F47371" w:rsidP="00A626CC">
      <w:pPr>
        <w:pStyle w:val="Quote"/>
      </w:pPr>
      <w:r w:rsidRPr="00A626CC">
        <w:t>“What PLF does is manage risks for DFAT and DEWR, whether conducting due diligence on employers, supporting workers when they’re in trouble, the compliance and assurance work for DEWR or the offshore services to help LSUs supply workers to meet demand”. </w:t>
      </w:r>
    </w:p>
    <w:p w14:paraId="4B707DBC" w14:textId="77777777" w:rsidR="00F47371" w:rsidRPr="00A626CC" w:rsidRDefault="00F47371" w:rsidP="00A626CC">
      <w:r w:rsidRPr="00A626CC">
        <w:t>Another senior PLF team member described the risks associated with labour mobility for sending countries and the challenges associated with supporting them: </w:t>
      </w:r>
    </w:p>
    <w:p w14:paraId="3594798D" w14:textId="4381085D" w:rsidR="00F47371" w:rsidRPr="00A626CC" w:rsidRDefault="00F47371" w:rsidP="00A626CC">
      <w:pPr>
        <w:pStyle w:val="Quote"/>
      </w:pPr>
      <w:r w:rsidRPr="00A626CC">
        <w:t>“The range of risks needs to be managed because they can undermine the social license of the scheme, both in Australia and in the region…But there’s a real bind between being paternalistic in supporting PICs to address risks and the domestic implications of labour mobility, but then overloading PICs governments and burdening them, or permitting harm”. </w:t>
      </w:r>
    </w:p>
    <w:p w14:paraId="3A123649" w14:textId="77777777" w:rsidR="000932BD" w:rsidRDefault="000932BD">
      <w:r>
        <w:br w:type="page"/>
      </w:r>
    </w:p>
    <w:p w14:paraId="1C07F16A" w14:textId="5FA0E230" w:rsidR="00F47371" w:rsidRPr="00A626CC" w:rsidRDefault="00F47371" w:rsidP="00A626CC">
      <w:r w:rsidRPr="00A626CC">
        <w:lastRenderedPageBreak/>
        <w:t>The key risks for workers and the scheme itself can be understood to arise from the key phases of circular labour mobility: </w:t>
      </w:r>
    </w:p>
    <w:p w14:paraId="77C52527" w14:textId="77777777" w:rsidR="00F47371" w:rsidRPr="00A626CC" w:rsidRDefault="00F47371" w:rsidP="00A626CC">
      <w:pPr>
        <w:pStyle w:val="ListBullet"/>
        <w:numPr>
          <w:ilvl w:val="0"/>
          <w:numId w:val="109"/>
        </w:numPr>
      </w:pPr>
      <w:r w:rsidRPr="00A626CC">
        <w:t>Worker readiness </w:t>
      </w:r>
    </w:p>
    <w:p w14:paraId="612F4B77" w14:textId="77777777" w:rsidR="00F47371" w:rsidRPr="00A626CC" w:rsidRDefault="00F47371" w:rsidP="00A626CC">
      <w:pPr>
        <w:pStyle w:val="ListBullet"/>
        <w:numPr>
          <w:ilvl w:val="0"/>
          <w:numId w:val="110"/>
        </w:numPr>
      </w:pPr>
      <w:r w:rsidRPr="00A626CC">
        <w:t>Worker welfare </w:t>
      </w:r>
    </w:p>
    <w:p w14:paraId="6E6F0FA3" w14:textId="3F117CA7" w:rsidR="00F47371" w:rsidRPr="00A626CC" w:rsidRDefault="00F47371" w:rsidP="00A626CC">
      <w:pPr>
        <w:pStyle w:val="ListBullet"/>
        <w:numPr>
          <w:ilvl w:val="0"/>
          <w:numId w:val="111"/>
        </w:numPr>
      </w:pPr>
      <w:r w:rsidRPr="00A626CC">
        <w:t xml:space="preserve">Worker </w:t>
      </w:r>
      <w:r w:rsidR="00230C46">
        <w:t>reintegration</w:t>
      </w:r>
      <w:r w:rsidRPr="00A626CC">
        <w:t> </w:t>
      </w:r>
    </w:p>
    <w:p w14:paraId="35B7C046" w14:textId="6E544524" w:rsidR="00F47371" w:rsidRPr="00A626CC" w:rsidRDefault="00F47371" w:rsidP="00A626CC">
      <w:r w:rsidRPr="00A626CC">
        <w:t xml:space="preserve">The risks associated with each of these </w:t>
      </w:r>
      <w:r w:rsidR="008E0BBF" w:rsidRPr="00A626CC">
        <w:t>three</w:t>
      </w:r>
      <w:r w:rsidRPr="00A626CC">
        <w:t xml:space="preserve"> phases and how they have been managed by PLF are discussed below in relation to EOPO 3. </w:t>
      </w:r>
    </w:p>
    <w:p w14:paraId="6558122C" w14:textId="77777777" w:rsidR="00F47371" w:rsidRPr="00A626CC" w:rsidRDefault="00F47371" w:rsidP="00A626CC">
      <w:pPr>
        <w:pStyle w:val="Heading3nonumber"/>
      </w:pPr>
      <w:r w:rsidRPr="00A626CC">
        <w:t>Worker readiness </w:t>
      </w:r>
    </w:p>
    <w:p w14:paraId="5D73053A" w14:textId="1990C7D6" w:rsidR="009019FF" w:rsidRPr="00A626CC" w:rsidRDefault="009019FF" w:rsidP="00A626CC">
      <w:r w:rsidRPr="00A626CC">
        <w:t xml:space="preserve">Preparing workers for working and living in Australia is the responsibility of sending countries. A key PLF initiative </w:t>
      </w:r>
      <w:r w:rsidR="000F7DE6" w:rsidRPr="00A626CC">
        <w:t xml:space="preserve">was the </w:t>
      </w:r>
      <w:r w:rsidRPr="00A626CC">
        <w:t xml:space="preserve">development and refinement of pre-departure briefing (PDB) material for </w:t>
      </w:r>
      <w:r w:rsidR="00D96721" w:rsidRPr="0048730C">
        <w:t xml:space="preserve">labour </w:t>
      </w:r>
      <w:r w:rsidRPr="0048730C">
        <w:t>sending</w:t>
      </w:r>
      <w:r w:rsidRPr="00A626CC">
        <w:t xml:space="preserve"> country governments </w:t>
      </w:r>
      <w:r w:rsidR="00D96721" w:rsidRPr="00A626CC">
        <w:t xml:space="preserve">to use at their </w:t>
      </w:r>
      <w:r w:rsidR="00EE5D43" w:rsidRPr="00A626CC">
        <w:t>discretion</w:t>
      </w:r>
      <w:r w:rsidRPr="00A626CC">
        <w:t xml:space="preserve">. The PDB provides information for workers to support navigation through welfare and workplace challenges once they are employed in Australia. The length and comprehensiveness of the PDBs have evolved, with PLF developing a professional </w:t>
      </w:r>
      <w:r w:rsidRPr="00A626CC">
        <w:rPr>
          <w:i/>
        </w:rPr>
        <w:t>Pre-departure Briefing Workers Handbook.</w:t>
      </w:r>
      <w:r w:rsidRPr="00A626CC">
        <w:rPr>
          <w:rStyle w:val="FootnoteReference"/>
        </w:rPr>
        <w:footnoteReference w:id="21"/>
      </w:r>
      <w:r w:rsidRPr="00A626CC">
        <w:t xml:space="preserve"> LSUs have different approaches to delivering the compulsory PDB which is of at least two days duration.</w:t>
      </w:r>
      <w:r w:rsidRPr="00A626CC">
        <w:rPr>
          <w:rStyle w:val="FootnoteReference"/>
        </w:rPr>
        <w:footnoteReference w:id="22"/>
      </w:r>
      <w:r w:rsidRPr="00A626CC">
        <w:t xml:space="preserve">   </w:t>
      </w:r>
    </w:p>
    <w:p w14:paraId="5BF3A27C" w14:textId="14598A99" w:rsidR="00F47371" w:rsidRPr="00A626CC" w:rsidRDefault="00F47371" w:rsidP="00A626CC">
      <w:r w:rsidRPr="00A626CC">
        <w:t>In Vanuatu, PLF worked with the International Organi</w:t>
      </w:r>
      <w:r w:rsidR="00743254">
        <w:t>z</w:t>
      </w:r>
      <w:r w:rsidRPr="00A626CC">
        <w:t>ation for Migration (IOM) and World Vision to explore an expanded model of PDB (at least 1 week) which extends beyond critical information about employment and travel to also addressing life-skills such as maintaining relationships with children and spouse and financial planning. This training has been independently evaluated and found to influence attitudes and practices</w:t>
      </w:r>
      <w:r w:rsidR="0088213F" w:rsidRPr="00A626CC">
        <w:rPr>
          <w:rStyle w:val="FootnoteReference"/>
        </w:rPr>
        <w:footnoteReference w:id="23"/>
      </w:r>
      <w:r w:rsidRPr="00A626CC">
        <w:t xml:space="preserve"> but is offered for voluntary participation (hence reaches only a small percentage of workers and spouses) and carries an additional cost burden that is difficult to justify at scale. </w:t>
      </w:r>
    </w:p>
    <w:p w14:paraId="0F05BBD0" w14:textId="1EBC52BB" w:rsidR="00F47371" w:rsidRPr="00A626CC" w:rsidRDefault="00F47371" w:rsidP="00A626CC">
      <w:r w:rsidRPr="00A626CC">
        <w:t xml:space="preserve">The central issue is a recognition that many workers are unprepared for life/work in Australia and the impact on their families/communities at home. A returned worker </w:t>
      </w:r>
      <w:r w:rsidR="00D20AF3" w:rsidRPr="00A626CC">
        <w:t xml:space="preserve">wondered </w:t>
      </w:r>
      <w:r w:rsidRPr="00A626CC">
        <w:t>“</w:t>
      </w:r>
      <w:r w:rsidRPr="00A626CC">
        <w:rPr>
          <w:i/>
        </w:rPr>
        <w:t>how some workers even got to Australia…they couldn’t even read the bin numbers for fruit picking</w:t>
      </w:r>
      <w:r w:rsidRPr="00A626CC">
        <w:t>”.  </w:t>
      </w:r>
    </w:p>
    <w:p w14:paraId="08F7A3B0" w14:textId="4A26C90D" w:rsidR="00F47371" w:rsidRPr="00A626CC" w:rsidRDefault="00F47371" w:rsidP="00A626CC">
      <w:r w:rsidRPr="00A626CC">
        <w:t>Because worker preparedness underpins the worker welfare caseload (discussed below)</w:t>
      </w:r>
      <w:r w:rsidR="00B772FA">
        <w:t>,</w:t>
      </w:r>
      <w:r w:rsidRPr="00A626CC">
        <w:t xml:space="preserve"> there is an understandable reflex to invest more and more in pre-departure training. However, there is a counter</w:t>
      </w:r>
      <w:r w:rsidR="00B772FA">
        <w:t>-</w:t>
      </w:r>
      <w:r w:rsidRPr="00A626CC">
        <w:t xml:space="preserve"> argument that no amount of PDB can mitigate the issues because in large part they stem from the fact that many workers (especially in the short-term </w:t>
      </w:r>
      <w:r w:rsidR="00B772FA">
        <w:t>stream</w:t>
      </w:r>
      <w:r w:rsidRPr="00A626CC">
        <w:t>) come from low-literacy rural backgrounds and experience information overload in circumstances where the cultural differences they encounter are stark. A returned worker reflected: “</w:t>
      </w:r>
      <w:r w:rsidRPr="00A626CC">
        <w:rPr>
          <w:i/>
        </w:rPr>
        <w:t>You think you’re prepared, but once you’re there it’s just so different. A lot of people are just overwhelmed</w:t>
      </w:r>
      <w:r w:rsidRPr="00A626CC">
        <w:t>”. </w:t>
      </w:r>
    </w:p>
    <w:p w14:paraId="308B16B3" w14:textId="62AA566F" w:rsidR="002B1818" w:rsidRPr="00A626CC" w:rsidRDefault="00BA49EF" w:rsidP="00A626CC">
      <w:pPr>
        <w:rPr>
          <w:rFonts w:cstheme="minorHAnsi"/>
        </w:rPr>
      </w:pPr>
      <w:r w:rsidRPr="00A626CC">
        <w:t>Notionally</w:t>
      </w:r>
      <w:r w:rsidR="00F47371" w:rsidRPr="00A626CC">
        <w:t xml:space="preserve">, there is a diminishing ‘finish line’ for additional content that should be included in PDB to improve worker readiness. Put another way, PLF could go to the absurd extent of creating a whole degree in ‘worker readiness’ across all domains of modern living and it would still encounter challenges on two fronts: the absorptive capacity of workers and the raw socio-economic and cultural differences between </w:t>
      </w:r>
      <w:r w:rsidR="00EC4709" w:rsidRPr="0048730C">
        <w:t xml:space="preserve">labour </w:t>
      </w:r>
      <w:r w:rsidR="00F47371" w:rsidRPr="0048730C">
        <w:t>sending</w:t>
      </w:r>
      <w:r w:rsidR="00F47371" w:rsidRPr="00A626CC">
        <w:t xml:space="preserve"> countries and Australia. </w:t>
      </w:r>
      <w:r w:rsidR="002B1818" w:rsidRPr="00A626CC">
        <w:t xml:space="preserve">To this end, PLF has developed an e-learning platform for workers </w:t>
      </w:r>
      <w:r w:rsidR="009D3A25" w:rsidRPr="00A626CC">
        <w:t xml:space="preserve">that </w:t>
      </w:r>
      <w:r w:rsidR="00474B70">
        <w:t xml:space="preserve">will </w:t>
      </w:r>
      <w:r w:rsidR="002B1818" w:rsidRPr="00A626CC">
        <w:t xml:space="preserve">provide information and resources </w:t>
      </w:r>
      <w:r w:rsidR="002B1818" w:rsidRPr="00A626CC">
        <w:rPr>
          <w:rFonts w:cstheme="minorHAnsi"/>
        </w:rPr>
        <w:t xml:space="preserve">to support </w:t>
      </w:r>
      <w:r w:rsidR="00B47239" w:rsidRPr="00A626CC">
        <w:rPr>
          <w:rFonts w:cstheme="minorHAnsi"/>
        </w:rPr>
        <w:t xml:space="preserve">them while </w:t>
      </w:r>
      <w:r w:rsidR="002B1818" w:rsidRPr="00A626CC">
        <w:rPr>
          <w:rFonts w:cstheme="minorHAnsi"/>
        </w:rPr>
        <w:t>living and working in Australia.</w:t>
      </w:r>
      <w:r w:rsidR="002B1818" w:rsidRPr="00A626CC">
        <w:rPr>
          <w:rStyle w:val="FootnoteReference"/>
          <w:rFonts w:cstheme="minorHAnsi"/>
        </w:rPr>
        <w:footnoteReference w:id="24"/>
      </w:r>
    </w:p>
    <w:p w14:paraId="3536A2AC" w14:textId="16CDB247" w:rsidR="00052900" w:rsidRPr="00A626CC" w:rsidRDefault="00745DE0" w:rsidP="00A626CC">
      <w:r w:rsidRPr="00A626CC">
        <w:lastRenderedPageBreak/>
        <w:t xml:space="preserve">There is evidence of learning and a clear commitment among PLF/LSU staff to optimising worker prospects in Australia within the available time and resources. </w:t>
      </w:r>
      <w:r w:rsidR="00052900" w:rsidRPr="00A626CC">
        <w:t xml:space="preserve">The evaluation team formed the view that PLF’s approach to progressively evolving and refining the PDB approach and resources </w:t>
      </w:r>
      <w:r w:rsidR="00C676BA" w:rsidRPr="00A626CC">
        <w:t>has been appropriate</w:t>
      </w:r>
      <w:r w:rsidR="00CA3018" w:rsidRPr="00A626CC">
        <w:t xml:space="preserve"> and should continue. T</w:t>
      </w:r>
      <w:r w:rsidR="00C676BA" w:rsidRPr="00A626CC">
        <w:t xml:space="preserve">here are opportunities for further improvements, </w:t>
      </w:r>
      <w:r w:rsidR="00770287" w:rsidRPr="00A626CC">
        <w:t xml:space="preserve">but these should be balanced against </w:t>
      </w:r>
      <w:r w:rsidRPr="00A626CC">
        <w:t>pragmatics</w:t>
      </w:r>
      <w:r w:rsidR="00573C86">
        <w:t xml:space="preserve"> and</w:t>
      </w:r>
      <w:r w:rsidRPr="00A626CC">
        <w:t xml:space="preserve"> the local contexts in labour sending countries. </w:t>
      </w:r>
    </w:p>
    <w:p w14:paraId="3FC9D779" w14:textId="77777777" w:rsidR="00F47371" w:rsidRPr="00A626CC" w:rsidRDefault="00F47371" w:rsidP="00A626CC">
      <w:pPr>
        <w:pStyle w:val="Heading3nonumber"/>
      </w:pPr>
      <w:r w:rsidRPr="00A626CC">
        <w:t>Worker welfare </w:t>
      </w:r>
    </w:p>
    <w:p w14:paraId="3D5C1932" w14:textId="2826C1B9" w:rsidR="00F47371" w:rsidRPr="00A626CC" w:rsidRDefault="00F710D1" w:rsidP="00A626CC">
      <w:r w:rsidRPr="00F710D1">
        <w:t>The term worker welfare used below refers to support mechanisms to ensure the health and wellbeing of workers while they are in Australia. It does not include issues associated with work such as pay and deductions</w:t>
      </w:r>
      <w:r>
        <w:t xml:space="preserve">. </w:t>
      </w:r>
      <w:r w:rsidR="00F47371" w:rsidRPr="00A626CC">
        <w:t>Worker welfare issues dominate the PALM scheme and are the greatest source of risk to all parties—not least the workers and their families. LSUs are routinely drawn (remotely) into worker welfare issues in Australia, but often lack visibility of the issues or clarity about how to resolve them</w:t>
      </w:r>
      <w:r w:rsidR="00FC2FD7">
        <w:t>.</w:t>
      </w:r>
      <w:r w:rsidR="0088213F" w:rsidRPr="00A626CC">
        <w:rPr>
          <w:rStyle w:val="FootnoteReference"/>
        </w:rPr>
        <w:footnoteReference w:id="25"/>
      </w:r>
      <w:r w:rsidR="00F47371" w:rsidRPr="00A626CC">
        <w:t>  </w:t>
      </w:r>
    </w:p>
    <w:p w14:paraId="0E47EC54" w14:textId="0FFC505E" w:rsidR="00024677" w:rsidRPr="00A626CC" w:rsidRDefault="00024677" w:rsidP="00A626CC">
      <w:r w:rsidRPr="00A626CC">
        <w:t>Worker support services provided by PLF were highly regarded when worker numbers were limited and demand on the scheme was manageable. Several interviewees described worker support by PLF at that time as a “</w:t>
      </w:r>
      <w:r w:rsidRPr="00A626CC">
        <w:rPr>
          <w:i/>
        </w:rPr>
        <w:t>concierge service</w:t>
      </w:r>
      <w:r w:rsidRPr="00A626CC">
        <w:t>”, with arriving workers being collected from the airport and supported with banking and mobile phone acquisition etc. Workers knew the names and contact details of PLF staff members. But the ability to continue intensive support was outstripped by the growth in worker numbers, necessitating the introduction of a new regional structure and development of new approaches to worker welfare</w:t>
      </w:r>
      <w:r w:rsidR="00996563" w:rsidRPr="00A626CC">
        <w:t xml:space="preserve">, including </w:t>
      </w:r>
      <w:r w:rsidRPr="00A626CC">
        <w:t>the ‘Community of Care model’</w:t>
      </w:r>
      <w:r w:rsidR="001D0DA7" w:rsidRPr="00A626CC">
        <w:t>,</w:t>
      </w:r>
      <w:r w:rsidRPr="00A626CC">
        <w:t xml:space="preserve"> Risk Escalation Matrix</w:t>
      </w:r>
      <w:r w:rsidR="001D0DA7" w:rsidRPr="00A626CC">
        <w:t xml:space="preserve">, </w:t>
      </w:r>
      <w:r w:rsidRPr="00A626CC">
        <w:t xml:space="preserve">and the Support Services Line.  </w:t>
      </w:r>
    </w:p>
    <w:p w14:paraId="35FE59AB" w14:textId="2CC5A398" w:rsidR="003231FA" w:rsidRPr="00A626CC" w:rsidRDefault="003231FA" w:rsidP="00A626CC">
      <w:r w:rsidRPr="00A626CC">
        <w:t xml:space="preserve">The development of the Community of Care model was in response to a recommendation </w:t>
      </w:r>
      <w:r w:rsidR="003E537C" w:rsidRPr="00A626CC">
        <w:t xml:space="preserve">in </w:t>
      </w:r>
      <w:r w:rsidR="00F26846" w:rsidRPr="00A626CC">
        <w:t xml:space="preserve">an October 2020 </w:t>
      </w:r>
      <w:r w:rsidRPr="00A626CC">
        <w:t>Review of the Pacific Labour Facility.</w:t>
      </w:r>
      <w:r w:rsidRPr="00A626CC">
        <w:rPr>
          <w:rStyle w:val="FootnoteReference"/>
        </w:rPr>
        <w:footnoteReference w:id="26"/>
      </w:r>
      <w:r w:rsidRPr="00A626CC">
        <w:t xml:space="preserve"> The Community of Care model essentially seeks to delegate responsibility for worker welfare across an array of stakeholders based on a risk escalation framework (</w:t>
      </w:r>
      <w:r w:rsidR="00EC4709" w:rsidRPr="00A626CC">
        <w:rPr>
          <w:highlight w:val="yellow"/>
        </w:rPr>
        <w:fldChar w:fldCharType="begin"/>
      </w:r>
      <w:r w:rsidR="00EC4709" w:rsidRPr="00A626CC">
        <w:instrText xml:space="preserve"> REF _Ref151389278 \h </w:instrText>
      </w:r>
      <w:r w:rsidR="00EC4709" w:rsidRPr="00A626CC">
        <w:rPr>
          <w:highlight w:val="yellow"/>
        </w:rPr>
      </w:r>
      <w:r w:rsidR="00EC4709" w:rsidRPr="00A626CC">
        <w:rPr>
          <w:highlight w:val="yellow"/>
        </w:rPr>
        <w:fldChar w:fldCharType="separate"/>
      </w:r>
      <w:r w:rsidR="001F6F84" w:rsidRPr="00A626CC">
        <w:t xml:space="preserve">Figure </w:t>
      </w:r>
      <w:r w:rsidR="001F6F84">
        <w:rPr>
          <w:noProof/>
        </w:rPr>
        <w:t>3</w:t>
      </w:r>
      <w:r w:rsidR="00EC4709" w:rsidRPr="00A626CC">
        <w:rPr>
          <w:highlight w:val="yellow"/>
        </w:rPr>
        <w:fldChar w:fldCharType="end"/>
      </w:r>
      <w:r w:rsidRPr="00A626CC">
        <w:t>) with the AE having primary responsibility.</w:t>
      </w:r>
      <w:r w:rsidRPr="00A626CC">
        <w:rPr>
          <w:rStyle w:val="FootnoteReference"/>
        </w:rPr>
        <w:footnoteReference w:id="27"/>
      </w:r>
      <w:r w:rsidRPr="00A626CC">
        <w:t xml:space="preserve"> </w:t>
      </w:r>
    </w:p>
    <w:p w14:paraId="5CF958BB" w14:textId="0169B2C7" w:rsidR="00F47371" w:rsidRPr="00A626CC" w:rsidRDefault="00F47371" w:rsidP="00A626CC">
      <w:pPr>
        <w:rPr>
          <w:rStyle w:val="Heading4nonumberChar"/>
          <w:rFonts w:ascii="Times New Roman" w:hAnsi="Times New Roman" w:cs="Times New Roman"/>
          <w:color w:val="auto"/>
        </w:rPr>
      </w:pPr>
      <w:r w:rsidRPr="00A626CC">
        <w:rPr>
          <w:rFonts w:ascii="Times New Roman" w:eastAsiaTheme="majorEastAsia" w:hAnsi="Times New Roman" w:cs="Times New Roman"/>
          <w:noProof/>
          <w:color w:val="auto"/>
          <w:sz w:val="18"/>
          <w:szCs w:val="18"/>
        </w:rPr>
        <w:drawing>
          <wp:inline distT="0" distB="0" distL="0" distR="0" wp14:anchorId="5ED36FD2" wp14:editId="4F6F96FF">
            <wp:extent cx="2032000" cy="2875470"/>
            <wp:effectExtent l="0" t="0" r="6350" b="1270"/>
            <wp:docPr id="1881033882" name="Picture 1881033882" descr="A diagram of a work flow  worker community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33882" name="Picture 1881033882" descr="A diagram of a work flow  worker community of ca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0442" cy="2901568"/>
                    </a:xfrm>
                    <a:prstGeom prst="rect">
                      <a:avLst/>
                    </a:prstGeom>
                    <a:noFill/>
                    <a:ln>
                      <a:noFill/>
                    </a:ln>
                  </pic:spPr>
                </pic:pic>
              </a:graphicData>
            </a:graphic>
          </wp:inline>
        </w:drawing>
      </w:r>
      <w:r w:rsidRPr="00A626CC">
        <w:rPr>
          <w:rFonts w:ascii="Times New Roman" w:eastAsiaTheme="majorEastAsia" w:hAnsi="Times New Roman" w:cs="Times New Roman"/>
          <w:color w:val="auto"/>
          <w:szCs w:val="21"/>
        </w:rPr>
        <w:t xml:space="preserve">  </w:t>
      </w:r>
      <w:r w:rsidRPr="00A626CC">
        <w:rPr>
          <w:rFonts w:ascii="Times New Roman" w:eastAsiaTheme="majorEastAsia" w:hAnsi="Times New Roman" w:cs="Times New Roman"/>
          <w:noProof/>
          <w:color w:val="auto"/>
          <w:sz w:val="18"/>
          <w:szCs w:val="18"/>
        </w:rPr>
        <w:drawing>
          <wp:inline distT="0" distB="0" distL="0" distR="0" wp14:anchorId="7075C32C" wp14:editId="3C582086">
            <wp:extent cx="4057650" cy="2867234"/>
            <wp:effectExtent l="0" t="0" r="0" b="9525"/>
            <wp:docPr id="592545858" name="Picture 592545858" descr="A multicolored rectangular chart&#10;First Response Escal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45858" name="Picture 592545858" descr="A multicolored rectangular chart&#10;First Response Escalation Proce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7602" cy="2888399"/>
                    </a:xfrm>
                    <a:prstGeom prst="rect">
                      <a:avLst/>
                    </a:prstGeom>
                    <a:noFill/>
                    <a:ln>
                      <a:noFill/>
                    </a:ln>
                  </pic:spPr>
                </pic:pic>
              </a:graphicData>
            </a:graphic>
          </wp:inline>
        </w:drawing>
      </w:r>
    </w:p>
    <w:p w14:paraId="3CF83EB1" w14:textId="68C7E7E6" w:rsidR="00EC4709" w:rsidRPr="00A626CC" w:rsidRDefault="00EC4709" w:rsidP="00A626CC">
      <w:pPr>
        <w:pStyle w:val="Caption"/>
      </w:pPr>
      <w:bookmarkStart w:id="35" w:name="_Ref151389278"/>
      <w:bookmarkStart w:id="36" w:name="_Toc151625299"/>
      <w:r w:rsidRPr="00A626CC">
        <w:t xml:space="preserve">Figure </w:t>
      </w:r>
      <w:fldSimple w:instr=" SEQ Figure \* ARABIC ">
        <w:r w:rsidR="001F6F84">
          <w:rPr>
            <w:noProof/>
          </w:rPr>
          <w:t>3</w:t>
        </w:r>
      </w:fldSimple>
      <w:bookmarkEnd w:id="35"/>
      <w:r w:rsidRPr="00A626CC">
        <w:t>: Community of Care model and risk escalation framework</w:t>
      </w:r>
      <w:bookmarkEnd w:id="36"/>
    </w:p>
    <w:p w14:paraId="7DD51E91" w14:textId="77777777" w:rsidR="00EC4709" w:rsidRPr="00A626CC" w:rsidRDefault="00EC4709" w:rsidP="00A626CC"/>
    <w:p w14:paraId="73FC3B3C" w14:textId="3BC2DA3C" w:rsidR="00050EA6" w:rsidRPr="00A626CC" w:rsidRDefault="00050EA6" w:rsidP="00A626CC">
      <w:r w:rsidRPr="00A626CC">
        <w:t xml:space="preserve">Employers have been supported by the PLF Brisbane-based Worker Support Team and the regionally-based Australia Engagement Team whose role included supporting AEs to build worker welfare support capacity. The evaluation team confirmed the establishment and operation of these teams, and formed the view that they were staffed with professional and committed individuals. However, it was not possible to separate </w:t>
      </w:r>
      <w:r w:rsidR="00A137C5" w:rsidRPr="00A626CC">
        <w:t xml:space="preserve">the function of PLF from </w:t>
      </w:r>
      <w:r w:rsidRPr="00A626CC">
        <w:t xml:space="preserve">the way the Community of Care model is operating </w:t>
      </w:r>
      <w:r w:rsidR="00A137C5" w:rsidRPr="00A626CC">
        <w:t xml:space="preserve">within the PALM scheme more broadly </w:t>
      </w:r>
      <w:r w:rsidRPr="00A626CC">
        <w:t xml:space="preserve">(which is outside the scope of this evaluation). There is likely to be value in undertaking a dedicated review of the Community of Care model. </w:t>
      </w:r>
    </w:p>
    <w:p w14:paraId="67EC7E62" w14:textId="653BE1E2" w:rsidR="00A20C6B" w:rsidRPr="00A626CC" w:rsidRDefault="00666156" w:rsidP="00A626CC">
      <w:r w:rsidRPr="00A626CC">
        <w:t xml:space="preserve">The development of this approach to assuring worker welfare by PLF </w:t>
      </w:r>
      <w:r w:rsidR="00D30737" w:rsidRPr="00A626CC">
        <w:t>wa</w:t>
      </w:r>
      <w:r w:rsidRPr="00A626CC">
        <w:t xml:space="preserve">s rational and defensible under the circumstances (see further discussion in </w:t>
      </w:r>
      <w:r w:rsidR="00EE5D43" w:rsidRPr="00A626CC">
        <w:t>s</w:t>
      </w:r>
      <w:r w:rsidRPr="00A626CC">
        <w:t xml:space="preserve">ection </w:t>
      </w:r>
      <w:r w:rsidR="00EE5D43" w:rsidRPr="00A626CC">
        <w:fldChar w:fldCharType="begin"/>
      </w:r>
      <w:r w:rsidR="00EE5D43" w:rsidRPr="00A626CC">
        <w:instrText xml:space="preserve"> REF _Ref149258468 \r \h  \* MERGEFORMAT </w:instrText>
      </w:r>
      <w:r w:rsidR="00EE5D43" w:rsidRPr="00A626CC">
        <w:fldChar w:fldCharType="separate"/>
      </w:r>
      <w:r w:rsidR="001F6F84">
        <w:t>4.2.2</w:t>
      </w:r>
      <w:r w:rsidR="00EE5D43" w:rsidRPr="00A626CC">
        <w:fldChar w:fldCharType="end"/>
      </w:r>
      <w:r w:rsidRPr="00A626CC">
        <w:t xml:space="preserve">, efficiency). </w:t>
      </w:r>
      <w:r w:rsidR="00D30737" w:rsidRPr="00A626CC">
        <w:t>But w</w:t>
      </w:r>
      <w:r w:rsidR="00D174E2" w:rsidRPr="00A626CC">
        <w:t xml:space="preserve">hile </w:t>
      </w:r>
      <w:r w:rsidR="00D30737" w:rsidRPr="00A626CC">
        <w:t xml:space="preserve">several </w:t>
      </w:r>
      <w:r w:rsidR="00D174E2" w:rsidRPr="00A626CC">
        <w:t>stakeholders affirmed the rationale</w:t>
      </w:r>
      <w:r w:rsidR="00D30737" w:rsidRPr="00A626CC">
        <w:t xml:space="preserve">, </w:t>
      </w:r>
      <w:r w:rsidR="0059354C" w:rsidRPr="00A626CC">
        <w:t xml:space="preserve">a cross-section of interviewees </w:t>
      </w:r>
      <w:r w:rsidR="00D30737" w:rsidRPr="00A626CC">
        <w:t xml:space="preserve">expressed concerns </w:t>
      </w:r>
      <w:r w:rsidR="001412BA" w:rsidRPr="00A626CC">
        <w:t>about its efficacy</w:t>
      </w:r>
      <w:r w:rsidR="001A7F56" w:rsidRPr="00A626CC">
        <w:t xml:space="preserve"> in practice</w:t>
      </w:r>
      <w:r w:rsidR="00827131">
        <w:t>,</w:t>
      </w:r>
      <w:r w:rsidR="00DC6C36" w:rsidRPr="00A626CC">
        <w:rPr>
          <w:rStyle w:val="FootnoteReference"/>
        </w:rPr>
        <w:footnoteReference w:id="28"/>
      </w:r>
      <w:r w:rsidR="001412BA" w:rsidRPr="00A626CC">
        <w:t xml:space="preserve"> confir</w:t>
      </w:r>
      <w:r w:rsidR="006D4CC3" w:rsidRPr="00A626CC">
        <w:t xml:space="preserve">ming previous findings by the </w:t>
      </w:r>
      <w:r w:rsidR="00DE7A91" w:rsidRPr="00A626CC">
        <w:t>QTAG</w:t>
      </w:r>
      <w:r w:rsidR="009B1401" w:rsidRPr="00A626CC">
        <w:rPr>
          <w:rStyle w:val="FootnoteReference"/>
        </w:rPr>
        <w:footnoteReference w:id="29"/>
      </w:r>
      <w:r w:rsidR="00DE7A91" w:rsidRPr="00A626CC">
        <w:t xml:space="preserve"> </w:t>
      </w:r>
      <w:r w:rsidR="005236F2" w:rsidRPr="00A626CC">
        <w:t>and also independent research by the Australian National University (ANU)</w:t>
      </w:r>
      <w:r w:rsidR="00233C1A" w:rsidRPr="00A626CC">
        <w:rPr>
          <w:rStyle w:val="FootnoteReference"/>
        </w:rPr>
        <w:footnoteReference w:id="30"/>
      </w:r>
      <w:r w:rsidR="00F91666" w:rsidRPr="00A626CC">
        <w:t xml:space="preserve">. A DevPolicy </w:t>
      </w:r>
      <w:r w:rsidR="00A20C6B" w:rsidRPr="00A626CC">
        <w:t>blog</w:t>
      </w:r>
      <w:r w:rsidR="00A20C6B" w:rsidRPr="00A626CC">
        <w:rPr>
          <w:rStyle w:val="FootnoteReference"/>
        </w:rPr>
        <w:footnoteReference w:id="31"/>
      </w:r>
      <w:r w:rsidR="00A20C6B" w:rsidRPr="00A626CC">
        <w:t xml:space="preserve"> summarising the findings states:</w:t>
      </w:r>
    </w:p>
    <w:p w14:paraId="40CCF555" w14:textId="3E7D3A80" w:rsidR="00A20C6B" w:rsidRPr="00A626CC" w:rsidRDefault="00A20C6B" w:rsidP="00A626CC">
      <w:pPr>
        <w:pStyle w:val="Quote"/>
      </w:pPr>
      <w:r w:rsidRPr="00A626CC">
        <w:t>"When we asked workers about barriers to accessing wellbeing support, the number one barrier (selected by 56.4% of respondents) was “worried about losing job or visa”. Under the scheme’s worker support arrangements, workers are told that their employer should be their first point of contact if they have a problem. But workers can be reluctant to seek help through this avenue due to the fear of losing their opportunity to work in Australia. Other researchers have drawn similar conclusions, stating that the potential benefit of reporting a problem (for example sexual harassment) can be outweighed by the potential risk of not being sponsored for subsequent work seasons. Some employer representatives that we spoke to said that, while their agreements with the government require them to support the welfare and wellbeing of their workers, they did not feel adequately equipped to do so</w:t>
      </w:r>
      <w:r w:rsidR="00830C6A" w:rsidRPr="00A626CC">
        <w:t>”.</w:t>
      </w:r>
    </w:p>
    <w:p w14:paraId="4CFA4082" w14:textId="2E1616DD" w:rsidR="000932BD" w:rsidRDefault="00666156" w:rsidP="00A626CC">
      <w:r w:rsidRPr="00A626CC">
        <w:t>In this evaluation, the sharpest criticism of worker support services came from some Pacific diplomatic staff posted in Australia.</w:t>
      </w:r>
      <w:r w:rsidR="0068230A" w:rsidRPr="00A626CC">
        <w:rPr>
          <w:rStyle w:val="FootnoteReference"/>
        </w:rPr>
        <w:footnoteReference w:id="32"/>
      </w:r>
      <w:r w:rsidRPr="00A626CC">
        <w:t xml:space="preserve"> </w:t>
      </w:r>
      <w:r w:rsidR="00C02B8B" w:rsidRPr="00A626CC">
        <w:t xml:space="preserve">In response, </w:t>
      </w:r>
      <w:r w:rsidR="007D1BEA" w:rsidRPr="00A626CC">
        <w:t>other</w:t>
      </w:r>
      <w:r w:rsidR="00C02B8B" w:rsidRPr="00A626CC">
        <w:t xml:space="preserve"> </w:t>
      </w:r>
      <w:r w:rsidR="00953667" w:rsidRPr="00A626CC">
        <w:t xml:space="preserve">stakeholders contended that frustrations and </w:t>
      </w:r>
      <w:r w:rsidR="002A6F86" w:rsidRPr="00A626CC">
        <w:t xml:space="preserve">some </w:t>
      </w:r>
      <w:r w:rsidR="00340053" w:rsidRPr="00A626CC">
        <w:t xml:space="preserve">of the </w:t>
      </w:r>
      <w:r w:rsidR="00953667" w:rsidRPr="00A626CC">
        <w:t xml:space="preserve">criticisms </w:t>
      </w:r>
      <w:r w:rsidR="003E4B06" w:rsidRPr="00A626CC">
        <w:t xml:space="preserve">arose from </w:t>
      </w:r>
      <w:r w:rsidR="002E3965" w:rsidRPr="00A626CC">
        <w:t xml:space="preserve">misunderstanding </w:t>
      </w:r>
      <w:r w:rsidR="005D1F49" w:rsidRPr="00A626CC">
        <w:t xml:space="preserve">about </w:t>
      </w:r>
      <w:r w:rsidR="002E3965" w:rsidRPr="00A626CC">
        <w:t xml:space="preserve">the </w:t>
      </w:r>
      <w:r w:rsidR="00853638" w:rsidRPr="00A626CC">
        <w:t>established arrangements</w:t>
      </w:r>
      <w:r w:rsidR="007D1BEA" w:rsidRPr="00A626CC">
        <w:rPr>
          <w:rStyle w:val="FootnoteReference"/>
        </w:rPr>
        <w:footnoteReference w:id="33"/>
      </w:r>
      <w:r w:rsidR="00853638" w:rsidRPr="00A626CC">
        <w:t xml:space="preserve">. </w:t>
      </w:r>
      <w:r w:rsidR="00944390" w:rsidRPr="00A626CC">
        <w:t>Regardless</w:t>
      </w:r>
      <w:r w:rsidR="00853638" w:rsidRPr="00A626CC">
        <w:t xml:space="preserve">, there is no disputing </w:t>
      </w:r>
      <w:r w:rsidR="003970FC" w:rsidRPr="00A626CC">
        <w:t xml:space="preserve">the </w:t>
      </w:r>
      <w:r w:rsidR="00EE7845" w:rsidRPr="00A626CC">
        <w:t>depth</w:t>
      </w:r>
      <w:r w:rsidR="00944390" w:rsidRPr="00A626CC">
        <w:t xml:space="preserve"> </w:t>
      </w:r>
      <w:r w:rsidR="003970FC" w:rsidRPr="00A626CC">
        <w:t xml:space="preserve">of the concerns, and </w:t>
      </w:r>
      <w:r w:rsidR="002E0F7B" w:rsidRPr="00A626CC">
        <w:t xml:space="preserve">that </w:t>
      </w:r>
      <w:r w:rsidR="00B62146" w:rsidRPr="00A626CC">
        <w:t>th</w:t>
      </w:r>
      <w:r w:rsidR="00EE7845" w:rsidRPr="00A626CC">
        <w:t>is</w:t>
      </w:r>
      <w:r w:rsidR="00B62146" w:rsidRPr="00A626CC">
        <w:t xml:space="preserve"> situation </w:t>
      </w:r>
      <w:r w:rsidR="009A0EB9" w:rsidRPr="00A626CC">
        <w:t xml:space="preserve">at best </w:t>
      </w:r>
      <w:r w:rsidR="00E530F7" w:rsidRPr="00A626CC">
        <w:t>indicates</w:t>
      </w:r>
      <w:r w:rsidR="00B62146" w:rsidRPr="00A626CC">
        <w:t xml:space="preserve"> </w:t>
      </w:r>
      <w:r w:rsidR="00340053" w:rsidRPr="00A626CC">
        <w:t>inadequate</w:t>
      </w:r>
      <w:r w:rsidR="00B62146" w:rsidRPr="00A626CC">
        <w:t xml:space="preserve"> communication </w:t>
      </w:r>
      <w:r w:rsidR="00A000DA" w:rsidRPr="00A626CC">
        <w:t>by Australia-based actors</w:t>
      </w:r>
      <w:r w:rsidR="00B62146" w:rsidRPr="00A626CC">
        <w:t xml:space="preserve">. </w:t>
      </w:r>
    </w:p>
    <w:p w14:paraId="2077F7B3" w14:textId="77777777" w:rsidR="000932BD" w:rsidRDefault="000932BD">
      <w:r>
        <w:br w:type="page"/>
      </w:r>
    </w:p>
    <w:p w14:paraId="10A3AD14" w14:textId="77777777" w:rsidR="00F24A83" w:rsidRPr="00442F1F" w:rsidRDefault="00F24A83" w:rsidP="006D2372">
      <w:pPr>
        <w:pBdr>
          <w:top w:val="single" w:sz="4" w:space="1" w:color="auto"/>
          <w:left w:val="single" w:sz="4" w:space="4" w:color="auto"/>
          <w:bottom w:val="single" w:sz="4" w:space="1" w:color="auto"/>
          <w:right w:val="single" w:sz="4" w:space="4" w:color="auto"/>
        </w:pBdr>
        <w:jc w:val="center"/>
        <w:rPr>
          <w:b/>
          <w:bCs/>
          <w:sz w:val="18"/>
          <w:szCs w:val="18"/>
        </w:rPr>
      </w:pPr>
      <w:r>
        <w:rPr>
          <w:b/>
          <w:bCs/>
          <w:sz w:val="18"/>
          <w:szCs w:val="18"/>
        </w:rPr>
        <w:lastRenderedPageBreak/>
        <w:t>Cultural Competence</w:t>
      </w:r>
    </w:p>
    <w:p w14:paraId="72338CA3" w14:textId="77777777" w:rsidR="00F24A83" w:rsidRPr="004037CD" w:rsidRDefault="00F24A83" w:rsidP="006D2372">
      <w:pPr>
        <w:pBdr>
          <w:top w:val="single" w:sz="4" w:space="1" w:color="auto"/>
          <w:left w:val="single" w:sz="4" w:space="4" w:color="auto"/>
          <w:bottom w:val="single" w:sz="4" w:space="1" w:color="auto"/>
          <w:right w:val="single" w:sz="4" w:space="4" w:color="auto"/>
        </w:pBdr>
        <w:rPr>
          <w:sz w:val="18"/>
          <w:szCs w:val="18"/>
        </w:rPr>
      </w:pPr>
      <w:r w:rsidRPr="004037CD">
        <w:rPr>
          <w:sz w:val="18"/>
          <w:szCs w:val="18"/>
        </w:rPr>
        <w:t xml:space="preserve">PLF has promoted cultural competence among Australia-based PALM stakeholders. The PALM scheme </w:t>
      </w:r>
      <w:r w:rsidRPr="00714011">
        <w:rPr>
          <w:i/>
          <w:iCs/>
          <w:sz w:val="18"/>
          <w:szCs w:val="18"/>
        </w:rPr>
        <w:t>Cultural Competency Framework</w:t>
      </w:r>
      <w:r w:rsidRPr="004037CD">
        <w:rPr>
          <w:sz w:val="18"/>
          <w:szCs w:val="18"/>
        </w:rPr>
        <w:t xml:space="preserve"> (undated) produced by PLF </w:t>
      </w:r>
      <w:r>
        <w:rPr>
          <w:sz w:val="18"/>
          <w:szCs w:val="18"/>
        </w:rPr>
        <w:t xml:space="preserve">in collaboration with labour sending country diplomatic missions </w:t>
      </w:r>
      <w:r w:rsidRPr="004037CD">
        <w:rPr>
          <w:sz w:val="18"/>
          <w:szCs w:val="18"/>
        </w:rPr>
        <w:t xml:space="preserve">is a significant document, not only as a resource for stakeholders but more importantly in articulating expectations about the PALM scheme’s approach to </w:t>
      </w:r>
      <w:r>
        <w:rPr>
          <w:sz w:val="18"/>
          <w:szCs w:val="18"/>
        </w:rPr>
        <w:t xml:space="preserve">labour </w:t>
      </w:r>
      <w:r w:rsidRPr="004037CD">
        <w:rPr>
          <w:sz w:val="18"/>
          <w:szCs w:val="18"/>
        </w:rPr>
        <w:t xml:space="preserve">sending countries and their workers. A range of activities have been undertaken to socialise the Framework with AEs and community stakeholders, such as cultural competency sessions in Regional Accelerator Forums. </w:t>
      </w:r>
    </w:p>
    <w:p w14:paraId="3CC07392" w14:textId="7A728AD1" w:rsidR="008931B8" w:rsidRPr="00A626CC" w:rsidRDefault="00666156" w:rsidP="00A626CC">
      <w:pPr>
        <w:rPr>
          <w:highlight w:val="yellow"/>
        </w:rPr>
      </w:pPr>
      <w:r w:rsidRPr="00A626CC">
        <w:rPr>
          <w:rFonts w:cstheme="minorHAnsi"/>
        </w:rPr>
        <w:t xml:space="preserve">Several Pacific High Commissions </w:t>
      </w:r>
      <w:r w:rsidR="00A57D6F" w:rsidRPr="00A626CC">
        <w:rPr>
          <w:rFonts w:cstheme="minorHAnsi"/>
        </w:rPr>
        <w:t xml:space="preserve">expressed particular frustration with the flow of information about </w:t>
      </w:r>
      <w:r w:rsidR="00084A38" w:rsidRPr="00A626CC">
        <w:rPr>
          <w:rFonts w:cstheme="minorHAnsi"/>
        </w:rPr>
        <w:t>workers involved in critical incidents</w:t>
      </w:r>
      <w:r w:rsidR="00D267BA" w:rsidRPr="00A626CC">
        <w:rPr>
          <w:rFonts w:cstheme="minorHAnsi"/>
        </w:rPr>
        <w:t>—a challenging situation which must be considered in light of worker rights under Australia’s privacy legislation.</w:t>
      </w:r>
      <w:r w:rsidR="00B00D42" w:rsidRPr="00A626CC">
        <w:rPr>
          <w:rFonts w:cstheme="minorHAnsi"/>
        </w:rPr>
        <w:t xml:space="preserve"> </w:t>
      </w:r>
      <w:r w:rsidR="00B00D42" w:rsidRPr="00A626CC">
        <w:t>The ability of PLF/DFAT/DEWR to identify critical incidents relies on AE reporting. The Approved Employer Deed and Guidelines require</w:t>
      </w:r>
      <w:r w:rsidR="00CE5F16" w:rsidRPr="00A626CC">
        <w:t>s</w:t>
      </w:r>
      <w:r w:rsidR="00B00D42" w:rsidRPr="00A626CC">
        <w:t xml:space="preserve"> that critical incidents are reported immediately</w:t>
      </w:r>
      <w:r w:rsidR="00CE5F16" w:rsidRPr="00A626CC">
        <w:t xml:space="preserve">, or </w:t>
      </w:r>
      <w:r w:rsidR="00B00D42" w:rsidRPr="00A626CC">
        <w:t xml:space="preserve">at least within 24 hours. The relevant diplomatic </w:t>
      </w:r>
      <w:r w:rsidR="00F404A1" w:rsidRPr="00A626CC">
        <w:t>mission</w:t>
      </w:r>
      <w:r w:rsidR="00B00D42" w:rsidRPr="00A626CC">
        <w:t xml:space="preserve"> is then sent a 'critical incident report' by DEWR which outlines details of the matter</w:t>
      </w:r>
      <w:r w:rsidR="00F404A1" w:rsidRPr="00A626CC">
        <w:t>, but</w:t>
      </w:r>
      <w:r w:rsidR="00B00D42" w:rsidRPr="00A626CC">
        <w:t xml:space="preserve"> </w:t>
      </w:r>
      <w:r w:rsidR="00B00D42" w:rsidRPr="00A626CC">
        <w:rPr>
          <w:b/>
        </w:rPr>
        <w:t>only if the worker consents to their personal information being shared</w:t>
      </w:r>
      <w:r w:rsidR="00B00D42" w:rsidRPr="00A626CC">
        <w:t>. There are many instances whe</w:t>
      </w:r>
      <w:r w:rsidR="00F404A1" w:rsidRPr="00A626CC">
        <w:t>n</w:t>
      </w:r>
      <w:r w:rsidR="00B00D42" w:rsidRPr="00A626CC">
        <w:t xml:space="preserve"> workers do not consent (e.g. if it relates to a sexual assault or pregnancy) and therefore PLF/DFAT/DEWR are unable to meet </w:t>
      </w:r>
      <w:r w:rsidR="00EA4F07" w:rsidRPr="00A626CC">
        <w:t>the mission’s</w:t>
      </w:r>
      <w:r w:rsidR="00B00D42" w:rsidRPr="00A626CC">
        <w:t xml:space="preserve"> expectations. Further, worker welfare dialogue is generally between CLOs/LSUs and PLF’s Worker Support Team, rather than directly with </w:t>
      </w:r>
      <w:r w:rsidR="00EA4F07" w:rsidRPr="00A626CC">
        <w:t xml:space="preserve">diplomatic Heads of Mission </w:t>
      </w:r>
      <w:r w:rsidR="00B00D42" w:rsidRPr="00A626CC">
        <w:t>(</w:t>
      </w:r>
      <w:r w:rsidR="00A16885" w:rsidRPr="00A626CC">
        <w:t xml:space="preserve">HoM) </w:t>
      </w:r>
      <w:r w:rsidR="00B00D42" w:rsidRPr="00A626CC">
        <w:t>as is appropriate given their differing responsibilities.</w:t>
      </w:r>
      <w:r w:rsidR="00EA4F07" w:rsidRPr="00A626CC">
        <w:t xml:space="preserve"> </w:t>
      </w:r>
      <w:r w:rsidR="008931B8" w:rsidRPr="00A626CC">
        <w:t>This lack of sharing of personal information about workers involved in critical incidents due to privacy legislation can present as an intractable issue for diplomatic missions, several of which have been criticised in their home country for perceived tardiness of response.</w:t>
      </w:r>
    </w:p>
    <w:p w14:paraId="75F8944F" w14:textId="0E9FC535" w:rsidR="008931B8" w:rsidRPr="00A626CC" w:rsidRDefault="008931B8" w:rsidP="00A626CC">
      <w:r w:rsidRPr="00A626CC">
        <w:t>All the HoMs that the evaluation team interviewed placed importance on the role of Country Liaison Officers (CLO) in supporting worker welfare, though these roles are currently under-resourced to respond to the approximate 40,000 workers distributed across the continent.</w:t>
      </w:r>
      <w:r w:rsidRPr="00A626CC">
        <w:rPr>
          <w:rStyle w:val="FootnoteReference"/>
          <w:rFonts w:ascii="Times New Roman" w:hAnsi="Times New Roman" w:cs="Times New Roman"/>
          <w:color w:val="auto"/>
        </w:rPr>
        <w:footnoteReference w:id="34"/>
      </w:r>
      <w:r w:rsidRPr="00A626CC">
        <w:t xml:space="preserve"> In respect of CLOs, PLF advise that as of October 2023, there were 14 (12.2 FTE) CLOs, of whom 8.2 FTEs were either wholly or partially funded by PLF. By January 2024 it is expected that the PLF will either wholly or partially fund 17 CLO FTEs. Three of the 14 current CLOs are female, which is roughly in line with the proportion of female workers in the PALM scheme (21%). In the recent Budget</w:t>
      </w:r>
      <w:r w:rsidR="004F6071">
        <w:t>, the Australian</w:t>
      </w:r>
      <w:r w:rsidRPr="00A626CC">
        <w:t xml:space="preserve"> Government committed to fund increased CLO numbers, including recruiting women CLOs. The CLOs provide a valuable culturally relevant support service for workers which appear to overlap in practice with some PLF responsibilities. A Pacific diplomat stated: “</w:t>
      </w:r>
      <w:r w:rsidRPr="00A626CC">
        <w:rPr>
          <w:i/>
          <w:iCs/>
        </w:rPr>
        <w:t xml:space="preserve">CLOs are an amazing addition. They are so important to us. They work </w:t>
      </w:r>
      <w:r w:rsidR="00403821" w:rsidRPr="00A626CC">
        <w:rPr>
          <w:i/>
          <w:iCs/>
        </w:rPr>
        <w:t>seven</w:t>
      </w:r>
      <w:r w:rsidRPr="00A626CC">
        <w:rPr>
          <w:i/>
          <w:iCs/>
        </w:rPr>
        <w:t xml:space="preserve"> days per week. But the problem is our workers think the CLOs can fix everything</w:t>
      </w:r>
      <w:r w:rsidRPr="00A626CC">
        <w:t>”. </w:t>
      </w:r>
      <w:r w:rsidR="00FE214C" w:rsidRPr="00A626CC">
        <w:t xml:space="preserve">Although </w:t>
      </w:r>
      <w:r w:rsidRPr="00A626CC">
        <w:t>CLOs do not have input into the policy space</w:t>
      </w:r>
      <w:r w:rsidR="001C7212" w:rsidRPr="00A626CC">
        <w:t>, they are a ‘</w:t>
      </w:r>
      <w:r w:rsidRPr="00A626CC">
        <w:t>mandated party</w:t>
      </w:r>
      <w:r w:rsidR="001C7212" w:rsidRPr="00A626CC">
        <w:t>’</w:t>
      </w:r>
      <w:r w:rsidRPr="00A626CC">
        <w:t xml:space="preserve"> in the Community of Care model </w:t>
      </w:r>
      <w:r w:rsidR="00CB3802" w:rsidRPr="00A626CC">
        <w:t>and hence</w:t>
      </w:r>
      <w:r w:rsidRPr="00A626CC">
        <w:t xml:space="preserve"> have significant influence and </w:t>
      </w:r>
      <w:r w:rsidR="00CB3802" w:rsidRPr="00A626CC">
        <w:t>play</w:t>
      </w:r>
      <w:r w:rsidRPr="00A626CC">
        <w:t xml:space="preserve"> a critical </w:t>
      </w:r>
      <w:r w:rsidR="00022A04" w:rsidRPr="00A626CC">
        <w:t xml:space="preserve">role in </w:t>
      </w:r>
      <w:r w:rsidRPr="00A626CC">
        <w:t>worker welfare.</w:t>
      </w:r>
    </w:p>
    <w:p w14:paraId="6376FB76" w14:textId="77777777" w:rsidR="00035F39" w:rsidRDefault="00035F39">
      <w:pPr>
        <w:rPr>
          <w:rFonts w:cstheme="minorHAnsi"/>
        </w:rPr>
      </w:pPr>
      <w:r>
        <w:rPr>
          <w:rFonts w:cstheme="minorHAnsi"/>
        </w:rPr>
        <w:br w:type="page"/>
      </w:r>
    </w:p>
    <w:p w14:paraId="5C5E9DE6" w14:textId="47DF7ACE" w:rsidR="008931B8" w:rsidRPr="00A626CC" w:rsidRDefault="008931B8" w:rsidP="00A626CC">
      <w:pPr>
        <w:rPr>
          <w:rFonts w:cstheme="minorHAnsi"/>
        </w:rPr>
      </w:pPr>
      <w:r w:rsidRPr="00A626CC">
        <w:rPr>
          <w:rFonts w:cstheme="minorHAnsi"/>
        </w:rPr>
        <w:lastRenderedPageBreak/>
        <w:t>Overall, worker welfare poses significant risks to the scheme in Australia and in sending countries.</w:t>
      </w:r>
      <w:r w:rsidRPr="00A626CC">
        <w:rPr>
          <w:rStyle w:val="FootnoteReference"/>
          <w:rFonts w:cstheme="minorHAnsi"/>
        </w:rPr>
        <w:footnoteReference w:id="35"/>
      </w:r>
      <w:r w:rsidRPr="00A626CC">
        <w:rPr>
          <w:rFonts w:cstheme="minorHAnsi"/>
        </w:rPr>
        <w:t xml:space="preserve"> Most importantly, workers’ mental and physical wellbeing should not be put at risk as a result of labour mobility participation. As it stands, DFAT and DEWR carry almost all risks associated with the scheme, and hence are exposed to criticisms by all parties. Empowering other stakeholders to share responsibility in line with natural incentives and accountabilities may enable a more balanced, sustainable, and cost-effective scheme. This is particularly the case in relation to worker welfare. Arguably, PLF has attempted to deliver support for citizens of another country that might otherwise be delivered as a form of ‘consular services’</w:t>
      </w:r>
      <w:r w:rsidR="00A52404" w:rsidRPr="00A626CC">
        <w:rPr>
          <w:rFonts w:cstheme="minorHAnsi"/>
        </w:rPr>
        <w:t>.</w:t>
      </w:r>
      <w:r w:rsidRPr="00A626CC">
        <w:rPr>
          <w:rFonts w:cstheme="minorHAnsi"/>
        </w:rPr>
        <w:t xml:space="preserve"> It is worth considering transferring more of the responsibility for worker support to the relevant overseas missions in Australia through an expanded CLO network. Arguably, support services could be delivered with greater cultural efficacy, and could mitigate criticisms of DFAT/DEWR/PLF by transferring more responsibility to the natural duty bearers of such services. This could be achieved by continuing to invest in the CLO network, including increasing the number of female CLOs.  </w:t>
      </w:r>
    </w:p>
    <w:p w14:paraId="34DC5C7E" w14:textId="77777777" w:rsidR="008931B8" w:rsidRPr="00A626CC" w:rsidRDefault="008931B8" w:rsidP="00A626CC">
      <w:pPr>
        <w:pStyle w:val="Blueblockheading"/>
      </w:pPr>
      <w:r w:rsidRPr="00A626CC">
        <w:rPr>
          <w:lang w:val="en-GB"/>
        </w:rPr>
        <w:t>Recommendation</w:t>
      </w:r>
      <w:r w:rsidRPr="00A626CC">
        <w:t> </w:t>
      </w:r>
    </w:p>
    <w:p w14:paraId="04D522BF" w14:textId="0761F2FE" w:rsidR="008931B8" w:rsidRPr="00A626CC" w:rsidRDefault="00091683" w:rsidP="00A626CC">
      <w:pPr>
        <w:pStyle w:val="Blueblocktext"/>
      </w:pPr>
      <w:r>
        <w:rPr>
          <w:lang w:val="en-GB"/>
        </w:rPr>
        <w:t xml:space="preserve">1. </w:t>
      </w:r>
      <w:r w:rsidR="008931B8" w:rsidRPr="00A626CC">
        <w:rPr>
          <w:lang w:val="en-GB"/>
        </w:rPr>
        <w:t>DFAT should continue to resource through diplomatic missions in Australia an expanded gender equitable network of Country Liaison Officers commensurate with the number and distribution of workers.</w:t>
      </w:r>
      <w:r w:rsidR="008931B8" w:rsidRPr="00A626CC">
        <w:t> </w:t>
      </w:r>
    </w:p>
    <w:p w14:paraId="314C22C3" w14:textId="789B939A" w:rsidR="00C37F5C" w:rsidRPr="00A626CC" w:rsidRDefault="00091683" w:rsidP="00A626CC">
      <w:pPr>
        <w:pStyle w:val="Blueblocktext"/>
      </w:pPr>
      <w:r>
        <w:t xml:space="preserve">2. </w:t>
      </w:r>
      <w:r w:rsidR="00C37F5C" w:rsidRPr="00A626CC">
        <w:t xml:space="preserve">DFAT/DEWR should commission a comprehensive review of the Community of Care model, including the </w:t>
      </w:r>
      <w:r w:rsidR="001C6816" w:rsidRPr="00A626CC">
        <w:t xml:space="preserve">delineation of </w:t>
      </w:r>
      <w:r w:rsidR="00C37F5C" w:rsidRPr="00A626CC">
        <w:t>role</w:t>
      </w:r>
      <w:r w:rsidR="001C6816" w:rsidRPr="00A626CC">
        <w:t>s</w:t>
      </w:r>
      <w:r w:rsidR="00C37F5C" w:rsidRPr="00A626CC">
        <w:t xml:space="preserve"> </w:t>
      </w:r>
      <w:r w:rsidR="001C6816" w:rsidRPr="00A626CC">
        <w:t xml:space="preserve">between </w:t>
      </w:r>
      <w:r w:rsidR="00C37F5C" w:rsidRPr="00A626CC">
        <w:t>LSUs</w:t>
      </w:r>
      <w:r w:rsidR="001C6816" w:rsidRPr="00A626CC">
        <w:t>, AEs, CLO.</w:t>
      </w:r>
    </w:p>
    <w:p w14:paraId="18EFDF1F" w14:textId="77777777" w:rsidR="00666156" w:rsidRPr="00A626CC" w:rsidRDefault="00666156" w:rsidP="00A626CC">
      <w:pPr>
        <w:pStyle w:val="Heading3nonumber"/>
      </w:pPr>
      <w:r w:rsidRPr="00A626CC">
        <w:t>Worker reintegration </w:t>
      </w:r>
    </w:p>
    <w:p w14:paraId="454F6A6D" w14:textId="2214D4FC" w:rsidR="00666156" w:rsidRPr="00A626CC" w:rsidRDefault="006A18A6" w:rsidP="00A626CC">
      <w:pPr>
        <w:rPr>
          <w:rFonts w:cstheme="minorHAnsi"/>
        </w:rPr>
      </w:pPr>
      <w:r w:rsidRPr="00A626CC">
        <w:rPr>
          <w:rFonts w:cstheme="minorHAnsi"/>
        </w:rPr>
        <w:t xml:space="preserve">The third of the three drivers of risk </w:t>
      </w:r>
      <w:r w:rsidR="006173FD" w:rsidRPr="00A626CC">
        <w:rPr>
          <w:rFonts w:cstheme="minorHAnsi"/>
        </w:rPr>
        <w:t>in the PALM scheme concerns the reintegration of returning workers</w:t>
      </w:r>
      <w:r w:rsidR="00666156" w:rsidRPr="00A626CC">
        <w:rPr>
          <w:rFonts w:cstheme="minorHAnsi"/>
        </w:rPr>
        <w:t xml:space="preserve">. PLF had planned to develop this aspect of worker support prior to the first cohorts of PLS workers starting to return home in 2020-21. This development work was side tracked due to having to reallocate resources to COVID-19 welfare responses and the scheme scale-up. </w:t>
      </w:r>
      <w:r w:rsidR="001D1E85" w:rsidRPr="00A626CC">
        <w:rPr>
          <w:rFonts w:cstheme="minorHAnsi"/>
        </w:rPr>
        <w:t xml:space="preserve">A senior </w:t>
      </w:r>
      <w:r w:rsidR="00666156" w:rsidRPr="00A626CC">
        <w:rPr>
          <w:rFonts w:cstheme="minorHAnsi"/>
        </w:rPr>
        <w:t xml:space="preserve">PLF </w:t>
      </w:r>
      <w:r w:rsidR="001D1E85" w:rsidRPr="00A626CC">
        <w:rPr>
          <w:rFonts w:cstheme="minorHAnsi"/>
        </w:rPr>
        <w:t xml:space="preserve">team member </w:t>
      </w:r>
      <w:r w:rsidR="00666156" w:rsidRPr="00A626CC">
        <w:rPr>
          <w:rFonts w:cstheme="minorHAnsi"/>
        </w:rPr>
        <w:t>stated: </w:t>
      </w:r>
    </w:p>
    <w:p w14:paraId="12B2B0FD" w14:textId="06D69B02" w:rsidR="00666156" w:rsidRPr="00A626CC" w:rsidRDefault="00666156" w:rsidP="00A626CC">
      <w:pPr>
        <w:pStyle w:val="Quote"/>
      </w:pPr>
      <w:r w:rsidRPr="00A626CC">
        <w:t xml:space="preserve">“Initially a lot of focus was on supporting workers to be ready to come to Australia. Unfortunately, a planned new focus on </w:t>
      </w:r>
      <w:r w:rsidR="00230C46">
        <w:t>reintegration</w:t>
      </w:r>
      <w:r w:rsidRPr="00A626CC">
        <w:t xml:space="preserve"> didn’t eventuate because of the shift in focus to welfare in-Australia”. </w:t>
      </w:r>
    </w:p>
    <w:p w14:paraId="6BCF080B" w14:textId="3FC5864B" w:rsidR="00D40F05" w:rsidRPr="00A626CC" w:rsidRDefault="00666156" w:rsidP="00A626CC">
      <w:pPr>
        <w:rPr>
          <w:rFonts w:cstheme="minorHAnsi"/>
        </w:rPr>
      </w:pPr>
      <w:r w:rsidRPr="00A626CC">
        <w:rPr>
          <w:rFonts w:cstheme="minorHAnsi"/>
        </w:rPr>
        <w:t xml:space="preserve">Arguably, the successful social and economic </w:t>
      </w:r>
      <w:r w:rsidR="00230C46">
        <w:rPr>
          <w:rFonts w:cstheme="minorHAnsi"/>
        </w:rPr>
        <w:t>reintegration</w:t>
      </w:r>
      <w:r w:rsidRPr="00A626CC">
        <w:rPr>
          <w:rFonts w:cstheme="minorHAnsi"/>
        </w:rPr>
        <w:t xml:space="preserve"> of workers underpins the whole ‘development rationale’ for labour mobility. </w:t>
      </w:r>
      <w:r w:rsidR="00051D53" w:rsidRPr="00A626CC">
        <w:rPr>
          <w:rFonts w:cstheme="minorHAnsi"/>
        </w:rPr>
        <w:t xml:space="preserve">Put another way, if no workers </w:t>
      </w:r>
      <w:r w:rsidR="00901C4E" w:rsidRPr="00A626CC">
        <w:rPr>
          <w:rFonts w:cstheme="minorHAnsi"/>
        </w:rPr>
        <w:t>returned and there were no remittances</w:t>
      </w:r>
      <w:r w:rsidR="00F374AA" w:rsidRPr="00A626CC">
        <w:rPr>
          <w:rFonts w:cstheme="minorHAnsi"/>
        </w:rPr>
        <w:t xml:space="preserve"> to Pacific and Timorese communities, the PALM scheme would </w:t>
      </w:r>
      <w:r w:rsidR="00F374AA" w:rsidRPr="00A626CC">
        <w:rPr>
          <w:rFonts w:cstheme="minorHAnsi"/>
          <w:i/>
          <w:iCs/>
        </w:rPr>
        <w:t>only</w:t>
      </w:r>
      <w:r w:rsidR="00F374AA" w:rsidRPr="00A626CC">
        <w:rPr>
          <w:rFonts w:cstheme="minorHAnsi"/>
        </w:rPr>
        <w:t xml:space="preserve"> be a labour migration scheme</w:t>
      </w:r>
      <w:r w:rsidR="003C2269" w:rsidRPr="00A626CC">
        <w:rPr>
          <w:rFonts w:cstheme="minorHAnsi"/>
        </w:rPr>
        <w:t xml:space="preserve">. </w:t>
      </w:r>
      <w:r w:rsidR="004C56DC" w:rsidRPr="00A626CC">
        <w:rPr>
          <w:rFonts w:cstheme="minorHAnsi"/>
        </w:rPr>
        <w:t xml:space="preserve">In such circumstances, </w:t>
      </w:r>
      <w:r w:rsidR="00992550" w:rsidRPr="00A626CC">
        <w:rPr>
          <w:rFonts w:cstheme="minorHAnsi"/>
        </w:rPr>
        <w:t xml:space="preserve">study of the amount </w:t>
      </w:r>
      <w:r w:rsidR="00C26F03" w:rsidRPr="00A626CC">
        <w:rPr>
          <w:rFonts w:cstheme="minorHAnsi"/>
        </w:rPr>
        <w:t xml:space="preserve">of remittances and the nature of </w:t>
      </w:r>
      <w:r w:rsidR="00E72161" w:rsidRPr="00A626CC">
        <w:rPr>
          <w:rFonts w:cstheme="minorHAnsi"/>
        </w:rPr>
        <w:t>worker</w:t>
      </w:r>
      <w:r w:rsidR="00A0780A" w:rsidRPr="00A626CC">
        <w:rPr>
          <w:rFonts w:cstheme="minorHAnsi"/>
        </w:rPr>
        <w:t>/</w:t>
      </w:r>
      <w:r w:rsidR="00E72161" w:rsidRPr="00A626CC">
        <w:rPr>
          <w:rFonts w:cstheme="minorHAnsi"/>
        </w:rPr>
        <w:t>household</w:t>
      </w:r>
      <w:r w:rsidR="00A0780A" w:rsidRPr="00A626CC">
        <w:rPr>
          <w:rFonts w:cstheme="minorHAnsi"/>
        </w:rPr>
        <w:t>/</w:t>
      </w:r>
      <w:r w:rsidR="00E72161" w:rsidRPr="00A626CC">
        <w:rPr>
          <w:rFonts w:cstheme="minorHAnsi"/>
        </w:rPr>
        <w:t xml:space="preserve">community economic impact </w:t>
      </w:r>
      <w:r w:rsidR="00F74244" w:rsidRPr="00A626CC">
        <w:rPr>
          <w:rFonts w:cstheme="minorHAnsi"/>
        </w:rPr>
        <w:t>could be deemed paternalistic</w:t>
      </w:r>
      <w:r w:rsidR="001D3C48" w:rsidRPr="00A626CC">
        <w:rPr>
          <w:rFonts w:cstheme="minorHAnsi"/>
        </w:rPr>
        <w:t xml:space="preserve"> or even irrelevant</w:t>
      </w:r>
      <w:r w:rsidRPr="00A626CC">
        <w:rPr>
          <w:rFonts w:cstheme="minorHAnsi"/>
          <w:i/>
          <w:iCs/>
        </w:rPr>
        <w:t>.</w:t>
      </w:r>
      <w:r w:rsidRPr="00A626CC">
        <w:rPr>
          <w:rFonts w:cstheme="minorHAnsi"/>
        </w:rPr>
        <w:t xml:space="preserve"> However, as it stands, the PALM scheme is not just a working visa scheme managed by the Department of Home Affairs, but rather it is at least partly managed under Australia’s development assistance program, and </w:t>
      </w:r>
      <w:r w:rsidR="00C77494" w:rsidRPr="00A626CC">
        <w:rPr>
          <w:rFonts w:cstheme="minorHAnsi"/>
        </w:rPr>
        <w:t xml:space="preserve">hence is </w:t>
      </w:r>
      <w:r w:rsidRPr="00A626CC">
        <w:rPr>
          <w:rFonts w:cstheme="minorHAnsi"/>
        </w:rPr>
        <w:t xml:space="preserve">subject to all the usual safeguarding and policy priorities that entails. Arguably, this is because it sits within a wider geopolitical or strategic context which sees close engagement between Australia, </w:t>
      </w:r>
      <w:r w:rsidR="00BA49EF" w:rsidRPr="00A626CC">
        <w:rPr>
          <w:rFonts w:cstheme="minorHAnsi"/>
        </w:rPr>
        <w:t>PICs,</w:t>
      </w:r>
      <w:r w:rsidRPr="00A626CC">
        <w:rPr>
          <w:rFonts w:cstheme="minorHAnsi"/>
        </w:rPr>
        <w:t xml:space="preserve"> and Timor-Leste as critical (see </w:t>
      </w:r>
      <w:r w:rsidR="00647A53" w:rsidRPr="00A626CC">
        <w:rPr>
          <w:rFonts w:cstheme="minorHAnsi"/>
        </w:rPr>
        <w:t>s</w:t>
      </w:r>
      <w:r w:rsidRPr="00A626CC">
        <w:rPr>
          <w:rFonts w:cstheme="minorHAnsi"/>
        </w:rPr>
        <w:t xml:space="preserve">ection </w:t>
      </w:r>
      <w:r w:rsidR="00EE5D43" w:rsidRPr="00A626CC">
        <w:rPr>
          <w:rFonts w:cstheme="minorHAnsi"/>
        </w:rPr>
        <w:fldChar w:fldCharType="begin"/>
      </w:r>
      <w:r w:rsidR="00EE5D43" w:rsidRPr="00A626CC">
        <w:rPr>
          <w:rFonts w:cstheme="minorHAnsi"/>
        </w:rPr>
        <w:instrText xml:space="preserve"> REF _Ref151390716 \r \h  \* MERGEFORMAT </w:instrText>
      </w:r>
      <w:r w:rsidR="00EE5D43" w:rsidRPr="00A626CC">
        <w:rPr>
          <w:rFonts w:cstheme="minorHAnsi"/>
        </w:rPr>
      </w:r>
      <w:r w:rsidR="00EE5D43" w:rsidRPr="00A626CC">
        <w:rPr>
          <w:rFonts w:cstheme="minorHAnsi"/>
        </w:rPr>
        <w:fldChar w:fldCharType="separate"/>
      </w:r>
      <w:r w:rsidR="001F6F84">
        <w:rPr>
          <w:rFonts w:cstheme="minorHAnsi"/>
        </w:rPr>
        <w:t>4.3</w:t>
      </w:r>
      <w:r w:rsidR="00EE5D43" w:rsidRPr="00A626CC">
        <w:rPr>
          <w:rFonts w:cstheme="minorHAnsi"/>
        </w:rPr>
        <w:fldChar w:fldCharType="end"/>
      </w:r>
      <w:r w:rsidRPr="00A626CC">
        <w:rPr>
          <w:rFonts w:cstheme="minorHAnsi"/>
        </w:rPr>
        <w:t>). </w:t>
      </w:r>
      <w:r w:rsidR="00CE5B58" w:rsidRPr="00A626CC">
        <w:rPr>
          <w:rFonts w:cstheme="minorHAnsi"/>
        </w:rPr>
        <w:t xml:space="preserve">Ensuring and promoting the economic benefits of labour mobility is </w:t>
      </w:r>
      <w:r w:rsidR="008C5A2A" w:rsidRPr="00A626CC">
        <w:rPr>
          <w:rFonts w:cstheme="minorHAnsi"/>
        </w:rPr>
        <w:t xml:space="preserve">fundamental to assuring its social license in </w:t>
      </w:r>
      <w:r w:rsidR="008C5A2A" w:rsidRPr="00C56785">
        <w:rPr>
          <w:rFonts w:cstheme="minorHAnsi"/>
        </w:rPr>
        <w:t>labour sending</w:t>
      </w:r>
      <w:r w:rsidR="008C5A2A" w:rsidRPr="00A626CC">
        <w:rPr>
          <w:rFonts w:cstheme="minorHAnsi"/>
        </w:rPr>
        <w:t xml:space="preserve"> countries and in Australia. </w:t>
      </w:r>
    </w:p>
    <w:p w14:paraId="6C3CA822" w14:textId="2CF5BE61" w:rsidR="00666156" w:rsidRPr="00A626CC" w:rsidRDefault="00694524" w:rsidP="00A626CC">
      <w:pPr>
        <w:rPr>
          <w:rFonts w:cstheme="minorHAnsi"/>
        </w:rPr>
      </w:pPr>
      <w:r w:rsidRPr="00A626CC">
        <w:rPr>
          <w:rFonts w:cstheme="minorHAnsi"/>
        </w:rPr>
        <w:lastRenderedPageBreak/>
        <w:t>While s</w:t>
      </w:r>
      <w:r w:rsidR="00601EBA" w:rsidRPr="00A626CC">
        <w:rPr>
          <w:rFonts w:cstheme="minorHAnsi"/>
        </w:rPr>
        <w:t>tudies by the World Bank and ANU</w:t>
      </w:r>
      <w:r w:rsidR="002A3127" w:rsidRPr="00A626CC">
        <w:rPr>
          <w:rStyle w:val="FootnoteReference"/>
          <w:rFonts w:cstheme="minorHAnsi"/>
        </w:rPr>
        <w:footnoteReference w:id="36"/>
      </w:r>
      <w:r w:rsidRPr="00A626CC">
        <w:rPr>
          <w:rFonts w:cstheme="minorHAnsi"/>
        </w:rPr>
        <w:t xml:space="preserve"> have established </w:t>
      </w:r>
      <w:r w:rsidR="00046C70" w:rsidRPr="00A626CC">
        <w:rPr>
          <w:rFonts w:cstheme="minorHAnsi"/>
        </w:rPr>
        <w:t xml:space="preserve">evidence of development impact in </w:t>
      </w:r>
      <w:r w:rsidR="00EE6BBB" w:rsidRPr="00A626CC">
        <w:rPr>
          <w:rFonts w:cstheme="minorHAnsi"/>
        </w:rPr>
        <w:t>Pacific/Timorese households and communities</w:t>
      </w:r>
      <w:r w:rsidR="002A3127" w:rsidRPr="00A626CC">
        <w:rPr>
          <w:rStyle w:val="FootnoteReference"/>
          <w:rFonts w:cstheme="minorHAnsi"/>
        </w:rPr>
        <w:footnoteReference w:id="37"/>
      </w:r>
      <w:r w:rsidR="00A34275" w:rsidRPr="00A626CC">
        <w:rPr>
          <w:rFonts w:cstheme="minorHAnsi"/>
        </w:rPr>
        <w:t xml:space="preserve">, </w:t>
      </w:r>
      <w:r w:rsidR="007C412E" w:rsidRPr="00A626CC">
        <w:rPr>
          <w:rFonts w:cstheme="minorHAnsi"/>
        </w:rPr>
        <w:t xml:space="preserve">there are legitimate questions about whether </w:t>
      </w:r>
      <w:r w:rsidR="00C04813" w:rsidRPr="00A626CC">
        <w:rPr>
          <w:rFonts w:cstheme="minorHAnsi"/>
        </w:rPr>
        <w:t xml:space="preserve">increased expenditure </w:t>
      </w:r>
      <w:r w:rsidR="00C04813" w:rsidRPr="00A626CC">
        <w:rPr>
          <w:rFonts w:cstheme="minorHAnsi"/>
          <w:i/>
          <w:iCs/>
        </w:rPr>
        <w:t>alone</w:t>
      </w:r>
      <w:r w:rsidR="00C04813" w:rsidRPr="00A626CC">
        <w:rPr>
          <w:rFonts w:cstheme="minorHAnsi"/>
        </w:rPr>
        <w:t xml:space="preserve"> </w:t>
      </w:r>
      <w:r w:rsidR="004E1AD6" w:rsidRPr="00A626CC">
        <w:rPr>
          <w:rFonts w:cstheme="minorHAnsi"/>
        </w:rPr>
        <w:t xml:space="preserve">adequately capitalises </w:t>
      </w:r>
      <w:r w:rsidR="00552817" w:rsidRPr="00A626CC">
        <w:rPr>
          <w:rFonts w:cstheme="minorHAnsi"/>
        </w:rPr>
        <w:t>on the opportunities presented through labour mobility in terms of fostering sustainable development outcomes</w:t>
      </w:r>
      <w:r w:rsidR="0051010C" w:rsidRPr="00A626CC">
        <w:rPr>
          <w:rFonts w:cstheme="minorHAnsi"/>
        </w:rPr>
        <w:t xml:space="preserve">. </w:t>
      </w:r>
      <w:r w:rsidR="000A6488" w:rsidRPr="00A626CC">
        <w:rPr>
          <w:rFonts w:cstheme="minorHAnsi"/>
        </w:rPr>
        <w:t xml:space="preserve">It is a fact that PLF was </w:t>
      </w:r>
      <w:r w:rsidR="00690DFC" w:rsidRPr="00A626CC">
        <w:rPr>
          <w:rFonts w:cstheme="minorHAnsi"/>
        </w:rPr>
        <w:t xml:space="preserve">not </w:t>
      </w:r>
      <w:r w:rsidR="000A6488" w:rsidRPr="00A626CC">
        <w:rPr>
          <w:rFonts w:cstheme="minorHAnsi"/>
        </w:rPr>
        <w:t xml:space="preserve">able to undertake planned </w:t>
      </w:r>
      <w:r w:rsidR="00690DFC" w:rsidRPr="00A626CC">
        <w:rPr>
          <w:rFonts w:cstheme="minorHAnsi"/>
        </w:rPr>
        <w:t xml:space="preserve">work </w:t>
      </w:r>
      <w:r w:rsidR="000A6488" w:rsidRPr="00A626CC">
        <w:rPr>
          <w:rFonts w:cstheme="minorHAnsi"/>
        </w:rPr>
        <w:t xml:space="preserve">in relation to </w:t>
      </w:r>
      <w:r w:rsidR="00DD1A97" w:rsidRPr="00A626CC">
        <w:rPr>
          <w:rFonts w:cstheme="minorHAnsi"/>
        </w:rPr>
        <w:t xml:space="preserve">enabling returning workers with entrepreneurial </w:t>
      </w:r>
      <w:r w:rsidR="004D5A69" w:rsidRPr="00A626CC">
        <w:rPr>
          <w:rFonts w:cstheme="minorHAnsi"/>
        </w:rPr>
        <w:t>ambitions</w:t>
      </w:r>
      <w:r w:rsidR="00DD1A97" w:rsidRPr="00A626CC">
        <w:rPr>
          <w:rFonts w:cstheme="minorHAnsi"/>
        </w:rPr>
        <w:t xml:space="preserve"> to </w:t>
      </w:r>
      <w:r w:rsidR="004D5A69" w:rsidRPr="00A626CC">
        <w:rPr>
          <w:rFonts w:cstheme="minorHAnsi"/>
        </w:rPr>
        <w:t xml:space="preserve">achieve their goals. Moving forward, </w:t>
      </w:r>
      <w:r w:rsidR="00C876A9" w:rsidRPr="00A626CC">
        <w:rPr>
          <w:rFonts w:cstheme="minorHAnsi"/>
        </w:rPr>
        <w:t xml:space="preserve">there is a nuanced debate to be settled </w:t>
      </w:r>
      <w:r w:rsidR="00050CED" w:rsidRPr="00A626CC">
        <w:rPr>
          <w:rFonts w:cstheme="minorHAnsi"/>
        </w:rPr>
        <w:t xml:space="preserve">within DFAT between two arguments: i) workers have individual choice </w:t>
      </w:r>
      <w:r w:rsidR="00F44014" w:rsidRPr="00A626CC">
        <w:rPr>
          <w:rFonts w:cstheme="minorHAnsi"/>
        </w:rPr>
        <w:t xml:space="preserve">about how they spend their earnings, and hence the quantum of remittances and the nature of how those remittances are spent is of no concern to the Commonwealth; ii) </w:t>
      </w:r>
      <w:r w:rsidR="00B02459" w:rsidRPr="00A626CC">
        <w:rPr>
          <w:rFonts w:cstheme="minorHAnsi"/>
        </w:rPr>
        <w:t xml:space="preserve">remittances </w:t>
      </w:r>
      <w:r w:rsidR="00E2747C" w:rsidRPr="00A626CC">
        <w:rPr>
          <w:rFonts w:cstheme="minorHAnsi"/>
        </w:rPr>
        <w:t xml:space="preserve">can be leveraged for more enduring economic impact </w:t>
      </w:r>
      <w:r w:rsidR="0053633A" w:rsidRPr="00A626CC">
        <w:rPr>
          <w:rFonts w:cstheme="minorHAnsi"/>
        </w:rPr>
        <w:t>at household</w:t>
      </w:r>
      <w:r w:rsidR="00145A29" w:rsidRPr="00A626CC">
        <w:rPr>
          <w:rFonts w:cstheme="minorHAnsi"/>
        </w:rPr>
        <w:t>,</w:t>
      </w:r>
      <w:r w:rsidR="0053633A" w:rsidRPr="00A626CC">
        <w:rPr>
          <w:rFonts w:cstheme="minorHAnsi"/>
        </w:rPr>
        <w:t xml:space="preserve"> community</w:t>
      </w:r>
      <w:r w:rsidR="00145A29" w:rsidRPr="00A626CC">
        <w:rPr>
          <w:rFonts w:cstheme="minorHAnsi"/>
        </w:rPr>
        <w:t>,</w:t>
      </w:r>
      <w:r w:rsidR="0053633A" w:rsidRPr="00A626CC">
        <w:rPr>
          <w:rFonts w:cstheme="minorHAnsi"/>
        </w:rPr>
        <w:t xml:space="preserve"> and national levels</w:t>
      </w:r>
      <w:r w:rsidR="00145A29" w:rsidRPr="00A626CC">
        <w:rPr>
          <w:rFonts w:cstheme="minorHAnsi"/>
        </w:rPr>
        <w:t>,</w:t>
      </w:r>
      <w:r w:rsidR="0053633A" w:rsidRPr="00A626CC">
        <w:rPr>
          <w:rFonts w:cstheme="minorHAnsi"/>
        </w:rPr>
        <w:t xml:space="preserve"> and Australia’s development assistance program </w:t>
      </w:r>
      <w:r w:rsidR="005F1AE5" w:rsidRPr="00A626CC">
        <w:rPr>
          <w:rFonts w:cstheme="minorHAnsi"/>
        </w:rPr>
        <w:t>could</w:t>
      </w:r>
      <w:r w:rsidR="0053633A" w:rsidRPr="00A626CC">
        <w:rPr>
          <w:rFonts w:cstheme="minorHAnsi"/>
        </w:rPr>
        <w:t xml:space="preserve"> play a role in </w:t>
      </w:r>
      <w:r w:rsidR="00150678" w:rsidRPr="00A626CC">
        <w:rPr>
          <w:rFonts w:cstheme="minorHAnsi"/>
        </w:rPr>
        <w:t>supporting an enabling environment for this leverage.</w:t>
      </w:r>
    </w:p>
    <w:p w14:paraId="6E0B1277" w14:textId="70FF7370" w:rsidR="00666156" w:rsidRPr="00A626CC" w:rsidRDefault="000A7857" w:rsidP="00A626CC">
      <w:pPr>
        <w:rPr>
          <w:rFonts w:cstheme="minorHAnsi"/>
        </w:rPr>
      </w:pPr>
      <w:r w:rsidRPr="00A626CC">
        <w:rPr>
          <w:rFonts w:cstheme="minorHAnsi"/>
        </w:rPr>
        <w:t xml:space="preserve">The concept note </w:t>
      </w:r>
      <w:r w:rsidR="00B1315F" w:rsidRPr="00A626CC">
        <w:rPr>
          <w:rFonts w:cstheme="minorHAnsi"/>
        </w:rPr>
        <w:t xml:space="preserve">commissioned by DFAT for the next phase of support for the PALM scheme again prioritises support </w:t>
      </w:r>
      <w:r w:rsidR="0099032E" w:rsidRPr="00A626CC">
        <w:rPr>
          <w:rFonts w:cstheme="minorHAnsi"/>
        </w:rPr>
        <w:t xml:space="preserve">to </w:t>
      </w:r>
      <w:r w:rsidR="00B1315F" w:rsidRPr="00A626CC">
        <w:rPr>
          <w:rFonts w:cstheme="minorHAnsi"/>
        </w:rPr>
        <w:t xml:space="preserve">worker </w:t>
      </w:r>
      <w:r w:rsidR="00272583" w:rsidRPr="00A626CC">
        <w:rPr>
          <w:rFonts w:cstheme="minorHAnsi"/>
        </w:rPr>
        <w:t xml:space="preserve">reintegration. </w:t>
      </w:r>
      <w:r w:rsidR="00280A1C" w:rsidRPr="00A626CC">
        <w:rPr>
          <w:rFonts w:cstheme="minorHAnsi"/>
        </w:rPr>
        <w:t>Such a focus</w:t>
      </w:r>
      <w:r w:rsidR="00272583" w:rsidRPr="00A626CC" w:rsidDel="00280A1C">
        <w:rPr>
          <w:rFonts w:cstheme="minorHAnsi"/>
        </w:rPr>
        <w:t xml:space="preserve"> </w:t>
      </w:r>
      <w:r w:rsidR="00272583" w:rsidRPr="00A626CC">
        <w:rPr>
          <w:rFonts w:cstheme="minorHAnsi"/>
        </w:rPr>
        <w:t xml:space="preserve">could commence </w:t>
      </w:r>
      <w:r w:rsidR="007A438C" w:rsidRPr="00A626CC">
        <w:rPr>
          <w:rFonts w:cstheme="minorHAnsi"/>
        </w:rPr>
        <w:t xml:space="preserve">in the </w:t>
      </w:r>
      <w:r w:rsidR="00666156" w:rsidRPr="00A626CC">
        <w:rPr>
          <w:rFonts w:cstheme="minorHAnsi"/>
        </w:rPr>
        <w:t xml:space="preserve">pre-departure </w:t>
      </w:r>
      <w:r w:rsidR="007A438C" w:rsidRPr="00A626CC">
        <w:rPr>
          <w:rFonts w:cstheme="minorHAnsi"/>
        </w:rPr>
        <w:t xml:space="preserve">phase </w:t>
      </w:r>
      <w:r w:rsidR="00666156" w:rsidRPr="00A626CC">
        <w:rPr>
          <w:rFonts w:cstheme="minorHAnsi"/>
        </w:rPr>
        <w:t>with the setting of financial goals (this is a focus of the IOM/World Vision PDB</w:t>
      </w:r>
      <w:r w:rsidR="000E3C2A" w:rsidRPr="00A626CC">
        <w:rPr>
          <w:rFonts w:cstheme="minorHAnsi"/>
        </w:rPr>
        <w:t xml:space="preserve"> discussed above</w:t>
      </w:r>
      <w:r w:rsidR="00666156" w:rsidRPr="00A626CC">
        <w:rPr>
          <w:rFonts w:cstheme="minorHAnsi"/>
        </w:rPr>
        <w:t xml:space="preserve">). However, it </w:t>
      </w:r>
      <w:r w:rsidR="00C47A49" w:rsidRPr="00A626CC">
        <w:rPr>
          <w:rFonts w:cstheme="minorHAnsi"/>
        </w:rPr>
        <w:t xml:space="preserve">should also </w:t>
      </w:r>
      <w:r w:rsidR="00666156" w:rsidRPr="00A626CC">
        <w:rPr>
          <w:rFonts w:cstheme="minorHAnsi"/>
        </w:rPr>
        <w:t>be supported through skill</w:t>
      </w:r>
      <w:r w:rsidR="00F176CD">
        <w:rPr>
          <w:rFonts w:cstheme="minorHAnsi"/>
        </w:rPr>
        <w:t>s</w:t>
      </w:r>
      <w:r w:rsidR="00666156" w:rsidRPr="00A626CC">
        <w:rPr>
          <w:rFonts w:cstheme="minorHAnsi"/>
        </w:rPr>
        <w:t xml:space="preserve"> development (in Australia and labour sending countries), access to capital and entrepreneurship guidance upon return. This is all complex and cost-intensive to implement</w:t>
      </w:r>
      <w:r w:rsidR="009D543E" w:rsidRPr="00A626CC">
        <w:rPr>
          <w:rFonts w:cstheme="minorHAnsi"/>
        </w:rPr>
        <w:t xml:space="preserve"> and so must be planned from a strategic perspective</w:t>
      </w:r>
      <w:r w:rsidR="00666156" w:rsidRPr="00A626CC">
        <w:rPr>
          <w:rFonts w:cstheme="minorHAnsi"/>
        </w:rPr>
        <w:t xml:space="preserve">. There is </w:t>
      </w:r>
      <w:r w:rsidR="001A59DE" w:rsidRPr="00A626CC">
        <w:rPr>
          <w:rFonts w:cstheme="minorHAnsi"/>
        </w:rPr>
        <w:t xml:space="preserve">currently </w:t>
      </w:r>
      <w:r w:rsidR="00666156" w:rsidRPr="00A626CC">
        <w:rPr>
          <w:rFonts w:cstheme="minorHAnsi"/>
        </w:rPr>
        <w:t>limited enterprise development by returning workers. Importantly, there is no significant investment by sending countries in an enabling environment for microenterprise. A</w:t>
      </w:r>
      <w:r w:rsidR="00D034D2" w:rsidRPr="00A626CC">
        <w:rPr>
          <w:rFonts w:cstheme="minorHAnsi"/>
        </w:rPr>
        <w:t>n</w:t>
      </w:r>
      <w:r w:rsidR="00666156" w:rsidRPr="00A626CC">
        <w:rPr>
          <w:rFonts w:cstheme="minorHAnsi"/>
        </w:rPr>
        <w:t xml:space="preserve"> LSU staff member reflected: </w:t>
      </w:r>
    </w:p>
    <w:p w14:paraId="39D051A6" w14:textId="77777777" w:rsidR="00666156" w:rsidRPr="00A626CC" w:rsidRDefault="00666156" w:rsidP="00A626CC">
      <w:pPr>
        <w:pStyle w:val="Quote"/>
      </w:pPr>
      <w:r w:rsidRPr="00A626CC">
        <w:t>“People need support to best use their savings when they return…our government is not doing anything to help”.  </w:t>
      </w:r>
    </w:p>
    <w:p w14:paraId="07D90EDF" w14:textId="51804177" w:rsidR="00666156" w:rsidRPr="00A626CC" w:rsidRDefault="00666156" w:rsidP="00A626CC">
      <w:pPr>
        <w:rPr>
          <w:rFonts w:cstheme="minorHAnsi"/>
        </w:rPr>
      </w:pPr>
      <w:r w:rsidRPr="00A626CC">
        <w:rPr>
          <w:rFonts w:cstheme="minorHAnsi"/>
        </w:rPr>
        <w:t>In Vanuatu, the Australian High Commission provides a small amount of funding for V-Lab</w:t>
      </w:r>
      <w:r w:rsidR="00857936" w:rsidRPr="00A626CC">
        <w:rPr>
          <w:rStyle w:val="FootnoteReference"/>
          <w:rFonts w:cstheme="minorHAnsi"/>
        </w:rPr>
        <w:footnoteReference w:id="38"/>
      </w:r>
      <w:r w:rsidRPr="00A626CC">
        <w:rPr>
          <w:rFonts w:cstheme="minorHAnsi"/>
        </w:rPr>
        <w:t xml:space="preserve"> which provides business planning support for returning workers, but there has been limited investment and engagement</w:t>
      </w:r>
      <w:r w:rsidR="00857936" w:rsidRPr="00A626CC">
        <w:rPr>
          <w:rStyle w:val="FootnoteReference"/>
          <w:rFonts w:cstheme="minorHAnsi"/>
        </w:rPr>
        <w:footnoteReference w:id="39"/>
      </w:r>
      <w:r w:rsidRPr="00A626CC">
        <w:rPr>
          <w:rFonts w:cstheme="minorHAnsi"/>
        </w:rPr>
        <w:t>. </w:t>
      </w:r>
      <w:r w:rsidR="00D83A2B" w:rsidRPr="00A626CC">
        <w:rPr>
          <w:rFonts w:cstheme="minorHAnsi"/>
        </w:rPr>
        <w:t xml:space="preserve">There are other DFAT initiatives across the Pacific that currently promote entrepreneurship that could </w:t>
      </w:r>
      <w:r w:rsidR="00F72A69" w:rsidRPr="00A626CC">
        <w:rPr>
          <w:rFonts w:cstheme="minorHAnsi"/>
        </w:rPr>
        <w:t>be useful points of reference</w:t>
      </w:r>
      <w:r w:rsidR="00A269D5" w:rsidRPr="00A626CC">
        <w:rPr>
          <w:rStyle w:val="FootnoteReference"/>
          <w:rFonts w:cstheme="minorHAnsi"/>
        </w:rPr>
        <w:footnoteReference w:id="40"/>
      </w:r>
      <w:r w:rsidR="00F72A69" w:rsidRPr="00A626CC">
        <w:rPr>
          <w:rFonts w:cstheme="minorHAnsi"/>
        </w:rPr>
        <w:t xml:space="preserve">. </w:t>
      </w:r>
    </w:p>
    <w:p w14:paraId="2D1C3204" w14:textId="225D42EB" w:rsidR="00666156" w:rsidRPr="00A626CC" w:rsidRDefault="00666156" w:rsidP="00A626CC">
      <w:pPr>
        <w:rPr>
          <w:rFonts w:cstheme="minorHAnsi"/>
        </w:rPr>
      </w:pPr>
      <w:r w:rsidRPr="00A626CC">
        <w:rPr>
          <w:rFonts w:cstheme="minorHAnsi"/>
        </w:rPr>
        <w:t xml:space="preserve">One </w:t>
      </w:r>
      <w:r w:rsidR="00954230" w:rsidRPr="00A626CC">
        <w:rPr>
          <w:rFonts w:cstheme="minorHAnsi"/>
        </w:rPr>
        <w:t xml:space="preserve">further </w:t>
      </w:r>
      <w:r w:rsidRPr="00A626CC">
        <w:rPr>
          <w:rFonts w:cstheme="minorHAnsi"/>
        </w:rPr>
        <w:t xml:space="preserve">issue </w:t>
      </w:r>
      <w:r w:rsidR="00954230" w:rsidRPr="00A626CC">
        <w:rPr>
          <w:rFonts w:cstheme="minorHAnsi"/>
        </w:rPr>
        <w:t xml:space="preserve">that was raised with the evaluation team </w:t>
      </w:r>
      <w:r w:rsidRPr="00A626CC">
        <w:rPr>
          <w:rFonts w:cstheme="minorHAnsi"/>
        </w:rPr>
        <w:t>is that there is rarely formal recognition of skills learned in Australia, which hampers employment prospects</w:t>
      </w:r>
      <w:r w:rsidR="00C614C1" w:rsidRPr="00A626CC">
        <w:rPr>
          <w:rFonts w:cstheme="minorHAnsi"/>
        </w:rPr>
        <w:t xml:space="preserve"> </w:t>
      </w:r>
      <w:r w:rsidR="00073765" w:rsidRPr="00A626CC">
        <w:rPr>
          <w:rFonts w:cstheme="minorHAnsi"/>
        </w:rPr>
        <w:t xml:space="preserve">of workers </w:t>
      </w:r>
      <w:r w:rsidR="00C614C1" w:rsidRPr="00A626CC">
        <w:rPr>
          <w:rFonts w:cstheme="minorHAnsi"/>
        </w:rPr>
        <w:t>on</w:t>
      </w:r>
      <w:r w:rsidR="00073765" w:rsidRPr="00A626CC">
        <w:rPr>
          <w:rFonts w:cstheme="minorHAnsi"/>
        </w:rPr>
        <w:t xml:space="preserve"> their</w:t>
      </w:r>
      <w:r w:rsidR="00C614C1" w:rsidRPr="00A626CC">
        <w:rPr>
          <w:rFonts w:cstheme="minorHAnsi"/>
        </w:rPr>
        <w:t xml:space="preserve"> return</w:t>
      </w:r>
      <w:r w:rsidRPr="00A626CC">
        <w:rPr>
          <w:rFonts w:cstheme="minorHAnsi"/>
        </w:rPr>
        <w:t>. Another issue is that some skills (</w:t>
      </w:r>
      <w:r w:rsidR="00D034D2" w:rsidRPr="00A626CC">
        <w:rPr>
          <w:rFonts w:cstheme="minorHAnsi"/>
        </w:rPr>
        <w:t>e.g.,</w:t>
      </w:r>
      <w:r w:rsidRPr="00A626CC">
        <w:rPr>
          <w:rFonts w:cstheme="minorHAnsi"/>
        </w:rPr>
        <w:t xml:space="preserve"> meat processing) are not relevant in some Pacific </w:t>
      </w:r>
      <w:r w:rsidR="00F176CD">
        <w:rPr>
          <w:rFonts w:cstheme="minorHAnsi"/>
        </w:rPr>
        <w:t>i</w:t>
      </w:r>
      <w:r w:rsidRPr="00A626CC">
        <w:rPr>
          <w:rFonts w:cstheme="minorHAnsi"/>
        </w:rPr>
        <w:t>slands contexts. Nonetheless, there are cases of workers applying knowledge and skill</w:t>
      </w:r>
      <w:r w:rsidR="00C11A48" w:rsidRPr="00A626CC">
        <w:rPr>
          <w:rFonts w:cstheme="minorHAnsi"/>
        </w:rPr>
        <w:t>s</w:t>
      </w:r>
      <w:r w:rsidRPr="00A626CC">
        <w:rPr>
          <w:rFonts w:cstheme="minorHAnsi"/>
        </w:rPr>
        <w:t xml:space="preserve"> they acquired. For example, returning </w:t>
      </w:r>
      <w:r w:rsidR="004E5E02">
        <w:rPr>
          <w:rFonts w:cstheme="minorHAnsi"/>
        </w:rPr>
        <w:t>n</w:t>
      </w:r>
      <w:r w:rsidRPr="00A626CC">
        <w:rPr>
          <w:rFonts w:cstheme="minorHAnsi"/>
        </w:rPr>
        <w:t>i-Vanuatu workers have implemented improved banana production techniques on Mele to increase productivity and profitability</w:t>
      </w:r>
      <w:r w:rsidR="007C1E96" w:rsidRPr="00A626CC">
        <w:rPr>
          <w:rFonts w:cstheme="minorHAnsi"/>
        </w:rPr>
        <w:t xml:space="preserve">—skills which they learned from working </w:t>
      </w:r>
      <w:r w:rsidR="008B2197" w:rsidRPr="00A626CC">
        <w:rPr>
          <w:rFonts w:cstheme="minorHAnsi"/>
        </w:rPr>
        <w:t>in Australian agriculture</w:t>
      </w:r>
      <w:r w:rsidRPr="00A626CC">
        <w:rPr>
          <w:rFonts w:cstheme="minorHAnsi"/>
        </w:rPr>
        <w:t>. </w:t>
      </w:r>
      <w:r w:rsidR="00A958C3" w:rsidRPr="00A626CC">
        <w:rPr>
          <w:rFonts w:cstheme="minorHAnsi"/>
        </w:rPr>
        <w:t xml:space="preserve">The evaluation team notes </w:t>
      </w:r>
      <w:r w:rsidR="0021581D" w:rsidRPr="00A626CC">
        <w:rPr>
          <w:rFonts w:cstheme="minorHAnsi"/>
        </w:rPr>
        <w:t xml:space="preserve">ongoing work within the Australia Pacific Training Coalition (APTC) to prioritise labour mobility skills </w:t>
      </w:r>
      <w:r w:rsidR="00BD5E9C" w:rsidRPr="00A626CC">
        <w:rPr>
          <w:rFonts w:cstheme="minorHAnsi"/>
        </w:rPr>
        <w:t xml:space="preserve">(see </w:t>
      </w:r>
      <w:r w:rsidR="00043E45" w:rsidRPr="00A626CC">
        <w:rPr>
          <w:rFonts w:cstheme="minorHAnsi"/>
        </w:rPr>
        <w:t xml:space="preserve">p </w:t>
      </w:r>
      <w:r w:rsidR="00043E45" w:rsidRPr="00A626CC">
        <w:rPr>
          <w:rFonts w:cstheme="minorHAnsi"/>
          <w:highlight w:val="yellow"/>
        </w:rPr>
        <w:fldChar w:fldCharType="begin"/>
      </w:r>
      <w:r w:rsidR="00043E45" w:rsidRPr="00A626CC">
        <w:rPr>
          <w:rFonts w:cstheme="minorHAnsi"/>
        </w:rPr>
        <w:instrText xml:space="preserve"> PAGEREF _Ref151390653 \h </w:instrText>
      </w:r>
      <w:r w:rsidR="00043E45" w:rsidRPr="00A626CC">
        <w:rPr>
          <w:rFonts w:cstheme="minorHAnsi"/>
          <w:highlight w:val="yellow"/>
        </w:rPr>
      </w:r>
      <w:r w:rsidR="00043E45" w:rsidRPr="00A626CC">
        <w:rPr>
          <w:rFonts w:cstheme="minorHAnsi"/>
          <w:highlight w:val="yellow"/>
        </w:rPr>
        <w:fldChar w:fldCharType="separate"/>
      </w:r>
      <w:r w:rsidR="001F6F84">
        <w:rPr>
          <w:rFonts w:cstheme="minorHAnsi"/>
          <w:noProof/>
        </w:rPr>
        <w:t>35</w:t>
      </w:r>
      <w:r w:rsidR="00043E45" w:rsidRPr="00A626CC">
        <w:rPr>
          <w:rFonts w:cstheme="minorHAnsi"/>
          <w:highlight w:val="yellow"/>
        </w:rPr>
        <w:fldChar w:fldCharType="end"/>
      </w:r>
      <w:r w:rsidR="00BD5E9C" w:rsidRPr="00A626CC">
        <w:rPr>
          <w:rFonts w:cstheme="minorHAnsi"/>
        </w:rPr>
        <w:t>) which could be further expanded.</w:t>
      </w:r>
      <w:r w:rsidR="00F172A1" w:rsidRPr="00A626CC">
        <w:rPr>
          <w:rFonts w:cstheme="minorHAnsi"/>
        </w:rPr>
        <w:t xml:space="preserve"> It is likely that more work could be done to integrate other</w:t>
      </w:r>
      <w:r w:rsidR="0094780B" w:rsidRPr="00A626CC">
        <w:rPr>
          <w:rFonts w:cstheme="minorHAnsi"/>
        </w:rPr>
        <w:t xml:space="preserve"> bilateral and regional development investments to further leverage the development impact of labour mobility.</w:t>
      </w:r>
    </w:p>
    <w:p w14:paraId="2DB7955A" w14:textId="77777777" w:rsidR="00666156" w:rsidRPr="00A626CC" w:rsidRDefault="00666156" w:rsidP="00A626CC">
      <w:pPr>
        <w:pStyle w:val="Blueblockheading"/>
      </w:pPr>
      <w:r w:rsidRPr="00A626CC">
        <w:rPr>
          <w:lang w:val="en-GB"/>
        </w:rPr>
        <w:lastRenderedPageBreak/>
        <w:t>Recommendation</w:t>
      </w:r>
      <w:r w:rsidRPr="00A626CC">
        <w:t> </w:t>
      </w:r>
    </w:p>
    <w:p w14:paraId="76E965A0" w14:textId="24B9C142" w:rsidR="00666156" w:rsidRPr="00A626CC" w:rsidRDefault="0022389A" w:rsidP="00A626CC">
      <w:pPr>
        <w:pStyle w:val="Blueblocktext"/>
      </w:pPr>
      <w:r w:rsidRPr="00A626CC">
        <w:rPr>
          <w:lang w:val="en-GB"/>
        </w:rPr>
        <w:t>3</w:t>
      </w:r>
      <w:r w:rsidR="00123AF6" w:rsidRPr="00A626CC">
        <w:rPr>
          <w:lang w:val="en-GB"/>
        </w:rPr>
        <w:t xml:space="preserve">. </w:t>
      </w:r>
      <w:r w:rsidR="00666156" w:rsidRPr="00A626CC">
        <w:rPr>
          <w:lang w:val="en-GB"/>
        </w:rPr>
        <w:t xml:space="preserve">The next phase of PLF should </w:t>
      </w:r>
      <w:r w:rsidR="00215DEF" w:rsidRPr="00A626CC">
        <w:rPr>
          <w:lang w:val="en-GB"/>
        </w:rPr>
        <w:t xml:space="preserve">further </w:t>
      </w:r>
      <w:r w:rsidR="00666156" w:rsidRPr="00A626CC">
        <w:rPr>
          <w:lang w:val="en-GB"/>
        </w:rPr>
        <w:t xml:space="preserve">prioritise ways to support employability and entrepreneurship among returning workers </w:t>
      </w:r>
      <w:r w:rsidR="00BA49EF" w:rsidRPr="00A626CC">
        <w:rPr>
          <w:lang w:val="en-GB"/>
        </w:rPr>
        <w:t>to</w:t>
      </w:r>
      <w:r w:rsidR="00666156" w:rsidRPr="00A626CC">
        <w:rPr>
          <w:lang w:val="en-GB"/>
        </w:rPr>
        <w:t xml:space="preserve"> leverage the development benefits of labour mobility.</w:t>
      </w:r>
      <w:r w:rsidR="00666156" w:rsidRPr="00A626CC">
        <w:t> </w:t>
      </w:r>
    </w:p>
    <w:p w14:paraId="72EC9359" w14:textId="3C05DAB1" w:rsidR="00666156" w:rsidRPr="00A626CC" w:rsidRDefault="0022389A" w:rsidP="00A626CC">
      <w:pPr>
        <w:pStyle w:val="Blueblocktext"/>
      </w:pPr>
      <w:r w:rsidRPr="00A626CC">
        <w:rPr>
          <w:lang w:val="en-GB"/>
        </w:rPr>
        <w:t>4</w:t>
      </w:r>
      <w:r w:rsidR="00123AF6" w:rsidRPr="00A626CC">
        <w:rPr>
          <w:lang w:val="en-GB"/>
        </w:rPr>
        <w:t xml:space="preserve">. </w:t>
      </w:r>
      <w:r w:rsidR="00871659" w:rsidRPr="00A626CC">
        <w:rPr>
          <w:lang w:val="en-GB"/>
        </w:rPr>
        <w:t>DFAT Posts should explore ways to integrate/align upcoming Development Partnership Plans (DPP) with relevant strategies that leverage local PALM scheme priorities (e.g. skills development, entrepreneurship, employment incentives, government revenue).</w:t>
      </w:r>
    </w:p>
    <w:p w14:paraId="2AD603E9" w14:textId="440BDDFB" w:rsidR="00F473A0" w:rsidRPr="00A626CC" w:rsidRDefault="00437345" w:rsidP="00A626CC">
      <w:pPr>
        <w:rPr>
          <w:rFonts w:cstheme="minorHAnsi"/>
        </w:rPr>
      </w:pPr>
      <w:r w:rsidRPr="00A626CC">
        <w:rPr>
          <w:rFonts w:cstheme="minorHAnsi"/>
        </w:rPr>
        <w:t xml:space="preserve">A final aspect in relation to achievement of the three PLF EOPOs </w:t>
      </w:r>
      <w:r w:rsidR="002D6ADC" w:rsidRPr="00A626CC">
        <w:rPr>
          <w:rFonts w:cstheme="minorHAnsi"/>
        </w:rPr>
        <w:t>concerns sustainability</w:t>
      </w:r>
      <w:r w:rsidR="002D6ADC" w:rsidRPr="00A626CC">
        <w:rPr>
          <w:rStyle w:val="FootnoteReference"/>
          <w:rFonts w:cstheme="minorHAnsi"/>
        </w:rPr>
        <w:footnoteReference w:id="41"/>
      </w:r>
      <w:r w:rsidR="002D6ADC" w:rsidRPr="00A626CC">
        <w:rPr>
          <w:rFonts w:cstheme="minorHAnsi"/>
        </w:rPr>
        <w:t xml:space="preserve">. </w:t>
      </w:r>
      <w:r w:rsidR="000A106A" w:rsidRPr="00A626CC">
        <w:rPr>
          <w:rFonts w:cstheme="minorHAnsi"/>
        </w:rPr>
        <w:t xml:space="preserve">The evaluation </w:t>
      </w:r>
      <w:r w:rsidR="00362AB1" w:rsidRPr="00A626CC">
        <w:rPr>
          <w:rFonts w:cstheme="minorHAnsi"/>
        </w:rPr>
        <w:t xml:space="preserve">team was advised that the way sustainability was conceived in relation to the PALM scheme </w:t>
      </w:r>
      <w:r w:rsidR="00AE4F06" w:rsidRPr="00A626CC">
        <w:rPr>
          <w:rFonts w:cstheme="minorHAnsi"/>
        </w:rPr>
        <w:t>evolved over recent years.</w:t>
      </w:r>
    </w:p>
    <w:p w14:paraId="618256D1" w14:textId="44EB4D23" w:rsidR="00D03E6D" w:rsidRPr="00A626CC" w:rsidRDefault="00D03E6D" w:rsidP="00A626CC">
      <w:r w:rsidRPr="00A626CC">
        <w:t>A 2020 Independent Review of the PLF</w:t>
      </w:r>
      <w:r w:rsidRPr="00A626CC">
        <w:rPr>
          <w:rStyle w:val="FootnoteReference"/>
        </w:rPr>
        <w:footnoteReference w:id="42"/>
      </w:r>
      <w:r w:rsidRPr="00A626CC">
        <w:t xml:space="preserve"> commissioned by DFAT recommended the (then) PLS be underpinned by a market-driven approach </w:t>
      </w:r>
      <w:r w:rsidR="00A85CCA" w:rsidRPr="00A626CC">
        <w:t xml:space="preserve">in order </w:t>
      </w:r>
      <w:r w:rsidRPr="00A626CC">
        <w:t xml:space="preserve">to reduce reliance on finite federal government support. In response to the review findings, PLF and DFAT </w:t>
      </w:r>
      <w:r w:rsidR="0084223C" w:rsidRPr="00A626CC">
        <w:t>collaborated</w:t>
      </w:r>
      <w:r w:rsidRPr="00A626CC">
        <w:t xml:space="preserve"> to produce </w:t>
      </w:r>
      <w:r w:rsidRPr="00A626CC">
        <w:rPr>
          <w:i/>
        </w:rPr>
        <w:t xml:space="preserve">The Roadmap for Sustainability </w:t>
      </w:r>
      <w:r w:rsidRPr="00A626CC">
        <w:t xml:space="preserve">(June 2021) </w:t>
      </w:r>
      <w:r w:rsidR="002F3375" w:rsidRPr="00A626CC">
        <w:t>which set</w:t>
      </w:r>
      <w:r w:rsidR="004D10E8">
        <w:t>s</w:t>
      </w:r>
      <w:r w:rsidR="002F3375" w:rsidRPr="00A626CC">
        <w:t xml:space="preserve"> </w:t>
      </w:r>
      <w:r w:rsidRPr="00A626CC">
        <w:t xml:space="preserve">out a strategy to grow the scheme in a way that improved alignment between those who benefit from the scheme and those who pay for the scheme. Five key initiatives were implemented to </w:t>
      </w:r>
      <w:r w:rsidR="004C382A" w:rsidRPr="00A626CC">
        <w:t xml:space="preserve">promote </w:t>
      </w:r>
      <w:r w:rsidRPr="00A626CC">
        <w:t>a sustainable PALM scheme, each of which is discussed elsewhere in this report</w:t>
      </w:r>
      <w:r w:rsidR="004C382A" w:rsidRPr="00A626CC">
        <w:t>:</w:t>
      </w:r>
      <w:r w:rsidRPr="00A626CC">
        <w:t xml:space="preserve"> </w:t>
      </w:r>
    </w:p>
    <w:p w14:paraId="60497A06" w14:textId="28C7707E" w:rsidR="00D03E6D" w:rsidRPr="00A626CC" w:rsidRDefault="00D03E6D" w:rsidP="00A626CC">
      <w:pPr>
        <w:pStyle w:val="ListNumber"/>
        <w:numPr>
          <w:ilvl w:val="0"/>
          <w:numId w:val="112"/>
        </w:numPr>
      </w:pPr>
      <w:r w:rsidRPr="00A626CC">
        <w:t xml:space="preserve">The </w:t>
      </w:r>
      <w:r w:rsidRPr="00A626CC">
        <w:rPr>
          <w:b/>
        </w:rPr>
        <w:t>Community of Care</w:t>
      </w:r>
      <w:r w:rsidRPr="00A626CC">
        <w:t xml:space="preserve"> approach to worker welfare (see </w:t>
      </w:r>
      <w:r w:rsidR="00F4735E" w:rsidRPr="00A626CC">
        <w:t>above</w:t>
      </w:r>
      <w:r w:rsidRPr="00A626CC">
        <w:t>).</w:t>
      </w:r>
    </w:p>
    <w:p w14:paraId="7DDB19CF" w14:textId="70488B2E" w:rsidR="00D03E6D" w:rsidRPr="00442F1F" w:rsidRDefault="00D03E6D" w:rsidP="00D03E6D">
      <w:pPr>
        <w:pStyle w:val="ListNumber"/>
      </w:pPr>
      <w:r w:rsidRPr="00442F1F">
        <w:t xml:space="preserve">A </w:t>
      </w:r>
      <w:r w:rsidRPr="00442F1F">
        <w:rPr>
          <w:b/>
        </w:rPr>
        <w:t>regional structure</w:t>
      </w:r>
      <w:r w:rsidRPr="00442F1F">
        <w:t xml:space="preserve"> to support the Community of Care approach via </w:t>
      </w:r>
      <w:r w:rsidR="004C382A" w:rsidRPr="00442F1F">
        <w:t>‘</w:t>
      </w:r>
      <w:r w:rsidRPr="00442F1F">
        <w:t>on the ground</w:t>
      </w:r>
      <w:r w:rsidR="004C382A" w:rsidRPr="00442F1F">
        <w:t>’</w:t>
      </w:r>
      <w:r w:rsidRPr="00442F1F">
        <w:t xml:space="preserve"> contact with AEs and community stakeholders (see </w:t>
      </w:r>
      <w:r w:rsidRPr="003033AE">
        <w:t xml:space="preserve">section </w:t>
      </w:r>
      <w:r w:rsidR="003033AE" w:rsidRPr="003033AE">
        <w:fldChar w:fldCharType="begin"/>
      </w:r>
      <w:r w:rsidR="003033AE" w:rsidRPr="003033AE">
        <w:instrText xml:space="preserve"> REF _Ref149258468 \r \h </w:instrText>
      </w:r>
      <w:r w:rsidR="003033AE">
        <w:instrText xml:space="preserve"> \* MERGEFORMAT </w:instrText>
      </w:r>
      <w:r w:rsidR="003033AE" w:rsidRPr="003033AE">
        <w:fldChar w:fldCharType="separate"/>
      </w:r>
      <w:r w:rsidR="001F6F84">
        <w:t>4.2.2</w:t>
      </w:r>
      <w:r w:rsidR="003033AE" w:rsidRPr="003033AE">
        <w:fldChar w:fldCharType="end"/>
      </w:r>
      <w:r w:rsidRPr="00442F1F">
        <w:t xml:space="preserve">). </w:t>
      </w:r>
    </w:p>
    <w:p w14:paraId="597A0E0A" w14:textId="19A5575B" w:rsidR="00D03E6D" w:rsidRPr="00442F1F" w:rsidRDefault="00D03E6D" w:rsidP="00D03E6D">
      <w:pPr>
        <w:pStyle w:val="ListNumber"/>
      </w:pPr>
      <w:r w:rsidRPr="00442F1F">
        <w:t xml:space="preserve">Development of </w:t>
      </w:r>
      <w:r w:rsidRPr="00442F1F">
        <w:rPr>
          <w:b/>
        </w:rPr>
        <w:t>technology infrastructure</w:t>
      </w:r>
      <w:r w:rsidRPr="00442F1F">
        <w:t xml:space="preserve"> required to support large numbers of PALM </w:t>
      </w:r>
      <w:r w:rsidR="004F51A6">
        <w:t xml:space="preserve">scheme </w:t>
      </w:r>
      <w:r w:rsidRPr="00442F1F">
        <w:t xml:space="preserve">workers and operate </w:t>
      </w:r>
      <w:r w:rsidR="007D1696">
        <w:t>the scheme</w:t>
      </w:r>
      <w:r w:rsidRPr="00442F1F">
        <w:t xml:space="preserve"> efficiently within Australia and </w:t>
      </w:r>
      <w:r w:rsidRPr="00F06789">
        <w:t>sending</w:t>
      </w:r>
      <w:r w:rsidRPr="00442F1F">
        <w:t xml:space="preserve"> countries (see </w:t>
      </w:r>
      <w:r w:rsidR="003033AE" w:rsidRPr="003033AE">
        <w:t xml:space="preserve">section </w:t>
      </w:r>
      <w:r w:rsidR="003033AE" w:rsidRPr="003033AE">
        <w:fldChar w:fldCharType="begin"/>
      </w:r>
      <w:r w:rsidR="003033AE" w:rsidRPr="003033AE">
        <w:instrText xml:space="preserve"> REF _Ref149258468 \r \h </w:instrText>
      </w:r>
      <w:r w:rsidR="003033AE">
        <w:instrText xml:space="preserve"> \* MERGEFORMAT </w:instrText>
      </w:r>
      <w:r w:rsidR="003033AE" w:rsidRPr="003033AE">
        <w:fldChar w:fldCharType="separate"/>
      </w:r>
      <w:r w:rsidR="001F6F84">
        <w:t>4.2.2</w:t>
      </w:r>
      <w:r w:rsidR="003033AE" w:rsidRPr="003033AE">
        <w:fldChar w:fldCharType="end"/>
      </w:r>
      <w:r w:rsidRPr="00442F1F">
        <w:t>).</w:t>
      </w:r>
    </w:p>
    <w:p w14:paraId="3A796894" w14:textId="00A2BB3C" w:rsidR="00D03E6D" w:rsidRPr="00442F1F" w:rsidRDefault="00D03E6D" w:rsidP="00D03E6D">
      <w:pPr>
        <w:pStyle w:val="ListNumber"/>
      </w:pPr>
      <w:r w:rsidRPr="00442F1F">
        <w:t xml:space="preserve">Implementation of a </w:t>
      </w:r>
      <w:r w:rsidRPr="00442F1F">
        <w:rPr>
          <w:b/>
        </w:rPr>
        <w:t>system-wide risk-based approach</w:t>
      </w:r>
      <w:r w:rsidRPr="00442F1F">
        <w:t xml:space="preserve"> to PLS </w:t>
      </w:r>
      <w:r w:rsidR="007D1696">
        <w:t>in which</w:t>
      </w:r>
      <w:r w:rsidRPr="00442F1F">
        <w:t xml:space="preserve"> resources are applied according to the level of identified risk. This </w:t>
      </w:r>
      <w:r w:rsidR="00656C9E">
        <w:t>approach was underpinned by PLF</w:t>
      </w:r>
      <w:r w:rsidR="000316AD">
        <w:t xml:space="preserve"> delineating compliance and assurance functions across different workstreams</w:t>
      </w:r>
      <w:r w:rsidRPr="00442F1F">
        <w:t xml:space="preserve"> (see </w:t>
      </w:r>
      <w:r w:rsidR="003033AE" w:rsidRPr="003033AE">
        <w:t xml:space="preserve">section </w:t>
      </w:r>
      <w:r w:rsidR="003033AE" w:rsidRPr="003033AE">
        <w:fldChar w:fldCharType="begin"/>
      </w:r>
      <w:r w:rsidR="003033AE" w:rsidRPr="003033AE">
        <w:instrText xml:space="preserve"> REF _Ref149258468 \r \h </w:instrText>
      </w:r>
      <w:r w:rsidR="003033AE">
        <w:instrText xml:space="preserve"> \* MERGEFORMAT </w:instrText>
      </w:r>
      <w:r w:rsidR="003033AE" w:rsidRPr="003033AE">
        <w:fldChar w:fldCharType="separate"/>
      </w:r>
      <w:r w:rsidR="001F6F84">
        <w:t>4.2.2</w:t>
      </w:r>
      <w:r w:rsidR="003033AE" w:rsidRPr="003033AE">
        <w:fldChar w:fldCharType="end"/>
      </w:r>
      <w:r w:rsidRPr="00442F1F">
        <w:t>).</w:t>
      </w:r>
    </w:p>
    <w:p w14:paraId="5EADD286" w14:textId="7F32726F" w:rsidR="00D03E6D" w:rsidRPr="00442F1F" w:rsidRDefault="00D03E6D" w:rsidP="00D03E6D">
      <w:pPr>
        <w:pStyle w:val="ListNumber"/>
      </w:pPr>
      <w:r w:rsidRPr="00442F1F">
        <w:rPr>
          <w:b/>
        </w:rPr>
        <w:t>Building of LSU capacity</w:t>
      </w:r>
      <w:r w:rsidRPr="00442F1F">
        <w:t xml:space="preserve"> to manage increasing demands for labour mobility workers (see </w:t>
      </w:r>
      <w:r w:rsidRPr="003033AE">
        <w:t xml:space="preserve">section </w:t>
      </w:r>
      <w:r w:rsidR="003033AE" w:rsidRPr="003033AE">
        <w:fldChar w:fldCharType="begin"/>
      </w:r>
      <w:r w:rsidR="003033AE" w:rsidRPr="003033AE">
        <w:instrText xml:space="preserve"> REF _Ref151390533 \r \h </w:instrText>
      </w:r>
      <w:r w:rsidR="003033AE">
        <w:instrText xml:space="preserve"> \* MERGEFORMAT </w:instrText>
      </w:r>
      <w:r w:rsidR="003033AE" w:rsidRPr="003033AE">
        <w:fldChar w:fldCharType="separate"/>
      </w:r>
      <w:r w:rsidR="001F6F84">
        <w:t>4.3</w:t>
      </w:r>
      <w:r w:rsidR="003033AE" w:rsidRPr="003033AE">
        <w:fldChar w:fldCharType="end"/>
      </w:r>
      <w:r w:rsidRPr="00442F1F">
        <w:t xml:space="preserve">).   </w:t>
      </w:r>
    </w:p>
    <w:p w14:paraId="26F98D09" w14:textId="77777777" w:rsidR="00035F39" w:rsidRDefault="00035F39">
      <w:r>
        <w:br w:type="page"/>
      </w:r>
    </w:p>
    <w:p w14:paraId="36F11E4F" w14:textId="12D2404D" w:rsidR="00D03E6D" w:rsidRPr="00A626CC" w:rsidRDefault="00D03E6D" w:rsidP="00A626CC">
      <w:r w:rsidRPr="00A626CC">
        <w:lastRenderedPageBreak/>
        <w:t xml:space="preserve">The very rapid growth in worker numbers triggered by the </w:t>
      </w:r>
      <w:r w:rsidR="002E24B2" w:rsidRPr="00A626CC">
        <w:t>Australian Government’s ‘</w:t>
      </w:r>
      <w:r w:rsidRPr="00A626CC">
        <w:t>Restart</w:t>
      </w:r>
      <w:r w:rsidR="002E24B2" w:rsidRPr="00A626CC">
        <w:t>’</w:t>
      </w:r>
      <w:r w:rsidRPr="00A626CC">
        <w:t xml:space="preserve"> (2020) and </w:t>
      </w:r>
      <w:r w:rsidR="002E24B2" w:rsidRPr="00A626CC">
        <w:t>‘</w:t>
      </w:r>
      <w:r w:rsidRPr="00A626CC">
        <w:t>Doubling</w:t>
      </w:r>
      <w:r w:rsidR="002E24B2" w:rsidRPr="00A626CC">
        <w:t>’</w:t>
      </w:r>
      <w:r w:rsidRPr="00A626CC">
        <w:t xml:space="preserve"> announcements (2021) saw an increase in adverse impacts of labour mobility participation in both Australia and </w:t>
      </w:r>
      <w:r w:rsidRPr="00F06789">
        <w:t>sending</w:t>
      </w:r>
      <w:r w:rsidRPr="00A626CC">
        <w:t xml:space="preserve"> countries arising from workers’ lengthy separation from families and communities (</w:t>
      </w:r>
      <w:r w:rsidR="00756339" w:rsidRPr="00A626CC">
        <w:t xml:space="preserve">the number of critical incidents reported rose from </w:t>
      </w:r>
      <w:r w:rsidR="00023F98" w:rsidRPr="00A626CC">
        <w:t>94 in FY2020-21 to 258 in FY2021-2022, a 274% increase)</w:t>
      </w:r>
      <w:r w:rsidR="00023F98" w:rsidRPr="00A626CC">
        <w:rPr>
          <w:rStyle w:val="FootnoteReference"/>
        </w:rPr>
        <w:footnoteReference w:id="43"/>
      </w:r>
      <w:r w:rsidRPr="00A626CC">
        <w:t xml:space="preserve">. </w:t>
      </w:r>
      <w:r w:rsidR="00DD7882" w:rsidRPr="00A626CC">
        <w:t xml:space="preserve">The management of </w:t>
      </w:r>
      <w:r w:rsidRPr="00A626CC">
        <w:t xml:space="preserve">such risks </w:t>
      </w:r>
      <w:r w:rsidR="00DF6169" w:rsidRPr="00A626CC">
        <w:t xml:space="preserve">is critical to preserving the </w:t>
      </w:r>
      <w:r w:rsidRPr="00A626CC">
        <w:t xml:space="preserve">social license </w:t>
      </w:r>
      <w:r w:rsidR="00DF6169" w:rsidRPr="00A626CC">
        <w:t xml:space="preserve">for </w:t>
      </w:r>
      <w:r w:rsidRPr="00A626CC">
        <w:t xml:space="preserve">the scheme in Australia and sending countries. Consequently, in recent years PLF re-framed sustainability to include the need to maintain social license for the scheme, and to successfully manage potential risks to social license. </w:t>
      </w:r>
      <w:r w:rsidR="00367F06" w:rsidRPr="00A626CC">
        <w:t xml:space="preserve">Analysis </w:t>
      </w:r>
      <w:r w:rsidR="009B27FD" w:rsidRPr="00A626CC">
        <w:t xml:space="preserve">of critical incidents </w:t>
      </w:r>
      <w:r w:rsidR="00367F06" w:rsidRPr="00A626CC">
        <w:t xml:space="preserve">by PLF </w:t>
      </w:r>
      <w:r w:rsidR="004960C8" w:rsidRPr="00A626CC">
        <w:t xml:space="preserve">identified five </w:t>
      </w:r>
      <w:r w:rsidRPr="00A626CC">
        <w:t>worker-related risks to social licence in Australia</w:t>
      </w:r>
      <w:r w:rsidR="00B62F48" w:rsidRPr="00A626CC">
        <w:t>:</w:t>
      </w:r>
      <w:r w:rsidRPr="00A626CC">
        <w:t xml:space="preserve"> sexual and reproductive health,</w:t>
      </w:r>
      <w:r w:rsidRPr="00A626CC">
        <w:rPr>
          <w:rStyle w:val="FootnoteReference"/>
        </w:rPr>
        <w:footnoteReference w:id="44"/>
      </w:r>
      <w:r w:rsidRPr="00A626CC">
        <w:t xml:space="preserve"> respectful relationships,</w:t>
      </w:r>
      <w:r w:rsidRPr="00A626CC">
        <w:rPr>
          <w:rStyle w:val="FootnoteReference"/>
        </w:rPr>
        <w:footnoteReference w:id="45"/>
      </w:r>
      <w:r w:rsidRPr="00A626CC">
        <w:t xml:space="preserve"> mental health, alcohol, and safe driving. PLF supported AEs to respond to these and other worker-related risks. </w:t>
      </w:r>
      <w:r w:rsidR="00552796" w:rsidRPr="00A626CC">
        <w:t xml:space="preserve">Management of these risks moving forward </w:t>
      </w:r>
      <w:r w:rsidR="007C6727" w:rsidRPr="00A626CC">
        <w:t xml:space="preserve">remains the fundamental </w:t>
      </w:r>
      <w:r w:rsidR="002B60F0" w:rsidRPr="00A626CC">
        <w:t>priority</w:t>
      </w:r>
      <w:r w:rsidR="007C6727" w:rsidRPr="00A626CC">
        <w:t xml:space="preserve"> of </w:t>
      </w:r>
      <w:r w:rsidR="002B60F0" w:rsidRPr="00A626CC">
        <w:t>worker welfare support services.</w:t>
      </w:r>
    </w:p>
    <w:p w14:paraId="6BCE98C2" w14:textId="77777777" w:rsidR="00666156" w:rsidRPr="00A626CC" w:rsidRDefault="00666156" w:rsidP="00A626CC">
      <w:pPr>
        <w:pStyle w:val="ColumnBlock"/>
      </w:pPr>
      <w:r w:rsidRPr="00A626CC">
        <w:t>Measurability and plausibility of outcome statements </w:t>
      </w:r>
    </w:p>
    <w:p w14:paraId="27FC4E06" w14:textId="1288D31E" w:rsidR="00D44893" w:rsidRPr="00A626CC" w:rsidRDefault="00475085" w:rsidP="00A626CC">
      <w:pPr>
        <w:rPr>
          <w:rFonts w:cstheme="minorHAnsi"/>
        </w:rPr>
      </w:pPr>
      <w:r w:rsidRPr="00A626CC">
        <w:rPr>
          <w:rFonts w:cstheme="minorHAnsi"/>
        </w:rPr>
        <w:t xml:space="preserve">The QTAG was not previously tasked with reviewing the PLF theory of change or EOPOs, and there is </w:t>
      </w:r>
      <w:r w:rsidR="00666156" w:rsidRPr="00A626CC">
        <w:rPr>
          <w:rFonts w:cstheme="minorHAnsi"/>
        </w:rPr>
        <w:t xml:space="preserve">a </w:t>
      </w:r>
      <w:r w:rsidRPr="00A626CC">
        <w:rPr>
          <w:rFonts w:cstheme="minorHAnsi"/>
        </w:rPr>
        <w:t>compelling argument that at this point nearing the end of investment, there is little value in such critique</w:t>
      </w:r>
      <w:r w:rsidRPr="00A626CC">
        <w:rPr>
          <w:rStyle w:val="FootnoteReference"/>
          <w:rFonts w:cstheme="minorHAnsi"/>
        </w:rPr>
        <w:footnoteReference w:id="46"/>
      </w:r>
      <w:r w:rsidRPr="00A626CC">
        <w:rPr>
          <w:rFonts w:cstheme="minorHAnsi"/>
        </w:rPr>
        <w:t xml:space="preserve">. However, there is an alternative argument that good development practice demands that a future design reflect lessons from this phase of PLF. </w:t>
      </w:r>
      <w:r w:rsidR="004D74CD">
        <w:rPr>
          <w:rFonts w:cstheme="minorHAnsi"/>
        </w:rPr>
        <w:t>In this vein</w:t>
      </w:r>
      <w:r w:rsidR="00666156" w:rsidRPr="00A626CC">
        <w:rPr>
          <w:rFonts w:cstheme="minorHAnsi"/>
        </w:rPr>
        <w:t xml:space="preserve">, the phrasing of all three </w:t>
      </w:r>
      <w:r w:rsidR="00EE01E8" w:rsidRPr="00A626CC">
        <w:rPr>
          <w:rFonts w:cstheme="minorHAnsi"/>
        </w:rPr>
        <w:t xml:space="preserve">EOPO </w:t>
      </w:r>
      <w:r w:rsidR="00666156" w:rsidRPr="00A626CC">
        <w:rPr>
          <w:rFonts w:cstheme="minorHAnsi"/>
        </w:rPr>
        <w:t xml:space="preserve">statements can be critiqued </w:t>
      </w:r>
      <w:r w:rsidR="00E7205C" w:rsidRPr="00A626CC">
        <w:rPr>
          <w:rFonts w:cstheme="minorHAnsi"/>
        </w:rPr>
        <w:t xml:space="preserve">against </w:t>
      </w:r>
      <w:r w:rsidR="00666156" w:rsidRPr="00A626CC">
        <w:rPr>
          <w:rFonts w:cstheme="minorHAnsi"/>
        </w:rPr>
        <w:t>DFAT’s M&amp;E standards</w:t>
      </w:r>
      <w:r w:rsidR="00D0724D" w:rsidRPr="00A626CC">
        <w:rPr>
          <w:rStyle w:val="FootnoteReference"/>
          <w:rFonts w:cstheme="minorHAnsi"/>
        </w:rPr>
        <w:footnoteReference w:id="47"/>
      </w:r>
      <w:r w:rsidR="00666156" w:rsidRPr="00A626CC">
        <w:rPr>
          <w:rFonts w:cstheme="minorHAnsi"/>
        </w:rPr>
        <w:t xml:space="preserve"> because they do not articulate </w:t>
      </w:r>
      <w:r w:rsidR="00E6379A" w:rsidRPr="00A626CC">
        <w:rPr>
          <w:rFonts w:cstheme="minorHAnsi"/>
        </w:rPr>
        <w:t>human subject</w:t>
      </w:r>
      <w:r w:rsidR="003C501B" w:rsidRPr="00A626CC">
        <w:rPr>
          <w:rFonts w:cstheme="minorHAnsi"/>
        </w:rPr>
        <w:t>s</w:t>
      </w:r>
      <w:r w:rsidR="000A32B3" w:rsidRPr="00A626CC">
        <w:rPr>
          <w:rFonts w:cstheme="minorHAnsi"/>
        </w:rPr>
        <w:t>/</w:t>
      </w:r>
      <w:r w:rsidR="00E6379A" w:rsidRPr="00A626CC">
        <w:rPr>
          <w:rFonts w:cstheme="minorHAnsi"/>
        </w:rPr>
        <w:t>evaluand</w:t>
      </w:r>
      <w:r w:rsidR="003C501B" w:rsidRPr="00A626CC">
        <w:rPr>
          <w:rFonts w:cstheme="minorHAnsi"/>
        </w:rPr>
        <w:t>s</w:t>
      </w:r>
      <w:r w:rsidR="00857936" w:rsidRPr="00A626CC">
        <w:rPr>
          <w:rStyle w:val="FootnoteReference"/>
          <w:rFonts w:cstheme="minorHAnsi"/>
        </w:rPr>
        <w:footnoteReference w:id="48"/>
      </w:r>
      <w:r w:rsidR="00E7205C" w:rsidRPr="00A626CC">
        <w:rPr>
          <w:rFonts w:cstheme="minorHAnsi"/>
        </w:rPr>
        <w:t xml:space="preserve">, </w:t>
      </w:r>
      <w:r w:rsidR="00D83A87" w:rsidRPr="00A626CC">
        <w:rPr>
          <w:rFonts w:cstheme="minorHAnsi"/>
        </w:rPr>
        <w:t xml:space="preserve">presenting </w:t>
      </w:r>
      <w:r w:rsidR="00666156" w:rsidRPr="00A626CC">
        <w:rPr>
          <w:rFonts w:cstheme="minorHAnsi"/>
        </w:rPr>
        <w:t>challenges from an evaluability standpoint.</w:t>
      </w:r>
      <w:r w:rsidR="00F239E1" w:rsidRPr="00A626CC">
        <w:rPr>
          <w:rStyle w:val="FootnoteReference"/>
          <w:rFonts w:cstheme="minorHAnsi"/>
        </w:rPr>
        <w:footnoteReference w:id="49"/>
      </w:r>
      <w:r w:rsidR="00666156" w:rsidRPr="00A626CC">
        <w:rPr>
          <w:rFonts w:cstheme="minorHAnsi"/>
        </w:rPr>
        <w:t xml:space="preserve"> </w:t>
      </w:r>
      <w:r w:rsidR="00D44893" w:rsidRPr="00A626CC">
        <w:rPr>
          <w:rFonts w:cstheme="minorHAnsi"/>
        </w:rPr>
        <w:t>The implicit subjects/evaluands of EOPO 1 and EOPO 2 are the LSUs and A</w:t>
      </w:r>
      <w:r w:rsidR="00F64D01">
        <w:rPr>
          <w:rFonts w:cstheme="minorHAnsi"/>
        </w:rPr>
        <w:t>pproved</w:t>
      </w:r>
      <w:r w:rsidR="00D44893" w:rsidRPr="00A626CC">
        <w:rPr>
          <w:rFonts w:cstheme="minorHAnsi"/>
        </w:rPr>
        <w:t xml:space="preserve"> Employers, respectively. EOPO 3 seems to set out the work of PLF (hence, </w:t>
      </w:r>
      <w:r w:rsidR="00D516EE" w:rsidRPr="00A626CC">
        <w:rPr>
          <w:rFonts w:cstheme="minorHAnsi"/>
        </w:rPr>
        <w:t xml:space="preserve">is </w:t>
      </w:r>
      <w:r w:rsidR="00D44893" w:rsidRPr="00A626CC">
        <w:rPr>
          <w:rFonts w:cstheme="minorHAnsi"/>
        </w:rPr>
        <w:t>a</w:t>
      </w:r>
      <w:r w:rsidR="00D516EE" w:rsidRPr="00A626CC">
        <w:rPr>
          <w:rFonts w:cstheme="minorHAnsi"/>
        </w:rPr>
        <w:t>n</w:t>
      </w:r>
      <w:r w:rsidR="00D970A9" w:rsidRPr="00A626CC">
        <w:rPr>
          <w:rFonts w:cstheme="minorHAnsi"/>
        </w:rPr>
        <w:t xml:space="preserve"> output/</w:t>
      </w:r>
      <w:r w:rsidR="00D44893" w:rsidRPr="00A626CC">
        <w:rPr>
          <w:rFonts w:cstheme="minorHAnsi"/>
        </w:rPr>
        <w:t>deliverable rather than an outcome)</w:t>
      </w:r>
      <w:r w:rsidR="003931F7" w:rsidRPr="00A626CC">
        <w:rPr>
          <w:rFonts w:cstheme="minorHAnsi"/>
        </w:rPr>
        <w:t xml:space="preserve"> </w:t>
      </w:r>
      <w:r w:rsidR="00D44893" w:rsidRPr="00A626CC">
        <w:rPr>
          <w:rFonts w:cstheme="minorHAnsi"/>
        </w:rPr>
        <w:t>but could also be interpreted to extend to Pacific labour ministries, Pacific/Timor</w:t>
      </w:r>
      <w:r w:rsidR="005F2D48">
        <w:rPr>
          <w:rFonts w:cstheme="minorHAnsi"/>
        </w:rPr>
        <w:t>-Leste</w:t>
      </w:r>
      <w:r w:rsidR="00D44893" w:rsidRPr="00A626CC">
        <w:rPr>
          <w:rFonts w:cstheme="minorHAnsi"/>
        </w:rPr>
        <w:t xml:space="preserve"> Diplomatic Posts in Australia and a host of actors that comprise the Community of Care. Regardless, EOPO 3 is undefined, and EOPOs 1 and 2 are ambiguous. </w:t>
      </w:r>
    </w:p>
    <w:p w14:paraId="72225506" w14:textId="3F864336" w:rsidR="00A07404" w:rsidRPr="00A626CC" w:rsidRDefault="00A07404" w:rsidP="00A07404">
      <w:pPr>
        <w:rPr>
          <w:rFonts w:cstheme="minorHAnsi"/>
        </w:rPr>
      </w:pPr>
      <w:r w:rsidRPr="00A626CC">
        <w:rPr>
          <w:rFonts w:cstheme="minorHAnsi"/>
        </w:rPr>
        <w:t>The evaluation team was advised of current and ongoing steps by DFAT and DEWR to clarify the mandates and responsibilities of the departments in relation to the PALM scheme, and to clarify the various roles of key actors.</w:t>
      </w:r>
      <w:r w:rsidR="008F2827">
        <w:rPr>
          <w:rFonts w:cstheme="minorHAnsi"/>
        </w:rPr>
        <w:t xml:space="preserve"> This </w:t>
      </w:r>
      <w:r w:rsidR="006B6D99">
        <w:rPr>
          <w:rFonts w:cstheme="minorHAnsi"/>
        </w:rPr>
        <w:t xml:space="preserve">will </w:t>
      </w:r>
      <w:r w:rsidR="00146732">
        <w:rPr>
          <w:rFonts w:cstheme="minorHAnsi"/>
        </w:rPr>
        <w:t xml:space="preserve">enable </w:t>
      </w:r>
      <w:r w:rsidR="004C6EC4">
        <w:rPr>
          <w:rFonts w:cstheme="minorHAnsi"/>
        </w:rPr>
        <w:t xml:space="preserve">formulation of </w:t>
      </w:r>
      <w:r w:rsidR="00146732">
        <w:rPr>
          <w:rFonts w:cstheme="minorHAnsi"/>
        </w:rPr>
        <w:t xml:space="preserve">a </w:t>
      </w:r>
      <w:r w:rsidR="00022FE1">
        <w:rPr>
          <w:rFonts w:cstheme="minorHAnsi"/>
        </w:rPr>
        <w:t xml:space="preserve">clear theory of change </w:t>
      </w:r>
      <w:r w:rsidR="004C6EC4">
        <w:rPr>
          <w:rFonts w:cstheme="minorHAnsi"/>
        </w:rPr>
        <w:t xml:space="preserve">for </w:t>
      </w:r>
      <w:r w:rsidR="00146732">
        <w:rPr>
          <w:rFonts w:cstheme="minorHAnsi"/>
        </w:rPr>
        <w:t xml:space="preserve">the next </w:t>
      </w:r>
      <w:r w:rsidR="00022FE1">
        <w:rPr>
          <w:rFonts w:cstheme="minorHAnsi"/>
        </w:rPr>
        <w:t>phase</w:t>
      </w:r>
      <w:r w:rsidR="00146732">
        <w:rPr>
          <w:rFonts w:cstheme="minorHAnsi"/>
        </w:rPr>
        <w:t xml:space="preserve"> of support to the PALM scheme</w:t>
      </w:r>
      <w:r w:rsidR="00022FE1">
        <w:rPr>
          <w:rFonts w:cstheme="minorHAnsi"/>
        </w:rPr>
        <w:t>.</w:t>
      </w:r>
      <w:r w:rsidR="008F2827">
        <w:rPr>
          <w:rFonts w:cstheme="minorHAnsi"/>
        </w:rPr>
        <w:t xml:space="preserve"> </w:t>
      </w:r>
    </w:p>
    <w:p w14:paraId="533547B0" w14:textId="51728908" w:rsidR="002A718D" w:rsidRPr="00A626CC" w:rsidRDefault="00B10CFF" w:rsidP="00A626CC">
      <w:r>
        <w:rPr>
          <w:rFonts w:cstheme="minorHAnsi"/>
        </w:rPr>
        <w:t>On a related note</w:t>
      </w:r>
      <w:r w:rsidR="000A32B3" w:rsidRPr="00A626CC">
        <w:rPr>
          <w:rFonts w:cstheme="minorHAnsi"/>
        </w:rPr>
        <w:t xml:space="preserve">, </w:t>
      </w:r>
      <w:r w:rsidR="00F93CC8" w:rsidRPr="00A626CC">
        <w:rPr>
          <w:rFonts w:cstheme="minorHAnsi"/>
        </w:rPr>
        <w:t>t</w:t>
      </w:r>
      <w:r w:rsidR="00531733" w:rsidRPr="00A626CC">
        <w:rPr>
          <w:rFonts w:cstheme="minorHAnsi"/>
        </w:rPr>
        <w:t>he evaluation team heard from multiple stakeholders</w:t>
      </w:r>
      <w:r w:rsidR="00B56994" w:rsidRPr="00A626CC">
        <w:rPr>
          <w:rStyle w:val="FootnoteReference"/>
          <w:rFonts w:cstheme="minorHAnsi"/>
        </w:rPr>
        <w:footnoteReference w:id="50"/>
      </w:r>
      <w:r w:rsidR="00531733" w:rsidRPr="00A626CC">
        <w:rPr>
          <w:rFonts w:cstheme="minorHAnsi"/>
        </w:rPr>
        <w:t xml:space="preserve"> a sense of </w:t>
      </w:r>
      <w:r w:rsidR="00B56994" w:rsidRPr="00A626CC">
        <w:rPr>
          <w:rFonts w:cstheme="minorHAnsi"/>
        </w:rPr>
        <w:t xml:space="preserve">wrestling with the core purpose or </w:t>
      </w:r>
      <w:r w:rsidR="000E1CD7" w:rsidRPr="00A626CC">
        <w:rPr>
          <w:rFonts w:cstheme="minorHAnsi"/>
        </w:rPr>
        <w:t>emphasis</w:t>
      </w:r>
      <w:r w:rsidR="00B56994" w:rsidRPr="00A626CC">
        <w:rPr>
          <w:rFonts w:cstheme="minorHAnsi"/>
        </w:rPr>
        <w:t xml:space="preserve"> of the PALM scheme broadly, and PLF specifically. </w:t>
      </w:r>
      <w:r w:rsidR="002A718D" w:rsidRPr="00A626CC">
        <w:rPr>
          <w:rFonts w:cstheme="minorHAnsi"/>
        </w:rPr>
        <w:t xml:space="preserve">Several interviewees reflected that </w:t>
      </w:r>
      <w:r w:rsidR="00272DFA" w:rsidRPr="00A626CC">
        <w:rPr>
          <w:rFonts w:cstheme="minorHAnsi"/>
        </w:rPr>
        <w:t>t</w:t>
      </w:r>
      <w:r w:rsidR="002A718D" w:rsidRPr="00A626CC">
        <w:rPr>
          <w:rFonts w:cstheme="minorHAnsi"/>
        </w:rPr>
        <w:t xml:space="preserve">he PALM scheme has two different strategic priorities, one that is Australia-facing and the other </w:t>
      </w:r>
      <w:r w:rsidR="002A718D" w:rsidRPr="005F2D48">
        <w:rPr>
          <w:rFonts w:cstheme="minorHAnsi"/>
        </w:rPr>
        <w:t>labour sending</w:t>
      </w:r>
      <w:r w:rsidR="002A718D" w:rsidRPr="00A626CC">
        <w:rPr>
          <w:rFonts w:cstheme="minorHAnsi"/>
        </w:rPr>
        <w:t xml:space="preserve"> country-facing. On one hand, the scheme is a domestic employment program with the goal of filling specified unskilled and semi-skilled labour shortages</w:t>
      </w:r>
      <w:r w:rsidR="00AC6878" w:rsidRPr="00A626CC">
        <w:rPr>
          <w:rFonts w:cstheme="minorHAnsi"/>
        </w:rPr>
        <w:t xml:space="preserve"> ultimately for the benefit of the Australian economy</w:t>
      </w:r>
      <w:r w:rsidR="002A718D" w:rsidRPr="00A626CC">
        <w:rPr>
          <w:rFonts w:cstheme="minorHAnsi"/>
        </w:rPr>
        <w:t xml:space="preserve">. On the other hand, the scheme is a development program with the goal of contributing to family and community wellbeing in </w:t>
      </w:r>
      <w:r w:rsidR="002A718D" w:rsidRPr="005F2D48">
        <w:rPr>
          <w:rFonts w:cstheme="minorHAnsi"/>
        </w:rPr>
        <w:t>labour sending</w:t>
      </w:r>
      <w:r w:rsidR="002A718D" w:rsidRPr="00A626CC">
        <w:rPr>
          <w:rFonts w:cstheme="minorHAnsi"/>
        </w:rPr>
        <w:t xml:space="preserve"> countries through worker remittances. </w:t>
      </w:r>
      <w:r w:rsidR="00483CD5" w:rsidRPr="00A626CC">
        <w:rPr>
          <w:rFonts w:cstheme="minorHAnsi"/>
        </w:rPr>
        <w:lastRenderedPageBreak/>
        <w:t xml:space="preserve">While the </w:t>
      </w:r>
      <w:r w:rsidR="00135AA0" w:rsidRPr="00A626CC">
        <w:rPr>
          <w:rFonts w:cstheme="minorHAnsi"/>
        </w:rPr>
        <w:t xml:space="preserve">scheme </w:t>
      </w:r>
      <w:r w:rsidR="00753EFC" w:rsidRPr="00A626CC">
        <w:rPr>
          <w:rFonts w:cstheme="minorHAnsi"/>
        </w:rPr>
        <w:t xml:space="preserve">is </w:t>
      </w:r>
      <w:r w:rsidR="00483CD5" w:rsidRPr="00A626CC">
        <w:rPr>
          <w:rFonts w:cstheme="minorHAnsi"/>
        </w:rPr>
        <w:t xml:space="preserve">underpinned by these </w:t>
      </w:r>
      <w:r w:rsidR="00753EFC" w:rsidRPr="00A626CC">
        <w:rPr>
          <w:rFonts w:cstheme="minorHAnsi"/>
        </w:rPr>
        <w:t>differing</w:t>
      </w:r>
      <w:r w:rsidR="00135AA0" w:rsidRPr="00A626CC">
        <w:rPr>
          <w:rFonts w:cstheme="minorHAnsi"/>
        </w:rPr>
        <w:t xml:space="preserve"> policy aims</w:t>
      </w:r>
      <w:r w:rsidR="00483CD5" w:rsidRPr="00A626CC">
        <w:rPr>
          <w:rFonts w:cstheme="minorHAnsi"/>
        </w:rPr>
        <w:t xml:space="preserve">, </w:t>
      </w:r>
      <w:r w:rsidR="00E63876" w:rsidRPr="00A626CC">
        <w:rPr>
          <w:rFonts w:cstheme="minorHAnsi"/>
        </w:rPr>
        <w:t xml:space="preserve">they are </w:t>
      </w:r>
      <w:r w:rsidR="00E00497" w:rsidRPr="00A626CC">
        <w:rPr>
          <w:rFonts w:cstheme="minorHAnsi"/>
        </w:rPr>
        <w:t xml:space="preserve">also </w:t>
      </w:r>
      <w:r w:rsidR="00135AA0" w:rsidRPr="00A626CC">
        <w:rPr>
          <w:rFonts w:cstheme="minorHAnsi"/>
        </w:rPr>
        <w:t>inter-connected</w:t>
      </w:r>
      <w:r w:rsidR="002D4144" w:rsidRPr="00A626CC">
        <w:rPr>
          <w:rFonts w:cstheme="minorHAnsi"/>
        </w:rPr>
        <w:t xml:space="preserve"> and must be </w:t>
      </w:r>
      <w:r w:rsidR="00135AA0" w:rsidRPr="00A626CC">
        <w:rPr>
          <w:rFonts w:cstheme="minorHAnsi"/>
        </w:rPr>
        <w:t xml:space="preserve">implemented in a coordinated and proportionate fashion to be successful overall. The dominance or </w:t>
      </w:r>
      <w:r w:rsidR="009C5C0B" w:rsidRPr="00A626CC">
        <w:rPr>
          <w:rFonts w:cstheme="minorHAnsi"/>
        </w:rPr>
        <w:t>foundering</w:t>
      </w:r>
      <w:r w:rsidR="00135AA0" w:rsidRPr="00A626CC">
        <w:rPr>
          <w:rFonts w:cstheme="minorHAnsi"/>
        </w:rPr>
        <w:t xml:space="preserve"> in implementation of one</w:t>
      </w:r>
      <w:r w:rsidR="00135AA0" w:rsidRPr="00A626CC" w:rsidDel="00F41054">
        <w:rPr>
          <w:rFonts w:cstheme="minorHAnsi"/>
        </w:rPr>
        <w:t xml:space="preserve"> </w:t>
      </w:r>
      <w:r w:rsidR="00F41054" w:rsidRPr="00A626CC">
        <w:rPr>
          <w:rFonts w:cstheme="minorHAnsi"/>
        </w:rPr>
        <w:t xml:space="preserve">aim </w:t>
      </w:r>
      <w:r w:rsidR="00135AA0" w:rsidRPr="00A626CC">
        <w:rPr>
          <w:rFonts w:cstheme="minorHAnsi"/>
        </w:rPr>
        <w:t xml:space="preserve">will </w:t>
      </w:r>
      <w:r w:rsidR="009537B8" w:rsidRPr="00A626CC">
        <w:rPr>
          <w:rFonts w:cstheme="minorHAnsi"/>
        </w:rPr>
        <w:t xml:space="preserve">have consequences for </w:t>
      </w:r>
      <w:r w:rsidR="00135AA0" w:rsidRPr="00A626CC">
        <w:rPr>
          <w:rFonts w:cstheme="minorHAnsi"/>
        </w:rPr>
        <w:t xml:space="preserve">the other </w:t>
      </w:r>
      <w:r w:rsidR="00F41054" w:rsidRPr="00A626CC">
        <w:rPr>
          <w:rFonts w:cstheme="minorHAnsi"/>
        </w:rPr>
        <w:t>aim</w:t>
      </w:r>
      <w:r w:rsidR="00135AA0" w:rsidRPr="00A626CC">
        <w:rPr>
          <w:rFonts w:cstheme="minorHAnsi"/>
        </w:rPr>
        <w:t xml:space="preserve">, </w:t>
      </w:r>
      <w:r w:rsidR="009537B8" w:rsidRPr="00A626CC">
        <w:rPr>
          <w:rFonts w:cstheme="minorHAnsi"/>
        </w:rPr>
        <w:t>exposing</w:t>
      </w:r>
      <w:r w:rsidR="00135AA0" w:rsidRPr="00A626CC">
        <w:rPr>
          <w:rFonts w:cstheme="minorHAnsi"/>
        </w:rPr>
        <w:t xml:space="preserve"> the entire scheme </w:t>
      </w:r>
      <w:r w:rsidR="009537B8" w:rsidRPr="00A626CC">
        <w:rPr>
          <w:rFonts w:cstheme="minorHAnsi"/>
        </w:rPr>
        <w:t>to</w:t>
      </w:r>
      <w:r w:rsidR="00135AA0" w:rsidRPr="00A626CC">
        <w:rPr>
          <w:rFonts w:cstheme="minorHAnsi"/>
        </w:rPr>
        <w:t xml:space="preserve"> risk.</w:t>
      </w:r>
      <w:r w:rsidR="009537B8" w:rsidRPr="00A626CC">
        <w:rPr>
          <w:rFonts w:cstheme="minorHAnsi"/>
        </w:rPr>
        <w:t xml:space="preserve"> </w:t>
      </w:r>
      <w:r w:rsidR="002A718D" w:rsidRPr="00A626CC">
        <w:rPr>
          <w:rFonts w:cstheme="minorHAnsi"/>
        </w:rPr>
        <w:t xml:space="preserve">Managing these dual </w:t>
      </w:r>
      <w:r w:rsidR="00F41054" w:rsidRPr="00A626CC">
        <w:rPr>
          <w:rFonts w:cstheme="minorHAnsi"/>
        </w:rPr>
        <w:t xml:space="preserve">aims </w:t>
      </w:r>
      <w:r w:rsidR="002A718D" w:rsidRPr="00A626CC">
        <w:rPr>
          <w:rFonts w:cstheme="minorHAnsi"/>
        </w:rPr>
        <w:t>has created points of tension</w:t>
      </w:r>
      <w:r w:rsidR="00D01FD4" w:rsidRPr="00A626CC">
        <w:rPr>
          <w:rFonts w:cstheme="minorHAnsi"/>
        </w:rPr>
        <w:t xml:space="preserve"> </w:t>
      </w:r>
      <w:r w:rsidR="00135AA0" w:rsidRPr="00A626CC">
        <w:rPr>
          <w:rFonts w:cstheme="minorHAnsi"/>
        </w:rPr>
        <w:t>at different stages</w:t>
      </w:r>
      <w:r w:rsidR="00004740" w:rsidRPr="00A626CC">
        <w:rPr>
          <w:rFonts w:cstheme="minorHAnsi"/>
        </w:rPr>
        <w:t>, fostering dissatisfaction among some stakeholders</w:t>
      </w:r>
      <w:r w:rsidR="00A07404">
        <w:rPr>
          <w:rFonts w:cstheme="minorHAnsi"/>
        </w:rPr>
        <w:t>. This is explored further</w:t>
      </w:r>
      <w:r w:rsidR="00004740" w:rsidRPr="00A626CC">
        <w:rPr>
          <w:rFonts w:cstheme="minorHAnsi"/>
        </w:rPr>
        <w:t xml:space="preserve"> below.</w:t>
      </w:r>
      <w:r w:rsidR="00D01FD4" w:rsidRPr="00A626CC">
        <w:rPr>
          <w:rFonts w:cstheme="minorHAnsi"/>
        </w:rPr>
        <w:t xml:space="preserve"> </w:t>
      </w:r>
    </w:p>
    <w:p w14:paraId="0EB46553" w14:textId="77777777" w:rsidR="00666156" w:rsidRPr="00A626CC" w:rsidRDefault="00666156" w:rsidP="00A626CC">
      <w:pPr>
        <w:pStyle w:val="ColumnBlock"/>
      </w:pPr>
      <w:r w:rsidRPr="00A626CC">
        <w:t>Partner and beneficiary satisfaction and behaviour change </w:t>
      </w:r>
    </w:p>
    <w:p w14:paraId="399FE8C9" w14:textId="037BFCB3" w:rsidR="00666156" w:rsidRPr="00A626CC" w:rsidRDefault="00666156" w:rsidP="00A626CC">
      <w:pPr>
        <w:rPr>
          <w:rFonts w:cstheme="minorHAnsi"/>
        </w:rPr>
      </w:pPr>
      <w:r w:rsidRPr="00A626CC">
        <w:rPr>
          <w:rFonts w:cstheme="minorHAnsi"/>
        </w:rPr>
        <w:t xml:space="preserve">As noted above, PLF has been highly flexible and responsive to the evolving needs and policy settings of DFAT and DEWR. It has proactively worked to support AEs, workers, </w:t>
      </w:r>
      <w:r w:rsidR="00BA49EF" w:rsidRPr="00A626CC">
        <w:rPr>
          <w:rFonts w:cstheme="minorHAnsi"/>
        </w:rPr>
        <w:t>LSU</w:t>
      </w:r>
      <w:r w:rsidR="001900F0" w:rsidRPr="00A626CC">
        <w:rPr>
          <w:rFonts w:cstheme="minorHAnsi"/>
        </w:rPr>
        <w:t>s</w:t>
      </w:r>
      <w:r w:rsidR="00BA49EF" w:rsidRPr="00A626CC">
        <w:rPr>
          <w:rFonts w:cstheme="minorHAnsi"/>
        </w:rPr>
        <w:t>,</w:t>
      </w:r>
      <w:r w:rsidRPr="00A626CC">
        <w:rPr>
          <w:rFonts w:cstheme="minorHAnsi"/>
        </w:rPr>
        <w:t xml:space="preserve"> and a range of other stakeholders against the background of the dramatic contextual changes summarised in Section </w:t>
      </w:r>
      <w:r w:rsidR="00A77F75" w:rsidRPr="00A626CC">
        <w:rPr>
          <w:rFonts w:cstheme="minorHAnsi"/>
        </w:rPr>
        <w:fldChar w:fldCharType="begin"/>
      </w:r>
      <w:r w:rsidR="00A77F75" w:rsidRPr="00A626CC">
        <w:rPr>
          <w:rFonts w:cstheme="minorHAnsi"/>
        </w:rPr>
        <w:instrText xml:space="preserve"> REF _Ref149258177 \r \h </w:instrText>
      </w:r>
      <w:r w:rsidR="00A77F75" w:rsidRPr="00A626CC">
        <w:rPr>
          <w:rFonts w:cstheme="minorHAnsi"/>
        </w:rPr>
      </w:r>
      <w:r w:rsidR="00A77F75" w:rsidRPr="00A626CC">
        <w:rPr>
          <w:rFonts w:cstheme="minorHAnsi"/>
        </w:rPr>
        <w:fldChar w:fldCharType="separate"/>
      </w:r>
      <w:r w:rsidR="001F6F84">
        <w:rPr>
          <w:rFonts w:cstheme="minorHAnsi"/>
        </w:rPr>
        <w:t>2.3</w:t>
      </w:r>
      <w:r w:rsidR="00A77F75" w:rsidRPr="00A626CC">
        <w:rPr>
          <w:rFonts w:cstheme="minorHAnsi"/>
        </w:rPr>
        <w:fldChar w:fldCharType="end"/>
      </w:r>
      <w:r w:rsidRPr="00A626CC">
        <w:rPr>
          <w:rFonts w:cstheme="minorHAnsi"/>
        </w:rPr>
        <w:t>. A DFAT officer closely involved at key points during the PLF contract reported: </w:t>
      </w:r>
    </w:p>
    <w:p w14:paraId="46B2335F" w14:textId="77777777" w:rsidR="00666156" w:rsidRPr="00A626CC" w:rsidRDefault="00666156" w:rsidP="00A626CC">
      <w:pPr>
        <w:pStyle w:val="Quote"/>
      </w:pPr>
      <w:r w:rsidRPr="00A626CC">
        <w:t>“PLF never had a clear 6 month run to prove itself. I can commend the PLF…staff were patient and understanding. They understood the politics, but never took their eyes off the ball on worker welfare…The leadership was fantastic at keeping the whole show focussed on bigger objectives. The facility managed onshore and offshore services well. They provided staff in the LSUs which helped them keep running…it seemed well joined up from what I could see”. </w:t>
      </w:r>
    </w:p>
    <w:p w14:paraId="184D714B" w14:textId="41E8C90B" w:rsidR="00666156" w:rsidRPr="00A626CC" w:rsidRDefault="00753549" w:rsidP="00A626CC">
      <w:pPr>
        <w:rPr>
          <w:rFonts w:cstheme="minorHAnsi"/>
        </w:rPr>
      </w:pPr>
      <w:r w:rsidRPr="00A626CC">
        <w:rPr>
          <w:rFonts w:cstheme="minorHAnsi"/>
        </w:rPr>
        <w:t>Given the diversity of interests across the classes of stakeholder</w:t>
      </w:r>
      <w:r w:rsidR="00032CBD">
        <w:rPr>
          <w:rFonts w:cstheme="minorHAnsi"/>
        </w:rPr>
        <w:t>s</w:t>
      </w:r>
      <w:r w:rsidRPr="00A626CC">
        <w:rPr>
          <w:rFonts w:cstheme="minorHAnsi"/>
        </w:rPr>
        <w:t xml:space="preserve">, it is unsurprising that there are differing levels of satisfaction with PLF performance. </w:t>
      </w:r>
      <w:r w:rsidR="00666156" w:rsidRPr="00A626CC">
        <w:rPr>
          <w:rFonts w:cstheme="minorHAnsi"/>
        </w:rPr>
        <w:t>The evaluation team observed that, in general, the more closely a stakeholder engaged with PLF, the more likely they were to respect the challenges and appreciate the performance of the facility. A DFAT official reflected the pragmatic reality</w:t>
      </w:r>
      <w:r w:rsidR="00E00497" w:rsidRPr="00A626CC">
        <w:rPr>
          <w:rFonts w:cstheme="minorHAnsi"/>
        </w:rPr>
        <w:t xml:space="preserve"> that </w:t>
      </w:r>
      <w:r w:rsidR="00666156" w:rsidRPr="00A626CC">
        <w:rPr>
          <w:rFonts w:cstheme="minorHAnsi"/>
        </w:rPr>
        <w:t>“</w:t>
      </w:r>
      <w:r w:rsidR="00057D01" w:rsidRPr="00A626CC">
        <w:rPr>
          <w:rFonts w:cstheme="minorHAnsi"/>
          <w:i/>
          <w:iCs/>
        </w:rPr>
        <w:t>a</w:t>
      </w:r>
      <w:r w:rsidR="00666156" w:rsidRPr="00A626CC">
        <w:rPr>
          <w:rFonts w:cstheme="minorHAnsi"/>
          <w:i/>
          <w:iCs/>
        </w:rPr>
        <w:t xml:space="preserve"> perpetual challenge of this program is that everyone will always be a little bit unhappy; and if that’s the case then we’re probably doing our job right</w:t>
      </w:r>
      <w:r w:rsidR="00666156" w:rsidRPr="00A626CC">
        <w:rPr>
          <w:rFonts w:cstheme="minorHAnsi"/>
        </w:rPr>
        <w:t>”. </w:t>
      </w:r>
    </w:p>
    <w:p w14:paraId="6DFFFB66" w14:textId="177DEEF6" w:rsidR="00666156" w:rsidRPr="00A626CC" w:rsidRDefault="00666156" w:rsidP="00A626CC">
      <w:pPr>
        <w:rPr>
          <w:rFonts w:cstheme="minorHAnsi"/>
        </w:rPr>
      </w:pPr>
      <w:r w:rsidRPr="00A626CC">
        <w:rPr>
          <w:rFonts w:cstheme="minorHAnsi"/>
        </w:rPr>
        <w:t>The evaluation team engaged with most—but not all—classes of stakeholder</w:t>
      </w:r>
      <w:r w:rsidR="00032CBD">
        <w:rPr>
          <w:rFonts w:cstheme="minorHAnsi"/>
        </w:rPr>
        <w:t>s</w:t>
      </w:r>
      <w:r w:rsidRPr="00A626CC">
        <w:rPr>
          <w:rFonts w:cstheme="minorHAnsi"/>
        </w:rPr>
        <w:t>. The following quotations from key classes of stakeholder</w:t>
      </w:r>
      <w:r w:rsidR="00032CBD">
        <w:rPr>
          <w:rFonts w:cstheme="minorHAnsi"/>
        </w:rPr>
        <w:t>s</w:t>
      </w:r>
      <w:r w:rsidRPr="00A626CC">
        <w:rPr>
          <w:rFonts w:cstheme="minorHAnsi"/>
        </w:rPr>
        <w:t xml:space="preserve"> are indicative of common themes in relation to PLF performance: </w:t>
      </w:r>
    </w:p>
    <w:p w14:paraId="105C57E4" w14:textId="1F00E9DE" w:rsidR="00666156" w:rsidRPr="00A626CC" w:rsidRDefault="00666156" w:rsidP="00A626CC">
      <w:pPr>
        <w:pStyle w:val="Greyblocktext"/>
      </w:pPr>
      <w:r w:rsidRPr="00A626CC">
        <w:rPr>
          <w:b/>
        </w:rPr>
        <w:t>DFAT official</w:t>
      </w:r>
      <w:r w:rsidRPr="00A626CC">
        <w:t>: “PLF has been extraordinary throughout a really difficult time of flux and change… Collaboration has been a key success factor. DFAT and [the contractor] have managed PLF as a partnership…We were clear on being the final decision-</w:t>
      </w:r>
      <w:r w:rsidR="00D034D2" w:rsidRPr="00A626CC">
        <w:t>maker,</w:t>
      </w:r>
      <w:r w:rsidRPr="00A626CC">
        <w:t xml:space="preserve"> but they knew that they could bring ideas”. </w:t>
      </w:r>
    </w:p>
    <w:p w14:paraId="41A48598" w14:textId="77777777" w:rsidR="00666156" w:rsidRPr="00A626CC" w:rsidRDefault="00666156" w:rsidP="00A626CC">
      <w:pPr>
        <w:pStyle w:val="Greyblocktext"/>
      </w:pPr>
      <w:r w:rsidRPr="00A626CC">
        <w:rPr>
          <w:b/>
        </w:rPr>
        <w:t>DEWR official</w:t>
      </w:r>
      <w:r w:rsidRPr="00A626CC">
        <w:t>: “PLF didn’t seem to value the expertise in DEWR in relation to onshore operations. It’s a different way of working compared with offshore engagement. They took a much more relationship-oriented approach rather than a compliance or enforcement approach which is consistent with onshore ways of working. PLF seemed more focused on offshore, and perhaps tried to apply the same ways of working onshore, but Australian employers operate in a very different context to the Pacific stakeholders. PLF was very collaborative, when perhaps enforcement was justified”. </w:t>
      </w:r>
    </w:p>
    <w:p w14:paraId="79D4372E" w14:textId="77777777" w:rsidR="00666156" w:rsidRPr="00A626CC" w:rsidRDefault="00666156" w:rsidP="00A626CC">
      <w:pPr>
        <w:pStyle w:val="Greyblocktext"/>
      </w:pPr>
      <w:r w:rsidRPr="00A626CC">
        <w:rPr>
          <w:b/>
        </w:rPr>
        <w:t xml:space="preserve">Australian industry representative: </w:t>
      </w:r>
      <w:r w:rsidRPr="00A626CC">
        <w:t>“[PLF staff] has done a great job. The support that DFAT has given to countries through PLF has been essential…Having PLF reps in each country has been critical but we need to sit down and work out everyone’s roles. We need to improve communication between employers and sending countries”. </w:t>
      </w:r>
    </w:p>
    <w:p w14:paraId="4433B1E5" w14:textId="77777777" w:rsidR="00666156" w:rsidRPr="00A626CC" w:rsidRDefault="00666156" w:rsidP="00A626CC">
      <w:pPr>
        <w:pStyle w:val="Greyblocktext"/>
      </w:pPr>
      <w:r w:rsidRPr="00A626CC">
        <w:rPr>
          <w:b/>
        </w:rPr>
        <w:t>LSU staff</w:t>
      </w:r>
      <w:r w:rsidRPr="00A626CC">
        <w:t>: “[PLF Engagement Manager] keeps me on my toes, reminding me about proper process and urgent priorities. Through them we have access to support from Australia…I appreciate the dynamics of how they work—their HR management style. They help to make issues we face more manageable”. </w:t>
      </w:r>
    </w:p>
    <w:p w14:paraId="0E3C66E0" w14:textId="5228BE81" w:rsidR="00666156" w:rsidRPr="00A626CC" w:rsidRDefault="00666156" w:rsidP="00A626CC">
      <w:pPr>
        <w:pStyle w:val="Greyblocktext"/>
      </w:pPr>
      <w:r w:rsidRPr="00A626CC">
        <w:rPr>
          <w:b/>
        </w:rPr>
        <w:lastRenderedPageBreak/>
        <w:t>Returned worker:</w:t>
      </w:r>
      <w:r w:rsidRPr="00A626CC">
        <w:t xml:space="preserve"> “In predeparture briefings they show us all the support services, but most workers don’t call those [Support </w:t>
      </w:r>
      <w:r w:rsidR="005F4B3B" w:rsidRPr="00A626CC">
        <w:t>Services Line</w:t>
      </w:r>
      <w:r w:rsidRPr="00A626CC">
        <w:t>] numbers because they don’t feel confident to speak English on the phone or express their feelings. I don’t know anyone that has called the helpline…it’s even worse for female workers”. </w:t>
      </w:r>
    </w:p>
    <w:p w14:paraId="3E435A32" w14:textId="77777777" w:rsidR="00666156" w:rsidRPr="00A626CC" w:rsidRDefault="00666156" w:rsidP="00A626CC">
      <w:pPr>
        <w:pStyle w:val="Greyblocktext"/>
      </w:pPr>
      <w:r w:rsidRPr="00A626CC">
        <w:rPr>
          <w:b/>
        </w:rPr>
        <w:t>Country Liaison Officer:</w:t>
      </w:r>
      <w:r w:rsidRPr="00A626CC">
        <w:t xml:space="preserve"> “PLF staff are very helpful and do a good job. They are very professional in the way they do their work. The number of Pacific staff in PLF has grown over the years which is good to see. The key benefit of PLF is that it isn’t a government department, which means decision making is faster than DFAT and DEWR”. </w:t>
      </w:r>
    </w:p>
    <w:p w14:paraId="38E7FA32" w14:textId="6EDD01D7" w:rsidR="00666156" w:rsidRPr="00A626CC" w:rsidRDefault="00666156" w:rsidP="00A626CC">
      <w:pPr>
        <w:rPr>
          <w:rFonts w:cstheme="minorHAnsi"/>
        </w:rPr>
      </w:pPr>
      <w:r w:rsidRPr="00A626CC">
        <w:rPr>
          <w:rFonts w:cstheme="minorHAnsi"/>
        </w:rPr>
        <w:t xml:space="preserve">PLF has been required to build and maintain relationships with an array of stakeholders in Australia and in 10 countries </w:t>
      </w:r>
      <w:r w:rsidR="007D734C">
        <w:rPr>
          <w:rFonts w:cstheme="minorHAnsi"/>
        </w:rPr>
        <w:t>which</w:t>
      </w:r>
      <w:r w:rsidR="007D734C" w:rsidRPr="00A626CC">
        <w:rPr>
          <w:rFonts w:cstheme="minorHAnsi"/>
        </w:rPr>
        <w:t xml:space="preserve"> </w:t>
      </w:r>
      <w:r w:rsidRPr="00A626CC">
        <w:rPr>
          <w:rFonts w:cstheme="minorHAnsi"/>
        </w:rPr>
        <w:t xml:space="preserve">each have a legitimate expectation to be kept informed. This has been a challenging—if not impossible—task, if only because the efficient flow of information across the whole ‘system’ requires all parties to play their role, not just PLF. </w:t>
      </w:r>
      <w:r w:rsidR="00A77F75" w:rsidRPr="00A626CC">
        <w:rPr>
          <w:rFonts w:cstheme="minorHAnsi"/>
        </w:rPr>
        <w:fldChar w:fldCharType="begin"/>
      </w:r>
      <w:r w:rsidR="00A77F75" w:rsidRPr="00A626CC">
        <w:rPr>
          <w:rFonts w:cstheme="minorHAnsi"/>
        </w:rPr>
        <w:instrText xml:space="preserve"> REF _Ref151390021 \h </w:instrText>
      </w:r>
      <w:r w:rsidR="00A77F75" w:rsidRPr="00A626CC">
        <w:rPr>
          <w:rFonts w:cstheme="minorHAnsi"/>
        </w:rPr>
      </w:r>
      <w:r w:rsidR="00A77F75" w:rsidRPr="00A626CC">
        <w:rPr>
          <w:rFonts w:cstheme="minorHAnsi"/>
        </w:rPr>
        <w:fldChar w:fldCharType="separate"/>
      </w:r>
      <w:r w:rsidR="001F6F84" w:rsidRPr="00A626CC">
        <w:t xml:space="preserve">Figure </w:t>
      </w:r>
      <w:r w:rsidR="001F6F84">
        <w:rPr>
          <w:noProof/>
        </w:rPr>
        <w:t>4</w:t>
      </w:r>
      <w:r w:rsidR="00A77F75" w:rsidRPr="00A626CC">
        <w:rPr>
          <w:rFonts w:cstheme="minorHAnsi"/>
        </w:rPr>
        <w:fldChar w:fldCharType="end"/>
      </w:r>
      <w:r w:rsidR="00A77F75" w:rsidRPr="00A626CC">
        <w:rPr>
          <w:rFonts w:cstheme="minorHAnsi"/>
        </w:rPr>
        <w:t xml:space="preserve"> </w:t>
      </w:r>
      <w:r w:rsidRPr="00A626CC">
        <w:rPr>
          <w:rFonts w:cstheme="minorHAnsi"/>
        </w:rPr>
        <w:t>below depicts key classes of stakeholder</w:t>
      </w:r>
      <w:r w:rsidR="007D734C">
        <w:rPr>
          <w:rFonts w:cstheme="minorHAnsi"/>
        </w:rPr>
        <w:t>s</w:t>
      </w:r>
      <w:r w:rsidRPr="00A626CC">
        <w:rPr>
          <w:rFonts w:cstheme="minorHAnsi"/>
        </w:rPr>
        <w:t xml:space="preserve"> with an expectation to be kept informed by PLF. In several cases (as reflected in the quotations above), interviewees expressed frustration with PLF, but this frequently derived from a misunderstanding about the role/mandate of the facility—for example conflating the SWP with the PLS, or an assumption that PLF has contractual authority over AEs or workers, or indeed misconceptions about DFAT’s role </w:t>
      </w:r>
      <w:r w:rsidRPr="00A626CC">
        <w:rPr>
          <w:rFonts w:cstheme="minorHAnsi"/>
          <w:i/>
          <w:iCs/>
        </w:rPr>
        <w:t>vis-à-vis</w:t>
      </w:r>
      <w:r w:rsidRPr="00A626CC">
        <w:rPr>
          <w:rFonts w:cstheme="minorHAnsi"/>
        </w:rPr>
        <w:t xml:space="preserve"> DEWR. A Pacific Island diplomat observed: </w:t>
      </w:r>
    </w:p>
    <w:p w14:paraId="36761553" w14:textId="77777777" w:rsidR="00666156" w:rsidRPr="00A626CC" w:rsidRDefault="00666156" w:rsidP="00A626CC">
      <w:pPr>
        <w:pStyle w:val="Quote"/>
      </w:pPr>
      <w:r w:rsidRPr="00A626CC">
        <w:t>“There are two sides to everything, so we can’t just say everything is PLF’s fault. We need a clear set of mandates and responsibilities between PLF, DFAT, DEWR etc. Even officers within the program don’t necessarily know who carries what responsibility”. </w:t>
      </w:r>
    </w:p>
    <w:p w14:paraId="53D95DBB" w14:textId="2CCCC4D7" w:rsidR="00666156" w:rsidRPr="00A626CC" w:rsidRDefault="00666156" w:rsidP="00EC7E1A">
      <w:pPr>
        <w:jc w:val="center"/>
        <w:rPr>
          <w:rFonts w:cstheme="minorHAnsi"/>
        </w:rPr>
      </w:pPr>
      <w:r w:rsidRPr="00A626CC">
        <w:rPr>
          <w:rFonts w:cstheme="minorHAnsi"/>
          <w:noProof/>
        </w:rPr>
        <w:drawing>
          <wp:inline distT="0" distB="0" distL="0" distR="0" wp14:anchorId="0086C32D" wp14:editId="6FE3870F">
            <wp:extent cx="4098946" cy="4217739"/>
            <wp:effectExtent l="0" t="0" r="0" b="0"/>
            <wp:docPr id="820859800" name="Picture 820859800" descr="Australia Government side&#10;DEWR&#10;Pacific Labour policy Branch&#10;Desks&#10;Post&#10;&#10;PLF in the middle connecting &#10;Recruiters &amp; labour hire&#10;Australian Employers&#10;Workers&#10;Trainers&#10;&#10;Labour sending Government side&#10;LSU&#10;Labour sending Govern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59800" name="Picture 820859800" descr="Australia Government side&#10;DEWR&#10;Pacific Labour policy Branch&#10;Desks&#10;Post&#10;&#10;PLF in the middle connecting &#10;Recruiters &amp; labour hire&#10;Australian Employers&#10;Workers&#10;Trainers&#10;&#10;Labour sending Government side&#10;LSU&#10;Labour sending Governments "/>
                    <pic:cNvPicPr>
                      <a:picLocks noChangeAspect="1" noChangeArrowheads="1"/>
                    </pic:cNvPicPr>
                  </pic:nvPicPr>
                  <pic:blipFill>
                    <a:blip r:embed="rId25">
                      <a:duotone>
                        <a:schemeClr val="accent3">
                          <a:shade val="45000"/>
                          <a:satMod val="135000"/>
                        </a:schemeClr>
                        <a:prstClr val="white"/>
                      </a:duotone>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98946" cy="4217739"/>
                    </a:xfrm>
                    <a:prstGeom prst="rect">
                      <a:avLst/>
                    </a:prstGeom>
                    <a:noFill/>
                    <a:ln>
                      <a:noFill/>
                    </a:ln>
                  </pic:spPr>
                </pic:pic>
              </a:graphicData>
            </a:graphic>
          </wp:inline>
        </w:drawing>
      </w:r>
    </w:p>
    <w:p w14:paraId="190C2C57" w14:textId="456B7791" w:rsidR="00EC7E1A" w:rsidRDefault="00A77F75" w:rsidP="00EC7E1A">
      <w:pPr>
        <w:pStyle w:val="Caption"/>
        <w:spacing w:line="360" w:lineRule="auto"/>
      </w:pPr>
      <w:bookmarkStart w:id="37" w:name="_Ref151390021"/>
      <w:bookmarkStart w:id="38" w:name="_Toc151625300"/>
      <w:r w:rsidRPr="00A626CC">
        <w:t xml:space="preserve">Figure </w:t>
      </w:r>
      <w:fldSimple w:instr=" SEQ Figure \* ARABIC ">
        <w:r w:rsidR="001F6F84">
          <w:rPr>
            <w:noProof/>
          </w:rPr>
          <w:t>4</w:t>
        </w:r>
      </w:fldSimple>
      <w:bookmarkEnd w:id="37"/>
      <w:r w:rsidRPr="00A626CC">
        <w:t>: Key stakeholders with an expectation to be kept informed by PLF</w:t>
      </w:r>
      <w:bookmarkEnd w:id="38"/>
      <w:r w:rsidR="00666156" w:rsidRPr="00A626CC">
        <w:t> </w:t>
      </w:r>
    </w:p>
    <w:p w14:paraId="6280F80D" w14:textId="02127481" w:rsidR="00462718" w:rsidRPr="00A626CC" w:rsidRDefault="00462718" w:rsidP="00A626CC">
      <w:r w:rsidRPr="00A626CC">
        <w:lastRenderedPageBreak/>
        <w:t xml:space="preserve">Given the two MoG changes, it is timely for a document to be developed specifying the mandates and responsibilities of all PALM </w:t>
      </w:r>
      <w:r w:rsidR="002F308F" w:rsidRPr="00A626CC">
        <w:t>scheme</w:t>
      </w:r>
      <w:r w:rsidRPr="00A626CC">
        <w:t xml:space="preserve"> stakeholders.</w:t>
      </w:r>
    </w:p>
    <w:p w14:paraId="2377452D" w14:textId="77777777" w:rsidR="00241653" w:rsidRPr="00A626CC" w:rsidRDefault="00241653" w:rsidP="00A626CC">
      <w:pPr>
        <w:pStyle w:val="Blueblockheading"/>
      </w:pPr>
      <w:r w:rsidRPr="00A626CC">
        <w:rPr>
          <w:lang w:val="en-GB"/>
        </w:rPr>
        <w:t>Recommendation</w:t>
      </w:r>
      <w:r w:rsidRPr="00A626CC">
        <w:t> </w:t>
      </w:r>
    </w:p>
    <w:p w14:paraId="31A583E0" w14:textId="7B14B9B7" w:rsidR="00241653" w:rsidRPr="00A626CC" w:rsidRDefault="002F308F" w:rsidP="00A626CC">
      <w:pPr>
        <w:pStyle w:val="Blueblocktext"/>
      </w:pPr>
      <w:r w:rsidRPr="00A626CC">
        <w:rPr>
          <w:lang w:val="en-GB"/>
        </w:rPr>
        <w:t>5</w:t>
      </w:r>
      <w:r w:rsidR="00241653" w:rsidRPr="00A626CC">
        <w:rPr>
          <w:lang w:val="en-GB"/>
        </w:rPr>
        <w:t>. DFAT and DEWR should commission a process to broker and articulate understanding of mandates and responsibilities among all key PALM scheme stakeholders, including periodic review and update.</w:t>
      </w:r>
      <w:r w:rsidR="00241653" w:rsidRPr="00A626CC">
        <w:t> </w:t>
      </w:r>
    </w:p>
    <w:p w14:paraId="3FEAFBA8" w14:textId="77777777" w:rsidR="00666156" w:rsidRPr="00A626CC" w:rsidRDefault="00666156" w:rsidP="00A626CC">
      <w:pPr>
        <w:pStyle w:val="ColumnBlock"/>
      </w:pPr>
      <w:r w:rsidRPr="00A626CC">
        <w:t>Responsiveness to additional priorities (including COVID-19 response) </w:t>
      </w:r>
    </w:p>
    <w:p w14:paraId="34C53B91" w14:textId="25918404" w:rsidR="00666156" w:rsidRPr="00A626CC" w:rsidRDefault="00666156" w:rsidP="00A626CC">
      <w:pPr>
        <w:rPr>
          <w:rFonts w:cstheme="minorHAnsi"/>
        </w:rPr>
      </w:pPr>
      <w:r w:rsidRPr="00A626CC">
        <w:rPr>
          <w:rFonts w:cstheme="minorHAnsi"/>
        </w:rPr>
        <w:t>This fourth sub-criterion for effectiveness was introduced to DFAT’s FIMR validation matrix to reflect the impact of COVID-19 on Australia’s development assistance program, and to address the evolution of program priorities that commonly occurs over the life</w:t>
      </w:r>
      <w:r w:rsidR="007D734C">
        <w:rPr>
          <w:rFonts w:cstheme="minorHAnsi"/>
        </w:rPr>
        <w:t xml:space="preserve"> </w:t>
      </w:r>
      <w:r w:rsidRPr="00A626CC">
        <w:rPr>
          <w:rFonts w:cstheme="minorHAnsi"/>
        </w:rPr>
        <w:t>of</w:t>
      </w:r>
      <w:r w:rsidR="007D734C">
        <w:rPr>
          <w:rFonts w:cstheme="minorHAnsi"/>
        </w:rPr>
        <w:t xml:space="preserve"> </w:t>
      </w:r>
      <w:r w:rsidRPr="00A626CC">
        <w:rPr>
          <w:rFonts w:cstheme="minorHAnsi"/>
        </w:rPr>
        <w:t>investments. </w:t>
      </w:r>
    </w:p>
    <w:p w14:paraId="2E453153" w14:textId="63A1A666" w:rsidR="00FE3329" w:rsidRPr="00A626CC" w:rsidRDefault="00FE3329" w:rsidP="00A626CC">
      <w:pPr>
        <w:rPr>
          <w:rFonts w:cstheme="minorHAnsi"/>
        </w:rPr>
      </w:pPr>
      <w:r w:rsidRPr="00A626CC">
        <w:rPr>
          <w:rFonts w:cstheme="minorHAnsi"/>
        </w:rPr>
        <w:t xml:space="preserve">In the case of PLF, COVID-19 lock-downs had a dramatic impact on the work of DFAT and PLF (as described in section </w:t>
      </w:r>
      <w:r w:rsidR="00682CA4" w:rsidRPr="00A626CC">
        <w:rPr>
          <w:rFonts w:cstheme="minorHAnsi"/>
        </w:rPr>
        <w:fldChar w:fldCharType="begin"/>
      </w:r>
      <w:r w:rsidR="00682CA4" w:rsidRPr="00A626CC">
        <w:rPr>
          <w:rFonts w:cstheme="minorHAnsi"/>
        </w:rPr>
        <w:instrText xml:space="preserve"> REF _Ref149258177 \r \h  \* MERGEFORMAT </w:instrText>
      </w:r>
      <w:r w:rsidR="00682CA4" w:rsidRPr="00A626CC">
        <w:rPr>
          <w:rFonts w:cstheme="minorHAnsi"/>
        </w:rPr>
      </w:r>
      <w:r w:rsidR="00682CA4" w:rsidRPr="00A626CC">
        <w:rPr>
          <w:rFonts w:cstheme="minorHAnsi"/>
        </w:rPr>
        <w:fldChar w:fldCharType="separate"/>
      </w:r>
      <w:r w:rsidR="001F6F84">
        <w:rPr>
          <w:rFonts w:cstheme="minorHAnsi"/>
        </w:rPr>
        <w:t>2.3</w:t>
      </w:r>
      <w:r w:rsidR="00682CA4" w:rsidRPr="00A626CC">
        <w:rPr>
          <w:rFonts w:cstheme="minorHAnsi"/>
        </w:rPr>
        <w:fldChar w:fldCharType="end"/>
      </w:r>
      <w:r w:rsidRPr="00A626CC">
        <w:rPr>
          <w:rFonts w:cstheme="minorHAnsi"/>
        </w:rPr>
        <w:t>). A DFAT respondent stressed that the challenging and time-consuming work for PLF to bring in workers during the pandemic cannot be overstated. Further, PLF was especially impacted by the radical scale-up</w:t>
      </w:r>
      <w:r w:rsidRPr="00A626CC">
        <w:rPr>
          <w:rStyle w:val="FootnoteReference"/>
          <w:rFonts w:cstheme="minorHAnsi"/>
        </w:rPr>
        <w:footnoteReference w:id="51"/>
      </w:r>
      <w:r w:rsidRPr="00A626CC">
        <w:rPr>
          <w:rFonts w:cstheme="minorHAnsi"/>
        </w:rPr>
        <w:t xml:space="preserve"> in worker numbers that occurred following an announcement by Australia’s then Prime Minister.</w:t>
      </w:r>
      <w:r w:rsidRPr="00A626CC">
        <w:rPr>
          <w:rStyle w:val="FootnoteReference"/>
          <w:rFonts w:cstheme="minorHAnsi"/>
        </w:rPr>
        <w:footnoteReference w:id="52"/>
      </w:r>
      <w:r w:rsidRPr="00A626CC">
        <w:rPr>
          <w:rFonts w:cstheme="minorHAnsi"/>
          <w:strike/>
        </w:rPr>
        <w:t>.</w:t>
      </w:r>
      <w:r w:rsidRPr="00A626CC">
        <w:rPr>
          <w:rFonts w:cstheme="minorHAnsi"/>
        </w:rPr>
        <w:t xml:space="preserve"> This meant significant increases in the number of approved employers, and the requirement or expectation of support services—which in turn necessitated a dramatic expansion in the number of staff required in PLF (an almost 20-fold increase).  </w:t>
      </w:r>
    </w:p>
    <w:p w14:paraId="26B9EBA8" w14:textId="55CA708D" w:rsidR="00666156" w:rsidRPr="00A626CC" w:rsidRDefault="00666156" w:rsidP="00A626CC">
      <w:pPr>
        <w:rPr>
          <w:rFonts w:cstheme="minorHAnsi"/>
        </w:rPr>
      </w:pPr>
      <w:r w:rsidRPr="00A626CC">
        <w:rPr>
          <w:rFonts w:cstheme="minorHAnsi"/>
        </w:rPr>
        <w:t xml:space="preserve">In addition to the above changes (and as highlighted in </w:t>
      </w:r>
      <w:r w:rsidR="003630EB" w:rsidRPr="00A626CC">
        <w:rPr>
          <w:rFonts w:cstheme="minorHAnsi"/>
        </w:rPr>
        <w:t xml:space="preserve">section </w:t>
      </w:r>
      <w:r w:rsidR="003630EB" w:rsidRPr="00A626CC">
        <w:rPr>
          <w:rFonts w:cstheme="minorHAnsi"/>
        </w:rPr>
        <w:fldChar w:fldCharType="begin"/>
      </w:r>
      <w:r w:rsidR="003630EB" w:rsidRPr="00A626CC">
        <w:rPr>
          <w:rFonts w:cstheme="minorHAnsi"/>
        </w:rPr>
        <w:instrText xml:space="preserve"> REF _Ref149258177 \r \h  \* MERGEFORMAT </w:instrText>
      </w:r>
      <w:r w:rsidR="003630EB" w:rsidRPr="00A626CC">
        <w:rPr>
          <w:rFonts w:cstheme="minorHAnsi"/>
        </w:rPr>
      </w:r>
      <w:r w:rsidR="003630EB" w:rsidRPr="00A626CC">
        <w:rPr>
          <w:rFonts w:cstheme="minorHAnsi"/>
        </w:rPr>
        <w:fldChar w:fldCharType="separate"/>
      </w:r>
      <w:r w:rsidR="001F6F84">
        <w:rPr>
          <w:rFonts w:cstheme="minorHAnsi"/>
        </w:rPr>
        <w:t>2.3</w:t>
      </w:r>
      <w:r w:rsidR="003630EB" w:rsidRPr="00A626CC">
        <w:rPr>
          <w:rFonts w:cstheme="minorHAnsi"/>
        </w:rPr>
        <w:fldChar w:fldCharType="end"/>
      </w:r>
      <w:r w:rsidRPr="00A626CC">
        <w:rPr>
          <w:rFonts w:cstheme="minorHAnsi"/>
        </w:rPr>
        <w:t xml:space="preserve">), PLF had to contend with </w:t>
      </w:r>
      <w:r w:rsidR="003630EB" w:rsidRPr="00A626CC">
        <w:rPr>
          <w:rFonts w:cstheme="minorHAnsi"/>
        </w:rPr>
        <w:t xml:space="preserve">MoG </w:t>
      </w:r>
      <w:r w:rsidRPr="00A626CC">
        <w:rPr>
          <w:rFonts w:cstheme="minorHAnsi"/>
        </w:rPr>
        <w:t>changes in Australia’s administration of the scheme, a change in the Australian Government, and the impacts of bushfires and floods in communities where approved employers and workers are located. </w:t>
      </w:r>
    </w:p>
    <w:p w14:paraId="4592505E" w14:textId="77777777" w:rsidR="00666156" w:rsidRPr="00A626CC" w:rsidRDefault="00666156" w:rsidP="00A626CC">
      <w:pPr>
        <w:rPr>
          <w:rFonts w:cstheme="minorHAnsi"/>
        </w:rPr>
      </w:pPr>
      <w:r w:rsidRPr="00A626CC">
        <w:rPr>
          <w:rFonts w:cstheme="minorHAnsi"/>
        </w:rPr>
        <w:t>Several interviewees lauded PLF staff for their responsiveness and professionalism amid contextual and policy changes imposed during the pandemic. </w:t>
      </w:r>
    </w:p>
    <w:p w14:paraId="1921F2CE" w14:textId="0410ADE8" w:rsidR="00666156" w:rsidRPr="00A626CC" w:rsidRDefault="00666156" w:rsidP="00A626CC">
      <w:pPr>
        <w:pStyle w:val="Greyblocktext"/>
      </w:pPr>
      <w:r w:rsidRPr="00A626CC">
        <w:rPr>
          <w:b/>
        </w:rPr>
        <w:t>DFAT officer</w:t>
      </w:r>
      <w:r w:rsidRPr="00A626CC">
        <w:t>: “COVID was a challenge. There were seasonal worker program</w:t>
      </w:r>
      <w:r w:rsidR="00B73716" w:rsidRPr="00A626CC">
        <w:t>me</w:t>
      </w:r>
      <w:r w:rsidRPr="00A626CC">
        <w:t xml:space="preserve"> workers in country that should have gone home. PLF welfare staff bent over backwards to support these workers. The PLF contract said words to the effect of ‘assist with SWP as required’. But the PLF staff did a fantastic job working out where the workers could go once the fruit picking had finished but while borders were closed. I’m very positive about PLF’s role in all that”. </w:t>
      </w:r>
    </w:p>
    <w:p w14:paraId="466C7558" w14:textId="0EB8D9EC" w:rsidR="00666156" w:rsidRPr="00A626CC" w:rsidRDefault="00666156" w:rsidP="00A626CC">
      <w:pPr>
        <w:pStyle w:val="Greyblocktext"/>
      </w:pPr>
      <w:r w:rsidRPr="00A626CC">
        <w:rPr>
          <w:b/>
        </w:rPr>
        <w:t xml:space="preserve">Pacific Head of Mission in Australia: </w:t>
      </w:r>
      <w:r w:rsidRPr="00A626CC">
        <w:t>“During COVID there was so much change. The numbers built up so quickly. We had about 2000 workers here. PLF must be complimented on how they worked hard during that time to redeploy people and keep them in jobs while the</w:t>
      </w:r>
      <w:r w:rsidR="003A6385">
        <w:t>y</w:t>
      </w:r>
      <w:r w:rsidRPr="00A626CC">
        <w:t xml:space="preserve"> awaited repatriation”. </w:t>
      </w:r>
    </w:p>
    <w:p w14:paraId="49DE86C3" w14:textId="77777777" w:rsidR="00666156" w:rsidRPr="00A626CC" w:rsidRDefault="00666156" w:rsidP="00A626CC">
      <w:pPr>
        <w:pStyle w:val="Greyblocktext"/>
      </w:pPr>
      <w:r w:rsidRPr="00A626CC">
        <w:rPr>
          <w:b/>
        </w:rPr>
        <w:t xml:space="preserve">Pacific Head of Mission in Australia: </w:t>
      </w:r>
      <w:r w:rsidRPr="00A626CC">
        <w:t>“During COVID there were no flights. PLF worked closely with us to facilitate charter flights for repatriation of workers, and to bring workers”. </w:t>
      </w:r>
    </w:p>
    <w:p w14:paraId="78E4BFDA" w14:textId="77777777" w:rsidR="00666156" w:rsidRPr="00A626CC" w:rsidRDefault="00666156" w:rsidP="00A626CC">
      <w:pPr>
        <w:pStyle w:val="Greyblocktext"/>
      </w:pPr>
      <w:r w:rsidRPr="00A626CC">
        <w:rPr>
          <w:b/>
        </w:rPr>
        <w:t xml:space="preserve">Returned worker: </w:t>
      </w:r>
      <w:r w:rsidRPr="00A626CC">
        <w:t>“During COVID when we didn’t have work, PLF arranged Woolworths vouchers for us. They put us in touch with churches for support. Some of us were redeployed to new jobs”. </w:t>
      </w:r>
    </w:p>
    <w:p w14:paraId="3291F41C" w14:textId="2B76CD25" w:rsidR="008D0A33" w:rsidRPr="00A626CC" w:rsidRDefault="008D0A33" w:rsidP="00A626CC">
      <w:pPr>
        <w:rPr>
          <w:rFonts w:cstheme="minorHAnsi"/>
        </w:rPr>
      </w:pPr>
      <w:r w:rsidRPr="00A626CC">
        <w:rPr>
          <w:rFonts w:cstheme="minorHAnsi"/>
        </w:rPr>
        <w:lastRenderedPageBreak/>
        <w:t>The evaluation team concluded that there is strong evidence of PLF’s responsiveness to additional</w:t>
      </w:r>
      <w:r w:rsidR="00786FAF" w:rsidRPr="00A626CC">
        <w:rPr>
          <w:rFonts w:cstheme="minorHAnsi"/>
        </w:rPr>
        <w:t xml:space="preserve"> priorities</w:t>
      </w:r>
      <w:r w:rsidRPr="00A626CC">
        <w:rPr>
          <w:rFonts w:cstheme="minorHAnsi"/>
        </w:rPr>
        <w:t>. </w:t>
      </w:r>
    </w:p>
    <w:p w14:paraId="7AA1064D" w14:textId="77777777" w:rsidR="00666156" w:rsidRPr="00A626CC" w:rsidRDefault="00666156" w:rsidP="00A626CC">
      <w:pPr>
        <w:pStyle w:val="ColumnBlock"/>
      </w:pPr>
      <w:r w:rsidRPr="00A626CC">
        <w:t>Adequacy of policy dialogue and influence on development  </w:t>
      </w:r>
    </w:p>
    <w:p w14:paraId="7174282B" w14:textId="1DC81C41" w:rsidR="0083082F" w:rsidRPr="00A06A79" w:rsidRDefault="0083082F" w:rsidP="007636DA">
      <w:pPr>
        <w:rPr>
          <w:rFonts w:cstheme="minorHAnsi"/>
        </w:rPr>
      </w:pPr>
      <w:r w:rsidRPr="00A06A79">
        <w:rPr>
          <w:rFonts w:cstheme="minorHAnsi"/>
        </w:rPr>
        <w:t>DFAT is currently selecting and deploying A</w:t>
      </w:r>
      <w:r w:rsidR="00EA5708" w:rsidRPr="00A06A79">
        <w:rPr>
          <w:rFonts w:cstheme="minorHAnsi"/>
        </w:rPr>
        <w:t>ustralia</w:t>
      </w:r>
      <w:r w:rsidRPr="00A06A79">
        <w:rPr>
          <w:rFonts w:cstheme="minorHAnsi"/>
        </w:rPr>
        <w:t xml:space="preserve">-based staff in DFAT posts in the </w:t>
      </w:r>
      <w:r w:rsidRPr="00780FCF">
        <w:rPr>
          <w:rFonts w:cstheme="minorHAnsi"/>
        </w:rPr>
        <w:t>labour sending</w:t>
      </w:r>
      <w:r w:rsidRPr="00A06A79">
        <w:rPr>
          <w:rFonts w:cstheme="minorHAnsi"/>
        </w:rPr>
        <w:t xml:space="preserve"> countries to support more strategic engagement directly by the Australian Government with LSUs and partner governments.</w:t>
      </w:r>
      <w:r w:rsidRPr="00E505C1">
        <w:rPr>
          <w:vertAlign w:val="superscript"/>
        </w:rPr>
        <w:footnoteReference w:id="53"/>
      </w:r>
      <w:r w:rsidRPr="00A06A79">
        <w:rPr>
          <w:rFonts w:cstheme="minorHAnsi"/>
        </w:rPr>
        <w:t xml:space="preserve"> The importance of this strategic engagement was noted by a </w:t>
      </w:r>
      <w:r w:rsidR="00C86D42" w:rsidRPr="00A06A79">
        <w:rPr>
          <w:rFonts w:cstheme="minorHAnsi"/>
        </w:rPr>
        <w:t>PLF senior manager</w:t>
      </w:r>
      <w:r w:rsidRPr="00A06A79">
        <w:rPr>
          <w:rFonts w:cstheme="minorHAnsi"/>
        </w:rPr>
        <w:t xml:space="preserve">: </w:t>
      </w:r>
    </w:p>
    <w:p w14:paraId="268459CD" w14:textId="77777777" w:rsidR="00666156" w:rsidRPr="00A626CC" w:rsidRDefault="00666156" w:rsidP="00A626CC">
      <w:pPr>
        <w:pStyle w:val="Quote"/>
      </w:pPr>
      <w:r w:rsidRPr="00A626CC">
        <w:t>“We need more senior level engagement by DFAT in sending countries. PLF now has an Engagement Manager embedded in each LSU who works closely with the Director and engages with the relevant Permanent Secretary, but they don’t tend to have relationships within anyone more senior in government. Funding decisions and policy decisions are made by these senior people”. </w:t>
      </w:r>
    </w:p>
    <w:p w14:paraId="3F6C2637" w14:textId="14EFAF11" w:rsidR="002F4B6A" w:rsidRPr="00A626CC" w:rsidRDefault="002F4B6A" w:rsidP="00A626CC">
      <w:pPr>
        <w:rPr>
          <w:rFonts w:cstheme="minorHAnsi"/>
        </w:rPr>
      </w:pPr>
      <w:r w:rsidRPr="00A626CC">
        <w:rPr>
          <w:rFonts w:cstheme="minorHAnsi"/>
        </w:rPr>
        <w:t xml:space="preserve">A senior government official from a </w:t>
      </w:r>
      <w:r w:rsidRPr="00780FCF">
        <w:rPr>
          <w:rFonts w:cstheme="minorHAnsi"/>
        </w:rPr>
        <w:t>labour sending</w:t>
      </w:r>
      <w:r w:rsidRPr="00A626CC">
        <w:rPr>
          <w:rFonts w:cstheme="minorHAnsi"/>
        </w:rPr>
        <w:t xml:space="preserve"> country also affirmed the need for more strategic government-to-government engagement: “</w:t>
      </w:r>
      <w:r w:rsidRPr="00A626CC">
        <w:rPr>
          <w:rFonts w:cstheme="minorHAnsi"/>
          <w:i/>
          <w:iCs/>
        </w:rPr>
        <w:t>The two countries each have responsibilities. We should engage in a bilateral labour mobility agreement”</w:t>
      </w:r>
      <w:r w:rsidRPr="00A626CC">
        <w:rPr>
          <w:rFonts w:cstheme="minorHAnsi"/>
        </w:rPr>
        <w:t>. There is also scope to further integrate labour mobility into existing and new bilateral programming.</w:t>
      </w:r>
    </w:p>
    <w:p w14:paraId="3302F541" w14:textId="0D54C51E" w:rsidR="002F4B6A" w:rsidRPr="00A626CC" w:rsidRDefault="002F4B6A" w:rsidP="00A626CC">
      <w:pPr>
        <w:rPr>
          <w:rFonts w:cstheme="minorHAnsi"/>
        </w:rPr>
      </w:pPr>
      <w:r w:rsidRPr="00A626CC">
        <w:rPr>
          <w:rFonts w:cstheme="minorHAnsi"/>
        </w:rPr>
        <w:t>It is evident that labour mobility offers the Commonwealth significant strategic potential. It is highly regarded by Pacific citizens.</w:t>
      </w:r>
      <w:r w:rsidRPr="00A626CC">
        <w:rPr>
          <w:rStyle w:val="FootnoteReference"/>
          <w:rFonts w:cstheme="minorHAnsi"/>
        </w:rPr>
        <w:footnoteReference w:id="54"/>
      </w:r>
      <w:r w:rsidRPr="00A626CC">
        <w:rPr>
          <w:rFonts w:cstheme="minorHAnsi"/>
        </w:rPr>
        <w:t xml:space="preserve"> </w:t>
      </w:r>
      <w:r w:rsidR="00104C49" w:rsidRPr="00A626CC">
        <w:rPr>
          <w:rFonts w:cstheme="minorHAnsi"/>
        </w:rPr>
        <w:t>Many interviewees observed that securing an opportunity in labour mobility is highly desirable</w:t>
      </w:r>
      <w:r w:rsidRPr="00A626CC">
        <w:rPr>
          <w:rFonts w:cstheme="minorHAnsi"/>
        </w:rPr>
        <w:t xml:space="preserve">. </w:t>
      </w:r>
      <w:r w:rsidR="00E61CBF" w:rsidRPr="00A626CC">
        <w:rPr>
          <w:rFonts w:cstheme="minorHAnsi"/>
        </w:rPr>
        <w:t>A PLF staff member reported that in Timor-Leste, the LSU received over 55,000 applications within two weeks</w:t>
      </w:r>
      <w:r w:rsidR="003A6385">
        <w:rPr>
          <w:rFonts w:cstheme="minorHAnsi"/>
        </w:rPr>
        <w:t xml:space="preserve"> of</w:t>
      </w:r>
      <w:r w:rsidR="00E61CBF" w:rsidRPr="00A626CC">
        <w:rPr>
          <w:rFonts w:cstheme="minorHAnsi"/>
        </w:rPr>
        <w:t xml:space="preserve"> opening the process. </w:t>
      </w:r>
      <w:r w:rsidRPr="00A626CC">
        <w:rPr>
          <w:rFonts w:cstheme="minorHAnsi"/>
        </w:rPr>
        <w:t>For this reason, and for national revenue reasons</w:t>
      </w:r>
      <w:r w:rsidRPr="00A626CC">
        <w:rPr>
          <w:rStyle w:val="FootnoteReference"/>
          <w:rFonts w:cstheme="minorHAnsi"/>
        </w:rPr>
        <w:footnoteReference w:id="55"/>
      </w:r>
      <w:r w:rsidRPr="00A626CC">
        <w:rPr>
          <w:rFonts w:cstheme="minorHAnsi"/>
        </w:rPr>
        <w:t>, it is seen by Pacific governments as a critical policy domain. In one country visited for this evaluation, a government staff member reflected: </w:t>
      </w:r>
    </w:p>
    <w:p w14:paraId="4BE45D7C" w14:textId="77777777" w:rsidR="00666156" w:rsidRPr="00A626CC" w:rsidRDefault="00666156" w:rsidP="00A626CC">
      <w:pPr>
        <w:pStyle w:val="Quote"/>
      </w:pPr>
      <w:r w:rsidRPr="00A626CC">
        <w:t>“Everyone in [country] wants to do labour mobility. It’s all people talk about in the markets and [kava houses]. It's even mentioned by politicians in campaigns to secure votes”.   </w:t>
      </w:r>
    </w:p>
    <w:p w14:paraId="138E25F9" w14:textId="053FAAF2" w:rsidR="006144CB" w:rsidRPr="00A626CC" w:rsidRDefault="0051613A" w:rsidP="00A626CC">
      <w:pPr>
        <w:rPr>
          <w:rFonts w:cstheme="minorHAnsi"/>
        </w:rPr>
      </w:pPr>
      <w:r w:rsidRPr="00A626CC">
        <w:rPr>
          <w:rFonts w:cstheme="minorHAnsi"/>
        </w:rPr>
        <w:t>E</w:t>
      </w:r>
      <w:r w:rsidR="00666156" w:rsidRPr="00A626CC">
        <w:rPr>
          <w:rFonts w:cstheme="minorHAnsi"/>
        </w:rPr>
        <w:t xml:space="preserve">ach sending country is progressively evolving its priorities for labour mobility including: focusing on short-term or longer-term deployments; lower or more highly skilled workers; numbers of workers sent; matters in relation to government revenue; policies to support investment and micro-enterprise by returning workers; </w:t>
      </w:r>
      <w:r w:rsidR="00FC40DA" w:rsidRPr="00A626CC">
        <w:rPr>
          <w:rFonts w:cstheme="minorHAnsi"/>
        </w:rPr>
        <w:t xml:space="preserve">and </w:t>
      </w:r>
      <w:r w:rsidR="00666156" w:rsidRPr="00A626CC">
        <w:rPr>
          <w:rFonts w:cstheme="minorHAnsi"/>
        </w:rPr>
        <w:t>strategic workforce development issues (especially in critical areas such as health and education). </w:t>
      </w:r>
      <w:r w:rsidR="006144CB" w:rsidRPr="00A626CC">
        <w:rPr>
          <w:rFonts w:cstheme="minorHAnsi"/>
        </w:rPr>
        <w:t xml:space="preserve">Decision-making also includes consideration of adverse impacts associated with labour mobility being experienced by </w:t>
      </w:r>
      <w:r w:rsidR="006144CB" w:rsidRPr="00780FCF">
        <w:rPr>
          <w:rFonts w:cstheme="minorHAnsi"/>
        </w:rPr>
        <w:t>sending countries</w:t>
      </w:r>
      <w:r w:rsidR="006144CB" w:rsidRPr="00A626CC">
        <w:rPr>
          <w:rFonts w:cstheme="minorHAnsi"/>
        </w:rPr>
        <w:t xml:space="preserve"> such as family separation, skill drain, and financial abuse/misuse. </w:t>
      </w:r>
    </w:p>
    <w:p w14:paraId="4F537289" w14:textId="59D4C3AA" w:rsidR="006144CB" w:rsidRPr="00A626CC" w:rsidRDefault="006144CB" w:rsidP="00A626CC">
      <w:pPr>
        <w:rPr>
          <w:rFonts w:cstheme="minorHAnsi"/>
        </w:rPr>
      </w:pPr>
      <w:r w:rsidRPr="00A626CC">
        <w:rPr>
          <w:rFonts w:cstheme="minorHAnsi"/>
        </w:rPr>
        <w:t xml:space="preserve">Given </w:t>
      </w:r>
      <w:r w:rsidRPr="00780FCF">
        <w:rPr>
          <w:rFonts w:cstheme="minorHAnsi"/>
        </w:rPr>
        <w:t>sending countries’</w:t>
      </w:r>
      <w:r w:rsidRPr="00A626CC">
        <w:rPr>
          <w:rFonts w:cstheme="minorHAnsi"/>
        </w:rPr>
        <w:t xml:space="preserve"> evolving priorities, the new strategic </w:t>
      </w:r>
      <w:r w:rsidR="002D5213" w:rsidRPr="00A626CC">
        <w:rPr>
          <w:rFonts w:cstheme="minorHAnsi"/>
        </w:rPr>
        <w:t>labour mobility</w:t>
      </w:r>
      <w:r w:rsidRPr="00A626CC">
        <w:rPr>
          <w:rFonts w:cstheme="minorHAnsi"/>
        </w:rPr>
        <w:t xml:space="preserve"> engagement role in Posts is a timely development. This role, together with increased integration of labour mobility into existing and new bilateral programming will significantly enhance Australia’s contribution as a labour mobility partner.  </w:t>
      </w:r>
    </w:p>
    <w:p w14:paraId="09A6B59A" w14:textId="77777777" w:rsidR="00666156" w:rsidRPr="00A626CC" w:rsidRDefault="00666156" w:rsidP="00A626CC">
      <w:pPr>
        <w:pStyle w:val="Blueblockheading"/>
      </w:pPr>
      <w:r w:rsidRPr="00A626CC">
        <w:rPr>
          <w:lang w:val="en-GB"/>
        </w:rPr>
        <w:lastRenderedPageBreak/>
        <w:t>Recommendation</w:t>
      </w:r>
      <w:r w:rsidRPr="00A626CC">
        <w:t> </w:t>
      </w:r>
    </w:p>
    <w:p w14:paraId="5B919CF3" w14:textId="06861DFF" w:rsidR="00666156" w:rsidRPr="00A626CC" w:rsidRDefault="00F75A5B" w:rsidP="00A626CC">
      <w:pPr>
        <w:pStyle w:val="Blueblocktext"/>
      </w:pPr>
      <w:r w:rsidRPr="00A626CC">
        <w:rPr>
          <w:lang w:val="en-GB"/>
        </w:rPr>
        <w:t>6</w:t>
      </w:r>
      <w:r w:rsidR="006C5ACF" w:rsidRPr="00A626CC">
        <w:rPr>
          <w:lang w:val="en-GB"/>
        </w:rPr>
        <w:t xml:space="preserve">. </w:t>
      </w:r>
      <w:r w:rsidR="00666156" w:rsidRPr="00A626CC">
        <w:rPr>
          <w:lang w:val="en-GB"/>
        </w:rPr>
        <w:t xml:space="preserve">DFAT should </w:t>
      </w:r>
      <w:r w:rsidR="006E2039" w:rsidRPr="00A626CC">
        <w:rPr>
          <w:lang w:val="en-GB"/>
        </w:rPr>
        <w:t xml:space="preserve">continue to </w:t>
      </w:r>
      <w:r w:rsidR="00E83024" w:rsidRPr="00A626CC">
        <w:rPr>
          <w:lang w:val="en-GB"/>
        </w:rPr>
        <w:t>proactively</w:t>
      </w:r>
      <w:r w:rsidR="00666156" w:rsidRPr="00A626CC">
        <w:rPr>
          <w:lang w:val="en-GB"/>
        </w:rPr>
        <w:t xml:space="preserve"> engage in strategic bilateral dialogue and programming with partner countries in support of their national labour mobility policy, </w:t>
      </w:r>
      <w:r w:rsidR="00BA49EF" w:rsidRPr="00A626CC">
        <w:rPr>
          <w:lang w:val="en-GB"/>
        </w:rPr>
        <w:t>strategy,</w:t>
      </w:r>
      <w:r w:rsidR="00666156" w:rsidRPr="00A626CC">
        <w:rPr>
          <w:lang w:val="en-GB"/>
        </w:rPr>
        <w:t xml:space="preserve"> and governance.</w:t>
      </w:r>
      <w:r w:rsidR="00666156" w:rsidRPr="00A626CC">
        <w:t> </w:t>
      </w:r>
    </w:p>
    <w:p w14:paraId="7C3F0578" w14:textId="56D2EF52" w:rsidR="00666156" w:rsidRDefault="00666156" w:rsidP="00A626CC">
      <w:pPr>
        <w:pStyle w:val="Heading3"/>
      </w:pPr>
      <w:bookmarkStart w:id="39" w:name="_Ref149258468"/>
      <w:r w:rsidRPr="00A626CC">
        <w:t>Efficiency</w:t>
      </w:r>
      <w:bookmarkEnd w:id="39"/>
      <w:r w:rsidRPr="00A626CC">
        <w:t> </w:t>
      </w:r>
    </w:p>
    <w:p w14:paraId="225A75AA" w14:textId="6B8566E8" w:rsidR="00FC7182" w:rsidRPr="00A626CC" w:rsidRDefault="00FC7182" w:rsidP="00FC7182">
      <w:r w:rsidRPr="00A626CC">
        <w:t xml:space="preserve">The following discussion is structured against DFAT’s five FIMR sub-criteria for </w:t>
      </w:r>
      <w:r>
        <w:t>efficiency</w:t>
      </w:r>
      <w:r w:rsidRPr="00A626CC">
        <w:t>.</w:t>
      </w:r>
    </w:p>
    <w:p w14:paraId="18C1BBB7" w14:textId="46407E5D" w:rsidR="00666156" w:rsidRPr="00A626CC" w:rsidRDefault="00666156" w:rsidP="00A626CC">
      <w:pPr>
        <w:pStyle w:val="ColumnBlock"/>
      </w:pPr>
      <w:r w:rsidRPr="00A626CC">
        <w:t>Appropriateness of time and resources used, and budget deviation  </w:t>
      </w:r>
    </w:p>
    <w:p w14:paraId="5B4B1D57" w14:textId="351B712A" w:rsidR="00666156" w:rsidRPr="00A626CC" w:rsidRDefault="00666156" w:rsidP="00A626CC">
      <w:pPr>
        <w:rPr>
          <w:rFonts w:cstheme="minorHAnsi"/>
        </w:rPr>
      </w:pPr>
      <w:r w:rsidRPr="00A626CC">
        <w:rPr>
          <w:rFonts w:cstheme="minorHAnsi"/>
        </w:rPr>
        <w:t xml:space="preserve">The classical definition of efficiency in project management concerns </w:t>
      </w:r>
      <w:r w:rsidRPr="00A626CC">
        <w:rPr>
          <w:rFonts w:cstheme="minorHAnsi"/>
          <w:i/>
          <w:iCs/>
        </w:rPr>
        <w:t>actual</w:t>
      </w:r>
      <w:r w:rsidRPr="00A626CC">
        <w:rPr>
          <w:rFonts w:cstheme="minorHAnsi"/>
        </w:rPr>
        <w:t xml:space="preserve"> achievements relative to </w:t>
      </w:r>
      <w:r w:rsidRPr="00A626CC">
        <w:rPr>
          <w:rFonts w:cstheme="minorHAnsi"/>
          <w:i/>
          <w:iCs/>
        </w:rPr>
        <w:t>planned</w:t>
      </w:r>
      <w:r w:rsidRPr="00A626CC">
        <w:rPr>
          <w:rFonts w:cstheme="minorHAnsi"/>
        </w:rPr>
        <w:t xml:space="preserve"> cost and time schedules</w:t>
      </w:r>
      <w:r w:rsidR="006365B2" w:rsidRPr="00A626CC">
        <w:rPr>
          <w:rFonts w:cstheme="minorHAnsi"/>
        </w:rPr>
        <w:t>.</w:t>
      </w:r>
      <w:r w:rsidR="004F0CC5" w:rsidRPr="00A626CC">
        <w:rPr>
          <w:rStyle w:val="FootnoteReference"/>
          <w:rFonts w:cstheme="minorHAnsi"/>
        </w:rPr>
        <w:footnoteReference w:id="56"/>
      </w:r>
      <w:r w:rsidRPr="00A626CC">
        <w:rPr>
          <w:rFonts w:cstheme="minorHAnsi"/>
        </w:rPr>
        <w:t xml:space="preserve"> Such an assessment is </w:t>
      </w:r>
      <w:r w:rsidR="00BC3438" w:rsidRPr="00A626CC">
        <w:rPr>
          <w:rFonts w:cstheme="minorHAnsi"/>
        </w:rPr>
        <w:t>challenging</w:t>
      </w:r>
      <w:r w:rsidR="000069D1" w:rsidRPr="00A626CC">
        <w:rPr>
          <w:rFonts w:cstheme="minorHAnsi"/>
        </w:rPr>
        <w:t>—if not simplistic—</w:t>
      </w:r>
      <w:r w:rsidR="00BC3438" w:rsidRPr="00A626CC">
        <w:rPr>
          <w:rFonts w:cstheme="minorHAnsi"/>
        </w:rPr>
        <w:t xml:space="preserve">in </w:t>
      </w:r>
      <w:r w:rsidRPr="00A626CC">
        <w:rPr>
          <w:rFonts w:cstheme="minorHAnsi"/>
        </w:rPr>
        <w:t xml:space="preserve">circumstances where the </w:t>
      </w:r>
      <w:r w:rsidR="00BC3438" w:rsidRPr="00A626CC">
        <w:rPr>
          <w:rFonts w:cstheme="minorHAnsi"/>
        </w:rPr>
        <w:t xml:space="preserve">PLF design and </w:t>
      </w:r>
      <w:r w:rsidR="00BA27F9" w:rsidRPr="00A626CC">
        <w:rPr>
          <w:rFonts w:cstheme="minorHAnsi"/>
        </w:rPr>
        <w:t xml:space="preserve">various work </w:t>
      </w:r>
      <w:r w:rsidRPr="00A626CC">
        <w:rPr>
          <w:rFonts w:cstheme="minorHAnsi"/>
        </w:rPr>
        <w:t xml:space="preserve">plans </w:t>
      </w:r>
      <w:r w:rsidR="007C10C5" w:rsidRPr="00A626CC">
        <w:rPr>
          <w:rFonts w:cstheme="minorHAnsi"/>
        </w:rPr>
        <w:t xml:space="preserve">and strategies </w:t>
      </w:r>
      <w:r w:rsidR="00BA27F9" w:rsidRPr="00A626CC">
        <w:rPr>
          <w:rFonts w:cstheme="minorHAnsi"/>
        </w:rPr>
        <w:t xml:space="preserve">were </w:t>
      </w:r>
      <w:r w:rsidRPr="00A626CC">
        <w:rPr>
          <w:rFonts w:cstheme="minorHAnsi"/>
        </w:rPr>
        <w:t>overtaken by contextual and policy changes</w:t>
      </w:r>
      <w:r w:rsidR="00BA27F9" w:rsidRPr="00A626CC">
        <w:rPr>
          <w:rFonts w:cstheme="minorHAnsi"/>
        </w:rPr>
        <w:t xml:space="preserve"> </w:t>
      </w:r>
      <w:r w:rsidR="00043752" w:rsidRPr="00A626CC">
        <w:rPr>
          <w:rFonts w:cstheme="minorHAnsi"/>
        </w:rPr>
        <w:t>and</w:t>
      </w:r>
      <w:r w:rsidR="00BC13D5" w:rsidRPr="00A626CC">
        <w:rPr>
          <w:rFonts w:cstheme="minorHAnsi"/>
        </w:rPr>
        <w:t xml:space="preserve"> dramatic growth </w:t>
      </w:r>
      <w:r w:rsidR="004E6555" w:rsidRPr="00A626CC">
        <w:rPr>
          <w:rFonts w:cstheme="minorHAnsi"/>
        </w:rPr>
        <w:t>in labour mobility</w:t>
      </w:r>
      <w:r w:rsidRPr="00A626CC">
        <w:rPr>
          <w:rFonts w:cstheme="minorHAnsi"/>
        </w:rPr>
        <w:t>. A DEWR official noted: </w:t>
      </w:r>
    </w:p>
    <w:p w14:paraId="6BB185D8" w14:textId="77777777" w:rsidR="00666156" w:rsidRPr="00A626CC" w:rsidRDefault="00666156" w:rsidP="00A626CC">
      <w:pPr>
        <w:pStyle w:val="Quote"/>
      </w:pPr>
      <w:r w:rsidRPr="00A626CC">
        <w:t>“It’s hard to measure success because the context has changed so much. The value [of the contractor] has been in the quality of services they’ve provided, but at significant cost. Costs have grown significantly over the contract”. </w:t>
      </w:r>
    </w:p>
    <w:p w14:paraId="5EEFFE47" w14:textId="37C6EBF9" w:rsidR="000973D6" w:rsidRDefault="00D03455" w:rsidP="00A626CC">
      <w:pPr>
        <w:rPr>
          <w:rFonts w:cstheme="minorHAnsi"/>
        </w:rPr>
      </w:pPr>
      <w:r w:rsidRPr="00A626CC">
        <w:rPr>
          <w:rFonts w:cstheme="minorHAnsi"/>
        </w:rPr>
        <w:t xml:space="preserve">The </w:t>
      </w:r>
      <w:r w:rsidR="0013402D" w:rsidRPr="00A626CC">
        <w:rPr>
          <w:rFonts w:cstheme="minorHAnsi"/>
        </w:rPr>
        <w:t xml:space="preserve">increase in </w:t>
      </w:r>
      <w:r w:rsidR="003F110A" w:rsidRPr="00A626CC">
        <w:rPr>
          <w:rFonts w:cstheme="minorHAnsi"/>
        </w:rPr>
        <w:t xml:space="preserve">PLF </w:t>
      </w:r>
      <w:r w:rsidR="0013402D" w:rsidRPr="00A626CC">
        <w:rPr>
          <w:rFonts w:cstheme="minorHAnsi"/>
        </w:rPr>
        <w:t xml:space="preserve">costs </w:t>
      </w:r>
      <w:r w:rsidR="0040589A" w:rsidRPr="00A626CC">
        <w:rPr>
          <w:rFonts w:cstheme="minorHAnsi"/>
        </w:rPr>
        <w:t>noted</w:t>
      </w:r>
      <w:r w:rsidR="004C4598" w:rsidRPr="00A626CC">
        <w:rPr>
          <w:rFonts w:cstheme="minorHAnsi"/>
        </w:rPr>
        <w:t xml:space="preserve"> </w:t>
      </w:r>
      <w:r w:rsidR="00FB1633" w:rsidRPr="00A626CC">
        <w:rPr>
          <w:rFonts w:cstheme="minorHAnsi"/>
        </w:rPr>
        <w:t xml:space="preserve">in the quote </w:t>
      </w:r>
      <w:r w:rsidR="004C4598" w:rsidRPr="00A626CC">
        <w:rPr>
          <w:rFonts w:cstheme="minorHAnsi"/>
        </w:rPr>
        <w:t xml:space="preserve">above </w:t>
      </w:r>
      <w:r w:rsidR="0013402D" w:rsidRPr="00A626CC">
        <w:rPr>
          <w:rFonts w:cstheme="minorHAnsi"/>
        </w:rPr>
        <w:t>correspon</w:t>
      </w:r>
      <w:r w:rsidR="003F110A" w:rsidRPr="00A626CC">
        <w:rPr>
          <w:rFonts w:cstheme="minorHAnsi"/>
        </w:rPr>
        <w:t xml:space="preserve">ded to the </w:t>
      </w:r>
      <w:r w:rsidR="00FF018C" w:rsidRPr="00A626CC">
        <w:rPr>
          <w:rFonts w:cstheme="minorHAnsi"/>
        </w:rPr>
        <w:t>growth of the scheme</w:t>
      </w:r>
      <w:r w:rsidR="002E532B" w:rsidRPr="00A626CC">
        <w:rPr>
          <w:rFonts w:cstheme="minorHAnsi"/>
        </w:rPr>
        <w:t>. Cont</w:t>
      </w:r>
      <w:r w:rsidR="006365B2" w:rsidRPr="00A626CC">
        <w:rPr>
          <w:rFonts w:cstheme="minorHAnsi"/>
        </w:rPr>
        <w:t>r</w:t>
      </w:r>
      <w:r w:rsidR="002E532B" w:rsidRPr="00A626CC">
        <w:rPr>
          <w:rFonts w:cstheme="minorHAnsi"/>
        </w:rPr>
        <w:t xml:space="preserve">act amendments were each approved by </w:t>
      </w:r>
      <w:r w:rsidR="003A6385">
        <w:rPr>
          <w:rFonts w:cstheme="minorHAnsi"/>
        </w:rPr>
        <w:t>government officials</w:t>
      </w:r>
      <w:r w:rsidR="00745573" w:rsidRPr="00A626CC">
        <w:rPr>
          <w:rFonts w:cstheme="minorHAnsi"/>
        </w:rPr>
        <w:t>,</w:t>
      </w:r>
      <w:r w:rsidR="00F83950" w:rsidRPr="00A626CC">
        <w:rPr>
          <w:rFonts w:cstheme="minorHAnsi"/>
        </w:rPr>
        <w:t xml:space="preserve"> </w:t>
      </w:r>
      <w:r w:rsidR="00842D6A" w:rsidRPr="00A626CC">
        <w:rPr>
          <w:rFonts w:cstheme="minorHAnsi"/>
        </w:rPr>
        <w:t>justified</w:t>
      </w:r>
      <w:r w:rsidR="00FF018C" w:rsidRPr="00A626CC">
        <w:rPr>
          <w:rFonts w:cstheme="minorHAnsi"/>
        </w:rPr>
        <w:t xml:space="preserve"> </w:t>
      </w:r>
      <w:r w:rsidR="00F83950" w:rsidRPr="00A626CC">
        <w:rPr>
          <w:rFonts w:cstheme="minorHAnsi"/>
        </w:rPr>
        <w:t xml:space="preserve">by </w:t>
      </w:r>
      <w:r w:rsidR="004054F2" w:rsidRPr="00A626CC">
        <w:rPr>
          <w:rFonts w:cstheme="minorHAnsi"/>
        </w:rPr>
        <w:t xml:space="preserve">the </w:t>
      </w:r>
      <w:r w:rsidR="00AE617F" w:rsidRPr="00A626CC">
        <w:rPr>
          <w:rFonts w:cstheme="minorHAnsi"/>
        </w:rPr>
        <w:t xml:space="preserve">additional resources required to respond to </w:t>
      </w:r>
      <w:r w:rsidR="00B30ADD" w:rsidRPr="00A626CC">
        <w:rPr>
          <w:rFonts w:cstheme="minorHAnsi"/>
        </w:rPr>
        <w:t xml:space="preserve">growth, and/or changes in PLF’s scope of work. </w:t>
      </w:r>
      <w:r w:rsidR="006F4FAB" w:rsidRPr="00A626CC">
        <w:rPr>
          <w:rFonts w:cstheme="minorHAnsi"/>
        </w:rPr>
        <w:t xml:space="preserve">Over the life of this investment there </w:t>
      </w:r>
      <w:r w:rsidR="00B605F0" w:rsidRPr="00A626CC">
        <w:rPr>
          <w:rFonts w:cstheme="minorHAnsi"/>
        </w:rPr>
        <w:t xml:space="preserve">were </w:t>
      </w:r>
      <w:r w:rsidR="00EC0E0B" w:rsidRPr="00A626CC">
        <w:rPr>
          <w:rFonts w:cstheme="minorHAnsi"/>
        </w:rPr>
        <w:t>six</w:t>
      </w:r>
      <w:r w:rsidR="006F4FAB" w:rsidRPr="00A626CC">
        <w:rPr>
          <w:rFonts w:cstheme="minorHAnsi"/>
        </w:rPr>
        <w:t xml:space="preserve"> contract amendments (with a </w:t>
      </w:r>
      <w:r w:rsidR="00EC0E0B" w:rsidRPr="00A626CC">
        <w:rPr>
          <w:rFonts w:cstheme="minorHAnsi"/>
        </w:rPr>
        <w:t xml:space="preserve">seventh </w:t>
      </w:r>
      <w:r w:rsidR="006F4FAB" w:rsidRPr="00A626CC">
        <w:rPr>
          <w:rFonts w:cstheme="minorHAnsi"/>
        </w:rPr>
        <w:t>underway</w:t>
      </w:r>
      <w:r w:rsidR="00A401D4" w:rsidRPr="00A626CC">
        <w:rPr>
          <w:rFonts w:cstheme="minorHAnsi"/>
        </w:rPr>
        <w:t xml:space="preserve"> at the time of this evaluation</w:t>
      </w:r>
      <w:r w:rsidR="006F4FAB" w:rsidRPr="00A626CC">
        <w:rPr>
          <w:rFonts w:cstheme="minorHAnsi"/>
        </w:rPr>
        <w:t>)</w:t>
      </w:r>
      <w:r w:rsidR="00117AF4" w:rsidRPr="00A626CC">
        <w:rPr>
          <w:rFonts w:cstheme="minorHAnsi"/>
        </w:rPr>
        <w:t xml:space="preserve">. The contract amendments spanned </w:t>
      </w:r>
      <w:r w:rsidR="006F4FAB" w:rsidRPr="00A626CC">
        <w:rPr>
          <w:rFonts w:cstheme="minorHAnsi"/>
        </w:rPr>
        <w:t>budget increase</w:t>
      </w:r>
      <w:r w:rsidR="008A0268" w:rsidRPr="00A626CC">
        <w:rPr>
          <w:rFonts w:cstheme="minorHAnsi"/>
        </w:rPr>
        <w:t>s</w:t>
      </w:r>
      <w:r w:rsidR="006F4FAB" w:rsidRPr="00A626CC">
        <w:rPr>
          <w:rFonts w:cstheme="minorHAnsi"/>
        </w:rPr>
        <w:t xml:space="preserve"> from AUD 50 million at </w:t>
      </w:r>
      <w:r w:rsidR="00910186" w:rsidRPr="00A626CC">
        <w:rPr>
          <w:rFonts w:cstheme="minorHAnsi"/>
        </w:rPr>
        <w:t xml:space="preserve">PLF’s </w:t>
      </w:r>
      <w:r w:rsidR="006F4FAB" w:rsidRPr="00A626CC">
        <w:rPr>
          <w:rFonts w:cstheme="minorHAnsi"/>
        </w:rPr>
        <w:t>inception to a current total of AUD 127,501,134</w:t>
      </w:r>
      <w:r w:rsidR="00D2157A" w:rsidRPr="00A626CC">
        <w:rPr>
          <w:rFonts w:cstheme="minorHAnsi"/>
        </w:rPr>
        <w:t>,</w:t>
      </w:r>
      <w:r w:rsidR="006F4FAB" w:rsidRPr="00A626CC">
        <w:rPr>
          <w:rFonts w:cstheme="minorHAnsi"/>
        </w:rPr>
        <w:t xml:space="preserve"> representing a 155% </w:t>
      </w:r>
      <w:r w:rsidR="00910186" w:rsidRPr="00A626CC">
        <w:rPr>
          <w:rFonts w:cstheme="minorHAnsi"/>
        </w:rPr>
        <w:t>budget increase against the backdrop of a 15,000% increase in the number of workers</w:t>
      </w:r>
      <w:r w:rsidR="00D2157A" w:rsidRPr="00A626CC">
        <w:rPr>
          <w:rFonts w:cstheme="minorHAnsi"/>
        </w:rPr>
        <w:t xml:space="preserve"> and a substantial contribution to both Australia’s and </w:t>
      </w:r>
      <w:r w:rsidR="00D2157A" w:rsidRPr="00780FCF">
        <w:rPr>
          <w:rFonts w:cstheme="minorHAnsi"/>
        </w:rPr>
        <w:t>labour sending</w:t>
      </w:r>
      <w:r w:rsidR="00D2157A" w:rsidRPr="00A626CC">
        <w:rPr>
          <w:rFonts w:cstheme="minorHAnsi"/>
        </w:rPr>
        <w:t xml:space="preserve"> country</w:t>
      </w:r>
      <w:r w:rsidR="00A92F78" w:rsidRPr="00A626CC">
        <w:rPr>
          <w:rFonts w:cstheme="minorHAnsi"/>
        </w:rPr>
        <w:t xml:space="preserve"> economic activity</w:t>
      </w:r>
      <w:r w:rsidR="006F4FAB" w:rsidRPr="00A626CC">
        <w:rPr>
          <w:rFonts w:cstheme="minorHAnsi"/>
        </w:rPr>
        <w:t>.</w:t>
      </w:r>
    </w:p>
    <w:p w14:paraId="19ECCFD0" w14:textId="096A96CE" w:rsidR="006B7EE2" w:rsidRDefault="008A5E88" w:rsidP="005B4C6F">
      <w:pPr>
        <w:rPr>
          <w:rFonts w:cstheme="minorHAnsi"/>
        </w:rPr>
      </w:pPr>
      <w:r w:rsidRPr="00A626CC">
        <w:rPr>
          <w:rFonts w:cstheme="minorHAnsi"/>
        </w:rPr>
        <w:t xml:space="preserve">In the context of DFAT’s FIMR validation process, </w:t>
      </w:r>
      <w:r w:rsidR="005E1B5B" w:rsidRPr="00A626CC">
        <w:rPr>
          <w:rFonts w:cstheme="minorHAnsi"/>
        </w:rPr>
        <w:t xml:space="preserve">multiple </w:t>
      </w:r>
      <w:r w:rsidR="00976374" w:rsidRPr="00A626CC">
        <w:rPr>
          <w:rFonts w:cstheme="minorHAnsi"/>
        </w:rPr>
        <w:t xml:space="preserve">contract amendments accompanied by significant budget variation </w:t>
      </w:r>
      <w:r w:rsidR="00650858" w:rsidRPr="00A626CC">
        <w:rPr>
          <w:rFonts w:cstheme="minorHAnsi"/>
        </w:rPr>
        <w:t>may be indicative of inefficiencies in planning or execution, but this</w:t>
      </w:r>
      <w:r w:rsidR="00C73E0F" w:rsidRPr="00A626CC">
        <w:rPr>
          <w:rFonts w:cstheme="minorHAnsi"/>
        </w:rPr>
        <w:t xml:space="preserve"> assumes a stable operating context. </w:t>
      </w:r>
      <w:r w:rsidR="00330B1A" w:rsidRPr="00A626CC">
        <w:rPr>
          <w:rFonts w:cstheme="minorHAnsi"/>
        </w:rPr>
        <w:t xml:space="preserve">In contrast, </w:t>
      </w:r>
      <w:r w:rsidR="008E3686" w:rsidRPr="00A626CC">
        <w:rPr>
          <w:rFonts w:cstheme="minorHAnsi"/>
        </w:rPr>
        <w:t xml:space="preserve">contract amendments and budget variations </w:t>
      </w:r>
      <w:r w:rsidR="00330B1A" w:rsidRPr="00A626CC">
        <w:rPr>
          <w:rFonts w:cstheme="minorHAnsi"/>
        </w:rPr>
        <w:t xml:space="preserve">in highly dynamic circumstances </w:t>
      </w:r>
      <w:r w:rsidR="008E3686" w:rsidRPr="00A626CC">
        <w:rPr>
          <w:rFonts w:cstheme="minorHAnsi"/>
        </w:rPr>
        <w:t>can indicate responsiveness</w:t>
      </w:r>
      <w:r w:rsidR="003B5AE2" w:rsidRPr="00A626CC">
        <w:rPr>
          <w:rFonts w:cstheme="minorHAnsi"/>
        </w:rPr>
        <w:t xml:space="preserve"> and adaptation necessary to maintain </w:t>
      </w:r>
      <w:r w:rsidR="009C0DB0" w:rsidRPr="00A626CC">
        <w:rPr>
          <w:rFonts w:cstheme="minorHAnsi"/>
        </w:rPr>
        <w:t>performance and quality.</w:t>
      </w:r>
      <w:r w:rsidR="008E3686" w:rsidRPr="00A626CC">
        <w:rPr>
          <w:rFonts w:cstheme="minorHAnsi"/>
        </w:rPr>
        <w:t xml:space="preserve"> </w:t>
      </w:r>
      <w:r w:rsidR="009C0DB0" w:rsidRPr="00A626CC">
        <w:rPr>
          <w:rFonts w:cstheme="minorHAnsi"/>
        </w:rPr>
        <w:t xml:space="preserve">The evaluation team formed the view that this latter perspective </w:t>
      </w:r>
      <w:r w:rsidR="003534B4" w:rsidRPr="00A626CC">
        <w:rPr>
          <w:rFonts w:cstheme="minorHAnsi"/>
        </w:rPr>
        <w:t>was relevant</w:t>
      </w:r>
      <w:r w:rsidR="00226E55" w:rsidRPr="00A626CC">
        <w:rPr>
          <w:rFonts w:cstheme="minorHAnsi"/>
        </w:rPr>
        <w:t xml:space="preserve"> in this evaluation</w:t>
      </w:r>
      <w:r w:rsidR="003534B4" w:rsidRPr="00A626CC">
        <w:rPr>
          <w:rFonts w:cstheme="minorHAnsi"/>
        </w:rPr>
        <w:t xml:space="preserve">. </w:t>
      </w:r>
    </w:p>
    <w:p w14:paraId="6B1F2CB3" w14:textId="5D8B90D9" w:rsidR="00D1425E" w:rsidRDefault="00035F39" w:rsidP="005B4C6F">
      <w:pPr>
        <w:rPr>
          <w:rFonts w:cstheme="minorHAnsi"/>
        </w:rPr>
      </w:pPr>
      <w:r>
        <w:rPr>
          <w:rFonts w:cstheme="minorHAnsi"/>
        </w:rPr>
        <w:br w:type="page"/>
      </w:r>
    </w:p>
    <w:p w14:paraId="579F91E8" w14:textId="77777777" w:rsidR="00D1425E" w:rsidRPr="000A6C90" w:rsidRDefault="00D1425E" w:rsidP="006D2372">
      <w:pPr>
        <w:pStyle w:val="Blueblockheading"/>
        <w:pBdr>
          <w:top w:val="single" w:sz="4" w:space="1" w:color="auto"/>
          <w:left w:val="single" w:sz="4" w:space="4" w:color="auto"/>
          <w:bottom w:val="single" w:sz="4" w:space="1" w:color="auto"/>
          <w:right w:val="single" w:sz="4" w:space="4" w:color="auto"/>
        </w:pBdr>
        <w:rPr>
          <w:lang w:val="en-GB"/>
        </w:rPr>
      </w:pPr>
      <w:r w:rsidRPr="000A6C90">
        <w:rPr>
          <w:lang w:val="en-GB"/>
        </w:rPr>
        <w:lastRenderedPageBreak/>
        <w:t>QTAG, Second Annual Review, Jun 2021</w:t>
      </w:r>
    </w:p>
    <w:p w14:paraId="45C8D825" w14:textId="77777777" w:rsidR="00D1425E" w:rsidRPr="00DE54F3" w:rsidRDefault="00D1425E" w:rsidP="006D2372">
      <w:pPr>
        <w:pBdr>
          <w:top w:val="single" w:sz="4" w:space="1" w:color="auto"/>
          <w:left w:val="single" w:sz="4" w:space="4" w:color="auto"/>
          <w:bottom w:val="single" w:sz="4" w:space="1" w:color="auto"/>
          <w:right w:val="single" w:sz="4" w:space="4" w:color="auto"/>
        </w:pBdr>
        <w:rPr>
          <w:sz w:val="18"/>
          <w:szCs w:val="18"/>
        </w:rPr>
      </w:pPr>
      <w:r>
        <w:rPr>
          <w:sz w:val="18"/>
          <w:szCs w:val="18"/>
        </w:rPr>
        <w:t>“</w:t>
      </w:r>
      <w:r w:rsidRPr="00DE54F3">
        <w:rPr>
          <w:i/>
          <w:iCs/>
          <w:sz w:val="18"/>
          <w:szCs w:val="18"/>
        </w:rPr>
        <w:t>In a year where change was the only constant, PLF demonstrated its capability for perseverance, agility, and creativity. DFAT respondents consistently commended PLF’s bushfire and COVID-19 responsiveness. The Pandemic called for major adaptations to PLF ways of working, such as Supplementary Support to SWP workers and employers; redeploying or repatriating workers; adapting communications strategies and materials; shifting to virtual modes of worker welfare support; and finding solutions to complex welfare cases such as unemployment, pregnancy, and illness. On their own, these adaptations were considerable, but the Restart called for an added wave of agile responses to quarantine restrictions, Commonwealth/State government coordination issues, travel and flight restrictions, border closures, etc. – all while rapidly increasing the rate at which workers were mobilised. PLF navigated these challenges: without additional budget or staff (noting that COVID-19 restrictions freed up PLF resources in some areas for reallocation); during a period of key staff turnover in DFAT and PLF; and under high levels of political expectation and scrutiny in both Australia and the Pacific.</w:t>
      </w:r>
      <w:r>
        <w:rPr>
          <w:i/>
          <w:iCs/>
          <w:sz w:val="18"/>
          <w:szCs w:val="18"/>
        </w:rPr>
        <w:t>”</w:t>
      </w:r>
    </w:p>
    <w:p w14:paraId="25647E70" w14:textId="6270B21B" w:rsidR="00666156" w:rsidRPr="00A626CC" w:rsidRDefault="00035F39" w:rsidP="00A626CC">
      <w:pPr>
        <w:rPr>
          <w:rFonts w:cstheme="minorHAnsi"/>
        </w:rPr>
      </w:pPr>
      <w:r w:rsidRPr="0014390F">
        <w:rPr>
          <w:rStyle w:val="CommentReference"/>
          <w:sz w:val="21"/>
          <w:szCs w:val="21"/>
        </w:rPr>
        <w:t>M</w:t>
      </w:r>
      <w:r w:rsidR="006B7EE2" w:rsidRPr="0014390F">
        <w:rPr>
          <w:rFonts w:cstheme="minorHAnsi"/>
          <w:szCs w:val="21"/>
        </w:rPr>
        <w:t>uch</w:t>
      </w:r>
      <w:r w:rsidR="006B7EE2" w:rsidRPr="00A626CC">
        <w:rPr>
          <w:rFonts w:cstheme="minorHAnsi"/>
        </w:rPr>
        <w:t xml:space="preserve"> of the budget growth was required to support additional staff</w:t>
      </w:r>
      <w:r w:rsidR="00C93B86" w:rsidRPr="00A626CC">
        <w:rPr>
          <w:rFonts w:cstheme="minorHAnsi"/>
        </w:rPr>
        <w:t xml:space="preserve">, which grew from </w:t>
      </w:r>
      <w:r w:rsidR="005C6DC7" w:rsidRPr="00A626CC">
        <w:rPr>
          <w:rFonts w:cstheme="minorHAnsi"/>
        </w:rPr>
        <w:t xml:space="preserve">around </w:t>
      </w:r>
      <w:r w:rsidR="00666156" w:rsidRPr="00A626CC">
        <w:rPr>
          <w:rFonts w:cstheme="minorHAnsi"/>
        </w:rPr>
        <w:t xml:space="preserve">10 in early 2019 to </w:t>
      </w:r>
      <w:r w:rsidR="00324640" w:rsidRPr="00A626CC">
        <w:rPr>
          <w:rFonts w:cstheme="minorHAnsi"/>
        </w:rPr>
        <w:t>over</w:t>
      </w:r>
      <w:r w:rsidR="00666156" w:rsidRPr="00A626CC">
        <w:rPr>
          <w:rFonts w:cstheme="minorHAnsi"/>
        </w:rPr>
        <w:t xml:space="preserve"> 1</w:t>
      </w:r>
      <w:r w:rsidR="00324640" w:rsidRPr="00A626CC">
        <w:rPr>
          <w:rFonts w:cstheme="minorHAnsi"/>
        </w:rPr>
        <w:t>9</w:t>
      </w:r>
      <w:r w:rsidR="00666156" w:rsidRPr="00A626CC">
        <w:rPr>
          <w:rFonts w:cstheme="minorHAnsi"/>
        </w:rPr>
        <w:t xml:space="preserve">0 staff. </w:t>
      </w:r>
      <w:r w:rsidR="00CA6EEB" w:rsidRPr="00A626CC">
        <w:rPr>
          <w:rFonts w:cstheme="minorHAnsi"/>
        </w:rPr>
        <w:t>In particular, s</w:t>
      </w:r>
      <w:r w:rsidR="008B31E6" w:rsidRPr="00A626CC">
        <w:rPr>
          <w:rFonts w:cstheme="minorHAnsi"/>
        </w:rPr>
        <w:t xml:space="preserve">ignificant additional resources were required to support </w:t>
      </w:r>
      <w:r w:rsidR="00600E0D" w:rsidRPr="00780FCF">
        <w:rPr>
          <w:rFonts w:cstheme="minorHAnsi"/>
        </w:rPr>
        <w:t>labour sending</w:t>
      </w:r>
      <w:r w:rsidR="00600E0D" w:rsidRPr="00A626CC">
        <w:rPr>
          <w:rFonts w:cstheme="minorHAnsi"/>
        </w:rPr>
        <w:t xml:space="preserve"> governments to meet demands under both SWP and PLS</w:t>
      </w:r>
      <w:r w:rsidR="00663C64" w:rsidRPr="00A626CC">
        <w:rPr>
          <w:rFonts w:cstheme="minorHAnsi"/>
        </w:rPr>
        <w:t xml:space="preserve">. </w:t>
      </w:r>
      <w:r w:rsidR="00D26ED8" w:rsidRPr="00A626CC">
        <w:rPr>
          <w:rFonts w:cstheme="minorHAnsi"/>
        </w:rPr>
        <w:t xml:space="preserve">Whole new teams were engaged to respond to </w:t>
      </w:r>
      <w:r w:rsidR="007E3CFD" w:rsidRPr="00A626CC">
        <w:rPr>
          <w:rFonts w:cstheme="minorHAnsi"/>
        </w:rPr>
        <w:t xml:space="preserve">an expanding role, most notably the </w:t>
      </w:r>
      <w:r w:rsidR="00F4605B" w:rsidRPr="00A626CC">
        <w:rPr>
          <w:rFonts w:cstheme="minorHAnsi"/>
        </w:rPr>
        <w:t xml:space="preserve">Australia Engagement through regionally based teams to enable worker support and industry engagement. </w:t>
      </w:r>
      <w:r w:rsidR="004F2B8C" w:rsidRPr="00A626CC">
        <w:rPr>
          <w:rFonts w:cstheme="minorHAnsi"/>
        </w:rPr>
        <w:t xml:space="preserve">Increases in scope </w:t>
      </w:r>
      <w:r w:rsidR="005C6DC7" w:rsidRPr="00A626CC">
        <w:rPr>
          <w:rFonts w:cstheme="minorHAnsi"/>
        </w:rPr>
        <w:t xml:space="preserve">necessitated the establishment—and near constant evolution—of a </w:t>
      </w:r>
      <w:r w:rsidR="00842D6A" w:rsidRPr="00A626CC">
        <w:rPr>
          <w:rFonts w:cstheme="minorHAnsi"/>
        </w:rPr>
        <w:t xml:space="preserve">large </w:t>
      </w:r>
      <w:r w:rsidR="005C6DC7" w:rsidRPr="00A626CC">
        <w:rPr>
          <w:rFonts w:cstheme="minorHAnsi"/>
        </w:rPr>
        <w:t>corporate structure spanning 8 ‘workstreams’ (i.e. sub-</w:t>
      </w:r>
      <w:r w:rsidR="00E77428" w:rsidRPr="00A626CC">
        <w:rPr>
          <w:rFonts w:cstheme="minorHAnsi"/>
        </w:rPr>
        <w:t>teams</w:t>
      </w:r>
      <w:r w:rsidR="005C6DC7" w:rsidRPr="00A626CC">
        <w:rPr>
          <w:rFonts w:cstheme="minorHAnsi"/>
        </w:rPr>
        <w:t xml:space="preserve"> or divisions).  </w:t>
      </w:r>
      <w:r w:rsidR="001E59EA" w:rsidRPr="00A626CC">
        <w:rPr>
          <w:rFonts w:cstheme="minorHAnsi"/>
        </w:rPr>
        <w:t>New workstreams were added progressively</w:t>
      </w:r>
      <w:r w:rsidR="00941B50" w:rsidRPr="00A626CC">
        <w:rPr>
          <w:rFonts w:cstheme="minorHAnsi"/>
        </w:rPr>
        <w:t xml:space="preserve"> as needed</w:t>
      </w:r>
      <w:r w:rsidR="001E59EA" w:rsidRPr="00A626CC">
        <w:rPr>
          <w:rFonts w:cstheme="minorHAnsi"/>
        </w:rPr>
        <w:t xml:space="preserve">, conferring </w:t>
      </w:r>
      <w:r w:rsidR="00941B50" w:rsidRPr="00A626CC">
        <w:rPr>
          <w:rFonts w:cstheme="minorHAnsi"/>
        </w:rPr>
        <w:t xml:space="preserve">value-for-money to the Commonwealth. This was especially notable in relation to the establishment of </w:t>
      </w:r>
      <w:r w:rsidR="001E509E" w:rsidRPr="00A626CC">
        <w:rPr>
          <w:rFonts w:cstheme="minorHAnsi"/>
        </w:rPr>
        <w:t xml:space="preserve">separate workstreams to address AE compliance and assurance. </w:t>
      </w:r>
      <w:r w:rsidR="00DB60AD" w:rsidRPr="00A626CC">
        <w:rPr>
          <w:rFonts w:cstheme="minorHAnsi"/>
        </w:rPr>
        <w:t xml:space="preserve">Many stakeholders conveyed to the evaluation team admiration for PLF’s </w:t>
      </w:r>
      <w:r w:rsidR="00845EB5" w:rsidRPr="00A626CC">
        <w:rPr>
          <w:rFonts w:cstheme="minorHAnsi"/>
        </w:rPr>
        <w:t xml:space="preserve">adaptiveness and </w:t>
      </w:r>
      <w:r w:rsidR="00BA21EE" w:rsidRPr="00A626CC">
        <w:rPr>
          <w:rFonts w:cstheme="minorHAnsi"/>
        </w:rPr>
        <w:t>diligence under these circumstances</w:t>
      </w:r>
      <w:r w:rsidR="006A3D36" w:rsidRPr="00A626CC">
        <w:rPr>
          <w:rFonts w:cstheme="minorHAnsi"/>
        </w:rPr>
        <w:t xml:space="preserve">. Multiple PLF team members expressed pride </w:t>
      </w:r>
      <w:r w:rsidR="007F59D4" w:rsidRPr="00A626CC">
        <w:rPr>
          <w:rFonts w:cstheme="minorHAnsi"/>
        </w:rPr>
        <w:t xml:space="preserve">in their </w:t>
      </w:r>
      <w:r w:rsidR="009F2923" w:rsidRPr="00A626CC">
        <w:rPr>
          <w:rFonts w:cstheme="minorHAnsi"/>
        </w:rPr>
        <w:t>consistent focus on quality work</w:t>
      </w:r>
      <w:r w:rsidR="008417CD" w:rsidRPr="00A626CC">
        <w:rPr>
          <w:rFonts w:cstheme="minorHAnsi"/>
        </w:rPr>
        <w:t>,</w:t>
      </w:r>
      <w:r w:rsidR="009F2923" w:rsidRPr="00A626CC">
        <w:rPr>
          <w:rFonts w:cstheme="minorHAnsi"/>
        </w:rPr>
        <w:t xml:space="preserve"> and </w:t>
      </w:r>
      <w:r w:rsidR="008417CD" w:rsidRPr="00A626CC">
        <w:rPr>
          <w:rFonts w:cstheme="minorHAnsi"/>
        </w:rPr>
        <w:t xml:space="preserve">on learning and improvement in response to </w:t>
      </w:r>
      <w:r w:rsidR="009F2923" w:rsidRPr="00A626CC">
        <w:rPr>
          <w:rFonts w:cstheme="minorHAnsi"/>
        </w:rPr>
        <w:t>contextual changes.</w:t>
      </w:r>
      <w:r w:rsidR="006A160B" w:rsidRPr="00A626CC">
        <w:rPr>
          <w:rFonts w:cstheme="minorHAnsi"/>
        </w:rPr>
        <w:t xml:space="preserve"> </w:t>
      </w:r>
    </w:p>
    <w:p w14:paraId="39C4754F" w14:textId="2342E50F" w:rsidR="003B6EB7" w:rsidRPr="00A626CC" w:rsidRDefault="003B6EB7" w:rsidP="00A626CC">
      <w:pPr>
        <w:rPr>
          <w:rFonts w:cstheme="minorHAnsi"/>
        </w:rPr>
      </w:pPr>
      <w:r w:rsidRPr="00A626CC">
        <w:rPr>
          <w:rFonts w:cstheme="minorHAnsi"/>
        </w:rPr>
        <w:t>While development program management is rarely</w:t>
      </w:r>
      <w:r w:rsidR="00627AE5" w:rsidRPr="00A626CC">
        <w:rPr>
          <w:rFonts w:cstheme="minorHAnsi"/>
        </w:rPr>
        <w:t xml:space="preserve"> flawless, the evaluation team concluded that </w:t>
      </w:r>
      <w:r w:rsidR="008417CD" w:rsidRPr="00A626CC">
        <w:rPr>
          <w:rFonts w:cstheme="minorHAnsi"/>
        </w:rPr>
        <w:t xml:space="preserve">in the main, PLF </w:t>
      </w:r>
      <w:r w:rsidR="00EF1443" w:rsidRPr="00A626CC">
        <w:rPr>
          <w:rFonts w:cstheme="minorHAnsi"/>
        </w:rPr>
        <w:t>made</w:t>
      </w:r>
      <w:r w:rsidR="00AF5B56" w:rsidRPr="00A626CC">
        <w:rPr>
          <w:rFonts w:cstheme="minorHAnsi"/>
        </w:rPr>
        <w:t xml:space="preserve"> appropriate use of time and resources at each point in the evolution of </w:t>
      </w:r>
      <w:r w:rsidR="00EF1443" w:rsidRPr="00A626CC">
        <w:rPr>
          <w:rFonts w:cstheme="minorHAnsi"/>
        </w:rPr>
        <w:t>labour mobility.</w:t>
      </w:r>
    </w:p>
    <w:p w14:paraId="6673FC07" w14:textId="77777777" w:rsidR="00666156" w:rsidRPr="00A626CC" w:rsidRDefault="00666156" w:rsidP="00A626CC">
      <w:pPr>
        <w:pStyle w:val="ColumnBlock"/>
      </w:pPr>
      <w:r w:rsidRPr="00A626CC">
        <w:t>Comparative value of the modality </w:t>
      </w:r>
    </w:p>
    <w:p w14:paraId="2F27C340" w14:textId="2B97062F" w:rsidR="00761A98" w:rsidRDefault="002F70EC" w:rsidP="00A626CC">
      <w:pPr>
        <w:rPr>
          <w:rFonts w:cstheme="minorHAnsi"/>
        </w:rPr>
      </w:pPr>
      <w:r w:rsidRPr="00A626CC">
        <w:rPr>
          <w:rFonts w:cstheme="minorHAnsi"/>
        </w:rPr>
        <w:t>Th</w:t>
      </w:r>
      <w:r w:rsidR="00153FE0">
        <w:rPr>
          <w:rFonts w:cstheme="minorHAnsi"/>
        </w:rPr>
        <w:t>is</w:t>
      </w:r>
      <w:r w:rsidRPr="00A626CC">
        <w:rPr>
          <w:rFonts w:cstheme="minorHAnsi"/>
        </w:rPr>
        <w:t xml:space="preserve"> second </w:t>
      </w:r>
      <w:r w:rsidR="005A02B5" w:rsidRPr="00A626CC">
        <w:rPr>
          <w:rFonts w:cstheme="minorHAnsi"/>
        </w:rPr>
        <w:t xml:space="preserve">FIMR </w:t>
      </w:r>
      <w:r w:rsidRPr="00A626CC">
        <w:rPr>
          <w:rFonts w:cstheme="minorHAnsi"/>
        </w:rPr>
        <w:t>sub-criterion</w:t>
      </w:r>
      <w:r w:rsidR="005A02B5" w:rsidRPr="00A626CC">
        <w:rPr>
          <w:rFonts w:cstheme="minorHAnsi"/>
        </w:rPr>
        <w:t xml:space="preserve"> under efficiency concerns the merit of the modality in relation to supporting achievement of the purpose of the investment. </w:t>
      </w:r>
      <w:r w:rsidR="00EE1A20">
        <w:rPr>
          <w:rFonts w:cstheme="minorHAnsi"/>
        </w:rPr>
        <w:t>In the case of PLF</w:t>
      </w:r>
      <w:r w:rsidR="008C737C">
        <w:rPr>
          <w:rFonts w:cstheme="minorHAnsi"/>
        </w:rPr>
        <w:t>,</w:t>
      </w:r>
      <w:r w:rsidR="003C1A33">
        <w:rPr>
          <w:rFonts w:cstheme="minorHAnsi"/>
        </w:rPr>
        <w:t xml:space="preserve"> </w:t>
      </w:r>
      <w:r w:rsidR="00F5382C">
        <w:rPr>
          <w:rFonts w:cstheme="minorHAnsi"/>
        </w:rPr>
        <w:t>t</w:t>
      </w:r>
      <w:r w:rsidR="00761A98" w:rsidRPr="00A626CC">
        <w:rPr>
          <w:rFonts w:cstheme="minorHAnsi"/>
        </w:rPr>
        <w:t>he evaluation team</w:t>
      </w:r>
      <w:r w:rsidR="00667FB6">
        <w:rPr>
          <w:rFonts w:cstheme="minorHAnsi"/>
        </w:rPr>
        <w:t>’s</w:t>
      </w:r>
      <w:r w:rsidR="00761A98" w:rsidRPr="00A626CC">
        <w:rPr>
          <w:rFonts w:cstheme="minorHAnsi"/>
        </w:rPr>
        <w:t xml:space="preserve"> </w:t>
      </w:r>
      <w:r w:rsidR="00A344EF">
        <w:rPr>
          <w:rFonts w:cstheme="minorHAnsi"/>
        </w:rPr>
        <w:t xml:space="preserve">judgment </w:t>
      </w:r>
      <w:r w:rsidR="00667FB6">
        <w:rPr>
          <w:rFonts w:cstheme="minorHAnsi"/>
        </w:rPr>
        <w:t xml:space="preserve">is </w:t>
      </w:r>
      <w:r w:rsidR="00761A98" w:rsidRPr="00A626CC">
        <w:rPr>
          <w:rFonts w:cstheme="minorHAnsi"/>
        </w:rPr>
        <w:t xml:space="preserve">that the way PLF operated </w:t>
      </w:r>
      <w:r w:rsidR="00541E15">
        <w:rPr>
          <w:rFonts w:cstheme="minorHAnsi"/>
        </w:rPr>
        <w:t xml:space="preserve">was a good fit for </w:t>
      </w:r>
      <w:r w:rsidR="00761A98" w:rsidRPr="00A626CC">
        <w:rPr>
          <w:rFonts w:cstheme="minorHAnsi"/>
        </w:rPr>
        <w:t xml:space="preserve">the rapidly evolving needs and priorities </w:t>
      </w:r>
      <w:r w:rsidR="00F5382C">
        <w:rPr>
          <w:rFonts w:cstheme="minorHAnsi"/>
        </w:rPr>
        <w:t xml:space="preserve">of </w:t>
      </w:r>
      <w:r w:rsidR="00761A98" w:rsidRPr="00A626CC">
        <w:rPr>
          <w:rFonts w:cstheme="minorHAnsi"/>
        </w:rPr>
        <w:t>the Australian and labour sending governments.</w:t>
      </w:r>
    </w:p>
    <w:p w14:paraId="0A988B1D" w14:textId="29B4FF62" w:rsidR="00666156" w:rsidRPr="00A626CC" w:rsidRDefault="00666156" w:rsidP="00A626CC">
      <w:pPr>
        <w:rPr>
          <w:rFonts w:cstheme="minorHAnsi"/>
        </w:rPr>
      </w:pPr>
      <w:r w:rsidRPr="00A626CC">
        <w:rPr>
          <w:rFonts w:cstheme="minorHAnsi"/>
        </w:rPr>
        <w:t>PLF was designed as a ‘facility’, however, it is debatable if this is the correct nomenclature in practice. A DFAT officer noted: </w:t>
      </w:r>
    </w:p>
    <w:p w14:paraId="191D8099" w14:textId="77777777" w:rsidR="00666156" w:rsidRPr="00A626CC" w:rsidRDefault="00666156" w:rsidP="00A626CC">
      <w:pPr>
        <w:pStyle w:val="Quote"/>
      </w:pPr>
      <w:r w:rsidRPr="00A626CC">
        <w:t>“I’m unclear why this is a facility because we’ve known what we want to do: grow the program, make sure the right workers are involved, and ensure social benefits for participants”.   </w:t>
      </w:r>
    </w:p>
    <w:p w14:paraId="34687863" w14:textId="77777777" w:rsidR="009B0A8D" w:rsidRDefault="009B0A8D">
      <w:pPr>
        <w:rPr>
          <w:rFonts w:cstheme="minorHAnsi"/>
        </w:rPr>
      </w:pPr>
      <w:r>
        <w:rPr>
          <w:rFonts w:cstheme="minorHAnsi"/>
        </w:rPr>
        <w:br w:type="page"/>
      </w:r>
    </w:p>
    <w:p w14:paraId="1BDB35BE" w14:textId="3587C39F" w:rsidR="00666156" w:rsidRPr="00A626CC" w:rsidRDefault="00666156" w:rsidP="00A626CC">
      <w:pPr>
        <w:rPr>
          <w:rFonts w:cstheme="minorHAnsi"/>
        </w:rPr>
      </w:pPr>
      <w:r w:rsidRPr="00A626CC">
        <w:rPr>
          <w:rFonts w:cstheme="minorHAnsi"/>
        </w:rPr>
        <w:lastRenderedPageBreak/>
        <w:t>DFAT’s guidance on facilities requires clearly articulated end-of-facility outcomes but accepts ambiguity about the pathway to achieve these. A key feature of facilities is a large amount of unallocated funds which are implemented on a year-to-year basis, often involving an array of partners or grantees. DFAT’s International Development Programming Guide (p 39)</w:t>
      </w:r>
      <w:r w:rsidR="004F0CC5" w:rsidRPr="00A626CC">
        <w:rPr>
          <w:rStyle w:val="FootnoteReference"/>
          <w:rFonts w:cstheme="minorHAnsi"/>
        </w:rPr>
        <w:footnoteReference w:id="57"/>
      </w:r>
      <w:r w:rsidRPr="00A626CC">
        <w:rPr>
          <w:rFonts w:cstheme="minorHAnsi"/>
        </w:rPr>
        <w:t xml:space="preserve"> sets out the principal aid investment options. It seems that in practice, the PLF modality was more closely aligned with a ‘program-based approach’, delivered by a managing contractor, involving experts and technical advice engaged through a procurement agreement. </w:t>
      </w:r>
      <w:r w:rsidR="00B7268D" w:rsidRPr="00A626CC">
        <w:rPr>
          <w:rFonts w:cstheme="minorHAnsi"/>
        </w:rPr>
        <w:t xml:space="preserve">PLF staff responded that perhaps DFAT’s </w:t>
      </w:r>
      <w:r w:rsidR="00A5771E" w:rsidRPr="00A626CC">
        <w:rPr>
          <w:rFonts w:cstheme="minorHAnsi"/>
        </w:rPr>
        <w:t>guidance should be updated to reflected a role for ‘support facilities’.</w:t>
      </w:r>
    </w:p>
    <w:p w14:paraId="43A96A6D" w14:textId="78F9891A" w:rsidR="00666156" w:rsidRPr="00A626CC" w:rsidRDefault="00666156" w:rsidP="00A626CC">
      <w:pPr>
        <w:rPr>
          <w:rFonts w:cstheme="minorHAnsi"/>
        </w:rPr>
      </w:pPr>
      <w:r w:rsidRPr="00A626CC">
        <w:rPr>
          <w:rFonts w:cstheme="minorHAnsi"/>
        </w:rPr>
        <w:t>Notwithstanding the definitional issue, there were diverse views about the comparative value of the PLF modality. As discussed in Section 3.2.1 (in relation to effectiveness), many stakeholders lauded PLF’s responsiveness and flexibility.  </w:t>
      </w:r>
    </w:p>
    <w:p w14:paraId="3F4F86C9" w14:textId="65578519" w:rsidR="00666156" w:rsidRPr="00A626CC" w:rsidRDefault="00666156" w:rsidP="00A626CC">
      <w:pPr>
        <w:rPr>
          <w:rFonts w:cstheme="minorHAnsi"/>
        </w:rPr>
      </w:pPr>
      <w:r w:rsidRPr="00A626CC">
        <w:rPr>
          <w:rFonts w:cstheme="minorHAnsi"/>
        </w:rPr>
        <w:t xml:space="preserve">Some Pacific Heads of Mission (HoM) in Australia expressed concern about the Australian Government engaging a managing contractor, which was perceived to impede the bilateral relationship. One HoM </w:t>
      </w:r>
      <w:r w:rsidR="00C93050" w:rsidRPr="00A626CC">
        <w:rPr>
          <w:rFonts w:cstheme="minorHAnsi"/>
        </w:rPr>
        <w:t>in particular expressed</w:t>
      </w:r>
      <w:r w:rsidR="00624C37" w:rsidRPr="00A626CC">
        <w:rPr>
          <w:rFonts w:cstheme="minorHAnsi"/>
        </w:rPr>
        <w:t xml:space="preserve"> a perspective that a managing contractor </w:t>
      </w:r>
      <w:r w:rsidR="00A63E41" w:rsidRPr="00A626CC">
        <w:rPr>
          <w:rFonts w:cstheme="minorHAnsi"/>
        </w:rPr>
        <w:t>negatively affected government-to-government communication and coordination.</w:t>
      </w:r>
      <w:r w:rsidR="00E40E1F" w:rsidRPr="00A626CC">
        <w:rPr>
          <w:rStyle w:val="FootnoteReference"/>
          <w:rFonts w:cstheme="minorHAnsi"/>
        </w:rPr>
        <w:t xml:space="preserve"> </w:t>
      </w:r>
      <w:r w:rsidR="00E40E1F" w:rsidRPr="00A626CC">
        <w:rPr>
          <w:rStyle w:val="FootnoteReference"/>
          <w:rFonts w:cstheme="minorHAnsi"/>
        </w:rPr>
        <w:footnoteReference w:id="58"/>
      </w:r>
      <w:r w:rsidR="00A63E41" w:rsidRPr="00A626CC">
        <w:rPr>
          <w:rFonts w:cstheme="minorHAnsi"/>
        </w:rPr>
        <w:t xml:space="preserve"> </w:t>
      </w:r>
      <w:r w:rsidRPr="00A626CC">
        <w:rPr>
          <w:rFonts w:cstheme="minorHAnsi"/>
        </w:rPr>
        <w:t>In this context, the decision to in-source service delivery in DEWR has been applauded by some stakeholders because it puts diplomatic missions in direct contact with the Commonwealth. </w:t>
      </w:r>
    </w:p>
    <w:p w14:paraId="68F2B611" w14:textId="77777777" w:rsidR="00666156" w:rsidRPr="00A626CC" w:rsidRDefault="00666156" w:rsidP="00A626CC">
      <w:pPr>
        <w:rPr>
          <w:rFonts w:cstheme="minorHAnsi"/>
        </w:rPr>
      </w:pPr>
      <w:r w:rsidRPr="00A626CC">
        <w:rPr>
          <w:rFonts w:cstheme="minorHAnsi"/>
        </w:rPr>
        <w:t>Some DEWR stakeholders expressed the view that the contractor was constrained in its ability to undertake the breadth of responsibilities required: </w:t>
      </w:r>
    </w:p>
    <w:p w14:paraId="423F9D57" w14:textId="77777777" w:rsidR="00666156" w:rsidRPr="00A626CC" w:rsidRDefault="00666156" w:rsidP="00A626CC">
      <w:pPr>
        <w:pStyle w:val="Quote"/>
      </w:pPr>
      <w:r w:rsidRPr="00A626CC">
        <w:t>“I found the public service had better processes and demonstrated more courage to correct things than the facility…they [PLF] took more of a relationship approach when enforcement was justified”. </w:t>
      </w:r>
    </w:p>
    <w:p w14:paraId="58E6F0B0" w14:textId="3518BEBB" w:rsidR="0068627D" w:rsidRPr="00A626CC" w:rsidRDefault="00666156" w:rsidP="00A626CC">
      <w:pPr>
        <w:rPr>
          <w:rFonts w:cstheme="minorHAnsi"/>
        </w:rPr>
      </w:pPr>
      <w:r w:rsidRPr="00A626CC">
        <w:rPr>
          <w:rFonts w:cstheme="minorHAnsi"/>
        </w:rPr>
        <w:t xml:space="preserve">This observation may reflect more on ways of working than of the modality </w:t>
      </w:r>
      <w:r w:rsidRPr="00A626CC">
        <w:rPr>
          <w:rFonts w:cstheme="minorHAnsi"/>
          <w:i/>
          <w:iCs/>
        </w:rPr>
        <w:t>per se</w:t>
      </w:r>
      <w:r w:rsidRPr="00A626CC">
        <w:rPr>
          <w:rFonts w:cstheme="minorHAnsi"/>
        </w:rPr>
        <w:t xml:space="preserve">. </w:t>
      </w:r>
      <w:r w:rsidR="001C59C2" w:rsidRPr="00A626CC">
        <w:rPr>
          <w:rFonts w:cstheme="minorHAnsi"/>
        </w:rPr>
        <w:t>However</w:t>
      </w:r>
      <w:r w:rsidR="0058653A" w:rsidRPr="00A626CC">
        <w:rPr>
          <w:rFonts w:cstheme="minorHAnsi"/>
        </w:rPr>
        <w:t>, a</w:t>
      </w:r>
      <w:r w:rsidR="007341A3" w:rsidRPr="00A626CC">
        <w:rPr>
          <w:rFonts w:cstheme="minorHAnsi"/>
        </w:rPr>
        <w:t xml:space="preserve"> review of the original PLF design document confirmed that an early intention was for PLF to take deliberate steps away from </w:t>
      </w:r>
      <w:r w:rsidR="00572EA8" w:rsidRPr="00A626CC">
        <w:rPr>
          <w:rFonts w:cstheme="minorHAnsi"/>
        </w:rPr>
        <w:t xml:space="preserve">pure </w:t>
      </w:r>
      <w:r w:rsidR="007341A3" w:rsidRPr="00A626CC">
        <w:rPr>
          <w:rFonts w:cstheme="minorHAnsi"/>
        </w:rPr>
        <w:t xml:space="preserve">compliance and enforcement towards assurance and relationship management in relation to AEs. PLF staff further responded that they were required to </w:t>
      </w:r>
      <w:r w:rsidR="00F74E31" w:rsidRPr="00A626CC">
        <w:rPr>
          <w:rFonts w:cstheme="minorHAnsi"/>
        </w:rPr>
        <w:t>navigate a balance</w:t>
      </w:r>
      <w:r w:rsidR="00572EA8" w:rsidRPr="00A626CC">
        <w:rPr>
          <w:rFonts w:cstheme="minorHAnsi"/>
        </w:rPr>
        <w:t>d</w:t>
      </w:r>
      <w:r w:rsidR="00F74E31" w:rsidRPr="00A626CC">
        <w:rPr>
          <w:rFonts w:cstheme="minorHAnsi"/>
        </w:rPr>
        <w:t xml:space="preserve"> approach to assuring AEs were capacitated to meet the requirements of the Deed, but nonetheless also </w:t>
      </w:r>
      <w:r w:rsidR="00E4667A" w:rsidRPr="00A626CC">
        <w:rPr>
          <w:rFonts w:cstheme="minorHAnsi"/>
        </w:rPr>
        <w:t>undertook enforcement action when required</w:t>
      </w:r>
      <w:r w:rsidR="005E5D4B" w:rsidRPr="00A626CC">
        <w:rPr>
          <w:rFonts w:cstheme="minorHAnsi"/>
        </w:rPr>
        <w:t xml:space="preserve">, as illustrated by the fact that 42% </w:t>
      </w:r>
      <w:r w:rsidR="00866871" w:rsidRPr="00A626CC">
        <w:rPr>
          <w:rFonts w:cstheme="minorHAnsi"/>
        </w:rPr>
        <w:t>of worker pay and condition reviews undertaken by PLF resulted in back payments by A</w:t>
      </w:r>
      <w:r w:rsidR="008836F5" w:rsidRPr="00A626CC">
        <w:rPr>
          <w:rFonts w:cstheme="minorHAnsi"/>
        </w:rPr>
        <w:t>E</w:t>
      </w:r>
      <w:r w:rsidR="00866871" w:rsidRPr="00A626CC">
        <w:rPr>
          <w:rFonts w:cstheme="minorHAnsi"/>
        </w:rPr>
        <w:t xml:space="preserve">s. </w:t>
      </w:r>
    </w:p>
    <w:p w14:paraId="1D83F36A" w14:textId="3B32D49C" w:rsidR="00666156" w:rsidRPr="00A626CC" w:rsidRDefault="00572EA8" w:rsidP="00A626CC">
      <w:pPr>
        <w:rPr>
          <w:rFonts w:cstheme="minorHAnsi"/>
        </w:rPr>
      </w:pPr>
      <w:r w:rsidRPr="00A626CC">
        <w:rPr>
          <w:rFonts w:cstheme="minorHAnsi"/>
        </w:rPr>
        <w:t xml:space="preserve">Beyond the </w:t>
      </w:r>
      <w:r w:rsidR="00454D7C" w:rsidRPr="00A626CC">
        <w:rPr>
          <w:rFonts w:cstheme="minorHAnsi"/>
        </w:rPr>
        <w:t xml:space="preserve">functions of the contractor, one </w:t>
      </w:r>
      <w:r w:rsidR="00666156" w:rsidRPr="00A626CC">
        <w:rPr>
          <w:rFonts w:cstheme="minorHAnsi"/>
        </w:rPr>
        <w:t xml:space="preserve">DEWR officer </w:t>
      </w:r>
      <w:r w:rsidR="00454D7C" w:rsidRPr="00A626CC">
        <w:rPr>
          <w:rFonts w:cstheme="minorHAnsi"/>
        </w:rPr>
        <w:t>questioned the merits of the specific contract terms</w:t>
      </w:r>
      <w:r w:rsidR="00666156" w:rsidRPr="00A626CC">
        <w:rPr>
          <w:rFonts w:cstheme="minorHAnsi"/>
        </w:rPr>
        <w:t>:  </w:t>
      </w:r>
    </w:p>
    <w:p w14:paraId="6A1DF70E" w14:textId="77777777" w:rsidR="00666156" w:rsidRPr="00A626CC" w:rsidRDefault="00666156" w:rsidP="00A626CC">
      <w:pPr>
        <w:pStyle w:val="Quote"/>
      </w:pPr>
      <w:r w:rsidRPr="00A626CC">
        <w:t>“I felt the contract wasn’t future proofed. While no one could have anticipated the growth or the alignment of the two labour schemes [PLS and SWP], it still wasn’t a great deed between the Commonwealth and the contractor. Whatever the model is next time, we need a more sophisticated contract with more opportunities to review”. </w:t>
      </w:r>
    </w:p>
    <w:p w14:paraId="1C385AC9" w14:textId="77777777" w:rsidR="009B0A8D" w:rsidRDefault="009B0A8D">
      <w:pPr>
        <w:rPr>
          <w:rFonts w:cstheme="minorHAnsi"/>
        </w:rPr>
      </w:pPr>
      <w:r>
        <w:rPr>
          <w:rFonts w:cstheme="minorHAnsi"/>
        </w:rPr>
        <w:br w:type="page"/>
      </w:r>
    </w:p>
    <w:p w14:paraId="1A9BD437" w14:textId="2069F713" w:rsidR="00666156" w:rsidRPr="00A626CC" w:rsidRDefault="00666156" w:rsidP="00A626CC">
      <w:pPr>
        <w:rPr>
          <w:rFonts w:cstheme="minorHAnsi"/>
        </w:rPr>
      </w:pPr>
      <w:r w:rsidRPr="00A626CC">
        <w:rPr>
          <w:rFonts w:cstheme="minorHAnsi"/>
        </w:rPr>
        <w:lastRenderedPageBreak/>
        <w:t xml:space="preserve">In contrast, most DFAT interviewees expressed positive views about the modality broadly, and the contractor’s performance </w:t>
      </w:r>
      <w:r w:rsidR="00D034D2" w:rsidRPr="00A626CC">
        <w:rPr>
          <w:rFonts w:cstheme="minorHAnsi"/>
        </w:rPr>
        <w:t>specifically,</w:t>
      </w:r>
      <w:r w:rsidRPr="00A626CC">
        <w:rPr>
          <w:rFonts w:cstheme="minorHAnsi"/>
        </w:rPr>
        <w:t xml:space="preserve"> e.g.: </w:t>
      </w:r>
    </w:p>
    <w:p w14:paraId="67290CAF" w14:textId="07A14CAB" w:rsidR="00666156" w:rsidRPr="00A626CC" w:rsidRDefault="00666156" w:rsidP="00A626CC">
      <w:pPr>
        <w:pStyle w:val="Quote"/>
      </w:pPr>
      <w:r w:rsidRPr="00A626CC">
        <w:t xml:space="preserve">“An external contractor is much more flexible than what DFAT could be…there have been a lot of changes in labour migration policy…in retrospect the massive growth was well managed…DFAT and PLF worked in </w:t>
      </w:r>
      <w:r w:rsidR="00D034D2" w:rsidRPr="00A626CC">
        <w:t>partnership,</w:t>
      </w:r>
      <w:r w:rsidRPr="00A626CC">
        <w:t xml:space="preserve"> and they helped us to wrestle issues that arose”. </w:t>
      </w:r>
    </w:p>
    <w:p w14:paraId="2CD87316" w14:textId="3B60D5D7" w:rsidR="00666156" w:rsidRPr="00A626CC" w:rsidRDefault="00666156" w:rsidP="00A626CC">
      <w:pPr>
        <w:rPr>
          <w:rFonts w:cstheme="minorHAnsi"/>
        </w:rPr>
      </w:pPr>
      <w:r w:rsidRPr="00A626CC">
        <w:rPr>
          <w:rFonts w:cstheme="minorHAnsi"/>
        </w:rPr>
        <w:t xml:space="preserve">The positive sentiments above were echoed by others who recognised the challenges of having to understand Australian labour market issues while also responding to </w:t>
      </w:r>
      <w:r w:rsidR="001C59C2" w:rsidRPr="004F4D0B">
        <w:rPr>
          <w:rFonts w:cstheme="minorHAnsi"/>
        </w:rPr>
        <w:t xml:space="preserve">labour </w:t>
      </w:r>
      <w:r w:rsidRPr="004F4D0B">
        <w:rPr>
          <w:rFonts w:cstheme="minorHAnsi"/>
        </w:rPr>
        <w:t>sending</w:t>
      </w:r>
      <w:r w:rsidRPr="00A626CC">
        <w:rPr>
          <w:rFonts w:cstheme="minorHAnsi"/>
        </w:rPr>
        <w:t xml:space="preserve"> country capacity constraints in culturally appropriate ways, and generally being responsive to dramatic changes in Australian policy and context. </w:t>
      </w:r>
      <w:r w:rsidR="000701F3" w:rsidRPr="00A626CC">
        <w:rPr>
          <w:rFonts w:cstheme="minorHAnsi"/>
        </w:rPr>
        <w:t xml:space="preserve">The evaluation team formed the view that regardless of definitional </w:t>
      </w:r>
      <w:r w:rsidR="00AE5CC9" w:rsidRPr="00A626CC">
        <w:rPr>
          <w:rFonts w:cstheme="minorHAnsi"/>
        </w:rPr>
        <w:t>debate about the form of the modality, the way PLF operated supported the rapidly evolving needs and priorities and the Australian and labour sending governments.</w:t>
      </w:r>
      <w:r w:rsidR="00897715" w:rsidRPr="00A626CC">
        <w:rPr>
          <w:rFonts w:cstheme="minorHAnsi"/>
        </w:rPr>
        <w:t xml:space="preserve"> Concerns about the </w:t>
      </w:r>
      <w:r w:rsidR="001F4FAD" w:rsidRPr="00A626CC">
        <w:rPr>
          <w:rFonts w:cstheme="minorHAnsi"/>
        </w:rPr>
        <w:t xml:space="preserve">broader rationale of the Australian Government </w:t>
      </w:r>
      <w:r w:rsidR="007B715F" w:rsidRPr="00A626CC">
        <w:rPr>
          <w:rFonts w:cstheme="minorHAnsi"/>
        </w:rPr>
        <w:t xml:space="preserve">in </w:t>
      </w:r>
      <w:r w:rsidR="001F4FAD" w:rsidRPr="00A626CC">
        <w:rPr>
          <w:rFonts w:cstheme="minorHAnsi"/>
        </w:rPr>
        <w:t xml:space="preserve">contracting a service provider may </w:t>
      </w:r>
      <w:r w:rsidR="00BD1585" w:rsidRPr="00A626CC">
        <w:rPr>
          <w:rFonts w:cstheme="minorHAnsi"/>
        </w:rPr>
        <w:t xml:space="preserve">derive from not understanding the pragmatic reality </w:t>
      </w:r>
      <w:r w:rsidR="00815F50" w:rsidRPr="00A626CC">
        <w:rPr>
          <w:rFonts w:cstheme="minorHAnsi"/>
        </w:rPr>
        <w:t xml:space="preserve">of DFAT’s contractor-led business model—noting </w:t>
      </w:r>
      <w:r w:rsidR="00BD1585" w:rsidRPr="00A626CC">
        <w:rPr>
          <w:rFonts w:cstheme="minorHAnsi"/>
        </w:rPr>
        <w:t xml:space="preserve">that DFAT does not </w:t>
      </w:r>
      <w:r w:rsidR="00815F50" w:rsidRPr="00A626CC">
        <w:rPr>
          <w:rFonts w:cstheme="minorHAnsi"/>
        </w:rPr>
        <w:t xml:space="preserve">generally </w:t>
      </w:r>
      <w:r w:rsidR="00BD1585" w:rsidRPr="00A626CC">
        <w:rPr>
          <w:rFonts w:cstheme="minorHAnsi"/>
        </w:rPr>
        <w:t>implement programs directly</w:t>
      </w:r>
      <w:r w:rsidR="00815F50" w:rsidRPr="00A626CC">
        <w:rPr>
          <w:rFonts w:cstheme="minorHAnsi"/>
        </w:rPr>
        <w:t>.</w:t>
      </w:r>
    </w:p>
    <w:p w14:paraId="06C3E0D9" w14:textId="77777777" w:rsidR="00666156" w:rsidRPr="00A626CC" w:rsidRDefault="00666156" w:rsidP="00A626CC">
      <w:pPr>
        <w:pStyle w:val="ColumnBlock"/>
      </w:pPr>
      <w:r w:rsidRPr="00A626CC">
        <w:t>Adequacy of governance and management arrangements  </w:t>
      </w:r>
    </w:p>
    <w:p w14:paraId="54D54C94" w14:textId="1C9CA200" w:rsidR="00934F9E" w:rsidRPr="00A626CC" w:rsidRDefault="000F5E9E" w:rsidP="00A626CC">
      <w:pPr>
        <w:rPr>
          <w:rFonts w:cstheme="minorHAnsi"/>
        </w:rPr>
      </w:pPr>
      <w:r w:rsidRPr="00A626CC">
        <w:rPr>
          <w:rFonts w:cstheme="minorHAnsi"/>
        </w:rPr>
        <w:t>An assessment of the merit of t</w:t>
      </w:r>
      <w:r w:rsidR="00666156" w:rsidRPr="00A626CC">
        <w:rPr>
          <w:rFonts w:cstheme="minorHAnsi"/>
        </w:rPr>
        <w:t xml:space="preserve">he governance arrangements </w:t>
      </w:r>
      <w:r w:rsidR="008821F2" w:rsidRPr="00A626CC">
        <w:rPr>
          <w:rFonts w:cstheme="minorHAnsi"/>
        </w:rPr>
        <w:t xml:space="preserve">for </w:t>
      </w:r>
      <w:r w:rsidR="00666156" w:rsidRPr="00A626CC">
        <w:rPr>
          <w:rFonts w:cstheme="minorHAnsi"/>
        </w:rPr>
        <w:t xml:space="preserve">PLF </w:t>
      </w:r>
      <w:r w:rsidR="008821F2" w:rsidRPr="00A626CC">
        <w:rPr>
          <w:rFonts w:cstheme="minorHAnsi"/>
        </w:rPr>
        <w:t>was not within the scope of this evaluation</w:t>
      </w:r>
      <w:r w:rsidR="00F71626" w:rsidRPr="00A626CC">
        <w:rPr>
          <w:rFonts w:cstheme="minorHAnsi"/>
        </w:rPr>
        <w:t>, particularly in relation to Australian Government changes</w:t>
      </w:r>
      <w:r w:rsidR="00396E02" w:rsidRPr="00A626CC">
        <w:rPr>
          <w:rFonts w:cstheme="minorHAnsi"/>
        </w:rPr>
        <w:t xml:space="preserve"> between DFAT and DEWR</w:t>
      </w:r>
      <w:r w:rsidR="00F903A4" w:rsidRPr="00A626CC">
        <w:rPr>
          <w:rFonts w:cstheme="minorHAnsi"/>
        </w:rPr>
        <w:t xml:space="preserve">, or in relation to the political realm </w:t>
      </w:r>
      <w:r w:rsidR="00AE4EC8" w:rsidRPr="00A626CC">
        <w:rPr>
          <w:rFonts w:cstheme="minorHAnsi"/>
        </w:rPr>
        <w:t xml:space="preserve">with engagement between the </w:t>
      </w:r>
      <w:r w:rsidR="00270634" w:rsidRPr="00A626CC">
        <w:rPr>
          <w:rFonts w:cstheme="minorHAnsi"/>
        </w:rPr>
        <w:t xml:space="preserve">Australian </w:t>
      </w:r>
      <w:r w:rsidR="00AE4EC8" w:rsidRPr="00A626CC">
        <w:rPr>
          <w:rFonts w:cstheme="minorHAnsi"/>
        </w:rPr>
        <w:t xml:space="preserve">Government and </w:t>
      </w:r>
      <w:r w:rsidR="00AE4EC8" w:rsidRPr="004F4D0B">
        <w:rPr>
          <w:rFonts w:cstheme="minorHAnsi"/>
        </w:rPr>
        <w:t>labour sending</w:t>
      </w:r>
      <w:r w:rsidR="00AE4EC8" w:rsidRPr="00A626CC">
        <w:rPr>
          <w:rFonts w:cstheme="minorHAnsi"/>
        </w:rPr>
        <w:t xml:space="preserve"> </w:t>
      </w:r>
      <w:r w:rsidR="00270634" w:rsidRPr="00A626CC">
        <w:rPr>
          <w:rFonts w:cstheme="minorHAnsi"/>
        </w:rPr>
        <w:t>g</w:t>
      </w:r>
      <w:r w:rsidR="00AE4EC8" w:rsidRPr="00A626CC">
        <w:rPr>
          <w:rFonts w:cstheme="minorHAnsi"/>
        </w:rPr>
        <w:t>overnments</w:t>
      </w:r>
      <w:r w:rsidR="00396E02" w:rsidRPr="00A626CC">
        <w:rPr>
          <w:rFonts w:cstheme="minorHAnsi"/>
        </w:rPr>
        <w:t>.</w:t>
      </w:r>
      <w:r w:rsidR="00981664" w:rsidRPr="00A626CC">
        <w:rPr>
          <w:rFonts w:cstheme="minorHAnsi"/>
        </w:rPr>
        <w:t xml:space="preserve"> However, </w:t>
      </w:r>
      <w:r w:rsidR="00562668" w:rsidRPr="00A626CC">
        <w:rPr>
          <w:rFonts w:cstheme="minorHAnsi"/>
        </w:rPr>
        <w:t xml:space="preserve">the evaluation team considered key aspects of PLF’s management arrangements and the extent to which they </w:t>
      </w:r>
      <w:r w:rsidR="00E71930" w:rsidRPr="00A626CC">
        <w:rPr>
          <w:rFonts w:cstheme="minorHAnsi"/>
        </w:rPr>
        <w:t>promoted efficiency</w:t>
      </w:r>
      <w:r w:rsidR="00605CBF" w:rsidRPr="00A626CC">
        <w:rPr>
          <w:rFonts w:cstheme="minorHAnsi"/>
        </w:rPr>
        <w:t xml:space="preserve"> in relation to the purpose of PLF</w:t>
      </w:r>
      <w:r w:rsidR="00E71930" w:rsidRPr="00A626CC">
        <w:rPr>
          <w:rFonts w:cstheme="minorHAnsi"/>
        </w:rPr>
        <w:t>.</w:t>
      </w:r>
      <w:r w:rsidR="00A700EA" w:rsidRPr="00A626CC">
        <w:rPr>
          <w:rFonts w:cstheme="minorHAnsi"/>
        </w:rPr>
        <w:t xml:space="preserve"> </w:t>
      </w:r>
    </w:p>
    <w:p w14:paraId="016A76AF" w14:textId="6C42DCA7" w:rsidR="00934F9E" w:rsidRPr="00A626CC" w:rsidRDefault="00934F9E" w:rsidP="00A626CC">
      <w:pPr>
        <w:rPr>
          <w:rFonts w:cstheme="minorHAnsi"/>
        </w:rPr>
      </w:pPr>
      <w:r w:rsidRPr="00A626CC">
        <w:rPr>
          <w:rFonts w:cstheme="minorHAnsi"/>
        </w:rPr>
        <w:t>A</w:t>
      </w:r>
      <w:r w:rsidR="00362F24" w:rsidRPr="00A626CC">
        <w:rPr>
          <w:rFonts w:cstheme="minorHAnsi"/>
        </w:rPr>
        <w:t>s discussion in section 4.2.1, a key finding of this evaluation was in relation to PLF’s responsiveness to contextual and policy changes</w:t>
      </w:r>
      <w:r w:rsidR="00A81D75" w:rsidRPr="00A626CC">
        <w:rPr>
          <w:rFonts w:cstheme="minorHAnsi"/>
        </w:rPr>
        <w:t xml:space="preserve">. This was underpinned by a dynamic management model that was engaged in constant change management, </w:t>
      </w:r>
      <w:r w:rsidR="007C0CF3" w:rsidRPr="00A626CC">
        <w:rPr>
          <w:rFonts w:cstheme="minorHAnsi"/>
        </w:rPr>
        <w:t xml:space="preserve">As noted above, the organisation grew from around 10 staff at inception to over 190 </w:t>
      </w:r>
      <w:r w:rsidR="00056AA2" w:rsidRPr="00A626CC">
        <w:rPr>
          <w:rFonts w:cstheme="minorHAnsi"/>
        </w:rPr>
        <w:t xml:space="preserve">staff working through </w:t>
      </w:r>
      <w:r w:rsidR="00C26833" w:rsidRPr="00A626CC">
        <w:rPr>
          <w:rFonts w:cstheme="minorHAnsi"/>
        </w:rPr>
        <w:t>eight</w:t>
      </w:r>
      <w:r w:rsidR="00056AA2" w:rsidRPr="00A626CC">
        <w:rPr>
          <w:rFonts w:cstheme="minorHAnsi"/>
        </w:rPr>
        <w:t xml:space="preserve"> ‘work streams’:</w:t>
      </w:r>
    </w:p>
    <w:p w14:paraId="24278E3E" w14:textId="77777777" w:rsidR="00056AA2" w:rsidRPr="00A626CC" w:rsidRDefault="00056AA2" w:rsidP="00D27A8C">
      <w:pPr>
        <w:pStyle w:val="ListBullet2"/>
      </w:pPr>
      <w:r w:rsidRPr="00A626CC">
        <w:t>Pacific and Timor-Leste Engagement</w:t>
      </w:r>
    </w:p>
    <w:p w14:paraId="1C88ABD4" w14:textId="77777777" w:rsidR="00056AA2" w:rsidRPr="00A626CC" w:rsidRDefault="00056AA2" w:rsidP="00D27A8C">
      <w:pPr>
        <w:pStyle w:val="ListBullet2"/>
      </w:pPr>
      <w:r w:rsidRPr="00A626CC">
        <w:t>Worker and Employer Support Services</w:t>
      </w:r>
    </w:p>
    <w:p w14:paraId="4234AC8C" w14:textId="77777777" w:rsidR="00056AA2" w:rsidRPr="00A626CC" w:rsidRDefault="00056AA2" w:rsidP="00D27A8C">
      <w:pPr>
        <w:pStyle w:val="ListBullet2"/>
      </w:pPr>
      <w:r w:rsidRPr="00A626CC">
        <w:t xml:space="preserve">Australia Engagement </w:t>
      </w:r>
    </w:p>
    <w:p w14:paraId="79CC4A1A" w14:textId="14CD412C" w:rsidR="00056AA2" w:rsidRPr="00A626CC" w:rsidRDefault="00056AA2" w:rsidP="00D27A8C">
      <w:pPr>
        <w:pStyle w:val="ListBullet2"/>
      </w:pPr>
      <w:r w:rsidRPr="00A626CC">
        <w:t xml:space="preserve">Quality, Learning and Performance </w:t>
      </w:r>
      <w:r w:rsidR="00C25C6A">
        <w:t>(QLP)</w:t>
      </w:r>
    </w:p>
    <w:p w14:paraId="2D43C015" w14:textId="77777777" w:rsidR="00056AA2" w:rsidRPr="00A626CC" w:rsidRDefault="00056AA2" w:rsidP="00D27A8C">
      <w:pPr>
        <w:pStyle w:val="ListBullet2"/>
      </w:pPr>
      <w:r w:rsidRPr="00A626CC">
        <w:t xml:space="preserve">Information Technology </w:t>
      </w:r>
    </w:p>
    <w:p w14:paraId="1B2CAA31" w14:textId="77777777" w:rsidR="00056AA2" w:rsidRPr="00A626CC" w:rsidRDefault="00056AA2" w:rsidP="00D27A8C">
      <w:pPr>
        <w:pStyle w:val="ListBullet2"/>
      </w:pPr>
      <w:r w:rsidRPr="00A626CC">
        <w:t>Communications</w:t>
      </w:r>
    </w:p>
    <w:p w14:paraId="1B89D4FF" w14:textId="77777777" w:rsidR="00056AA2" w:rsidRPr="00A626CC" w:rsidRDefault="00056AA2" w:rsidP="00D27A8C">
      <w:pPr>
        <w:pStyle w:val="ListBullet2"/>
      </w:pPr>
      <w:r w:rsidRPr="00A626CC">
        <w:t xml:space="preserve">Assurance </w:t>
      </w:r>
    </w:p>
    <w:p w14:paraId="11BD0126" w14:textId="77777777" w:rsidR="00056AA2" w:rsidRPr="00A626CC" w:rsidRDefault="00056AA2" w:rsidP="00D27A8C">
      <w:pPr>
        <w:pStyle w:val="ListBullet2"/>
      </w:pPr>
      <w:r w:rsidRPr="00A626CC">
        <w:t>Operations</w:t>
      </w:r>
    </w:p>
    <w:p w14:paraId="7C28C5AC" w14:textId="1159DD16" w:rsidR="001009FD" w:rsidRPr="00A626CC" w:rsidRDefault="00056AA2" w:rsidP="00A626CC">
      <w:pPr>
        <w:rPr>
          <w:rFonts w:cstheme="minorHAnsi"/>
        </w:rPr>
      </w:pPr>
      <w:r w:rsidRPr="00A626CC">
        <w:rPr>
          <w:rFonts w:cstheme="minorHAnsi"/>
        </w:rPr>
        <w:t xml:space="preserve">These workstreams were added progressively in step with changes in </w:t>
      </w:r>
      <w:r w:rsidR="00D92937" w:rsidRPr="00A626CC">
        <w:rPr>
          <w:rFonts w:cstheme="minorHAnsi"/>
        </w:rPr>
        <w:t>demand and</w:t>
      </w:r>
      <w:r w:rsidRPr="00A626CC">
        <w:rPr>
          <w:rFonts w:cstheme="minorHAnsi"/>
        </w:rPr>
        <w:t xml:space="preserve"> were staff</w:t>
      </w:r>
      <w:r w:rsidR="00D92937" w:rsidRPr="00A626CC">
        <w:rPr>
          <w:rFonts w:cstheme="minorHAnsi"/>
        </w:rPr>
        <w:t>ed</w:t>
      </w:r>
      <w:r w:rsidRPr="00A626CC">
        <w:rPr>
          <w:rFonts w:cstheme="minorHAnsi"/>
        </w:rPr>
        <w:t xml:space="preserve"> systematically</w:t>
      </w:r>
      <w:r w:rsidR="00B80696" w:rsidRPr="00A626CC">
        <w:rPr>
          <w:rFonts w:cstheme="minorHAnsi"/>
        </w:rPr>
        <w:t xml:space="preserve"> by appropriately qualified individuals (see below)</w:t>
      </w:r>
      <w:r w:rsidR="00605CBF" w:rsidRPr="00A626CC">
        <w:rPr>
          <w:rFonts w:cstheme="minorHAnsi"/>
        </w:rPr>
        <w:t>—essentially a just-in-time approach to growth and recruitment</w:t>
      </w:r>
      <w:r w:rsidR="00B80696" w:rsidRPr="00A626CC">
        <w:rPr>
          <w:rFonts w:cstheme="minorHAnsi"/>
        </w:rPr>
        <w:t>.</w:t>
      </w:r>
      <w:r w:rsidR="004964E5" w:rsidRPr="00A626CC">
        <w:rPr>
          <w:rFonts w:cstheme="minorHAnsi"/>
        </w:rPr>
        <w:t xml:space="preserve"> </w:t>
      </w:r>
      <w:r w:rsidR="00C800F8" w:rsidRPr="00A626CC">
        <w:rPr>
          <w:rFonts w:cstheme="minorHAnsi"/>
        </w:rPr>
        <w:t>The organisation was led by a lean and stable senior management team. Each workstream had its own structure</w:t>
      </w:r>
      <w:r w:rsidR="001009FD" w:rsidRPr="00A626CC">
        <w:rPr>
          <w:rFonts w:cstheme="minorHAnsi"/>
        </w:rPr>
        <w:t xml:space="preserve"> that addressed the priorities of that workstream but was obliged to collaborate with other workstreams, and to actively participate in organisation-wide reflection and learning exercises.</w:t>
      </w:r>
      <w:r w:rsidR="00354900">
        <w:rPr>
          <w:rFonts w:cstheme="minorHAnsi"/>
        </w:rPr>
        <w:t xml:space="preserve"> The </w:t>
      </w:r>
      <w:r w:rsidR="00C25C6A">
        <w:rPr>
          <w:rFonts w:cstheme="minorHAnsi"/>
        </w:rPr>
        <w:t xml:space="preserve">QLP </w:t>
      </w:r>
      <w:r w:rsidR="00354900">
        <w:rPr>
          <w:rFonts w:cstheme="minorHAnsi"/>
        </w:rPr>
        <w:t xml:space="preserve">team played a critical role in driving this cross-functional collaboration. </w:t>
      </w:r>
    </w:p>
    <w:p w14:paraId="5AD741C9" w14:textId="77777777" w:rsidR="009B0A8D" w:rsidRDefault="009B0A8D">
      <w:pPr>
        <w:rPr>
          <w:rFonts w:cstheme="minorHAnsi"/>
        </w:rPr>
      </w:pPr>
      <w:r>
        <w:rPr>
          <w:rFonts w:cstheme="minorHAnsi"/>
        </w:rPr>
        <w:br w:type="page"/>
      </w:r>
    </w:p>
    <w:p w14:paraId="68472B63" w14:textId="7273AD96" w:rsidR="00056AA2" w:rsidRPr="00A626CC" w:rsidRDefault="004964E5" w:rsidP="00A626CC">
      <w:pPr>
        <w:rPr>
          <w:rFonts w:cstheme="minorHAnsi"/>
        </w:rPr>
      </w:pPr>
      <w:r w:rsidRPr="00A626CC">
        <w:rPr>
          <w:rFonts w:cstheme="minorHAnsi"/>
        </w:rPr>
        <w:lastRenderedPageBreak/>
        <w:t xml:space="preserve">Several interviewees, including foreign diplomatic staff and officials in labour sending governments, </w:t>
      </w:r>
      <w:r w:rsidR="0060102B" w:rsidRPr="00A626CC">
        <w:rPr>
          <w:rFonts w:cstheme="minorHAnsi"/>
        </w:rPr>
        <w:t>appreciated</w:t>
      </w:r>
      <w:r w:rsidRPr="00A626CC">
        <w:rPr>
          <w:rFonts w:cstheme="minorHAnsi"/>
        </w:rPr>
        <w:t xml:space="preserve"> the increasing</w:t>
      </w:r>
      <w:r w:rsidR="0060102B" w:rsidRPr="00A626CC">
        <w:rPr>
          <w:rFonts w:cstheme="minorHAnsi"/>
        </w:rPr>
        <w:t xml:space="preserve"> representation of Pacific Islanders among PLF staff positions.</w:t>
      </w:r>
      <w:r w:rsidR="00122F7C" w:rsidRPr="00A626CC">
        <w:rPr>
          <w:rFonts w:cstheme="minorHAnsi"/>
        </w:rPr>
        <w:t xml:space="preserve"> Others acknowledged the </w:t>
      </w:r>
      <w:r w:rsidR="002B51E7" w:rsidRPr="00A626CC">
        <w:rPr>
          <w:rFonts w:cstheme="minorHAnsi"/>
        </w:rPr>
        <w:t xml:space="preserve">culture of reflection and </w:t>
      </w:r>
      <w:r w:rsidR="00122F7C" w:rsidRPr="00A626CC">
        <w:rPr>
          <w:rFonts w:cstheme="minorHAnsi"/>
        </w:rPr>
        <w:t xml:space="preserve">learning </w:t>
      </w:r>
      <w:r w:rsidR="002B51E7" w:rsidRPr="00A626CC">
        <w:rPr>
          <w:rFonts w:cstheme="minorHAnsi"/>
        </w:rPr>
        <w:t xml:space="preserve">that was considered a feature </w:t>
      </w:r>
      <w:r w:rsidR="00A95AAB" w:rsidRPr="00A626CC">
        <w:rPr>
          <w:rFonts w:cstheme="minorHAnsi"/>
        </w:rPr>
        <w:t xml:space="preserve">of </w:t>
      </w:r>
      <w:r w:rsidR="002B51E7" w:rsidRPr="00A626CC">
        <w:rPr>
          <w:rFonts w:cstheme="minorHAnsi"/>
        </w:rPr>
        <w:t>the way PLF was managed</w:t>
      </w:r>
      <w:r w:rsidR="00605CBF" w:rsidRPr="00A626CC">
        <w:rPr>
          <w:rFonts w:cstheme="minorHAnsi"/>
        </w:rPr>
        <w:t xml:space="preserve"> and core to maintaining relevance and efficiency</w:t>
      </w:r>
      <w:r w:rsidR="002B51E7" w:rsidRPr="00A626CC">
        <w:rPr>
          <w:rFonts w:cstheme="minorHAnsi"/>
        </w:rPr>
        <w:t xml:space="preserve">. </w:t>
      </w:r>
    </w:p>
    <w:p w14:paraId="23958DBF" w14:textId="503ABF22" w:rsidR="00666156" w:rsidRPr="00A626CC" w:rsidRDefault="002B1A0F" w:rsidP="00A626CC">
      <w:pPr>
        <w:rPr>
          <w:rFonts w:cstheme="minorHAnsi"/>
        </w:rPr>
      </w:pPr>
      <w:r w:rsidRPr="00A626CC">
        <w:rPr>
          <w:rFonts w:cstheme="minorHAnsi"/>
        </w:rPr>
        <w:t>I</w:t>
      </w:r>
      <w:r w:rsidR="00783C32" w:rsidRPr="00A626CC">
        <w:rPr>
          <w:rFonts w:cstheme="minorHAnsi"/>
        </w:rPr>
        <w:t xml:space="preserve">nterviewees cited particular structures or initiatives </w:t>
      </w:r>
      <w:r w:rsidR="0032174F" w:rsidRPr="00A626CC">
        <w:rPr>
          <w:rFonts w:cstheme="minorHAnsi"/>
        </w:rPr>
        <w:t>that were established by PLF and were observed to contribute significantly to the efficiency of PALM</w:t>
      </w:r>
      <w:r w:rsidR="004019F5">
        <w:rPr>
          <w:rFonts w:cstheme="minorHAnsi"/>
        </w:rPr>
        <w:t xml:space="preserve"> scheme</w:t>
      </w:r>
      <w:r w:rsidR="0032174F" w:rsidRPr="00A626CC">
        <w:rPr>
          <w:rFonts w:cstheme="minorHAnsi"/>
        </w:rPr>
        <w:t xml:space="preserve"> operations. </w:t>
      </w:r>
      <w:r w:rsidR="001803C9" w:rsidRPr="00A626CC">
        <w:rPr>
          <w:rFonts w:cstheme="minorHAnsi"/>
        </w:rPr>
        <w:t xml:space="preserve">One example </w:t>
      </w:r>
      <w:r w:rsidR="00D11DDC" w:rsidRPr="00A626CC">
        <w:rPr>
          <w:rFonts w:cstheme="minorHAnsi"/>
        </w:rPr>
        <w:t xml:space="preserve">was </w:t>
      </w:r>
      <w:r w:rsidR="00666156" w:rsidRPr="00A626CC">
        <w:rPr>
          <w:rFonts w:cstheme="minorHAnsi"/>
        </w:rPr>
        <w:t>the PLF Engagement Managers positioned within LSUs to provide capacity building</w:t>
      </w:r>
      <w:r w:rsidR="00D11DDC" w:rsidRPr="00A626CC">
        <w:rPr>
          <w:rFonts w:cstheme="minorHAnsi"/>
        </w:rPr>
        <w:t xml:space="preserve">, </w:t>
      </w:r>
      <w:r w:rsidR="00666156" w:rsidRPr="00A626CC">
        <w:rPr>
          <w:rFonts w:cstheme="minorHAnsi"/>
        </w:rPr>
        <w:t>to broker engagement with Australia-based stakeholders</w:t>
      </w:r>
      <w:r w:rsidR="00D11DDC" w:rsidRPr="00A626CC">
        <w:rPr>
          <w:rFonts w:cstheme="minorHAnsi"/>
        </w:rPr>
        <w:t xml:space="preserve">, and </w:t>
      </w:r>
      <w:r w:rsidR="00193DE9" w:rsidRPr="00A626CC">
        <w:rPr>
          <w:rFonts w:cstheme="minorHAnsi"/>
        </w:rPr>
        <w:t xml:space="preserve">to </w:t>
      </w:r>
      <w:r w:rsidR="000E175D" w:rsidRPr="00A626CC">
        <w:rPr>
          <w:rFonts w:cstheme="minorHAnsi"/>
        </w:rPr>
        <w:t xml:space="preserve">provide </w:t>
      </w:r>
      <w:r w:rsidR="00666156" w:rsidRPr="00A626CC">
        <w:rPr>
          <w:rFonts w:cstheme="minorHAnsi"/>
        </w:rPr>
        <w:t xml:space="preserve">critical capacity substitution </w:t>
      </w:r>
      <w:r w:rsidR="008F2BF6" w:rsidRPr="00A626CC">
        <w:rPr>
          <w:rFonts w:cstheme="minorHAnsi"/>
        </w:rPr>
        <w:t xml:space="preserve">that ensured </w:t>
      </w:r>
      <w:r w:rsidR="00666156" w:rsidRPr="00A626CC">
        <w:rPr>
          <w:rFonts w:cstheme="minorHAnsi"/>
        </w:rPr>
        <w:t xml:space="preserve">LSUs met the </w:t>
      </w:r>
      <w:r w:rsidR="008F2BF6" w:rsidRPr="00A626CC">
        <w:rPr>
          <w:rFonts w:cstheme="minorHAnsi"/>
        </w:rPr>
        <w:t xml:space="preserve">growing </w:t>
      </w:r>
      <w:r w:rsidR="00666156" w:rsidRPr="00A626CC">
        <w:rPr>
          <w:rFonts w:cstheme="minorHAnsi"/>
        </w:rPr>
        <w:t>labour supply demands. An engagement team member observed: “</w:t>
      </w:r>
      <w:r w:rsidR="00666156" w:rsidRPr="00A626CC">
        <w:rPr>
          <w:rFonts w:cstheme="minorHAnsi"/>
          <w:i/>
          <w:iCs/>
        </w:rPr>
        <w:t>we act as a shock absorber between the LSU and the AEs. We work to facilitate the best outcomes”</w:t>
      </w:r>
      <w:r w:rsidR="00666156" w:rsidRPr="00A626CC">
        <w:rPr>
          <w:rFonts w:cstheme="minorHAnsi"/>
        </w:rPr>
        <w:t>. Numerous interviewees concurred that these roles have been key to achieving the growth agenda</w:t>
      </w:r>
      <w:r w:rsidR="00871A4F" w:rsidRPr="00A626CC">
        <w:rPr>
          <w:rFonts w:cstheme="minorHAnsi"/>
        </w:rPr>
        <w:t>, and hence have contributed significantly to the efficiency of the scheme</w:t>
      </w:r>
      <w:r w:rsidR="00666156" w:rsidRPr="00A626CC">
        <w:rPr>
          <w:rFonts w:cstheme="minorHAnsi"/>
        </w:rPr>
        <w:t>. </w:t>
      </w:r>
    </w:p>
    <w:p w14:paraId="2E48D1A6" w14:textId="140F10F3" w:rsidR="0054416A" w:rsidRPr="00A626CC" w:rsidRDefault="0054416A" w:rsidP="0054416A">
      <w:pPr>
        <w:pStyle w:val="Tealblocktext"/>
      </w:pPr>
      <w:r w:rsidRPr="00A626CC">
        <w:t xml:space="preserve">Although not an initiative of the PLF </w:t>
      </w:r>
      <w:r w:rsidRPr="00A626CC">
        <w:rPr>
          <w:i/>
        </w:rPr>
        <w:t>per se,</w:t>
      </w:r>
      <w:r w:rsidRPr="00A626CC">
        <w:t xml:space="preserve"> Vanuatu has adopted a unique arrangement which LSU staff indicated has enabled them to achieve higher efficiencies in terms of the highest number of workers in the PALM scheme. The arrangements involve a partial outsourcing of recruitment to over 70 commercial/licensed recruitment agents. The LSU also directly processes some (about 20%) recruitments. While this model has enabled significant growth of the </w:t>
      </w:r>
      <w:r>
        <w:t>s</w:t>
      </w:r>
      <w:r w:rsidRPr="00A626CC">
        <w:t>cheme it has been challenging for other reasons, including absence of a clear policy to regulate agents (in progress); conflict arising from LSU recruitments essentially competing with commercial agents; and perceptions that ‘commercial information’ is required from agents for the new In-country Recruitment Database (IRD). Vanuatu LSU staff argued that on balance, the recruitment agent model has fostered higher efficiency.</w:t>
      </w:r>
    </w:p>
    <w:p w14:paraId="1168C178" w14:textId="3CBA6467" w:rsidR="002420D4" w:rsidRPr="00A626CC" w:rsidRDefault="00666156" w:rsidP="00A626CC">
      <w:pPr>
        <w:rPr>
          <w:rFonts w:cstheme="minorHAnsi"/>
        </w:rPr>
      </w:pPr>
      <w:r w:rsidRPr="00A626CC">
        <w:rPr>
          <w:rFonts w:cstheme="minorHAnsi"/>
        </w:rPr>
        <w:t xml:space="preserve">A further initiative that increased the efficiency of PLF operations </w:t>
      </w:r>
      <w:r w:rsidR="008A0EF7" w:rsidRPr="00A626CC">
        <w:rPr>
          <w:rFonts w:cstheme="minorHAnsi"/>
        </w:rPr>
        <w:t xml:space="preserve">was </w:t>
      </w:r>
      <w:r w:rsidRPr="00A626CC">
        <w:rPr>
          <w:rFonts w:cstheme="minorHAnsi"/>
        </w:rPr>
        <w:t>the establishment of the Community of Care model</w:t>
      </w:r>
      <w:r w:rsidR="00D3610C" w:rsidRPr="00A626CC">
        <w:rPr>
          <w:rFonts w:cstheme="minorHAnsi"/>
        </w:rPr>
        <w:t xml:space="preserve">. The stated purpose of </w:t>
      </w:r>
      <w:r w:rsidR="002F0886" w:rsidRPr="00A626CC">
        <w:rPr>
          <w:rFonts w:cstheme="minorHAnsi"/>
        </w:rPr>
        <w:t xml:space="preserve">introducing this model was to increase the efficiency of worker welfare support </w:t>
      </w:r>
      <w:r w:rsidR="003F4762" w:rsidRPr="00A626CC">
        <w:rPr>
          <w:rFonts w:cstheme="minorHAnsi"/>
        </w:rPr>
        <w:t>beyond</w:t>
      </w:r>
      <w:r w:rsidR="002F0886" w:rsidRPr="00A626CC">
        <w:rPr>
          <w:rFonts w:cstheme="minorHAnsi"/>
        </w:rPr>
        <w:t xml:space="preserve"> the intensive approach which </w:t>
      </w:r>
      <w:r w:rsidR="0041505A" w:rsidRPr="00A626CC">
        <w:rPr>
          <w:rFonts w:cstheme="minorHAnsi"/>
        </w:rPr>
        <w:t>had become unsustainable in the growing scheme</w:t>
      </w:r>
      <w:r w:rsidR="003F4762" w:rsidRPr="00A626CC">
        <w:rPr>
          <w:rFonts w:cstheme="minorHAnsi"/>
        </w:rPr>
        <w:t xml:space="preserve">. By delegating </w:t>
      </w:r>
      <w:r w:rsidR="007B68E5" w:rsidRPr="00A626CC">
        <w:rPr>
          <w:rFonts w:cstheme="minorHAnsi"/>
        </w:rPr>
        <w:t>responsibilities to a range of stakeholders</w:t>
      </w:r>
      <w:r w:rsidR="004070DC" w:rsidRPr="00A626CC">
        <w:rPr>
          <w:rFonts w:cstheme="minorHAnsi"/>
        </w:rPr>
        <w:t>,</w:t>
      </w:r>
      <w:r w:rsidR="007B68E5" w:rsidRPr="00A626CC">
        <w:rPr>
          <w:rFonts w:cstheme="minorHAnsi"/>
        </w:rPr>
        <w:t xml:space="preserve"> support </w:t>
      </w:r>
      <w:r w:rsidR="004070DC" w:rsidRPr="00A626CC">
        <w:rPr>
          <w:rFonts w:cstheme="minorHAnsi"/>
        </w:rPr>
        <w:t xml:space="preserve">services could be delivered on a more scalable basis to a larger number of workers. </w:t>
      </w:r>
      <w:r w:rsidR="002420D4" w:rsidRPr="00A626CC">
        <w:rPr>
          <w:rFonts w:cstheme="minorHAnsi"/>
        </w:rPr>
        <w:t>A senior PLF manager set out the rationale: </w:t>
      </w:r>
    </w:p>
    <w:p w14:paraId="7AD2CC24" w14:textId="77777777" w:rsidR="002420D4" w:rsidRPr="00A626CC" w:rsidRDefault="002420D4" w:rsidP="00A626CC">
      <w:pPr>
        <w:pStyle w:val="Quote"/>
      </w:pPr>
      <w:r w:rsidRPr="00A626CC">
        <w:t>“With growth, the worker support team model became unviable…we had to ask ourselves what is the responsibility of PLF versus the responsibility of employers versus the responsibility of workers? How do you go from providing direct hands-on support for workers but still providing care? The situation led us to adopt an escalation process and the ‘Community of Care’ approach.  </w:t>
      </w:r>
    </w:p>
    <w:p w14:paraId="3B6B929B" w14:textId="03EE8016" w:rsidR="00666156" w:rsidRPr="00A626CC" w:rsidRDefault="00666156" w:rsidP="00A626CC">
      <w:pPr>
        <w:rPr>
          <w:rFonts w:cstheme="minorHAnsi"/>
        </w:rPr>
      </w:pPr>
      <w:r w:rsidRPr="00A626CC">
        <w:rPr>
          <w:rFonts w:cstheme="minorHAnsi"/>
        </w:rPr>
        <w:t>A DFAT official observed that: </w:t>
      </w:r>
    </w:p>
    <w:p w14:paraId="28E42352" w14:textId="77777777" w:rsidR="00666156" w:rsidRPr="00A626CC" w:rsidRDefault="00666156" w:rsidP="00A626CC">
      <w:pPr>
        <w:pStyle w:val="Quote"/>
      </w:pPr>
      <w:r w:rsidRPr="00A626CC">
        <w:t>“When I started in the role, PLF was still taking a ‘hands-on’ approach to worker welfare…worker numbers were small and intense support worked well but was costly. I can’t fault the people who designed the facility that way. It was appropriate at the time, but everyone realised it wasn’t sustainable at scale”. </w:t>
      </w:r>
    </w:p>
    <w:p w14:paraId="763316F0" w14:textId="7542B23F" w:rsidR="00EC113F" w:rsidRPr="00A626CC" w:rsidRDefault="00EC113F" w:rsidP="00A626CC">
      <w:pPr>
        <w:rPr>
          <w:rFonts w:cstheme="minorHAnsi"/>
        </w:rPr>
      </w:pPr>
      <w:r w:rsidRPr="00A626CC">
        <w:rPr>
          <w:rFonts w:cstheme="minorHAnsi"/>
        </w:rPr>
        <w:t xml:space="preserve">However, as discussed in Section 3.2.1 (in relation to achievement of EOPO 3), some stakeholders </w:t>
      </w:r>
      <w:r w:rsidR="00D00209" w:rsidRPr="00A626CC">
        <w:rPr>
          <w:rFonts w:cstheme="minorHAnsi"/>
        </w:rPr>
        <w:t>(</w:t>
      </w:r>
      <w:r w:rsidR="001A4BBA" w:rsidRPr="00A626CC">
        <w:rPr>
          <w:rFonts w:cstheme="minorHAnsi"/>
        </w:rPr>
        <w:t xml:space="preserve">especially </w:t>
      </w:r>
      <w:r w:rsidR="00D00209" w:rsidRPr="00A626CC">
        <w:rPr>
          <w:rFonts w:cstheme="minorHAnsi"/>
        </w:rPr>
        <w:t xml:space="preserve">diplomatic </w:t>
      </w:r>
      <w:r w:rsidR="001A4BBA" w:rsidRPr="00A626CC">
        <w:rPr>
          <w:rFonts w:cstheme="minorHAnsi"/>
        </w:rPr>
        <w:t xml:space="preserve">missions in Australia) </w:t>
      </w:r>
      <w:r w:rsidRPr="00A626CC">
        <w:rPr>
          <w:rFonts w:cstheme="minorHAnsi"/>
        </w:rPr>
        <w:t>voiced concerns that the efficiency gains may have come at some cost to the effectiveness of worker support</w:t>
      </w:r>
      <w:r w:rsidR="00565A8E" w:rsidRPr="00A626CC">
        <w:rPr>
          <w:rFonts w:cstheme="minorHAnsi"/>
        </w:rPr>
        <w:t xml:space="preserve">, with </w:t>
      </w:r>
      <w:r w:rsidR="00DA1326" w:rsidRPr="00A626CC">
        <w:rPr>
          <w:rFonts w:cstheme="minorHAnsi"/>
        </w:rPr>
        <w:t xml:space="preserve">workers seemingly reticent to engage with the </w:t>
      </w:r>
      <w:r w:rsidR="00563C1B" w:rsidRPr="00A626CC">
        <w:rPr>
          <w:rFonts w:cstheme="minorHAnsi"/>
        </w:rPr>
        <w:t xml:space="preserve">Support Services Line </w:t>
      </w:r>
      <w:r w:rsidR="00DA1326" w:rsidRPr="00A626CC">
        <w:rPr>
          <w:rFonts w:cstheme="minorHAnsi"/>
        </w:rPr>
        <w:t>and other frontline services provided</w:t>
      </w:r>
      <w:r w:rsidRPr="00A626CC">
        <w:rPr>
          <w:rFonts w:cstheme="minorHAnsi"/>
        </w:rPr>
        <w:t>. This is one of several examples of PLF having to balance inherent tensions in performance expectations.</w:t>
      </w:r>
    </w:p>
    <w:p w14:paraId="7BCC422E" w14:textId="502E1882" w:rsidR="00666156" w:rsidRPr="00A626CC" w:rsidRDefault="00666156" w:rsidP="00A626CC">
      <w:pPr>
        <w:rPr>
          <w:rFonts w:cstheme="minorHAnsi"/>
        </w:rPr>
      </w:pPr>
      <w:r w:rsidRPr="00A626CC">
        <w:rPr>
          <w:rFonts w:cstheme="minorHAnsi"/>
        </w:rPr>
        <w:lastRenderedPageBreak/>
        <w:t>The evaluation team noted indications that some management arrangements may have eroded efficiency, though there was not strong evidence. For example, some C</w:t>
      </w:r>
      <w:r w:rsidR="0030023B" w:rsidRPr="00A626CC">
        <w:rPr>
          <w:rFonts w:cstheme="minorHAnsi"/>
        </w:rPr>
        <w:t>LOs</w:t>
      </w:r>
      <w:r w:rsidR="00B32EB5" w:rsidRPr="00A626CC">
        <w:rPr>
          <w:rFonts w:cstheme="minorHAnsi"/>
        </w:rPr>
        <w:t xml:space="preserve"> </w:t>
      </w:r>
      <w:r w:rsidRPr="00A626CC">
        <w:rPr>
          <w:rFonts w:cstheme="minorHAnsi"/>
        </w:rPr>
        <w:t>questioned if there are overlaps between their role and the PLF Regional Engagement Managers</w:t>
      </w:r>
      <w:r w:rsidR="006F66F8" w:rsidRPr="00A626CC">
        <w:rPr>
          <w:rFonts w:cstheme="minorHAnsi"/>
        </w:rPr>
        <w:t xml:space="preserve"> in terms of </w:t>
      </w:r>
      <w:r w:rsidR="00C02C47" w:rsidRPr="00A626CC">
        <w:rPr>
          <w:rFonts w:cstheme="minorHAnsi"/>
        </w:rPr>
        <w:t xml:space="preserve">the delivery </w:t>
      </w:r>
      <w:r w:rsidR="00C82DDC" w:rsidRPr="00A626CC">
        <w:rPr>
          <w:rFonts w:cstheme="minorHAnsi"/>
        </w:rPr>
        <w:t>frontline support to workers</w:t>
      </w:r>
      <w:r w:rsidRPr="00A626CC">
        <w:rPr>
          <w:rFonts w:cstheme="minorHAnsi"/>
        </w:rPr>
        <w:t>. </w:t>
      </w:r>
    </w:p>
    <w:p w14:paraId="33782444" w14:textId="71EF7809" w:rsidR="00666156" w:rsidRPr="00A626CC" w:rsidRDefault="00666156" w:rsidP="00A626CC">
      <w:pPr>
        <w:pStyle w:val="ColumnBlock"/>
      </w:pPr>
      <w:r w:rsidRPr="00A626CC">
        <w:t>Appropriateness of staff skill and experience </w:t>
      </w:r>
    </w:p>
    <w:p w14:paraId="7382D591" w14:textId="689F8C5B" w:rsidR="00666156" w:rsidRPr="00A626CC" w:rsidRDefault="00666156" w:rsidP="00A626CC">
      <w:pPr>
        <w:rPr>
          <w:rFonts w:cstheme="minorHAnsi"/>
        </w:rPr>
      </w:pPr>
      <w:r w:rsidRPr="00A626CC">
        <w:rPr>
          <w:rFonts w:cstheme="minorHAnsi"/>
        </w:rPr>
        <w:t>As reflected in earlier discussion in this report, there is widespread appreciation for the professionalism and skill among PLF staff—arguably a major contributor to implementation efficiency and effectiveness. A DFAT officer reported</w:t>
      </w:r>
      <w:r w:rsidR="009342CA" w:rsidRPr="00A626CC">
        <w:rPr>
          <w:rFonts w:cstheme="minorHAnsi"/>
        </w:rPr>
        <w:t xml:space="preserve"> that </w:t>
      </w:r>
      <w:r w:rsidRPr="00A626CC">
        <w:rPr>
          <w:rFonts w:cstheme="minorHAnsi"/>
        </w:rPr>
        <w:t>“</w:t>
      </w:r>
      <w:r w:rsidRPr="00A626CC">
        <w:rPr>
          <w:rFonts w:cstheme="minorHAnsi"/>
          <w:i/>
          <w:iCs/>
        </w:rPr>
        <w:t>PLF had a good team. They were committed and brought good experience, including from beyond the aid program. During COVID we put them through a lot</w:t>
      </w:r>
      <w:r w:rsidRPr="00A626CC">
        <w:rPr>
          <w:rFonts w:cstheme="minorHAnsi"/>
        </w:rPr>
        <w:t>”. Such comments clearly relate to technical and operational capability, however a DFAT official also acknowledged strategic support for the Australian Government: </w:t>
      </w:r>
    </w:p>
    <w:p w14:paraId="7D4805B2" w14:textId="38B51BAD" w:rsidR="00666156" w:rsidRPr="00A626CC" w:rsidRDefault="00666156" w:rsidP="00A626CC">
      <w:pPr>
        <w:pStyle w:val="Quote"/>
      </w:pPr>
      <w:r w:rsidRPr="00A626CC">
        <w:t xml:space="preserve">“DFAT sees value in the advisory support provided by PLF. We have tasked them with coming up with policy </w:t>
      </w:r>
      <w:r w:rsidR="00D034D2" w:rsidRPr="00A626CC">
        <w:t>inputs and</w:t>
      </w:r>
      <w:r w:rsidRPr="00A626CC">
        <w:t xml:space="preserve"> undertaking substantive evaluations and research</w:t>
      </w:r>
      <w:r w:rsidR="00D034D2" w:rsidRPr="00A626CC">
        <w:t>… [</w:t>
      </w:r>
      <w:r w:rsidRPr="00A626CC">
        <w:t>senior PLF staff] would proactively advise us of emerging issues in labour sending countries and recommend actions. We appreciate contractors playing an influencing role”. </w:t>
      </w:r>
    </w:p>
    <w:p w14:paraId="4F0F7EC4" w14:textId="77777777" w:rsidR="00666156" w:rsidRPr="00A626CC" w:rsidRDefault="00666156" w:rsidP="00A626CC">
      <w:pPr>
        <w:rPr>
          <w:rFonts w:cstheme="minorHAnsi"/>
        </w:rPr>
      </w:pPr>
      <w:r w:rsidRPr="00A626CC">
        <w:rPr>
          <w:rFonts w:cstheme="minorHAnsi"/>
        </w:rPr>
        <w:t>Although less supportive of the contractor modality more broadly, DEWR staff also acknowledged PLF staff skill and experience: </w:t>
      </w:r>
    </w:p>
    <w:p w14:paraId="207EFDD8" w14:textId="77777777" w:rsidR="00666156" w:rsidRPr="00A626CC" w:rsidRDefault="00666156" w:rsidP="00A626CC">
      <w:pPr>
        <w:pStyle w:val="Quote"/>
      </w:pPr>
      <w:r w:rsidRPr="00A626CC">
        <w:t>“[The contractor] has been very engaged…There are lots of strengths and capabilities that the Australian Public Service doesn’t have. Cultural awareness among PLF staff is greater than in DEWR. PLF have also done a great job with IT development… PLF did a very good job on the domestic side given their lack of experience domestically…I think PLF did a lot more than what I was aware of in terms of scope of work”. </w:t>
      </w:r>
    </w:p>
    <w:p w14:paraId="42DD1CBD" w14:textId="0A3F5937" w:rsidR="00666156" w:rsidRPr="00A626CC" w:rsidRDefault="00666156" w:rsidP="00A626CC">
      <w:pPr>
        <w:rPr>
          <w:rFonts w:cstheme="minorHAnsi"/>
        </w:rPr>
      </w:pPr>
      <w:r w:rsidRPr="00A626CC">
        <w:rPr>
          <w:rFonts w:cstheme="minorHAnsi"/>
        </w:rPr>
        <w:t>The evaluation team observed clear pass</w:t>
      </w:r>
      <w:r w:rsidR="00D869F6">
        <w:rPr>
          <w:rFonts w:cstheme="minorHAnsi"/>
        </w:rPr>
        <w:t>i</w:t>
      </w:r>
      <w:r w:rsidRPr="00A626CC">
        <w:rPr>
          <w:rFonts w:cstheme="minorHAnsi"/>
        </w:rPr>
        <w:t xml:space="preserve">on and commitment to labour mobility among PLF </w:t>
      </w:r>
      <w:r w:rsidR="00D034D2" w:rsidRPr="00A626CC">
        <w:rPr>
          <w:rFonts w:cstheme="minorHAnsi"/>
        </w:rPr>
        <w:t>staff and</w:t>
      </w:r>
      <w:r w:rsidRPr="00A626CC">
        <w:rPr>
          <w:rFonts w:cstheme="minorHAnsi"/>
        </w:rPr>
        <w:t xml:space="preserve"> noted that many keenly feel the responsibility for the scheme’s success. A PLF staff reflected: “</w:t>
      </w:r>
      <w:r w:rsidRPr="00A626CC">
        <w:rPr>
          <w:rFonts w:cstheme="minorHAnsi"/>
          <w:i/>
          <w:iCs/>
        </w:rPr>
        <w:t>If [labour mobility] is done well it positively impacts many people. But if not done well, the negative impacts are major”.</w:t>
      </w:r>
      <w:r w:rsidRPr="00A626CC">
        <w:rPr>
          <w:rFonts w:cstheme="minorHAnsi"/>
        </w:rPr>
        <w:t xml:space="preserve"> It is also evident that there are many technically—and politically—challenging functions led by PLF staff. One PLF staff posted in a </w:t>
      </w:r>
      <w:r w:rsidRPr="004F4D0B">
        <w:rPr>
          <w:rFonts w:cstheme="minorHAnsi"/>
        </w:rPr>
        <w:t>labour sending</w:t>
      </w:r>
      <w:r w:rsidRPr="00A626CC">
        <w:rPr>
          <w:rFonts w:cstheme="minorHAnsi"/>
        </w:rPr>
        <w:t xml:space="preserve"> country acknowledged: </w:t>
      </w:r>
    </w:p>
    <w:p w14:paraId="37A44D43" w14:textId="77777777" w:rsidR="00666156" w:rsidRPr="00A626CC" w:rsidRDefault="00666156" w:rsidP="00A626CC">
      <w:pPr>
        <w:pStyle w:val="Quote"/>
      </w:pPr>
      <w:r w:rsidRPr="00A626CC">
        <w:t>“At times it’s good having PLF colleagues in other countries doing similar work. I wouldn’t get through some weeks if I didn’t have colleagues experiencing similar challenges. It’s difficult to be charged with responsibility from Australia to make certain things happen in [country] while not actually having any authority to make it happen. Everything we achieve is through negotiation and relationships”. </w:t>
      </w:r>
    </w:p>
    <w:p w14:paraId="3534CB92" w14:textId="57AADDC0" w:rsidR="00666156" w:rsidRPr="00A626CC" w:rsidRDefault="00666156" w:rsidP="00A626CC">
      <w:pPr>
        <w:rPr>
          <w:rFonts w:cstheme="minorHAnsi"/>
        </w:rPr>
      </w:pPr>
      <w:r w:rsidRPr="00A626CC">
        <w:rPr>
          <w:rFonts w:cstheme="minorHAnsi"/>
        </w:rPr>
        <w:t xml:space="preserve">Interviews with LSU staff in multiple countries highlighted the high regard for PLF staff—both in-country and in Australia. The positive sentiments were corroborated by a </w:t>
      </w:r>
      <w:r w:rsidRPr="004F4D0B">
        <w:rPr>
          <w:rFonts w:cstheme="minorHAnsi"/>
        </w:rPr>
        <w:t xml:space="preserve">senior </w:t>
      </w:r>
      <w:r w:rsidR="00FA2503" w:rsidRPr="004F4D0B">
        <w:rPr>
          <w:rFonts w:cstheme="minorHAnsi"/>
        </w:rPr>
        <w:t>labour</w:t>
      </w:r>
      <w:r w:rsidR="00FA2503" w:rsidRPr="00A626CC">
        <w:rPr>
          <w:rFonts w:cstheme="minorHAnsi"/>
        </w:rPr>
        <w:t xml:space="preserve"> </w:t>
      </w:r>
      <w:r w:rsidRPr="00A626CC">
        <w:rPr>
          <w:rFonts w:cstheme="minorHAnsi"/>
        </w:rPr>
        <w:t>sending country government official: “</w:t>
      </w:r>
      <w:r w:rsidRPr="00A626CC">
        <w:rPr>
          <w:rFonts w:cstheme="minorHAnsi"/>
          <w:i/>
          <w:iCs/>
        </w:rPr>
        <w:t>I feel PLF has been doing well. Everyone faces challenges but a change in the [support arrangements] would really impact the program”</w:t>
      </w:r>
      <w:r w:rsidRPr="00A626CC">
        <w:rPr>
          <w:rFonts w:cstheme="minorHAnsi"/>
        </w:rPr>
        <w:t>.</w:t>
      </w:r>
      <w:r w:rsidRPr="00A626CC">
        <w:rPr>
          <w:rFonts w:cstheme="minorHAnsi"/>
          <w:i/>
          <w:iCs/>
        </w:rPr>
        <w:t> </w:t>
      </w:r>
      <w:r w:rsidRPr="00A626CC">
        <w:rPr>
          <w:rFonts w:cstheme="minorHAnsi"/>
        </w:rPr>
        <w:t> </w:t>
      </w:r>
    </w:p>
    <w:p w14:paraId="544FF7AF" w14:textId="77777777" w:rsidR="00666156" w:rsidRPr="00A626CC" w:rsidRDefault="00666156" w:rsidP="00A626CC">
      <w:pPr>
        <w:pStyle w:val="ColumnBlock"/>
      </w:pPr>
      <w:r w:rsidRPr="00A626CC">
        <w:t>Harmonisation with donors and partner systems </w:t>
      </w:r>
    </w:p>
    <w:p w14:paraId="1ADDDDDA" w14:textId="41131B95" w:rsidR="00666156" w:rsidRPr="00A626CC" w:rsidRDefault="00666156" w:rsidP="00A626CC">
      <w:pPr>
        <w:rPr>
          <w:rFonts w:cstheme="minorHAnsi"/>
        </w:rPr>
      </w:pPr>
      <w:r w:rsidRPr="00A626CC">
        <w:rPr>
          <w:rFonts w:cstheme="minorHAnsi"/>
        </w:rPr>
        <w:lastRenderedPageBreak/>
        <w:t>The evaluation team formed a view that integration with—and strengthening of—partner systems has been a strength of PLF’s way of working. </w:t>
      </w:r>
    </w:p>
    <w:p w14:paraId="4C94AF8A" w14:textId="315D0BF2" w:rsidR="00666156" w:rsidRPr="00A626CC" w:rsidRDefault="00666156" w:rsidP="00A626CC">
      <w:pPr>
        <w:rPr>
          <w:rFonts w:cstheme="minorHAnsi"/>
        </w:rPr>
      </w:pPr>
      <w:r w:rsidRPr="00A626CC">
        <w:rPr>
          <w:rFonts w:cstheme="minorHAnsi"/>
        </w:rPr>
        <w:t xml:space="preserve">For example, </w:t>
      </w:r>
      <w:r w:rsidR="003C0AED" w:rsidRPr="00A626CC">
        <w:rPr>
          <w:rFonts w:cstheme="minorHAnsi"/>
        </w:rPr>
        <w:t xml:space="preserve">since the PLS was rolled into the PALM scheme, </w:t>
      </w:r>
      <w:r w:rsidRPr="00A626CC">
        <w:rPr>
          <w:rFonts w:cstheme="minorHAnsi"/>
        </w:rPr>
        <w:t>PLF’s Assurance Team has worked essentially as an extension of DEWR officers to ensure AEs comply with the deed and guidelines, but with an emphasis on working with employers to rectify issues by providing education and support. A PLF staff described this as:  </w:t>
      </w:r>
    </w:p>
    <w:p w14:paraId="7F1F1593" w14:textId="77777777" w:rsidR="00666156" w:rsidRPr="00A626CC" w:rsidRDefault="00666156" w:rsidP="00A626CC">
      <w:pPr>
        <w:pStyle w:val="Quote"/>
      </w:pPr>
      <w:r w:rsidRPr="00A626CC">
        <w:t>“[PLF’s] Assurance Team includes broad HR, IR and auditing experience so is able to identify issues with employers. But whereas DEWR is the ‘cop’, the Assurance Team is both ‘cop’ and ‘coach’…the team generally gets a positive response from employers because they come from a base of education and strengthening their systems”. </w:t>
      </w:r>
    </w:p>
    <w:p w14:paraId="668B9D70" w14:textId="10282AB6" w:rsidR="00666156" w:rsidRPr="00A626CC" w:rsidRDefault="00666156" w:rsidP="00A626CC">
      <w:pPr>
        <w:rPr>
          <w:rFonts w:cstheme="minorHAnsi"/>
        </w:rPr>
      </w:pPr>
      <w:r w:rsidRPr="00A626CC">
        <w:rPr>
          <w:rFonts w:cstheme="minorHAnsi"/>
        </w:rPr>
        <w:t xml:space="preserve">Perhaps the most visible example of </w:t>
      </w:r>
      <w:r w:rsidR="004F79DA" w:rsidRPr="00A626CC">
        <w:rPr>
          <w:rFonts w:cstheme="minorHAnsi"/>
        </w:rPr>
        <w:t xml:space="preserve">PLF working within partner systems </w:t>
      </w:r>
      <w:r w:rsidRPr="00A626CC">
        <w:rPr>
          <w:rFonts w:cstheme="minorHAnsi"/>
        </w:rPr>
        <w:t>involves PLF staff</w:t>
      </w:r>
      <w:r w:rsidR="00912C6C" w:rsidRPr="00A626CC">
        <w:rPr>
          <w:rStyle w:val="FootnoteReference"/>
          <w:rFonts w:cstheme="minorHAnsi"/>
        </w:rPr>
        <w:footnoteReference w:id="59"/>
      </w:r>
      <w:r w:rsidRPr="00A626CC">
        <w:rPr>
          <w:rFonts w:cstheme="minorHAnsi"/>
        </w:rPr>
        <w:t xml:space="preserve"> embedded in LSUs. One of these staff members described their role: </w:t>
      </w:r>
    </w:p>
    <w:p w14:paraId="1523C767" w14:textId="77777777" w:rsidR="00666156" w:rsidRPr="00A626CC" w:rsidRDefault="00666156" w:rsidP="00A626CC">
      <w:pPr>
        <w:pStyle w:val="Quote"/>
      </w:pPr>
      <w:r w:rsidRPr="00A626CC">
        <w:t>“I physically sit between two PALM team leaders in the LSU. It’s a mentoring role. I sit behind the scenes about 70% of the time…I don’t think people think of themselves as government staff or PLF staff. We’re all just ‘LSU’. We all work for labour mobility”. </w:t>
      </w:r>
    </w:p>
    <w:p w14:paraId="18A57B9C" w14:textId="77777777" w:rsidR="00666156" w:rsidRPr="00A626CC" w:rsidRDefault="00666156" w:rsidP="00A626CC">
      <w:pPr>
        <w:rPr>
          <w:rFonts w:cstheme="minorHAnsi"/>
        </w:rPr>
      </w:pPr>
      <w:r w:rsidRPr="00A626CC">
        <w:rPr>
          <w:rFonts w:cstheme="minorHAnsi"/>
        </w:rPr>
        <w:t>The strengthening of LSU capacity is further discussed in Section 3.3 below. </w:t>
      </w:r>
    </w:p>
    <w:p w14:paraId="1F83C433" w14:textId="0A14EF99" w:rsidR="00666156" w:rsidRPr="00A626CC" w:rsidRDefault="00666156" w:rsidP="00A626CC">
      <w:pPr>
        <w:rPr>
          <w:rFonts w:cstheme="minorHAnsi"/>
        </w:rPr>
      </w:pPr>
      <w:r w:rsidRPr="00A626CC">
        <w:rPr>
          <w:rFonts w:cstheme="minorHAnsi"/>
        </w:rPr>
        <w:t xml:space="preserve">Another high-profile aspect of partner system strengthening with a clear focus on improved efficiency has been the development of information systems: PALM Information System (PALMIS) linking Australia-based and </w:t>
      </w:r>
      <w:r w:rsidRPr="004F4D0B">
        <w:rPr>
          <w:rFonts w:cstheme="minorHAnsi"/>
        </w:rPr>
        <w:t>sending</w:t>
      </w:r>
      <w:r w:rsidRPr="00A626CC">
        <w:rPr>
          <w:rFonts w:cstheme="minorHAnsi"/>
        </w:rPr>
        <w:t xml:space="preserve"> country-based data, and the In-country Recruitment Database (IRD). This has been a major undertaking by PLF which was being rolled out at the time of this evaluation but was widely appreciated by DEWR, DFAT and especially LSU staff: </w:t>
      </w:r>
    </w:p>
    <w:p w14:paraId="1D0A98AB" w14:textId="77777777" w:rsidR="00666156" w:rsidRPr="00A626CC" w:rsidRDefault="00666156" w:rsidP="00A626CC">
      <w:pPr>
        <w:pStyle w:val="Quote"/>
      </w:pPr>
      <w:r w:rsidRPr="00A626CC">
        <w:t>“Data management is increasingly a strength of the LSU. Previously we had no database, just boxes and boxes of registration papers. The IRD is still a challenge, but we get lots and lots of requests for data from Ministers and others…once everyone is using the database it will be easier to respond to these requests”. </w:t>
      </w:r>
    </w:p>
    <w:p w14:paraId="3A8F9E2E" w14:textId="77777777" w:rsidR="00666156" w:rsidRPr="00A626CC" w:rsidRDefault="00666156" w:rsidP="00A626CC">
      <w:pPr>
        <w:rPr>
          <w:rFonts w:cstheme="minorHAnsi"/>
        </w:rPr>
      </w:pPr>
      <w:r w:rsidRPr="00A626CC">
        <w:rPr>
          <w:rFonts w:cstheme="minorHAnsi"/>
        </w:rPr>
        <w:t>A DFAT official noted that:  </w:t>
      </w:r>
    </w:p>
    <w:p w14:paraId="32B41E2F" w14:textId="77777777" w:rsidR="00666156" w:rsidRPr="00A626CC" w:rsidRDefault="00666156" w:rsidP="00A626CC">
      <w:pPr>
        <w:pStyle w:val="Quote"/>
      </w:pPr>
      <w:r w:rsidRPr="00A626CC">
        <w:t>“The development of PALMIS should greatly improve efficiency—and make scheme more demand driven by enabling integration of employers and the LSUs”. </w:t>
      </w:r>
    </w:p>
    <w:p w14:paraId="42F6B1E3" w14:textId="6FFB3153" w:rsidR="00666156" w:rsidRPr="00A626CC" w:rsidRDefault="00666156" w:rsidP="00A626CC">
      <w:pPr>
        <w:rPr>
          <w:rFonts w:cstheme="minorHAnsi"/>
        </w:rPr>
      </w:pPr>
      <w:r w:rsidRPr="00A626CC">
        <w:rPr>
          <w:rFonts w:cstheme="minorHAnsi"/>
        </w:rPr>
        <w:t xml:space="preserve">The IRD </w:t>
      </w:r>
      <w:r w:rsidR="00BA49EF" w:rsidRPr="00A626CC">
        <w:rPr>
          <w:rFonts w:cstheme="minorHAnsi"/>
        </w:rPr>
        <w:t>has</w:t>
      </w:r>
      <w:r w:rsidRPr="00A626CC">
        <w:rPr>
          <w:rFonts w:cstheme="minorHAnsi"/>
        </w:rPr>
        <w:t xml:space="preserve"> been built with a clear focus on national ownership and management. The system architecture is built on an open-source platform to contain maintenance costs and promote local agency. The system functionality is customisable to accommodate local use cases.  </w:t>
      </w:r>
    </w:p>
    <w:p w14:paraId="257F726E" w14:textId="77777777" w:rsidR="009B0A8D" w:rsidRDefault="009B0A8D">
      <w:pPr>
        <w:rPr>
          <w:rFonts w:cstheme="minorHAnsi"/>
        </w:rPr>
      </w:pPr>
      <w:r>
        <w:rPr>
          <w:rFonts w:cstheme="minorHAnsi"/>
        </w:rPr>
        <w:br w:type="page"/>
      </w:r>
    </w:p>
    <w:p w14:paraId="0D132FE1" w14:textId="4F6309E5" w:rsidR="00666156" w:rsidRPr="00A626CC" w:rsidRDefault="00666156" w:rsidP="00A626CC">
      <w:pPr>
        <w:rPr>
          <w:rFonts w:cstheme="minorHAnsi"/>
        </w:rPr>
      </w:pPr>
      <w:r w:rsidRPr="00A626CC">
        <w:rPr>
          <w:rFonts w:cstheme="minorHAnsi"/>
        </w:rPr>
        <w:lastRenderedPageBreak/>
        <w:t xml:space="preserve">In terms of donor harmonisation, there is evidence of cooperation with New Zealand’s Recognised Seasonal Employer (RSE) scheme. In a practical sense, the PLF Engagement Managers/Program Managers do not differentiate between LSU staff supporting </w:t>
      </w:r>
      <w:r w:rsidR="007368E7" w:rsidRPr="00A626CC">
        <w:rPr>
          <w:rFonts w:cstheme="minorHAnsi"/>
        </w:rPr>
        <w:t>PALM scheme</w:t>
      </w:r>
      <w:r w:rsidR="00B20A94" w:rsidRPr="00A626CC">
        <w:rPr>
          <w:rFonts w:cstheme="minorHAnsi"/>
        </w:rPr>
        <w:t xml:space="preserve"> </w:t>
      </w:r>
      <w:r w:rsidRPr="00A626CC">
        <w:rPr>
          <w:rFonts w:cstheme="minorHAnsi"/>
        </w:rPr>
        <w:t>and LSU staff supporting RSE. The evaluation team was also advised that the RSE has expressed an intention to adopt the IRD, which should further improve LSU efficiency</w:t>
      </w:r>
      <w:r w:rsidR="00C70B8F" w:rsidRPr="00A626CC">
        <w:rPr>
          <w:rStyle w:val="FootnoteReference"/>
          <w:rFonts w:cstheme="minorHAnsi"/>
        </w:rPr>
        <w:footnoteReference w:id="60"/>
      </w:r>
      <w:r w:rsidRPr="00A626CC">
        <w:rPr>
          <w:rFonts w:cstheme="minorHAnsi"/>
        </w:rPr>
        <w:t>. That said, it is likely that more could be done to harmonise with, and learn from, other country experiences with labour mobility. One Pacific diplomat stated: </w:t>
      </w:r>
    </w:p>
    <w:p w14:paraId="3420791F" w14:textId="77777777" w:rsidR="00666156" w:rsidRPr="00A626CC" w:rsidRDefault="00666156" w:rsidP="00A626CC">
      <w:pPr>
        <w:pStyle w:val="Quote"/>
      </w:pPr>
      <w:r w:rsidRPr="00A626CC">
        <w:t>“I don’t know how many reviews have been done over the past 9 years. There must already be recommendations on how to improve the system. What can be learned from New Zealand or the Philippines?” </w:t>
      </w:r>
    </w:p>
    <w:p w14:paraId="65E22A38" w14:textId="44389C32" w:rsidR="00DF0F00" w:rsidRPr="00A626CC" w:rsidRDefault="00DF19BE" w:rsidP="00A626CC">
      <w:pPr>
        <w:rPr>
          <w:rFonts w:cstheme="minorHAnsi"/>
        </w:rPr>
      </w:pPr>
      <w:r w:rsidRPr="00A626CC">
        <w:rPr>
          <w:rFonts w:cstheme="minorHAnsi"/>
        </w:rPr>
        <w:t xml:space="preserve">A </w:t>
      </w:r>
      <w:r w:rsidR="00F41D28" w:rsidRPr="00A626CC">
        <w:rPr>
          <w:rFonts w:cstheme="minorHAnsi"/>
        </w:rPr>
        <w:t xml:space="preserve">further </w:t>
      </w:r>
      <w:r w:rsidR="00666156" w:rsidRPr="00A626CC">
        <w:rPr>
          <w:rFonts w:cstheme="minorHAnsi"/>
        </w:rPr>
        <w:t xml:space="preserve">interpretation of harmonisation involves DFAT’s Education and Integration Branch, which is engaging with some of the long-term systemic issues arising from labour mobility. </w:t>
      </w:r>
      <w:r w:rsidRPr="00A626CC">
        <w:rPr>
          <w:rFonts w:cstheme="minorHAnsi"/>
        </w:rPr>
        <w:t>Although beyond the scope of PLF’s mandate, it is mentioned here as relevant to the PALM scheme broadly</w:t>
      </w:r>
      <w:r w:rsidR="00463275" w:rsidRPr="00A626CC">
        <w:rPr>
          <w:rFonts w:cstheme="minorHAnsi"/>
        </w:rPr>
        <w:t xml:space="preserve">, and in recognition that PLF </w:t>
      </w:r>
      <w:r w:rsidR="00DF0F00" w:rsidRPr="00A626CC">
        <w:rPr>
          <w:rFonts w:cstheme="minorHAnsi"/>
        </w:rPr>
        <w:t>collaborated constructively with other DFAT programs</w:t>
      </w:r>
      <w:r w:rsidR="002B3BC0" w:rsidRPr="00A626CC">
        <w:rPr>
          <w:rFonts w:cstheme="minorHAnsi"/>
        </w:rPr>
        <w:t xml:space="preserve"> within this domain</w:t>
      </w:r>
      <w:r w:rsidR="00DF0F00" w:rsidRPr="00A626CC">
        <w:rPr>
          <w:rFonts w:cstheme="minorHAnsi"/>
        </w:rPr>
        <w:t>.</w:t>
      </w:r>
    </w:p>
    <w:p w14:paraId="5CD35E72" w14:textId="6EF8396A" w:rsidR="00666156" w:rsidRPr="00A626CC" w:rsidRDefault="00E31B71" w:rsidP="00A626CC">
      <w:pPr>
        <w:rPr>
          <w:rFonts w:cstheme="minorHAnsi"/>
        </w:rPr>
      </w:pPr>
      <w:r w:rsidRPr="00A626CC">
        <w:rPr>
          <w:rFonts w:cstheme="minorHAnsi"/>
        </w:rPr>
        <w:t xml:space="preserve">A strategic issue recognised by many stakeholders concerns </w:t>
      </w:r>
      <w:r w:rsidR="00666156" w:rsidRPr="00A626CC">
        <w:rPr>
          <w:rFonts w:cstheme="minorHAnsi"/>
        </w:rPr>
        <w:t>ways to respond to PIC concerns about ‘skills drain’ triggered by labour mobility</w:t>
      </w:r>
      <w:r w:rsidR="00314952" w:rsidRPr="00A626CC">
        <w:rPr>
          <w:rFonts w:cstheme="minorHAnsi"/>
        </w:rPr>
        <w:t xml:space="preserve"> and other drivers; and also </w:t>
      </w:r>
      <w:r w:rsidR="00666156" w:rsidRPr="00A626CC">
        <w:rPr>
          <w:rFonts w:cstheme="minorHAnsi"/>
        </w:rPr>
        <w:t xml:space="preserve">enabling </w:t>
      </w:r>
      <w:r w:rsidR="007368E7" w:rsidRPr="00A626CC">
        <w:rPr>
          <w:rFonts w:cstheme="minorHAnsi"/>
        </w:rPr>
        <w:t>PALM scheme</w:t>
      </w:r>
      <w:r w:rsidR="00F92867" w:rsidRPr="00A626CC">
        <w:rPr>
          <w:rFonts w:cstheme="minorHAnsi"/>
        </w:rPr>
        <w:t xml:space="preserve"> </w:t>
      </w:r>
      <w:r w:rsidR="00666156" w:rsidRPr="00A626CC">
        <w:rPr>
          <w:rFonts w:cstheme="minorHAnsi"/>
        </w:rPr>
        <w:t xml:space="preserve">workers to benefit from training and qualification processes that may </w:t>
      </w:r>
      <w:r w:rsidR="00D22B85" w:rsidRPr="00A626CC">
        <w:rPr>
          <w:rFonts w:cstheme="minorHAnsi"/>
        </w:rPr>
        <w:t xml:space="preserve">promote </w:t>
      </w:r>
      <w:r w:rsidR="00666156" w:rsidRPr="00A626CC">
        <w:rPr>
          <w:rFonts w:cstheme="minorHAnsi"/>
        </w:rPr>
        <w:t>employment or enterprise upon their return. The main modalities for this support are: </w:t>
      </w:r>
    </w:p>
    <w:p w14:paraId="33DB207E" w14:textId="7DCAFBA1" w:rsidR="00666156" w:rsidRPr="00666156" w:rsidRDefault="00666156" w:rsidP="00142C6D">
      <w:pPr>
        <w:pStyle w:val="ListBullet"/>
      </w:pPr>
      <w:r w:rsidRPr="00666156">
        <w:t xml:space="preserve">The </w:t>
      </w:r>
      <w:r w:rsidRPr="00442F1F">
        <w:rPr>
          <w:b/>
        </w:rPr>
        <w:t>Australia Pacific Training Coalition</w:t>
      </w:r>
      <w:r w:rsidRPr="00666156">
        <w:t xml:space="preserve"> (APTC)</w:t>
      </w:r>
      <w:r w:rsidR="00C70B8F" w:rsidRPr="00A626CC">
        <w:rPr>
          <w:rStyle w:val="FootnoteReference"/>
          <w:rFonts w:cstheme="minorHAnsi"/>
        </w:rPr>
        <w:footnoteReference w:id="61"/>
      </w:r>
      <w:r w:rsidRPr="00666156">
        <w:t xml:space="preserve"> which invests around AUD 25 million per year and produces about 1,000 graduates annually with full Australian accredited qualifications in addition to non-accredited short courses and micro credentials. </w:t>
      </w:r>
    </w:p>
    <w:p w14:paraId="787A5CE2" w14:textId="1E433E7A" w:rsidR="00666156" w:rsidRPr="00666156" w:rsidRDefault="00666156" w:rsidP="00142C6D">
      <w:pPr>
        <w:pStyle w:val="ListBullet"/>
      </w:pPr>
      <w:r w:rsidRPr="00666156">
        <w:t xml:space="preserve">The </w:t>
      </w:r>
      <w:r w:rsidRPr="00442F1F">
        <w:rPr>
          <w:b/>
        </w:rPr>
        <w:t>University of South Pacific</w:t>
      </w:r>
      <w:r w:rsidRPr="00666156">
        <w:t xml:space="preserve"> which is governed by 12 PICs and receives core funding from Australia of around AUD 14 million per </w:t>
      </w:r>
      <w:r w:rsidR="00C25807" w:rsidRPr="00666156">
        <w:t>year and</w:t>
      </w:r>
      <w:r w:rsidRPr="00666156">
        <w:t xml:space="preserve"> supports around 30,000 university enrolments and 5,000 TAFE Pacific enrolments per year from across the region. </w:t>
      </w:r>
    </w:p>
    <w:p w14:paraId="094A4583" w14:textId="7A0B4280" w:rsidR="00666156" w:rsidRPr="00A626CC" w:rsidRDefault="00666156" w:rsidP="00A626CC">
      <w:pPr>
        <w:rPr>
          <w:rFonts w:cstheme="minorHAnsi"/>
        </w:rPr>
      </w:pPr>
      <w:r w:rsidRPr="00A626CC">
        <w:rPr>
          <w:rFonts w:cstheme="minorHAnsi"/>
        </w:rPr>
        <w:t xml:space="preserve">DFAT staff acknowledged, notwithstanding the substantive nature of this support, that it represents a long-term investment that </w:t>
      </w:r>
      <w:r w:rsidR="0056071A" w:rsidRPr="00A626CC">
        <w:rPr>
          <w:rFonts w:cstheme="minorHAnsi"/>
        </w:rPr>
        <w:t xml:space="preserve">will take time to accrue </w:t>
      </w:r>
      <w:r w:rsidR="008737B5" w:rsidRPr="00A626CC">
        <w:rPr>
          <w:rFonts w:cstheme="minorHAnsi"/>
        </w:rPr>
        <w:t xml:space="preserve">impact on </w:t>
      </w:r>
      <w:r w:rsidRPr="00A626CC">
        <w:rPr>
          <w:rFonts w:cstheme="minorHAnsi"/>
        </w:rPr>
        <w:t>skill shortages raised by partner governments. </w:t>
      </w:r>
    </w:p>
    <w:p w14:paraId="01596C5D" w14:textId="77777777" w:rsidR="00666156" w:rsidRPr="00A626CC" w:rsidRDefault="00666156" w:rsidP="00A626CC">
      <w:pPr>
        <w:pStyle w:val="Heading2"/>
      </w:pPr>
      <w:bookmarkStart w:id="40" w:name="_Ref151390533"/>
      <w:bookmarkStart w:id="41" w:name="_Ref151390653"/>
      <w:bookmarkStart w:id="42" w:name="_Ref151390716"/>
      <w:bookmarkStart w:id="43" w:name="_Toc152591526"/>
      <w:r w:rsidRPr="00A626CC">
        <w:t xml:space="preserve">Effectiveness of support to </w:t>
      </w:r>
      <w:r w:rsidRPr="00462C04">
        <w:t>sending</w:t>
      </w:r>
      <w:r w:rsidRPr="00A626CC">
        <w:t xml:space="preserve"> countries</w:t>
      </w:r>
      <w:bookmarkEnd w:id="40"/>
      <w:bookmarkEnd w:id="41"/>
      <w:bookmarkEnd w:id="42"/>
      <w:bookmarkEnd w:id="43"/>
      <w:r w:rsidRPr="00A626CC">
        <w:t> </w:t>
      </w:r>
    </w:p>
    <w:p w14:paraId="52BD19D4" w14:textId="525DFEAC" w:rsidR="009B0A8D" w:rsidRDefault="00666156" w:rsidP="00A626CC">
      <w:pPr>
        <w:rPr>
          <w:rFonts w:cstheme="minorHAnsi"/>
        </w:rPr>
      </w:pPr>
      <w:r w:rsidRPr="00A626CC">
        <w:rPr>
          <w:rFonts w:cstheme="minorHAnsi"/>
        </w:rPr>
        <w:t xml:space="preserve">In this section we present findings in relation to the evaluation’s second line of inquiry, concerned with PLF support for </w:t>
      </w:r>
      <w:r w:rsidRPr="00462C04">
        <w:rPr>
          <w:rFonts w:cstheme="minorHAnsi"/>
        </w:rPr>
        <w:t>labour sending</w:t>
      </w:r>
      <w:r w:rsidRPr="00A626CC">
        <w:rPr>
          <w:rFonts w:cstheme="minorHAnsi"/>
        </w:rPr>
        <w:t xml:space="preserve"> countries—predominantly invested through LSUs. </w:t>
      </w:r>
      <w:r w:rsidR="000A08BE" w:rsidRPr="00A626CC">
        <w:rPr>
          <w:rFonts w:cstheme="minorHAnsi"/>
        </w:rPr>
        <w:t xml:space="preserve">The findings are based on stakeholder perspectives, the evaluation team’s visits to Kiribati, Vanuatu and Tonga, and LSUs’ self-assessments of their capacity development. </w:t>
      </w:r>
    </w:p>
    <w:p w14:paraId="7AFFE2A6" w14:textId="77777777" w:rsidR="009B0A8D" w:rsidRDefault="009B0A8D">
      <w:pPr>
        <w:rPr>
          <w:rFonts w:cstheme="minorHAnsi"/>
        </w:rPr>
      </w:pPr>
      <w:r>
        <w:rPr>
          <w:rFonts w:cstheme="minorHAnsi"/>
        </w:rPr>
        <w:br w:type="page"/>
      </w:r>
    </w:p>
    <w:p w14:paraId="297D98DC" w14:textId="77777777" w:rsidR="000A08BE" w:rsidRPr="00A626CC" w:rsidRDefault="000A08BE" w:rsidP="00A626CC">
      <w:pPr>
        <w:rPr>
          <w:rFonts w:cstheme="minorHAnsi"/>
        </w:rPr>
      </w:pPr>
    </w:p>
    <w:p w14:paraId="3B94BB93" w14:textId="04D9489E" w:rsidR="000A08BE" w:rsidRPr="00A626CC" w:rsidRDefault="000A08BE" w:rsidP="00A626CC">
      <w:pPr>
        <w:rPr>
          <w:rFonts w:cstheme="minorHAnsi"/>
        </w:rPr>
      </w:pPr>
      <w:r w:rsidRPr="00A626CC">
        <w:rPr>
          <w:rFonts w:cstheme="minorHAnsi"/>
        </w:rPr>
        <w:t xml:space="preserve">Labour Sending Units are located within </w:t>
      </w:r>
      <w:r w:rsidR="00322D40" w:rsidRPr="00A626CC">
        <w:rPr>
          <w:rFonts w:cstheme="minorHAnsi"/>
        </w:rPr>
        <w:t xml:space="preserve">various ministries in </w:t>
      </w:r>
      <w:r w:rsidR="00322D40" w:rsidRPr="00462C04">
        <w:rPr>
          <w:rFonts w:cstheme="minorHAnsi"/>
        </w:rPr>
        <w:t xml:space="preserve">labour </w:t>
      </w:r>
      <w:r w:rsidRPr="00462C04">
        <w:rPr>
          <w:rFonts w:cstheme="minorHAnsi"/>
        </w:rPr>
        <w:t>sending</w:t>
      </w:r>
      <w:r w:rsidRPr="00A626CC">
        <w:rPr>
          <w:rFonts w:cstheme="minorHAnsi"/>
        </w:rPr>
        <w:t xml:space="preserve"> countr</w:t>
      </w:r>
      <w:r w:rsidR="00322D40" w:rsidRPr="00A626CC">
        <w:rPr>
          <w:rFonts w:cstheme="minorHAnsi"/>
        </w:rPr>
        <w:t>ies</w:t>
      </w:r>
      <w:r w:rsidRPr="00A626CC">
        <w:rPr>
          <w:rFonts w:cstheme="minorHAnsi"/>
        </w:rPr>
        <w:t xml:space="preserve">. Their function is to recruit and prepare potential labour mobility workers and facilitate the movement of workers to receiving countries. There is diversity across </w:t>
      </w:r>
      <w:r w:rsidRPr="00462C04">
        <w:rPr>
          <w:rFonts w:cstheme="minorHAnsi"/>
        </w:rPr>
        <w:t>labour sending</w:t>
      </w:r>
      <w:r w:rsidRPr="00A626CC">
        <w:rPr>
          <w:rFonts w:cstheme="minorHAnsi"/>
        </w:rPr>
        <w:t xml:space="preserve"> countries in relation to the size, capacity and functions of individual LSUs, but they all remain under the auspices of </w:t>
      </w:r>
      <w:r w:rsidRPr="00462C04">
        <w:rPr>
          <w:rFonts w:cstheme="minorHAnsi"/>
        </w:rPr>
        <w:t>sending</w:t>
      </w:r>
      <w:r w:rsidRPr="00A626CC">
        <w:rPr>
          <w:rFonts w:cstheme="minorHAnsi"/>
        </w:rPr>
        <w:t xml:space="preserve"> governments. This diversity is illustrated in the </w:t>
      </w:r>
      <w:r w:rsidR="00AB7E68">
        <w:rPr>
          <w:rFonts w:cstheme="minorHAnsi"/>
        </w:rPr>
        <w:t>countries visited by the evaluation team</w:t>
      </w:r>
      <w:r w:rsidRPr="00A626CC">
        <w:rPr>
          <w:rFonts w:cstheme="minorHAnsi"/>
        </w:rPr>
        <w:t>. For example, the Tongan LSU undertakes all of the</w:t>
      </w:r>
      <w:r w:rsidR="005E48E4" w:rsidRPr="00A626CC">
        <w:rPr>
          <w:rFonts w:cstheme="minorHAnsi"/>
        </w:rPr>
        <w:t xml:space="preserve"> f</w:t>
      </w:r>
      <w:r w:rsidR="005F4B3B" w:rsidRPr="00A626CC">
        <w:rPr>
          <w:rFonts w:cstheme="minorHAnsi"/>
        </w:rPr>
        <w:t>unction</w:t>
      </w:r>
      <w:r w:rsidRPr="00A626CC">
        <w:rPr>
          <w:rFonts w:cstheme="minorHAnsi"/>
        </w:rPr>
        <w:t xml:space="preserve">s associated with worker mobilisation, whereas the I-Kiribati LSU outsources PDB to a local TVET provider; the I-Kiribati LSU has 33 years of combined labour mobility experience among its staff, whereas the Tongan LSU has ongoing staff </w:t>
      </w:r>
      <w:r w:rsidR="00483689" w:rsidRPr="00A626CC">
        <w:rPr>
          <w:rFonts w:cstheme="minorHAnsi"/>
        </w:rPr>
        <w:t>turnover</w:t>
      </w:r>
      <w:r w:rsidRPr="00A626CC">
        <w:rPr>
          <w:rFonts w:cstheme="minorHAnsi"/>
        </w:rPr>
        <w:t xml:space="preserve">. </w:t>
      </w:r>
    </w:p>
    <w:p w14:paraId="53ECBCE9" w14:textId="4BA50FC4" w:rsidR="000A08BE" w:rsidRPr="00A626CC" w:rsidRDefault="000A08BE" w:rsidP="00A626CC">
      <w:pPr>
        <w:rPr>
          <w:rFonts w:cstheme="minorHAnsi"/>
        </w:rPr>
      </w:pPr>
      <w:r w:rsidRPr="00A626CC">
        <w:rPr>
          <w:rFonts w:cstheme="minorHAnsi"/>
        </w:rPr>
        <w:t>The LSUs have been a focus of capacity building by the Australian Government—initially under the Labour Mobility Assistance Program (LMAP), and continuing under PLF. The aim of these capacity</w:t>
      </w:r>
      <w:r w:rsidR="00F03137">
        <w:rPr>
          <w:rFonts w:cstheme="minorHAnsi"/>
        </w:rPr>
        <w:t>-</w:t>
      </w:r>
      <w:r w:rsidRPr="00A626CC">
        <w:rPr>
          <w:rFonts w:cstheme="minorHAnsi"/>
        </w:rPr>
        <w:t>building efforts is described in an intermediate outcome in the PALM scheme logic: ‘LSUs adopt policies and practices that can sustain successful labour mobility’.</w:t>
      </w:r>
    </w:p>
    <w:p w14:paraId="3C180D90" w14:textId="165AA946" w:rsidR="000A08BE" w:rsidRPr="00A626CC" w:rsidRDefault="000A08BE" w:rsidP="00A626CC">
      <w:pPr>
        <w:rPr>
          <w:rFonts w:cstheme="minorHAnsi"/>
        </w:rPr>
      </w:pPr>
      <w:r w:rsidRPr="00A626CC">
        <w:rPr>
          <w:rFonts w:cstheme="minorHAnsi"/>
        </w:rPr>
        <w:t>LSUs are widely acknowledged as being critical to the scheme and in that context, the support provided by DFAT</w:t>
      </w:r>
      <w:r w:rsidR="00EB3E12" w:rsidRPr="00A626CC">
        <w:rPr>
          <w:rFonts w:cstheme="minorHAnsi"/>
        </w:rPr>
        <w:t>/</w:t>
      </w:r>
      <w:r w:rsidRPr="00A626CC">
        <w:rPr>
          <w:rFonts w:cstheme="minorHAnsi"/>
        </w:rPr>
        <w:t>PLF through capacity</w:t>
      </w:r>
      <w:r w:rsidR="00F03137">
        <w:rPr>
          <w:rFonts w:cstheme="minorHAnsi"/>
        </w:rPr>
        <w:t>-</w:t>
      </w:r>
      <w:r w:rsidRPr="00A626CC">
        <w:rPr>
          <w:rFonts w:cstheme="minorHAnsi"/>
        </w:rPr>
        <w:t xml:space="preserve">building activities </w:t>
      </w:r>
      <w:r w:rsidR="00B468ED" w:rsidRPr="00A626CC">
        <w:rPr>
          <w:rFonts w:cstheme="minorHAnsi"/>
        </w:rPr>
        <w:t>has</w:t>
      </w:r>
      <w:r w:rsidRPr="00A626CC">
        <w:rPr>
          <w:rFonts w:cstheme="minorHAnsi"/>
        </w:rPr>
        <w:t xml:space="preserve"> been fundamental. There is widespread acknowledgement of the value of the work done by PLF in supporting LSUs, especially during the pandemic to relieve the pressure associated with large mobilisations.  A representative of Australian employers stated: </w:t>
      </w:r>
    </w:p>
    <w:p w14:paraId="437FF0C9" w14:textId="77777777" w:rsidR="00666156" w:rsidRPr="00A626CC" w:rsidRDefault="00666156" w:rsidP="00A626CC">
      <w:pPr>
        <w:pStyle w:val="Quote"/>
      </w:pPr>
      <w:r w:rsidRPr="00A626CC">
        <w:t>“The support that DFAT has given countries is essential for us. Labour mobility in sending countries is growing at such a rate they can’t keep up without support…PLF play an essential role”. </w:t>
      </w:r>
    </w:p>
    <w:p w14:paraId="5EBBCBE7" w14:textId="70DD9CF3" w:rsidR="009B0A8D" w:rsidRDefault="00666156" w:rsidP="00A626CC">
      <w:pPr>
        <w:rPr>
          <w:rFonts w:cstheme="minorHAnsi"/>
          <w:lang w:val="en-NZ"/>
        </w:rPr>
      </w:pPr>
      <w:r w:rsidRPr="00A626CC">
        <w:rPr>
          <w:rFonts w:cstheme="minorHAnsi"/>
        </w:rPr>
        <w:t xml:space="preserve">There have been two major constraints to PLF’s capacity development efforts. Firstly, </w:t>
      </w:r>
      <w:r w:rsidRPr="00A626CC">
        <w:rPr>
          <w:rFonts w:cstheme="minorHAnsi"/>
          <w:lang w:val="en-NZ"/>
        </w:rPr>
        <w:t xml:space="preserve">PLF has had to undertake capacity building according to the LSU’s priorities and at the LSU’s pace. Secondly, the rapid increase in worker numbers has necessitated capacity substitution. Put simply, the bandwidth for capacity building in LSUs has been overtaken by the priority to get large numbers </w:t>
      </w:r>
      <w:r w:rsidR="002F6838" w:rsidRPr="00A626CC">
        <w:rPr>
          <w:rFonts w:cstheme="minorHAnsi"/>
          <w:lang w:val="en-NZ"/>
        </w:rPr>
        <w:t xml:space="preserve">of workers </w:t>
      </w:r>
      <w:r w:rsidRPr="00A626CC">
        <w:rPr>
          <w:rFonts w:cstheme="minorHAnsi"/>
          <w:lang w:val="en-NZ"/>
        </w:rPr>
        <w:t>on planes.</w:t>
      </w:r>
    </w:p>
    <w:p w14:paraId="00DB09BF" w14:textId="77777777" w:rsidR="009B0A8D" w:rsidRDefault="009B0A8D">
      <w:pPr>
        <w:rPr>
          <w:rFonts w:cstheme="minorHAnsi"/>
          <w:lang w:val="en-NZ"/>
        </w:rPr>
      </w:pPr>
      <w:r>
        <w:rPr>
          <w:rFonts w:cstheme="minorHAnsi"/>
          <w:lang w:val="en-NZ"/>
        </w:rPr>
        <w:br w:type="page"/>
      </w:r>
    </w:p>
    <w:p w14:paraId="407FD88F" w14:textId="2F1C9874" w:rsidR="00666156" w:rsidRPr="00A626CC" w:rsidRDefault="008A4B0D" w:rsidP="00A626CC">
      <w:pPr>
        <w:rPr>
          <w:rFonts w:cstheme="minorHAnsi"/>
        </w:rPr>
      </w:pPr>
      <w:r w:rsidRPr="00A626CC">
        <w:rPr>
          <w:rFonts w:cstheme="minorHAnsi"/>
        </w:rPr>
        <w:lastRenderedPageBreak/>
        <w:t>Many stakeholders consider that LSU capacity has improved—including LSU staff themselves as reflected in the results of the LSU capacity</w:t>
      </w:r>
      <w:r w:rsidR="000B3631">
        <w:rPr>
          <w:rFonts w:cstheme="minorHAnsi"/>
        </w:rPr>
        <w:t xml:space="preserve"> </w:t>
      </w:r>
      <w:r w:rsidRPr="00A626CC">
        <w:rPr>
          <w:rFonts w:cstheme="minorHAnsi"/>
        </w:rPr>
        <w:t xml:space="preserve">self assessments </w:t>
      </w:r>
      <w:r w:rsidR="002F6838" w:rsidRPr="00A626CC">
        <w:rPr>
          <w:rFonts w:cstheme="minorHAnsi"/>
        </w:rPr>
        <w:t xml:space="preserve">that involve </w:t>
      </w:r>
      <w:r w:rsidRPr="00A626CC">
        <w:rPr>
          <w:rFonts w:cstheme="minorHAnsi"/>
        </w:rPr>
        <w:t>a questionnaire developed by the PLF.</w:t>
      </w:r>
      <w:r w:rsidRPr="00A626CC">
        <w:rPr>
          <w:rStyle w:val="FootnoteReference"/>
          <w:rFonts w:cstheme="minorHAnsi"/>
        </w:rPr>
        <w:footnoteReference w:id="62"/>
      </w:r>
      <w:r w:rsidRPr="00A626CC">
        <w:rPr>
          <w:rFonts w:cstheme="minorHAnsi"/>
        </w:rPr>
        <w:t xml:space="preserve"> Individual LSUs are supported by PLF staff in a reflective workshop to discuss their responses which are then analysed by PLF and compared with earlier self-assessments.</w:t>
      </w:r>
      <w:r w:rsidRPr="00A626CC">
        <w:rPr>
          <w:rStyle w:val="FootnoteReference"/>
          <w:rFonts w:cstheme="minorHAnsi"/>
        </w:rPr>
        <w:footnoteReference w:id="63"/>
      </w:r>
      <w:r w:rsidRPr="00A626CC">
        <w:rPr>
          <w:rFonts w:cstheme="minorHAnsi"/>
        </w:rPr>
        <w:t xml:space="preserve"> The results show that LSUs rate their capacity as having increased since 2018/19 (noting that ratings plateaued between 2021 and 2023 reflecting the demands of rapid worker growth on LSUs during that time). The most significant increases in capacity were identified </w:t>
      </w:r>
      <w:r w:rsidR="00891859" w:rsidRPr="00A626CC">
        <w:rPr>
          <w:rFonts w:cstheme="minorHAnsi"/>
        </w:rPr>
        <w:t xml:space="preserve">in </w:t>
      </w:r>
      <w:r w:rsidRPr="00A626CC">
        <w:rPr>
          <w:rFonts w:cstheme="minorHAnsi"/>
        </w:rPr>
        <w:t>LSU operations, and communication and outreach. The smallest increase was in the area of GEDSI. A senior PLF staff reflected</w:t>
      </w:r>
      <w:r w:rsidR="00E52373" w:rsidRPr="00A626CC">
        <w:rPr>
          <w:rFonts w:cstheme="minorHAnsi"/>
        </w:rPr>
        <w:t xml:space="preserve"> that </w:t>
      </w:r>
      <w:r w:rsidR="00666156" w:rsidRPr="00A626CC">
        <w:rPr>
          <w:rFonts w:cstheme="minorHAnsi"/>
        </w:rPr>
        <w:t>“</w:t>
      </w:r>
      <w:r w:rsidR="00666156" w:rsidRPr="00A626CC">
        <w:rPr>
          <w:rFonts w:cstheme="minorHAnsi"/>
          <w:i/>
          <w:iCs/>
        </w:rPr>
        <w:t xml:space="preserve">I would not have believed </w:t>
      </w:r>
      <w:r w:rsidR="003D7F9A" w:rsidRPr="00A626CC">
        <w:rPr>
          <w:rFonts w:cstheme="minorHAnsi"/>
          <w:i/>
          <w:iCs/>
        </w:rPr>
        <w:t>six</w:t>
      </w:r>
      <w:r w:rsidR="00666156" w:rsidRPr="00A626CC">
        <w:rPr>
          <w:rFonts w:cstheme="minorHAnsi"/>
          <w:i/>
          <w:iCs/>
        </w:rPr>
        <w:t xml:space="preserve"> years ago that Timor and Pacific LSUs would be using an integrated database to manage the number of workers and employers that we are now seeing</w:t>
      </w:r>
      <w:r w:rsidR="00666156" w:rsidRPr="00A626CC">
        <w:rPr>
          <w:rFonts w:cstheme="minorHAnsi"/>
        </w:rPr>
        <w:t>”. </w:t>
      </w:r>
      <w:r w:rsidR="00BA49EF" w:rsidRPr="00A626CC">
        <w:rPr>
          <w:rFonts w:cstheme="minorHAnsi"/>
        </w:rPr>
        <w:t>An</w:t>
      </w:r>
      <w:r w:rsidR="00666156" w:rsidRPr="00A626CC">
        <w:rPr>
          <w:rFonts w:cstheme="minorHAnsi"/>
        </w:rPr>
        <w:t xml:space="preserve"> LSU staff reported: </w:t>
      </w:r>
    </w:p>
    <w:p w14:paraId="03A3CCAE" w14:textId="67C7B950" w:rsidR="00666156" w:rsidRPr="00A626CC" w:rsidRDefault="00666156" w:rsidP="00A626CC">
      <w:pPr>
        <w:pStyle w:val="Quote"/>
      </w:pPr>
      <w:r w:rsidRPr="00A626CC">
        <w:t>“The program has grown a lot…I’m proud that we’ve managed the growth. When I started</w:t>
      </w:r>
      <w:r w:rsidRPr="00A626CC" w:rsidDel="002642D7">
        <w:t xml:space="preserve"> </w:t>
      </w:r>
      <w:r w:rsidR="002642D7" w:rsidRPr="00A626CC">
        <w:t xml:space="preserve">three </w:t>
      </w:r>
      <w:r w:rsidRPr="00A626CC">
        <w:t xml:space="preserve">years ago, we were based in a small run-down room, facilitating training in a carpark for 70 to 80 participants…We’ve seen improvements in the quality of our work. Since PLF, we have a lot of programs beyond just getting people on the plane…there were only </w:t>
      </w:r>
      <w:r w:rsidR="002642D7" w:rsidRPr="00A626CC">
        <w:t>three</w:t>
      </w:r>
      <w:r w:rsidRPr="00A626CC">
        <w:t xml:space="preserve"> or </w:t>
      </w:r>
      <w:r w:rsidR="002642D7" w:rsidRPr="00A626CC">
        <w:t xml:space="preserve">four </w:t>
      </w:r>
      <w:r w:rsidRPr="00A626CC">
        <w:t xml:space="preserve">staff just </w:t>
      </w:r>
      <w:r w:rsidR="002642D7" w:rsidRPr="00A626CC">
        <w:t xml:space="preserve">three </w:t>
      </w:r>
      <w:r w:rsidRPr="00A626CC">
        <w:t xml:space="preserve">years ago, and we all just did everything…now we have </w:t>
      </w:r>
      <w:r w:rsidR="002642D7" w:rsidRPr="00A626CC">
        <w:t xml:space="preserve">five </w:t>
      </w:r>
      <w:r w:rsidRPr="00A626CC">
        <w:t>or</w:t>
      </w:r>
      <w:r w:rsidRPr="00A626CC" w:rsidDel="002642D7">
        <w:t xml:space="preserve"> </w:t>
      </w:r>
      <w:r w:rsidR="002642D7" w:rsidRPr="00A626CC">
        <w:t xml:space="preserve">six </w:t>
      </w:r>
      <w:r w:rsidRPr="00A626CC">
        <w:t>times the number of staff and we’ve established a structure…it’s a major change”. </w:t>
      </w:r>
    </w:p>
    <w:p w14:paraId="3E751F8D" w14:textId="7711728E" w:rsidR="00332DA2" w:rsidRPr="00A626CC" w:rsidRDefault="00332DA2" w:rsidP="00A626CC">
      <w:pPr>
        <w:rPr>
          <w:i/>
        </w:rPr>
      </w:pPr>
      <w:r w:rsidRPr="00A626CC">
        <w:t>Nevertheless, other stakeholders question</w:t>
      </w:r>
      <w:r w:rsidR="0026754E" w:rsidRPr="00A626CC">
        <w:t>ed</w:t>
      </w:r>
      <w:r w:rsidRPr="00A626CC">
        <w:t xml:space="preserve"> the efficacy of capacity</w:t>
      </w:r>
      <w:r w:rsidR="000B3631">
        <w:t>-</w:t>
      </w:r>
      <w:r w:rsidRPr="00A626CC">
        <w:t>building efforts</w:t>
      </w:r>
      <w:r w:rsidR="00D574A6" w:rsidRPr="00A626CC">
        <w:t>; for example, a</w:t>
      </w:r>
      <w:r w:rsidRPr="00A626CC">
        <w:t xml:space="preserve">n Australian employer representative commented: </w:t>
      </w:r>
      <w:r w:rsidRPr="00A626CC">
        <w:rPr>
          <w:i/>
        </w:rPr>
        <w:t>“LSU capacity has improved over time, but not enough. It’s not possible, in my humble opinion, for countries to respond to industry demand. What plan does DFAT have to scale up?”</w:t>
      </w:r>
    </w:p>
    <w:p w14:paraId="6087FD89" w14:textId="0A3BA998" w:rsidR="00666156" w:rsidRPr="00A626CC" w:rsidRDefault="00666156" w:rsidP="00A626CC">
      <w:pPr>
        <w:rPr>
          <w:rFonts w:cstheme="minorHAnsi"/>
        </w:rPr>
      </w:pPr>
      <w:r w:rsidRPr="00A626CC">
        <w:rPr>
          <w:rFonts w:cstheme="minorHAnsi"/>
        </w:rPr>
        <w:t>Central to most of the critique about support for LSUs is an expectation that they should meet Australian demand for workers independently of Australian support</w:t>
      </w:r>
      <w:r w:rsidR="0026754E" w:rsidRPr="00A626CC">
        <w:rPr>
          <w:rFonts w:cstheme="minorHAnsi"/>
        </w:rPr>
        <w:t>—</w:t>
      </w:r>
      <w:r w:rsidRPr="00A626CC">
        <w:rPr>
          <w:rFonts w:cstheme="minorHAnsi"/>
        </w:rPr>
        <w:t>an assumption of ‘sustainability’</w:t>
      </w:r>
      <w:r w:rsidR="0026754E" w:rsidRPr="00A626CC">
        <w:rPr>
          <w:rFonts w:cstheme="minorHAnsi"/>
        </w:rPr>
        <w:t xml:space="preserve"> premised on LSUs being resourced and operated independently of Australian investment</w:t>
      </w:r>
      <w:r w:rsidRPr="00A626CC">
        <w:rPr>
          <w:rFonts w:cstheme="minorHAnsi"/>
        </w:rPr>
        <w:t>. Certainly, most interviewees</w:t>
      </w:r>
      <w:r w:rsidR="008073AB" w:rsidRPr="00A626CC">
        <w:rPr>
          <w:rFonts w:cstheme="minorHAnsi"/>
        </w:rPr>
        <w:t xml:space="preserve">, </w:t>
      </w:r>
      <w:r w:rsidRPr="00A626CC">
        <w:rPr>
          <w:rFonts w:cstheme="minorHAnsi"/>
        </w:rPr>
        <w:t>including LSU staff and PLF staff</w:t>
      </w:r>
      <w:r w:rsidR="008073AB" w:rsidRPr="00A626CC">
        <w:rPr>
          <w:rFonts w:cstheme="minorHAnsi"/>
        </w:rPr>
        <w:t xml:space="preserve">, </w:t>
      </w:r>
      <w:r w:rsidRPr="00A626CC">
        <w:rPr>
          <w:rFonts w:cstheme="minorHAnsi"/>
        </w:rPr>
        <w:t>agree</w:t>
      </w:r>
      <w:r w:rsidR="000275E8" w:rsidRPr="00A626CC">
        <w:rPr>
          <w:rFonts w:cstheme="minorHAnsi"/>
        </w:rPr>
        <w:t>d</w:t>
      </w:r>
      <w:r w:rsidRPr="00A626CC">
        <w:rPr>
          <w:rFonts w:cstheme="minorHAnsi"/>
        </w:rPr>
        <w:t xml:space="preserve"> that LSUs are not yet at a stage where they can meet current and projected demand without support from Australia. Further, LSUs are not uniform, but operate in unique bureaucratic contexts within their own government structures. A PLF staff observed:  </w:t>
      </w:r>
    </w:p>
    <w:p w14:paraId="5C166DC0" w14:textId="1AD41DC8" w:rsidR="00666156" w:rsidRPr="00A626CC" w:rsidRDefault="00666156" w:rsidP="00A626CC">
      <w:pPr>
        <w:pStyle w:val="Quote"/>
      </w:pPr>
      <w:r w:rsidRPr="00A626CC">
        <w:t xml:space="preserve">“The LSUs are a ‘mixed bag’ across the region. Every country is at a different stage…I can see LSUs will still be needing support in the next </w:t>
      </w:r>
      <w:r w:rsidR="003702A4" w:rsidRPr="00A626CC">
        <w:t>two</w:t>
      </w:r>
      <w:r w:rsidRPr="00A626CC">
        <w:t xml:space="preserve"> to</w:t>
      </w:r>
      <w:r w:rsidRPr="00A626CC" w:rsidDel="003702A4">
        <w:t xml:space="preserve"> </w:t>
      </w:r>
      <w:r w:rsidR="003702A4" w:rsidRPr="00A626CC">
        <w:t xml:space="preserve">three </w:t>
      </w:r>
      <w:r w:rsidRPr="00A626CC">
        <w:t>years…Our intention was to do ourselves out of a job. We developed a ‘sustainability road map’. Many staff now have good qualifications. We supported LSUs to put budgets up the line. We’ve worked to lift LSU profiles within their own governments…but COVID changed the parameters”. </w:t>
      </w:r>
    </w:p>
    <w:p w14:paraId="29157D74" w14:textId="23DD63ED" w:rsidR="00F92DF8" w:rsidRPr="00C07BCF" w:rsidRDefault="005A6D7E" w:rsidP="00C07BCF">
      <w:pPr>
        <w:rPr>
          <w:rFonts w:cstheme="minorHAnsi"/>
        </w:rPr>
      </w:pPr>
      <w:r w:rsidRPr="00C07BCF">
        <w:rPr>
          <w:rFonts w:cstheme="minorHAnsi"/>
        </w:rPr>
        <w:t>T</w:t>
      </w:r>
      <w:r w:rsidR="00F92DF8" w:rsidRPr="00C07BCF">
        <w:rPr>
          <w:rFonts w:cstheme="minorHAnsi"/>
        </w:rPr>
        <w:t xml:space="preserve">he evaluation team explored the key drivers and constraints </w:t>
      </w:r>
      <w:r w:rsidRPr="00C07BCF">
        <w:rPr>
          <w:rFonts w:cstheme="minorHAnsi"/>
        </w:rPr>
        <w:t xml:space="preserve">to </w:t>
      </w:r>
      <w:r w:rsidR="0026754E" w:rsidRPr="00C07BCF">
        <w:rPr>
          <w:rFonts w:cstheme="minorHAnsi"/>
        </w:rPr>
        <w:t xml:space="preserve">sustainable </w:t>
      </w:r>
      <w:r w:rsidRPr="00C07BCF">
        <w:rPr>
          <w:rFonts w:cstheme="minorHAnsi"/>
        </w:rPr>
        <w:t xml:space="preserve">LSU </w:t>
      </w:r>
      <w:r w:rsidR="00C30533" w:rsidRPr="00C07BCF">
        <w:rPr>
          <w:rFonts w:cstheme="minorHAnsi"/>
        </w:rPr>
        <w:t xml:space="preserve">capacity </w:t>
      </w:r>
      <w:r w:rsidR="00F92DF8" w:rsidRPr="00C07BCF">
        <w:rPr>
          <w:rFonts w:cstheme="minorHAnsi"/>
        </w:rPr>
        <w:t>using a conceptual framework from the literature on institutional change—the ‘equation for change’.</w:t>
      </w:r>
      <w:r w:rsidR="00062B02" w:rsidRPr="00C07BCF">
        <w:rPr>
          <w:rStyle w:val="FootnoteReference"/>
          <w:rFonts w:cstheme="minorHAnsi"/>
        </w:rPr>
        <w:footnoteReference w:id="64"/>
      </w:r>
      <w:r w:rsidR="00F92DF8" w:rsidRPr="00C07BCF">
        <w:rPr>
          <w:rFonts w:cstheme="minorHAnsi"/>
        </w:rPr>
        <w:t xml:space="preserve"> This framework considers that enduring capacity within an organisation is contingent on six pre-conditions or domains</w:t>
      </w:r>
      <w:r w:rsidR="00D0339F" w:rsidRPr="00C07BCF">
        <w:rPr>
          <w:rFonts w:cstheme="minorHAnsi"/>
        </w:rPr>
        <w:t>. These domains recognise that in develop</w:t>
      </w:r>
      <w:r w:rsidR="00C07BCF">
        <w:rPr>
          <w:rFonts w:cstheme="minorHAnsi"/>
        </w:rPr>
        <w:t>ment</w:t>
      </w:r>
      <w:r w:rsidR="00D0339F" w:rsidRPr="00C07BCF">
        <w:rPr>
          <w:rFonts w:cstheme="minorHAnsi"/>
        </w:rPr>
        <w:t xml:space="preserve"> assistance there tends to be a predominant focus on skills transfer, and yet there are a range of other factors that underpin sustainable capacity:</w:t>
      </w:r>
      <w:r w:rsidR="00F92DF8" w:rsidRPr="00C07BCF">
        <w:rPr>
          <w:rFonts w:cstheme="minorHAnsi"/>
        </w:rPr>
        <w:t> </w:t>
      </w:r>
    </w:p>
    <w:p w14:paraId="387A8702" w14:textId="77777777" w:rsidR="00F92DF8" w:rsidRPr="00A626CC" w:rsidRDefault="00F92DF8" w:rsidP="00A626CC">
      <w:pPr>
        <w:pStyle w:val="Greyblocktext"/>
      </w:pPr>
      <w:r w:rsidRPr="00A626CC">
        <w:rPr>
          <w:b/>
        </w:rPr>
        <w:lastRenderedPageBreak/>
        <w:t>Strategy:</w:t>
      </w:r>
      <w:r w:rsidRPr="00A626CC">
        <w:t xml:space="preserve"> are LSU staff backed by clear leadership vision/direction and authority to perform their functions?</w:t>
      </w:r>
    </w:p>
    <w:p w14:paraId="4F9A3696" w14:textId="77777777" w:rsidR="00F92DF8" w:rsidRPr="00A626CC" w:rsidRDefault="00F92DF8" w:rsidP="00A626CC">
      <w:pPr>
        <w:pStyle w:val="Greyblocktext"/>
      </w:pPr>
      <w:r w:rsidRPr="00A626CC">
        <w:rPr>
          <w:b/>
        </w:rPr>
        <w:t>People:</w:t>
      </w:r>
      <w:r w:rsidRPr="00A626CC">
        <w:t xml:space="preserve"> are sufficient LSU staff committed by partner Government to perform required functions, and meet growth expectations? Are equality and inclusion considerations adequately addressed in staffing?</w:t>
      </w:r>
    </w:p>
    <w:p w14:paraId="6A2CF0AE" w14:textId="77777777" w:rsidR="00F92DF8" w:rsidRPr="00A626CC" w:rsidRDefault="00F92DF8" w:rsidP="00A626CC">
      <w:pPr>
        <w:pStyle w:val="Greyblocktext"/>
      </w:pPr>
      <w:r w:rsidRPr="00A626CC">
        <w:rPr>
          <w:b/>
        </w:rPr>
        <w:t>Skills:</w:t>
      </w:r>
      <w:r w:rsidRPr="00A626CC">
        <w:t xml:space="preserve"> do LSU staff possess the required technical, managerial, and interpersonal skills required to perform to expectation? Are they supported to develop skills that are not yet adequate? Are they positioned to respond to emerging skill requirements?</w:t>
      </w:r>
    </w:p>
    <w:p w14:paraId="591A3B65" w14:textId="4B01B508" w:rsidR="00F92DF8" w:rsidRPr="00A626CC" w:rsidRDefault="00F92DF8" w:rsidP="00A626CC">
      <w:pPr>
        <w:pStyle w:val="Greyblocktext"/>
      </w:pPr>
      <w:r w:rsidRPr="00A626CC">
        <w:rPr>
          <w:b/>
        </w:rPr>
        <w:t>Incentives:</w:t>
      </w:r>
      <w:r w:rsidRPr="00A626CC">
        <w:t xml:space="preserve"> do LSU staff encounter conflicting priorities or agenda? What explicit and implicit factors motivate strong performance of core functions?</w:t>
      </w:r>
      <w:r w:rsidR="00C30533" w:rsidRPr="00A626CC">
        <w:t xml:space="preserve"> Are LSU staff adequately remunerated?</w:t>
      </w:r>
    </w:p>
    <w:p w14:paraId="5E657904" w14:textId="68B8CD3B" w:rsidR="00F92DF8" w:rsidRPr="00A626CC" w:rsidRDefault="00F92DF8" w:rsidP="00A626CC">
      <w:pPr>
        <w:pStyle w:val="Greyblocktext"/>
      </w:pPr>
      <w:r w:rsidRPr="00A626CC">
        <w:rPr>
          <w:b/>
        </w:rPr>
        <w:t>Systems:</w:t>
      </w:r>
      <w:r w:rsidRPr="00A626CC">
        <w:t xml:space="preserve"> Do policies and procedures clearly enable strong LSU performance? Are adequate tools and systems established? Are managerial arrangements between PLF, </w:t>
      </w:r>
      <w:r w:rsidR="009F5F0D" w:rsidRPr="00A626CC">
        <w:t>labour sending</w:t>
      </w:r>
      <w:r w:rsidRPr="00A626CC">
        <w:t xml:space="preserve"> Government and Australian stakeholders unambiguous?</w:t>
      </w:r>
    </w:p>
    <w:p w14:paraId="75E07ACC" w14:textId="77777777" w:rsidR="00F92DF8" w:rsidRPr="00A626CC" w:rsidRDefault="00F92DF8" w:rsidP="00A626CC">
      <w:pPr>
        <w:pStyle w:val="Greyblocktext"/>
      </w:pPr>
      <w:r w:rsidRPr="00A626CC">
        <w:rPr>
          <w:b/>
        </w:rPr>
        <w:t xml:space="preserve">Resources: </w:t>
      </w:r>
      <w:r w:rsidRPr="00A626CC">
        <w:t>Do LSUs receive sufficient and reliable resources from counterpart Governments to perform to current expectations and future growth? To what extent are LSUs dependent on PLF resourcing?</w:t>
      </w:r>
    </w:p>
    <w:p w14:paraId="74B98F36" w14:textId="77777777" w:rsidR="005E483C" w:rsidRDefault="00F92DF8" w:rsidP="005E483C">
      <w:pPr>
        <w:keepNext/>
      </w:pPr>
      <w:r w:rsidRPr="00A626CC">
        <w:rPr>
          <w:noProof/>
        </w:rPr>
        <w:drawing>
          <wp:inline distT="0" distB="0" distL="0" distR="0" wp14:anchorId="049369CA" wp14:editId="41DB7611">
            <wp:extent cx="6192520" cy="846125"/>
            <wp:effectExtent l="0" t="0" r="17780" b="0"/>
            <wp:docPr id="307130579" name="Diagram 307130579" descr="Strategy+People+Skills+Incentives+Systems+resources=Capacity&#10;">
              <a:extLst xmlns:a="http://schemas.openxmlformats.org/drawingml/2006/main">
                <a:ext uri="{FF2B5EF4-FFF2-40B4-BE49-F238E27FC236}">
                  <a16:creationId xmlns:a16="http://schemas.microsoft.com/office/drawing/2014/main" id="{DFC0C3D9-9981-428A-AED3-C88F5B0C5C5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FD3D6FA" w14:textId="5E547E82" w:rsidR="00F92DF8" w:rsidRPr="00A626CC" w:rsidRDefault="005E483C" w:rsidP="005E483C">
      <w:pPr>
        <w:pStyle w:val="Caption"/>
      </w:pPr>
      <w:bookmarkStart w:id="44" w:name="_Toc151625301"/>
      <w:r>
        <w:t xml:space="preserve">Figure </w:t>
      </w:r>
      <w:fldSimple w:instr=" SEQ Figure \* ARABIC ">
        <w:r w:rsidR="001F6F84">
          <w:rPr>
            <w:noProof/>
          </w:rPr>
          <w:t>5</w:t>
        </w:r>
      </w:fldSimple>
      <w:r w:rsidR="00AA6216">
        <w:t xml:space="preserve">: </w:t>
      </w:r>
      <w:r w:rsidRPr="00A626CC">
        <w:t>'Equation for change’' defining building blocks or pre-conditions for sustainable LSU capacity</w:t>
      </w:r>
      <w:bookmarkEnd w:id="44"/>
      <w:r w:rsidRPr="00A626CC">
        <w:t> </w:t>
      </w:r>
    </w:p>
    <w:p w14:paraId="1D7F1F05" w14:textId="77777777" w:rsidR="00F92DF8" w:rsidRPr="00A626CC" w:rsidRDefault="00F92DF8" w:rsidP="00A626CC">
      <w:r w:rsidRPr="00A626CC">
        <w:t>The evaluation team used the equation for change to inform evaluation questions and to analyse interview responses. The following table summarises the team’s high-level findings against this framework.  </w:t>
      </w:r>
    </w:p>
    <w:tbl>
      <w:tblPr>
        <w:tblStyle w:val="TableGrid"/>
        <w:tblW w:w="9773" w:type="dxa"/>
        <w:tblLook w:val="04A0" w:firstRow="1" w:lastRow="0" w:firstColumn="1" w:lastColumn="0" w:noHBand="0" w:noVBand="1"/>
      </w:tblPr>
      <w:tblGrid>
        <w:gridCol w:w="1268"/>
        <w:gridCol w:w="8505"/>
      </w:tblGrid>
      <w:tr w:rsidR="006E1CE0" w:rsidRPr="00A626CC" w14:paraId="66DD07B4" w14:textId="77777777" w:rsidTr="00F6704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8" w:type="dxa"/>
            <w:hideMark/>
          </w:tcPr>
          <w:p w14:paraId="63D28DCA" w14:textId="77777777" w:rsidR="006E1CE0" w:rsidRPr="00A626CC" w:rsidRDefault="006E1CE0" w:rsidP="00A626CC">
            <w:r w:rsidRPr="00A626CC">
              <w:t>Domain </w:t>
            </w:r>
          </w:p>
        </w:tc>
        <w:tc>
          <w:tcPr>
            <w:tcW w:w="8505" w:type="dxa"/>
            <w:hideMark/>
          </w:tcPr>
          <w:p w14:paraId="1F965F91" w14:textId="77777777" w:rsidR="006E1CE0" w:rsidRPr="00A626CC" w:rsidRDefault="006E1CE0" w:rsidP="00A626CC">
            <w:pPr>
              <w:cnfStyle w:val="100000000000" w:firstRow="1" w:lastRow="0" w:firstColumn="0" w:lastColumn="0" w:oddVBand="0" w:evenVBand="0" w:oddHBand="0" w:evenHBand="0" w:firstRowFirstColumn="0" w:firstRowLastColumn="0" w:lastRowFirstColumn="0" w:lastRowLastColumn="0"/>
            </w:pPr>
            <w:r w:rsidRPr="00A626CC">
              <w:t>Key findings/status </w:t>
            </w:r>
          </w:p>
        </w:tc>
      </w:tr>
      <w:tr w:rsidR="006E1CE0" w:rsidRPr="00A626CC" w14:paraId="0C695076" w14:textId="77777777" w:rsidTr="00F67043">
        <w:trPr>
          <w:trHeight w:val="300"/>
        </w:trPr>
        <w:tc>
          <w:tcPr>
            <w:cnfStyle w:val="001000000000" w:firstRow="0" w:lastRow="0" w:firstColumn="1" w:lastColumn="0" w:oddVBand="0" w:evenVBand="0" w:oddHBand="0" w:evenHBand="0" w:firstRowFirstColumn="0" w:firstRowLastColumn="0" w:lastRowFirstColumn="0" w:lastRowLastColumn="0"/>
            <w:tcW w:w="1268" w:type="dxa"/>
            <w:shd w:val="clear" w:color="auto" w:fill="D9F1ED" w:themeFill="accent6" w:themeFillTint="33"/>
            <w:hideMark/>
          </w:tcPr>
          <w:p w14:paraId="487D6FEA" w14:textId="77777777" w:rsidR="006E1CE0" w:rsidRPr="00A626CC" w:rsidRDefault="006E1CE0" w:rsidP="00A626CC">
            <w:pPr>
              <w:rPr>
                <w:rFonts w:ascii="Arial" w:hAnsi="Arial" w:cs="Arial"/>
                <w:b w:val="0"/>
                <w:color w:val="auto"/>
              </w:rPr>
            </w:pPr>
            <w:r w:rsidRPr="00A626CC">
              <w:rPr>
                <w:rFonts w:ascii="Arial" w:hAnsi="Arial" w:cs="Arial"/>
                <w:color w:val="auto"/>
              </w:rPr>
              <w:t>Strategy</w:t>
            </w:r>
          </w:p>
        </w:tc>
        <w:tc>
          <w:tcPr>
            <w:tcW w:w="8505" w:type="dxa"/>
            <w:hideMark/>
          </w:tcPr>
          <w:p w14:paraId="0F3B3096" w14:textId="7364984F"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 xml:space="preserve">Diverse and evolving labour mobility priorities across </w:t>
            </w:r>
            <w:r w:rsidR="000B3631">
              <w:t>PTL</w:t>
            </w:r>
            <w:r w:rsidRPr="00A626CC">
              <w:t> </w:t>
            </w:r>
          </w:p>
          <w:p w14:paraId="6CC3B664"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In some countries, tension between ministries in relation to labour mobility mandate </w:t>
            </w:r>
          </w:p>
          <w:p w14:paraId="2B391A9B"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High turnover in relevant ministers and permanent secretaries </w:t>
            </w:r>
          </w:p>
          <w:p w14:paraId="48BE84F3" w14:textId="75341019"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 xml:space="preserve">Departmental directors have significant influence over LSU direction and operations, but limited influence in </w:t>
            </w:r>
            <w:r w:rsidR="000B3631">
              <w:t>PTL</w:t>
            </w:r>
            <w:r w:rsidRPr="00A626CC">
              <w:t xml:space="preserve"> government contexts—despite high profile of labour mobility </w:t>
            </w:r>
          </w:p>
          <w:p w14:paraId="4FFF338C"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Limited vision/investment in worker reintegration and economic engagement </w:t>
            </w:r>
          </w:p>
        </w:tc>
      </w:tr>
      <w:tr w:rsidR="006E1CE0" w:rsidRPr="00A626CC" w14:paraId="59780783" w14:textId="77777777" w:rsidTr="00F67043">
        <w:trPr>
          <w:trHeight w:val="300"/>
        </w:trPr>
        <w:tc>
          <w:tcPr>
            <w:cnfStyle w:val="001000000000" w:firstRow="0" w:lastRow="0" w:firstColumn="1" w:lastColumn="0" w:oddVBand="0" w:evenVBand="0" w:oddHBand="0" w:evenHBand="0" w:firstRowFirstColumn="0" w:firstRowLastColumn="0" w:lastRowFirstColumn="0" w:lastRowLastColumn="0"/>
            <w:tcW w:w="1268" w:type="dxa"/>
            <w:shd w:val="clear" w:color="auto" w:fill="D9F1ED" w:themeFill="accent6" w:themeFillTint="33"/>
            <w:hideMark/>
          </w:tcPr>
          <w:p w14:paraId="3F408719" w14:textId="77777777" w:rsidR="006E1CE0" w:rsidRPr="00A626CC" w:rsidRDefault="006E1CE0" w:rsidP="00A626CC">
            <w:pPr>
              <w:rPr>
                <w:rFonts w:ascii="Arial" w:hAnsi="Arial" w:cs="Arial"/>
                <w:b w:val="0"/>
                <w:color w:val="auto"/>
              </w:rPr>
            </w:pPr>
            <w:r w:rsidRPr="00A626CC">
              <w:rPr>
                <w:rFonts w:ascii="Arial" w:hAnsi="Arial" w:cs="Arial"/>
                <w:color w:val="auto"/>
              </w:rPr>
              <w:t>People</w:t>
            </w:r>
          </w:p>
          <w:p w14:paraId="298BA7D2" w14:textId="77777777" w:rsidR="006E1CE0" w:rsidRPr="00A626CC" w:rsidRDefault="006E1CE0" w:rsidP="00A626CC">
            <w:pPr>
              <w:rPr>
                <w:rFonts w:ascii="Arial" w:hAnsi="Arial" w:cs="Arial"/>
                <w:b w:val="0"/>
                <w:color w:val="auto"/>
              </w:rPr>
            </w:pPr>
          </w:p>
          <w:p w14:paraId="6DB1DFAE" w14:textId="77777777" w:rsidR="006E1CE0" w:rsidRPr="00A626CC" w:rsidRDefault="006E1CE0" w:rsidP="00A626CC">
            <w:pPr>
              <w:jc w:val="center"/>
              <w:rPr>
                <w:rFonts w:ascii="Arial" w:hAnsi="Arial" w:cs="Arial"/>
                <w:color w:val="auto"/>
              </w:rPr>
            </w:pPr>
          </w:p>
        </w:tc>
        <w:tc>
          <w:tcPr>
            <w:tcW w:w="8505" w:type="dxa"/>
            <w:hideMark/>
          </w:tcPr>
          <w:p w14:paraId="5BDEFF7C"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Some LSUs have stable staffing (e.g. Kiribati), whereas others (e.g. Tonga) suffer from ongoing staff churn  </w:t>
            </w:r>
          </w:p>
          <w:p w14:paraId="14FC19D5"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Growth of scheme has left LSU under-resourced, especially during peak recruitment periods  </w:t>
            </w:r>
          </w:p>
          <w:p w14:paraId="2677B56E"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Steps underway to formalise LSU staff in public service, but currently heavily subsidised by PLF </w:t>
            </w:r>
          </w:p>
        </w:tc>
      </w:tr>
      <w:tr w:rsidR="006E1CE0" w:rsidRPr="00A626CC" w14:paraId="31765A48" w14:textId="77777777" w:rsidTr="00F67043">
        <w:trPr>
          <w:trHeight w:val="300"/>
        </w:trPr>
        <w:tc>
          <w:tcPr>
            <w:cnfStyle w:val="001000000000" w:firstRow="0" w:lastRow="0" w:firstColumn="1" w:lastColumn="0" w:oddVBand="0" w:evenVBand="0" w:oddHBand="0" w:evenHBand="0" w:firstRowFirstColumn="0" w:firstRowLastColumn="0" w:lastRowFirstColumn="0" w:lastRowLastColumn="0"/>
            <w:tcW w:w="1268" w:type="dxa"/>
            <w:shd w:val="clear" w:color="auto" w:fill="D9F1ED" w:themeFill="accent6" w:themeFillTint="33"/>
            <w:hideMark/>
          </w:tcPr>
          <w:p w14:paraId="6CC52286" w14:textId="77777777" w:rsidR="006E1CE0" w:rsidRPr="00A626CC" w:rsidRDefault="006E1CE0" w:rsidP="00A626CC">
            <w:pPr>
              <w:rPr>
                <w:rFonts w:ascii="Arial" w:hAnsi="Arial" w:cs="Arial"/>
                <w:b w:val="0"/>
                <w:color w:val="auto"/>
              </w:rPr>
            </w:pPr>
            <w:r w:rsidRPr="00A626CC">
              <w:rPr>
                <w:rFonts w:ascii="Arial" w:hAnsi="Arial" w:cs="Arial"/>
                <w:color w:val="auto"/>
              </w:rPr>
              <w:t>Skills</w:t>
            </w:r>
          </w:p>
        </w:tc>
        <w:tc>
          <w:tcPr>
            <w:tcW w:w="8505" w:type="dxa"/>
            <w:hideMark/>
          </w:tcPr>
          <w:p w14:paraId="61CA6B22"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High calibre of staff, though frequently coming from public service without HR skills required for recruitment  </w:t>
            </w:r>
          </w:p>
          <w:p w14:paraId="2D7CEC51"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Significant training and ongoing mentoring invested by PLF </w:t>
            </w:r>
          </w:p>
          <w:p w14:paraId="2C82A7A8"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LSU staff report adequate skills and growing confidence </w:t>
            </w:r>
          </w:p>
          <w:p w14:paraId="2B66B5C5"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[Timor-Leste] Language difficulties </w:t>
            </w:r>
          </w:p>
          <w:p w14:paraId="1E5802F6"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General agreement that PLF capacity support required for several years </w:t>
            </w:r>
          </w:p>
        </w:tc>
      </w:tr>
      <w:tr w:rsidR="006E1CE0" w:rsidRPr="00A626CC" w14:paraId="7FEFB5B2" w14:textId="77777777" w:rsidTr="00F67043">
        <w:trPr>
          <w:trHeight w:val="300"/>
        </w:trPr>
        <w:tc>
          <w:tcPr>
            <w:cnfStyle w:val="001000000000" w:firstRow="0" w:lastRow="0" w:firstColumn="1" w:lastColumn="0" w:oddVBand="0" w:evenVBand="0" w:oddHBand="0" w:evenHBand="0" w:firstRowFirstColumn="0" w:firstRowLastColumn="0" w:lastRowFirstColumn="0" w:lastRowLastColumn="0"/>
            <w:tcW w:w="1268" w:type="dxa"/>
            <w:shd w:val="clear" w:color="auto" w:fill="D9F1ED" w:themeFill="accent6" w:themeFillTint="33"/>
            <w:hideMark/>
          </w:tcPr>
          <w:p w14:paraId="24723780" w14:textId="77777777" w:rsidR="006E1CE0" w:rsidRPr="00A626CC" w:rsidRDefault="006E1CE0" w:rsidP="00A626CC">
            <w:pPr>
              <w:rPr>
                <w:rFonts w:ascii="Arial" w:hAnsi="Arial" w:cs="Arial"/>
                <w:b w:val="0"/>
                <w:color w:val="auto"/>
              </w:rPr>
            </w:pPr>
            <w:r w:rsidRPr="00A626CC">
              <w:rPr>
                <w:rFonts w:ascii="Arial" w:hAnsi="Arial" w:cs="Arial"/>
                <w:color w:val="auto"/>
              </w:rPr>
              <w:lastRenderedPageBreak/>
              <w:t>Incentives</w:t>
            </w:r>
          </w:p>
        </w:tc>
        <w:tc>
          <w:tcPr>
            <w:tcW w:w="8505" w:type="dxa"/>
            <w:hideMark/>
          </w:tcPr>
          <w:p w14:paraId="4CC7FDF2" w14:textId="695A8398"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 xml:space="preserve">Labour mobility in strong demand among </w:t>
            </w:r>
            <w:r w:rsidR="000B3631">
              <w:t>PTL</w:t>
            </w:r>
            <w:r w:rsidRPr="00A626CC">
              <w:t xml:space="preserve"> citizens, creating status for LSU staff </w:t>
            </w:r>
          </w:p>
          <w:p w14:paraId="2F65FB97" w14:textId="50774971"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 xml:space="preserve">Labour mobility high priority for </w:t>
            </w:r>
            <w:r w:rsidR="000B3631">
              <w:t>PTL</w:t>
            </w:r>
            <w:r w:rsidRPr="00A626CC">
              <w:t xml:space="preserve"> governments </w:t>
            </w:r>
          </w:p>
          <w:p w14:paraId="76719F0D"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Training and travel opportunities incentivise LSU staff </w:t>
            </w:r>
          </w:p>
        </w:tc>
      </w:tr>
      <w:tr w:rsidR="006E1CE0" w:rsidRPr="00A626CC" w14:paraId="49AF353C" w14:textId="77777777" w:rsidTr="00F67043">
        <w:trPr>
          <w:trHeight w:val="300"/>
        </w:trPr>
        <w:tc>
          <w:tcPr>
            <w:cnfStyle w:val="001000000000" w:firstRow="0" w:lastRow="0" w:firstColumn="1" w:lastColumn="0" w:oddVBand="0" w:evenVBand="0" w:oddHBand="0" w:evenHBand="0" w:firstRowFirstColumn="0" w:firstRowLastColumn="0" w:lastRowFirstColumn="0" w:lastRowLastColumn="0"/>
            <w:tcW w:w="1268" w:type="dxa"/>
            <w:shd w:val="clear" w:color="auto" w:fill="D9F1ED" w:themeFill="accent6" w:themeFillTint="33"/>
            <w:hideMark/>
          </w:tcPr>
          <w:p w14:paraId="2A1A7729" w14:textId="77777777" w:rsidR="006E1CE0" w:rsidRPr="00A626CC" w:rsidRDefault="006E1CE0" w:rsidP="00A626CC">
            <w:pPr>
              <w:rPr>
                <w:rFonts w:ascii="Arial" w:hAnsi="Arial" w:cs="Arial"/>
                <w:b w:val="0"/>
                <w:color w:val="auto"/>
              </w:rPr>
            </w:pPr>
            <w:r w:rsidRPr="00A626CC">
              <w:rPr>
                <w:rFonts w:ascii="Arial" w:hAnsi="Arial" w:cs="Arial"/>
                <w:color w:val="auto"/>
              </w:rPr>
              <w:t>Systems</w:t>
            </w:r>
          </w:p>
        </w:tc>
        <w:tc>
          <w:tcPr>
            <w:tcW w:w="8505" w:type="dxa"/>
            <w:hideMark/>
          </w:tcPr>
          <w:p w14:paraId="545A1F5C"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Documentation of PALM scheme processes and procedures  </w:t>
            </w:r>
          </w:p>
          <w:p w14:paraId="2071E07E"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IRD and PALMIS intended to dramatically improve operational efficiency </w:t>
            </w:r>
          </w:p>
          <w:p w14:paraId="4BBE13F8"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Formalised systems of PDB training </w:t>
            </w:r>
          </w:p>
          <w:p w14:paraId="638FF34B"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Weak knowledge/linkages between LSU and DEWR </w:t>
            </w:r>
          </w:p>
          <w:p w14:paraId="247578FD"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Role and system to support reintegration of workers undeveloped </w:t>
            </w:r>
          </w:p>
        </w:tc>
      </w:tr>
      <w:tr w:rsidR="006E1CE0" w:rsidRPr="00A626CC" w14:paraId="1B484F97" w14:textId="77777777" w:rsidTr="00F67043">
        <w:trPr>
          <w:trHeight w:val="300"/>
        </w:trPr>
        <w:tc>
          <w:tcPr>
            <w:cnfStyle w:val="001000000000" w:firstRow="0" w:lastRow="0" w:firstColumn="1" w:lastColumn="0" w:oddVBand="0" w:evenVBand="0" w:oddHBand="0" w:evenHBand="0" w:firstRowFirstColumn="0" w:firstRowLastColumn="0" w:lastRowFirstColumn="0" w:lastRowLastColumn="0"/>
            <w:tcW w:w="1268" w:type="dxa"/>
            <w:shd w:val="clear" w:color="auto" w:fill="D9F1ED" w:themeFill="accent6" w:themeFillTint="33"/>
            <w:hideMark/>
          </w:tcPr>
          <w:p w14:paraId="619A28E5" w14:textId="77777777" w:rsidR="006E1CE0" w:rsidRPr="00A626CC" w:rsidRDefault="006E1CE0" w:rsidP="00A626CC">
            <w:pPr>
              <w:rPr>
                <w:rFonts w:ascii="Arial" w:hAnsi="Arial" w:cs="Arial"/>
                <w:b w:val="0"/>
                <w:color w:val="auto"/>
              </w:rPr>
            </w:pPr>
            <w:r w:rsidRPr="00A626CC">
              <w:rPr>
                <w:rFonts w:ascii="Arial" w:hAnsi="Arial" w:cs="Arial"/>
                <w:color w:val="auto"/>
              </w:rPr>
              <w:t>Resources</w:t>
            </w:r>
          </w:p>
        </w:tc>
        <w:tc>
          <w:tcPr>
            <w:tcW w:w="8505" w:type="dxa"/>
            <w:hideMark/>
          </w:tcPr>
          <w:p w14:paraId="721FBAD2"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D8744A">
              <w:t>Labour sending</w:t>
            </w:r>
            <w:r w:rsidRPr="00A626CC">
              <w:t xml:space="preserve"> country interest in labour mobility is not backed up with reliable resourcing of LSU </w:t>
            </w:r>
          </w:p>
          <w:p w14:paraId="464EFE21" w14:textId="77777777"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No LSUs have their own budget line </w:t>
            </w:r>
          </w:p>
          <w:p w14:paraId="5F780AEF" w14:textId="1CC02731" w:rsidR="006E1CE0" w:rsidRPr="00A626CC" w:rsidRDefault="006E1CE0" w:rsidP="00A626CC">
            <w:pPr>
              <w:pStyle w:val="ListBullet2"/>
              <w:cnfStyle w:val="000000000000" w:firstRow="0" w:lastRow="0" w:firstColumn="0" w:lastColumn="0" w:oddVBand="0" w:evenVBand="0" w:oddHBand="0" w:evenHBand="0" w:firstRowFirstColumn="0" w:firstRowLastColumn="0" w:lastRowFirstColumn="0" w:lastRowLastColumn="0"/>
            </w:pPr>
            <w:r w:rsidRPr="00A626CC">
              <w:t>Significant proportion of staff and operating expenses carried by PLF, including critical office equipment </w:t>
            </w:r>
          </w:p>
        </w:tc>
      </w:tr>
    </w:tbl>
    <w:p w14:paraId="574170DB" w14:textId="7E90D140" w:rsidR="00F92DF8" w:rsidRPr="00A626CC" w:rsidRDefault="006E1CE0" w:rsidP="00351C25">
      <w:pPr>
        <w:spacing w:before="240"/>
        <w:rPr>
          <w:rFonts w:cstheme="minorHAnsi"/>
          <w:sz w:val="18"/>
          <w:szCs w:val="18"/>
        </w:rPr>
      </w:pPr>
      <w:r w:rsidRPr="00A626CC">
        <w:t>T</w:t>
      </w:r>
      <w:r w:rsidR="00F92DF8" w:rsidRPr="00A626CC">
        <w:t xml:space="preserve">he implications of the above assessment are that </w:t>
      </w:r>
      <w:r w:rsidR="009B66C6" w:rsidRPr="00A626CC">
        <w:t xml:space="preserve">while some </w:t>
      </w:r>
      <w:r w:rsidR="00F92DF8" w:rsidRPr="00A626CC">
        <w:t>further support for skills and systems consolidation will be required in the next phase of DFAT funding</w:t>
      </w:r>
      <w:r w:rsidR="009B66C6" w:rsidRPr="00A626CC">
        <w:t xml:space="preserve">, there is </w:t>
      </w:r>
      <w:r w:rsidR="006D48DE" w:rsidRPr="00A626CC">
        <w:t xml:space="preserve">need for broader support to </w:t>
      </w:r>
      <w:r w:rsidR="006D48DE" w:rsidRPr="00D8744A">
        <w:t>labour sending</w:t>
      </w:r>
      <w:r w:rsidR="006D48DE" w:rsidRPr="00A626CC">
        <w:t xml:space="preserve"> governments to evolve their own unique vision/strategy for labour mobility </w:t>
      </w:r>
      <w:r w:rsidR="005F3391" w:rsidRPr="00A626CC">
        <w:t>and the resourcing of this strategy</w:t>
      </w:r>
      <w:r w:rsidR="00B049A1" w:rsidRPr="00A626CC">
        <w:t>.</w:t>
      </w:r>
    </w:p>
    <w:p w14:paraId="637D37B0" w14:textId="267248D0" w:rsidR="00666156" w:rsidRPr="00A626CC" w:rsidRDefault="00FE183A" w:rsidP="00A626CC">
      <w:pPr>
        <w:rPr>
          <w:rFonts w:cstheme="minorHAnsi"/>
        </w:rPr>
      </w:pPr>
      <w:r w:rsidRPr="00A626CC">
        <w:rPr>
          <w:rFonts w:cstheme="minorHAnsi"/>
        </w:rPr>
        <w:t xml:space="preserve">As noted, </w:t>
      </w:r>
      <w:r w:rsidR="00666156" w:rsidRPr="00A626CC">
        <w:rPr>
          <w:rFonts w:cstheme="minorHAnsi"/>
        </w:rPr>
        <w:t xml:space="preserve">the rapid scale-up of </w:t>
      </w:r>
      <w:r w:rsidR="007368E7" w:rsidRPr="00A626CC">
        <w:rPr>
          <w:rFonts w:cstheme="minorHAnsi"/>
        </w:rPr>
        <w:t>PALM scheme</w:t>
      </w:r>
      <w:r w:rsidR="00F92867" w:rsidRPr="00A626CC">
        <w:rPr>
          <w:rFonts w:cstheme="minorHAnsi"/>
        </w:rPr>
        <w:t xml:space="preserve"> </w:t>
      </w:r>
      <w:r w:rsidR="00666156" w:rsidRPr="00A626CC">
        <w:rPr>
          <w:rFonts w:cstheme="minorHAnsi"/>
        </w:rPr>
        <w:t xml:space="preserve">workers has eroded the original ambition </w:t>
      </w:r>
      <w:r w:rsidRPr="00A626CC">
        <w:rPr>
          <w:rFonts w:cstheme="minorHAnsi"/>
        </w:rPr>
        <w:t xml:space="preserve">for </w:t>
      </w:r>
      <w:r w:rsidR="00666156" w:rsidRPr="00A626CC">
        <w:rPr>
          <w:rFonts w:cstheme="minorHAnsi"/>
        </w:rPr>
        <w:t xml:space="preserve">LSUs to operate independently of PLF. In the case of Vanuatu, LSU staff </w:t>
      </w:r>
      <w:r w:rsidR="00AD72C9" w:rsidRPr="00A626CC">
        <w:rPr>
          <w:rFonts w:cstheme="minorHAnsi"/>
        </w:rPr>
        <w:t xml:space="preserve">numbers </w:t>
      </w:r>
      <w:r w:rsidR="00666156" w:rsidRPr="00A626CC">
        <w:rPr>
          <w:rFonts w:cstheme="minorHAnsi"/>
        </w:rPr>
        <w:t xml:space="preserve">increased almost four-fold, with half continuing to be paid by PLF. There was virtual consensus among interviewees that LSUs would not yet be able to operate unsupported at the required intensity. </w:t>
      </w:r>
      <w:r w:rsidR="000A6254" w:rsidRPr="00A626CC">
        <w:rPr>
          <w:rFonts w:cstheme="minorHAnsi"/>
        </w:rPr>
        <w:t xml:space="preserve">a senior PLF team member </w:t>
      </w:r>
      <w:r w:rsidR="00666156" w:rsidRPr="00A626CC">
        <w:rPr>
          <w:rFonts w:cstheme="minorHAnsi"/>
        </w:rPr>
        <w:t>reflected: </w:t>
      </w:r>
    </w:p>
    <w:p w14:paraId="55CE4C14" w14:textId="77777777" w:rsidR="00666156" w:rsidRPr="00A626CC" w:rsidRDefault="00666156" w:rsidP="00A626CC">
      <w:pPr>
        <w:pStyle w:val="Quote"/>
      </w:pPr>
      <w:r w:rsidRPr="00A626CC">
        <w:t>“DFAT is propping up the LSUs. As soon as Australia doubled worker numbers during COVID, we had to increase funding for LSUs. The early idea had been for PLF to do itself out of a job…that there should be no DFAT subsidy for LSU operations…a ‘Sustainability Roadmap’ foresaw a decline in Australia’s support for sending countries…we haven’t been able to because of the operational demands”.  </w:t>
      </w:r>
    </w:p>
    <w:p w14:paraId="66497FBE" w14:textId="7D12A8D2" w:rsidR="00666156" w:rsidRPr="00A626CC" w:rsidRDefault="00666156" w:rsidP="00A626CC">
      <w:pPr>
        <w:rPr>
          <w:rFonts w:cstheme="minorHAnsi"/>
        </w:rPr>
      </w:pPr>
      <w:r w:rsidRPr="00A626CC">
        <w:rPr>
          <w:rFonts w:cstheme="minorHAnsi"/>
        </w:rPr>
        <w:t>Beyond the skills and systems necessary for LSUs to independently meet the demands</w:t>
      </w:r>
      <w:r w:rsidR="000B3631">
        <w:rPr>
          <w:rFonts w:cstheme="minorHAnsi"/>
        </w:rPr>
        <w:t xml:space="preserve"> of</w:t>
      </w:r>
      <w:r w:rsidRPr="00A626CC">
        <w:rPr>
          <w:rFonts w:cstheme="minorHAnsi"/>
        </w:rPr>
        <w:t xml:space="preserve"> the PALM scheme, is the matter of resourcing. PLF has invested significantly in LSU payroll, equipment, </w:t>
      </w:r>
      <w:r w:rsidR="00BA49EF" w:rsidRPr="00A626CC">
        <w:rPr>
          <w:rFonts w:cstheme="minorHAnsi"/>
        </w:rPr>
        <w:t>travel,</w:t>
      </w:r>
      <w:r w:rsidRPr="00A626CC">
        <w:rPr>
          <w:rFonts w:cstheme="minorHAnsi"/>
        </w:rPr>
        <w:t xml:space="preserve"> and office fit-out. In Vanuatu, </w:t>
      </w:r>
      <w:r w:rsidR="00481945" w:rsidRPr="00A626CC">
        <w:rPr>
          <w:rFonts w:cstheme="minorHAnsi"/>
        </w:rPr>
        <w:t xml:space="preserve">a </w:t>
      </w:r>
      <w:r w:rsidR="00B955A5" w:rsidRPr="00A626CC">
        <w:rPr>
          <w:rFonts w:cstheme="minorHAnsi"/>
        </w:rPr>
        <w:t xml:space="preserve">stakeholder </w:t>
      </w:r>
      <w:r w:rsidR="00481945" w:rsidRPr="00A626CC">
        <w:rPr>
          <w:rFonts w:cstheme="minorHAnsi"/>
        </w:rPr>
        <w:t xml:space="preserve">in Vanuatu </w:t>
      </w:r>
      <w:r w:rsidRPr="00A626CC">
        <w:rPr>
          <w:rFonts w:cstheme="minorHAnsi"/>
        </w:rPr>
        <w:t>reported: </w:t>
      </w:r>
    </w:p>
    <w:p w14:paraId="2CB68C1E" w14:textId="77777777" w:rsidR="00666156" w:rsidRPr="00A626CC" w:rsidRDefault="00666156" w:rsidP="00A626CC">
      <w:pPr>
        <w:pStyle w:val="Quote"/>
      </w:pPr>
      <w:r w:rsidRPr="00A626CC">
        <w:t>“PLF built a whole dedicated office building, including fencing, car park and furnishing…previously we were operating down in town in dilapidated offices, conducting training in a car park”. </w:t>
      </w:r>
    </w:p>
    <w:p w14:paraId="722A2A8B" w14:textId="0B494B1F" w:rsidR="00666156" w:rsidRPr="00A626CC" w:rsidRDefault="00666156" w:rsidP="00A626CC">
      <w:pPr>
        <w:rPr>
          <w:rFonts w:cstheme="minorHAnsi"/>
        </w:rPr>
      </w:pPr>
      <w:r w:rsidRPr="00A626CC">
        <w:rPr>
          <w:rFonts w:cstheme="minorHAnsi"/>
        </w:rPr>
        <w:t xml:space="preserve">This investment by PLF is in circumstances where none of the labour sending governments are </w:t>
      </w:r>
      <w:r w:rsidR="00AD72C9" w:rsidRPr="00A626CC">
        <w:rPr>
          <w:rFonts w:cstheme="minorHAnsi"/>
        </w:rPr>
        <w:t xml:space="preserve">yet </w:t>
      </w:r>
      <w:r w:rsidRPr="00A626CC">
        <w:rPr>
          <w:rFonts w:cstheme="minorHAnsi"/>
        </w:rPr>
        <w:t xml:space="preserve">allocating budget for PLF, and many PLF staff are not yet recognised public servants. However, the evaluation team heard arguments that the LSUs are not a normal part of </w:t>
      </w:r>
      <w:r w:rsidR="000B3631">
        <w:rPr>
          <w:rFonts w:cstheme="minorHAnsi"/>
        </w:rPr>
        <w:t>PTL</w:t>
      </w:r>
      <w:r w:rsidRPr="00A626CC">
        <w:rPr>
          <w:rFonts w:cstheme="minorHAnsi"/>
        </w:rPr>
        <w:t xml:space="preserve"> government bureaucracy—rather they are an artefact of Australian industry labour shortages</w:t>
      </w:r>
      <w:r w:rsidR="008E58E8" w:rsidRPr="00A626CC">
        <w:rPr>
          <w:rFonts w:cstheme="minorHAnsi"/>
        </w:rPr>
        <w:t>. H</w:t>
      </w:r>
      <w:r w:rsidRPr="00A626CC">
        <w:rPr>
          <w:rFonts w:cstheme="minorHAnsi"/>
        </w:rPr>
        <w:t>ence, it is unreasonable to expect fiscally constrained governments to bear the costs. This is essentially an argument for ‘user pays’.  But, to follow this argument, who is the user in this case? Is it Australian employers (who cover the upfront costs for workers</w:t>
      </w:r>
      <w:r w:rsidR="005470A7" w:rsidRPr="00A626CC">
        <w:rPr>
          <w:rFonts w:cstheme="minorHAnsi"/>
        </w:rPr>
        <w:t>, subsequently deducted from workers’ wages</w:t>
      </w:r>
      <w:r w:rsidRPr="00A626CC">
        <w:rPr>
          <w:rFonts w:cstheme="minorHAnsi"/>
        </w:rPr>
        <w:t>)? Is it workers themselves (often from limited asset/unemployed contexts)</w:t>
      </w:r>
      <w:r w:rsidR="005470A7" w:rsidRPr="00A626CC">
        <w:rPr>
          <w:rFonts w:cstheme="minorHAnsi"/>
        </w:rPr>
        <w:t>? Or</w:t>
      </w:r>
      <w:r w:rsidRPr="00A626CC">
        <w:rPr>
          <w:rFonts w:cstheme="minorHAnsi"/>
        </w:rPr>
        <w:t xml:space="preserve"> is it Australian </w:t>
      </w:r>
      <w:r w:rsidR="00DB7D97" w:rsidRPr="00A626CC">
        <w:rPr>
          <w:rFonts w:cstheme="minorHAnsi"/>
        </w:rPr>
        <w:t>taxpayers</w:t>
      </w:r>
      <w:r w:rsidRPr="00A626CC">
        <w:rPr>
          <w:rFonts w:cstheme="minorHAnsi"/>
        </w:rPr>
        <w:t xml:space="preserve"> (via DFAT/DEWR)? Predictably, views about this differ depending on standpoint. An Australian employer reflected: </w:t>
      </w:r>
    </w:p>
    <w:p w14:paraId="56AF19EB" w14:textId="1DBE1590" w:rsidR="00666156" w:rsidRPr="00A626CC" w:rsidRDefault="00666156" w:rsidP="00A626CC">
      <w:pPr>
        <w:pStyle w:val="Quote"/>
      </w:pPr>
      <w:r w:rsidRPr="00A626CC">
        <w:lastRenderedPageBreak/>
        <w:t xml:space="preserve">“I get the argument about user-pays. Is it for </w:t>
      </w:r>
      <w:r w:rsidR="00DB7D97" w:rsidRPr="00A626CC">
        <w:t>taxpayers</w:t>
      </w:r>
      <w:r w:rsidRPr="00A626CC">
        <w:t xml:space="preserve"> to fund LSU capacity on behalf of employers? It comes back to the strategic expectations. DFAT wants to respond to the Pacific. They need the PALM scheme to operate. DFAT needs to be seen to be supporting the </w:t>
      </w:r>
      <w:r w:rsidR="00127E15" w:rsidRPr="00A626CC">
        <w:t>Pacific</w:t>
      </w:r>
      <w:r w:rsidRPr="00A626CC">
        <w:t>”. </w:t>
      </w:r>
    </w:p>
    <w:p w14:paraId="72E4A91B" w14:textId="277E3EE3" w:rsidR="00666156" w:rsidRPr="00A626CC" w:rsidRDefault="00666156" w:rsidP="00A626CC">
      <w:pPr>
        <w:rPr>
          <w:rFonts w:cstheme="minorHAnsi"/>
        </w:rPr>
      </w:pPr>
      <w:r w:rsidRPr="00A626CC">
        <w:rPr>
          <w:rFonts w:cstheme="minorHAnsi"/>
        </w:rPr>
        <w:t xml:space="preserve">Clearly the issue of ‘LSU sustainability’ sits within a wider strategic context that demands more nuanced debate. As discussed earlier, it is too simplistic to see labour mobility only as a development investment with the usual expectations of sustainable capacity transfer to a recipient country. But equally, it is too simplistic to approach this as just a migrant labour scheme. The wider geopolitics demands that the Australian Government position itself as a ‘partner of choice’ in the region. There is now widespread acknowledgement of the political importance of the scheme to </w:t>
      </w:r>
      <w:r w:rsidR="0092786C" w:rsidRPr="00A626CC">
        <w:rPr>
          <w:rFonts w:cstheme="minorHAnsi"/>
        </w:rPr>
        <w:t>Australia</w:t>
      </w:r>
      <w:r w:rsidRPr="00A626CC">
        <w:rPr>
          <w:rFonts w:cstheme="minorHAnsi"/>
        </w:rPr>
        <w:t xml:space="preserve">. This extends to demonstrating to partner countries the value of remittances, skill development and people-to-people links that arise from labour mobility. </w:t>
      </w:r>
      <w:r w:rsidR="008F5CAA" w:rsidRPr="00A626CC">
        <w:rPr>
          <w:rFonts w:cstheme="minorHAnsi"/>
        </w:rPr>
        <w:t xml:space="preserve">There is also recognition </w:t>
      </w:r>
      <w:r w:rsidRPr="00A626CC">
        <w:rPr>
          <w:rFonts w:cstheme="minorHAnsi"/>
        </w:rPr>
        <w:t>that the revenue generated in regional areas of Australia is substantia</w:t>
      </w:r>
      <w:r w:rsidR="00BA49EF" w:rsidRPr="00A626CC">
        <w:rPr>
          <w:rFonts w:cstheme="minorHAnsi"/>
        </w:rPr>
        <w:t xml:space="preserve">l, </w:t>
      </w:r>
      <w:r w:rsidRPr="00A626CC">
        <w:rPr>
          <w:rFonts w:cstheme="minorHAnsi"/>
        </w:rPr>
        <w:t>including as income for local churches and organisations. And all of this sits against the backdrop of economics in Australia</w:t>
      </w:r>
      <w:r w:rsidR="001C6B31" w:rsidRPr="00A626CC">
        <w:rPr>
          <w:rFonts w:cstheme="minorHAnsi"/>
        </w:rPr>
        <w:t xml:space="preserve"> which has demonstrated the difficulty of recruiting</w:t>
      </w:r>
      <w:r w:rsidR="005534B8" w:rsidRPr="00A626CC">
        <w:rPr>
          <w:rFonts w:cstheme="minorHAnsi"/>
        </w:rPr>
        <w:t xml:space="preserve"> sufficient workers to fill roles </w:t>
      </w:r>
      <w:r w:rsidR="008E58E8" w:rsidRPr="00A626CC">
        <w:rPr>
          <w:rFonts w:cstheme="minorHAnsi"/>
        </w:rPr>
        <w:t xml:space="preserve">that </w:t>
      </w:r>
      <w:r w:rsidR="005534B8" w:rsidRPr="00A626CC">
        <w:rPr>
          <w:rFonts w:cstheme="minorHAnsi"/>
        </w:rPr>
        <w:t>labour mobility workers</w:t>
      </w:r>
      <w:r w:rsidR="00953922" w:rsidRPr="00A626CC">
        <w:rPr>
          <w:rFonts w:cstheme="minorHAnsi"/>
        </w:rPr>
        <w:t xml:space="preserve"> successfully fill</w:t>
      </w:r>
      <w:r w:rsidRPr="00A626CC">
        <w:rPr>
          <w:rFonts w:cstheme="minorHAnsi"/>
        </w:rPr>
        <w:t xml:space="preserve">. In short, Australia needs the PALM scheme to be successful as much as the </w:t>
      </w:r>
      <w:r w:rsidRPr="00A57B46">
        <w:rPr>
          <w:rFonts w:cstheme="minorHAnsi"/>
        </w:rPr>
        <w:t>labour sending</w:t>
      </w:r>
      <w:r w:rsidRPr="00A626CC">
        <w:rPr>
          <w:rFonts w:cstheme="minorHAnsi"/>
        </w:rPr>
        <w:t xml:space="preserve"> countries. Hence, ‘sustainability’ in the broadest sense of the PALM scheme is contingent on: </w:t>
      </w:r>
    </w:p>
    <w:p w14:paraId="4938586F" w14:textId="32AA860E" w:rsidR="00666156" w:rsidRPr="00666156" w:rsidRDefault="00666156" w:rsidP="009A2212">
      <w:pPr>
        <w:pStyle w:val="ListBullet"/>
      </w:pPr>
      <w:r w:rsidRPr="00666156">
        <w:t>LSU skill and resources (supported from any source)</w:t>
      </w:r>
      <w:r w:rsidR="00F94801">
        <w:t>.</w:t>
      </w:r>
      <w:r w:rsidRPr="00666156">
        <w:t> </w:t>
      </w:r>
    </w:p>
    <w:p w14:paraId="11A57C42" w14:textId="3C62B8C6" w:rsidR="00666156" w:rsidRPr="00666156" w:rsidRDefault="00666156" w:rsidP="009A2212">
      <w:pPr>
        <w:pStyle w:val="ListBullet"/>
      </w:pPr>
      <w:r w:rsidRPr="00666156">
        <w:t>Continuing willingness of workers/communities to participate in labour mobility (</w:t>
      </w:r>
      <w:r w:rsidR="00C25807" w:rsidRPr="00666156">
        <w:t>notwithstanding</w:t>
      </w:r>
      <w:r w:rsidRPr="00666156">
        <w:t xml:space="preserve"> growing worker welfare concerns and visa limitations)</w:t>
      </w:r>
      <w:r w:rsidR="00F94801">
        <w:t>.</w:t>
      </w:r>
      <w:r w:rsidRPr="00666156">
        <w:t> </w:t>
      </w:r>
    </w:p>
    <w:p w14:paraId="17DCEFB7" w14:textId="3C5A498D" w:rsidR="0078103C" w:rsidRDefault="0078103C" w:rsidP="009A2212">
      <w:pPr>
        <w:pStyle w:val="ListBullet"/>
      </w:pPr>
      <w:r w:rsidRPr="00666156">
        <w:t xml:space="preserve">Continuing willingness of Australian employers to hire Pacific/Timorese workers (noting the implications of the </w:t>
      </w:r>
      <w:r w:rsidR="00CA690A">
        <w:t>PALM scheme d</w:t>
      </w:r>
      <w:r w:rsidRPr="00666156">
        <w:t xml:space="preserve">eed and </w:t>
      </w:r>
      <w:r w:rsidR="00CA690A">
        <w:t>g</w:t>
      </w:r>
      <w:r w:rsidRPr="00666156">
        <w:t>uidelines)</w:t>
      </w:r>
      <w:r w:rsidRPr="00442F1F">
        <w:t>.</w:t>
      </w:r>
      <w:r w:rsidRPr="00A626CC">
        <w:rPr>
          <w:rStyle w:val="FootnoteReference"/>
          <w:rFonts w:cstheme="minorHAnsi"/>
        </w:rPr>
        <w:footnoteReference w:id="65"/>
      </w:r>
      <w:r>
        <w:t xml:space="preserve"> </w:t>
      </w:r>
      <w:r w:rsidRPr="00A626CC">
        <w:rPr>
          <w:rStyle w:val="FootnoteReference"/>
          <w:rFonts w:cstheme="minorHAnsi"/>
        </w:rPr>
        <w:footnoteReference w:id="66"/>
      </w:r>
      <w:r w:rsidRPr="00666156">
        <w:t> </w:t>
      </w:r>
    </w:p>
    <w:p w14:paraId="11E4FCDA" w14:textId="6AF66F98" w:rsidR="0078103C" w:rsidRDefault="0078103C" w:rsidP="009A2212">
      <w:pPr>
        <w:pStyle w:val="ListBullet"/>
      </w:pPr>
      <w:r w:rsidRPr="00442F1F">
        <w:t xml:space="preserve">Continuing commitment from </w:t>
      </w:r>
      <w:r w:rsidRPr="00A57B46">
        <w:t>sending</w:t>
      </w:r>
      <w:r w:rsidRPr="00442F1F">
        <w:t xml:space="preserve"> country governments.</w:t>
      </w:r>
    </w:p>
    <w:p w14:paraId="6660058D" w14:textId="77777777" w:rsidR="0098102E" w:rsidRPr="0098102E" w:rsidRDefault="0098102E" w:rsidP="0098102E">
      <w:pPr>
        <w:pStyle w:val="ListBullet"/>
      </w:pPr>
      <w:r w:rsidRPr="0098102E">
        <w:t xml:space="preserve">Social license for the scheme in Australia and </w:t>
      </w:r>
      <w:r w:rsidRPr="00A57B46">
        <w:t xml:space="preserve">sending </w:t>
      </w:r>
      <w:r w:rsidRPr="00B11890">
        <w:t>countries.</w:t>
      </w:r>
    </w:p>
    <w:p w14:paraId="741C3888" w14:textId="77777777" w:rsidR="003E0194" w:rsidRPr="00A626CC" w:rsidRDefault="003E0194" w:rsidP="00A626CC">
      <w:pPr>
        <w:pStyle w:val="Heading2"/>
      </w:pPr>
      <w:bookmarkStart w:id="45" w:name="_Toc152591527"/>
      <w:r w:rsidRPr="00A626CC">
        <w:t>Appropriateness and utility of MEL arrangements</w:t>
      </w:r>
      <w:bookmarkEnd w:id="45"/>
      <w:r w:rsidRPr="00A626CC">
        <w:t> </w:t>
      </w:r>
    </w:p>
    <w:p w14:paraId="3104CF14" w14:textId="40FAC9C8" w:rsidR="00C45ABD" w:rsidRPr="00A626CC" w:rsidRDefault="00C45ABD" w:rsidP="00A626CC">
      <w:r w:rsidRPr="00A626CC">
        <w:t xml:space="preserve">It is a truism that the more complex a program, and the more dynamic the context, the more critical the MEL arrangements are for ensuring ongoing relevance, effectiveness and efficiency. As set out in Section </w:t>
      </w:r>
      <w:r w:rsidR="00B32EB5" w:rsidRPr="00A626CC">
        <w:fldChar w:fldCharType="begin"/>
      </w:r>
      <w:r w:rsidR="00B32EB5" w:rsidRPr="00A626CC">
        <w:instrText xml:space="preserve"> REF _Ref149258177 \r \h </w:instrText>
      </w:r>
      <w:r w:rsidR="00B32EB5" w:rsidRPr="00A626CC">
        <w:fldChar w:fldCharType="separate"/>
      </w:r>
      <w:r w:rsidR="001F6F84">
        <w:t>2.3</w:t>
      </w:r>
      <w:r w:rsidR="00B32EB5" w:rsidRPr="00A626CC">
        <w:fldChar w:fldCharType="end"/>
      </w:r>
      <w:r w:rsidRPr="00A626CC">
        <w:t xml:space="preserve"> and throughout this report, PLF has had to accommodate a high degree of complexity and dynamism.</w:t>
      </w:r>
      <w:r w:rsidR="00870B26">
        <w:t xml:space="preserve"> </w:t>
      </w:r>
      <w:r w:rsidR="00F904F2">
        <w:t>In this context, t</w:t>
      </w:r>
      <w:r w:rsidR="00870B26">
        <w:t xml:space="preserve">he overall view of the evaluation team is that </w:t>
      </w:r>
      <w:r w:rsidR="00B833A6">
        <w:t xml:space="preserve">PLF have demonstrated a high standard of MEL practice, </w:t>
      </w:r>
      <w:r w:rsidR="00485A35">
        <w:t xml:space="preserve">enabling </w:t>
      </w:r>
      <w:r w:rsidR="008A00D8">
        <w:t>well-informed reporting to the Australian Government and continuous improvement within PLF.</w:t>
      </w:r>
    </w:p>
    <w:p w14:paraId="2088F7A7" w14:textId="086FD8FF" w:rsidR="00C45ABD" w:rsidRPr="00A626CC" w:rsidRDefault="00C45ABD" w:rsidP="00A626CC">
      <w:r w:rsidRPr="00A626CC">
        <w:t>The general sentiments amongst key stakeholders with knowledge of PLF’s MEL work is positive. As noted elsewhere in this report, PLF’s responsiveness was especially appreciated by DFAT stakeholders, and in many cases this feedback pertained to MEL data and research. That said, within the dynamic context, DFAT has struggled at times to articulate its expectations in relation to MEL. A senior PLF staff observed:</w:t>
      </w:r>
    </w:p>
    <w:p w14:paraId="41917CC9" w14:textId="74D4033C" w:rsidR="00C45ABD" w:rsidRPr="00A626CC" w:rsidRDefault="00C45ABD" w:rsidP="00A626CC">
      <w:pPr>
        <w:pStyle w:val="Quote"/>
      </w:pPr>
      <w:r w:rsidRPr="00A626CC">
        <w:t xml:space="preserve">“DFAT’s capacity to engage with MEL that meets DFAT’s own standards has been challenging. But at times there has been nothing better than having a DFAT counterpart </w:t>
      </w:r>
      <w:r w:rsidR="00501563" w:rsidRPr="00A626CC">
        <w:t>who</w:t>
      </w:r>
      <w:r w:rsidRPr="00A626CC">
        <w:t xml:space="preserve"> values data”.</w:t>
      </w:r>
    </w:p>
    <w:p w14:paraId="056D10ED" w14:textId="7DA47667" w:rsidR="00C45ABD" w:rsidRPr="00A626CC" w:rsidRDefault="00C45ABD" w:rsidP="00A626CC">
      <w:r w:rsidRPr="00A626CC">
        <w:lastRenderedPageBreak/>
        <w:t>Within the PLF organisational structure MEL</w:t>
      </w:r>
      <w:r w:rsidR="00D57E83" w:rsidRPr="00A626CC">
        <w:t xml:space="preserve"> was</w:t>
      </w:r>
      <w:r w:rsidRPr="00A626CC">
        <w:t xml:space="preserve"> managed by the Quality, Learning and Performance (QLP) team. </w:t>
      </w:r>
      <w:r w:rsidR="00797588" w:rsidRPr="00A626CC">
        <w:t>At the time of this evaluation, t</w:t>
      </w:r>
      <w:r w:rsidRPr="00A626CC">
        <w:t>his team is led by two sub-contracted specialists</w:t>
      </w:r>
      <w:r w:rsidRPr="00A626CC">
        <w:rPr>
          <w:rStyle w:val="FootnoteReference"/>
        </w:rPr>
        <w:footnoteReference w:id="67"/>
      </w:r>
      <w:r w:rsidRPr="00A626CC">
        <w:t xml:space="preserve"> who oversee MEL operations and research. One of these specialists has line responsibility for </w:t>
      </w:r>
      <w:r w:rsidR="00F820AE" w:rsidRPr="00A626CC">
        <w:t>two</w:t>
      </w:r>
      <w:r w:rsidRPr="00A626CC">
        <w:t xml:space="preserve"> QLP </w:t>
      </w:r>
      <w:r w:rsidR="00F35F7D">
        <w:t>m</w:t>
      </w:r>
      <w:r w:rsidRPr="00A626CC">
        <w:t>an</w:t>
      </w:r>
      <w:r w:rsidR="00F35F7D">
        <w:t>a</w:t>
      </w:r>
      <w:r w:rsidRPr="00A626CC">
        <w:t>gers located in Ton</w:t>
      </w:r>
      <w:r w:rsidR="005B728D" w:rsidRPr="00A626CC">
        <w:t>g</w:t>
      </w:r>
      <w:r w:rsidRPr="00A626CC">
        <w:t xml:space="preserve">a and Fiji, and </w:t>
      </w:r>
      <w:r w:rsidR="00F820AE" w:rsidRPr="00A626CC">
        <w:t>three</w:t>
      </w:r>
      <w:r w:rsidRPr="00A626CC">
        <w:t xml:space="preserve"> </w:t>
      </w:r>
      <w:r w:rsidR="006C49A4">
        <w:t>c</w:t>
      </w:r>
      <w:r w:rsidRPr="00A626CC">
        <w:t>oordinators (Vanuatu, Samoa and Timor-Leste)</w:t>
      </w:r>
      <w:r w:rsidRPr="00A626CC">
        <w:rPr>
          <w:rStyle w:val="FootnoteReference"/>
        </w:rPr>
        <w:footnoteReference w:id="68"/>
      </w:r>
      <w:r w:rsidRPr="00A626CC">
        <w:t xml:space="preserve">. In addition, </w:t>
      </w:r>
      <w:r w:rsidR="009608ED" w:rsidRPr="00A626CC">
        <w:t>the GEDSI team (</w:t>
      </w:r>
      <w:r w:rsidR="00F820AE" w:rsidRPr="00A626CC">
        <w:t>two</w:t>
      </w:r>
      <w:r w:rsidR="009608ED" w:rsidRPr="00A626CC">
        <w:t xml:space="preserve"> specialists) is part of </w:t>
      </w:r>
      <w:r w:rsidRPr="00A626CC">
        <w:t xml:space="preserve">the QLP team, which is widely seen as a strength. </w:t>
      </w:r>
      <w:r w:rsidR="00101A0F" w:rsidRPr="00A626CC">
        <w:t xml:space="preserve">A PLF team member </w:t>
      </w:r>
      <w:r w:rsidRPr="00A626CC">
        <w:t>observed:</w:t>
      </w:r>
    </w:p>
    <w:p w14:paraId="442F08C6" w14:textId="77777777" w:rsidR="00C45ABD" w:rsidRPr="00A626CC" w:rsidRDefault="00C45ABD" w:rsidP="00A626CC">
      <w:pPr>
        <w:pStyle w:val="Quote"/>
      </w:pPr>
      <w:r w:rsidRPr="00A626CC">
        <w:t>“It’s a big advantage having GEDSI in the QLP team. It has influenced MEL tool development. There are so many examples of our work influencing the GEDSI team…and GEDSI thinking coming into research work…it was a major success having the joint structure”.</w:t>
      </w:r>
    </w:p>
    <w:p w14:paraId="5B706201" w14:textId="77777777" w:rsidR="00C45ABD" w:rsidRPr="00A626CC" w:rsidRDefault="00C45ABD" w:rsidP="00A626CC">
      <w:r w:rsidRPr="00A626CC">
        <w:t>The GEDSI advisers concurred:</w:t>
      </w:r>
    </w:p>
    <w:p w14:paraId="016CA48C" w14:textId="7B22E736" w:rsidR="00C45ABD" w:rsidRPr="00A626CC" w:rsidRDefault="00C45ABD" w:rsidP="00A626CC">
      <w:pPr>
        <w:pStyle w:val="Quote"/>
      </w:pPr>
      <w:r w:rsidRPr="00A626CC">
        <w:t xml:space="preserve">“We have great leadership support from all of the PLF leads. QLP </w:t>
      </w:r>
      <w:r w:rsidR="00BA5952" w:rsidRPr="00A626CC">
        <w:t xml:space="preserve">does </w:t>
      </w:r>
      <w:r w:rsidRPr="00A626CC">
        <w:t>a lot to raise awareness through performance measurement. We’ve introduced annual GEDSI targets and a range of GEDSI measures in the MEL arrangements”.</w:t>
      </w:r>
    </w:p>
    <w:p w14:paraId="3FF13CB7" w14:textId="18848B95" w:rsidR="00C45ABD" w:rsidRPr="00A626CC" w:rsidRDefault="00C45ABD" w:rsidP="00A626CC">
      <w:r w:rsidRPr="00A626CC">
        <w:t>The MEL work has been adequately resourced, with an annual budget of around AUD 800,000 per year (which corresponds to approximately 3 – 4% of investment budget</w:t>
      </w:r>
      <w:r w:rsidRPr="00A626CC">
        <w:rPr>
          <w:rStyle w:val="FootnoteReference"/>
        </w:rPr>
        <w:footnoteReference w:id="69"/>
      </w:r>
      <w:r w:rsidRPr="00A626CC">
        <w:t>). This budget has been expended on staff and a range of MEL products spanning a baseline study (outsourced), responsive research pieces (internally led and outsourced), regular surveys (</w:t>
      </w:r>
      <w:r w:rsidR="00AE4225" w:rsidRPr="00A626CC">
        <w:t>e.g.,</w:t>
      </w:r>
      <w:r w:rsidRPr="00A626CC">
        <w:t xml:space="preserve"> pre-departure worker surveys), LSU capacity assessments, annual reporting to DFAT and reflection workshops. </w:t>
      </w:r>
      <w:r w:rsidR="00C77BF4">
        <w:t>MEL products reviewed by the evaluation team were of sound quality.</w:t>
      </w:r>
    </w:p>
    <w:p w14:paraId="24B3189E" w14:textId="49F3CE48" w:rsidR="00C45ABD" w:rsidRPr="00A626CC" w:rsidRDefault="00C45ABD" w:rsidP="00A626CC">
      <w:r w:rsidRPr="00A626CC">
        <w:t>Ordinarily, MEL for international development programs may be conceived as testing the merits of the underlying theory of change. But as highlighted elsewhere in this report, a parallel focus of PLF has been keeping track of a range of service metrics for in-Australia operations. This has created a particularly challenging aspect for the QLP team. In some large part this was driven by domestic politics fuelled by media coverage of worker welfare concerns—exacerbated by the pandemic, fires and floods. A QLP team member recalled:</w:t>
      </w:r>
    </w:p>
    <w:p w14:paraId="05C42611" w14:textId="77777777" w:rsidR="00C45ABD" w:rsidRPr="00A626CC" w:rsidRDefault="00C45ABD" w:rsidP="00A626CC">
      <w:pPr>
        <w:pStyle w:val="Quote"/>
      </w:pPr>
      <w:r w:rsidRPr="00A626CC">
        <w:t>“Managing the data was a big piece which grew from 2020. We were reporting weekly to DFAT on a range of things like numbers of workers, locations, etc. Data management was an enormous part of what we did. There were a lot of data quality issues. We had to change our approach several times. For example, we realised we couldn’t rely on worker phone numbers which tended to change, making survey data unreliable…our data was the foundation of almost all briefings that DFAT did for Ministers”.</w:t>
      </w:r>
    </w:p>
    <w:p w14:paraId="63DD0F1F" w14:textId="77777777" w:rsidR="009B0A8D" w:rsidRDefault="009B0A8D">
      <w:r>
        <w:br w:type="page"/>
      </w:r>
    </w:p>
    <w:p w14:paraId="43A83D01" w14:textId="23603471" w:rsidR="00BF4FC0" w:rsidRDefault="00C45ABD">
      <w:r w:rsidRPr="00A626CC">
        <w:lastRenderedPageBreak/>
        <w:t xml:space="preserve">For much of the early implementation period, this data management was done with spreadsheets. </w:t>
      </w:r>
      <w:r w:rsidR="0064197B" w:rsidRPr="00A626CC">
        <w:t xml:space="preserve">A senior </w:t>
      </w:r>
      <w:r w:rsidR="0025403E" w:rsidRPr="00A626CC">
        <w:t xml:space="preserve">PLF team member </w:t>
      </w:r>
      <w:r w:rsidRPr="00A626CC">
        <w:t>recalled</w:t>
      </w:r>
      <w:r w:rsidR="00C12BED" w:rsidRPr="00A626CC">
        <w:t xml:space="preserve"> </w:t>
      </w:r>
      <w:r w:rsidRPr="00A626CC">
        <w:t>“</w:t>
      </w:r>
      <w:r w:rsidRPr="00A626CC">
        <w:rPr>
          <w:i/>
        </w:rPr>
        <w:t>We were just working on spreadsheets. It was all very manual and open to errors. We were tracking all sorts of operational metrics like individual worker locations, status of issues…etc</w:t>
      </w:r>
      <w:r w:rsidRPr="00A626CC">
        <w:t>”.</w:t>
      </w:r>
      <w:r w:rsidR="00802036" w:rsidRPr="00A626CC">
        <w:t xml:space="preserve"> </w:t>
      </w:r>
      <w:r w:rsidRPr="00A626CC">
        <w:t>Ultimately there was agreement for PLF to undertake significant information system development (P</w:t>
      </w:r>
      <w:r w:rsidR="00C466E6" w:rsidRPr="00A626CC">
        <w:t>A</w:t>
      </w:r>
      <w:r w:rsidR="005B5644" w:rsidRPr="00A626CC">
        <w:t>L</w:t>
      </w:r>
      <w:r w:rsidRPr="00A626CC">
        <w:t xml:space="preserve">MIS and IRD, see </w:t>
      </w:r>
      <w:r w:rsidR="00610741" w:rsidRPr="00A626CC">
        <w:t xml:space="preserve">Section </w:t>
      </w:r>
      <w:r w:rsidR="00610741" w:rsidRPr="00A626CC">
        <w:fldChar w:fldCharType="begin"/>
      </w:r>
      <w:r w:rsidR="00610741" w:rsidRPr="00A626CC">
        <w:instrText xml:space="preserve"> REF _Ref149258468 \r \h  \* MERGEFORMAT </w:instrText>
      </w:r>
      <w:r w:rsidR="00610741" w:rsidRPr="00A626CC">
        <w:fldChar w:fldCharType="separate"/>
      </w:r>
      <w:r w:rsidR="001F6F84">
        <w:t>4.2.2</w:t>
      </w:r>
      <w:r w:rsidR="00610741" w:rsidRPr="00A626CC">
        <w:fldChar w:fldCharType="end"/>
      </w:r>
      <w:r w:rsidRPr="00A626CC">
        <w:t xml:space="preserve">). A software development team </w:t>
      </w:r>
      <w:r w:rsidR="005B5644" w:rsidRPr="00A626CC">
        <w:t xml:space="preserve">(2.5 FTE) </w:t>
      </w:r>
      <w:r w:rsidRPr="00A626CC">
        <w:t xml:space="preserve">was recruited in-house, and worked closely with the QLP team, which created further work pressure, including cleaning data to be migrated to the databases. At the time of this evaluation, the Information Technology (IT) team was </w:t>
      </w:r>
      <w:r w:rsidR="0063445F" w:rsidRPr="00A626CC">
        <w:t xml:space="preserve">continuing to roll </w:t>
      </w:r>
      <w:r w:rsidRPr="00A626CC">
        <w:t>out the IRD</w:t>
      </w:r>
      <w:r w:rsidR="005B200C" w:rsidRPr="00A626CC">
        <w:t xml:space="preserve"> and supporting LSUs to use it</w:t>
      </w:r>
      <w:r w:rsidRPr="00A626CC">
        <w:t>. One IT developer reported</w:t>
      </w:r>
      <w:r w:rsidR="005B200C" w:rsidRPr="00A626CC">
        <w:t xml:space="preserve"> the following about the IRD</w:t>
      </w:r>
      <w:r w:rsidRPr="00A626CC">
        <w:t>:</w:t>
      </w:r>
    </w:p>
    <w:p w14:paraId="5602CE84" w14:textId="5BD5728A" w:rsidR="00C45ABD" w:rsidRPr="00A626CC" w:rsidRDefault="00C45ABD" w:rsidP="00A626CC">
      <w:pPr>
        <w:pStyle w:val="Quote"/>
      </w:pPr>
      <w:r w:rsidRPr="00A626CC">
        <w:t xml:space="preserve">“It’s been amazing…previously the </w:t>
      </w:r>
      <w:r w:rsidR="00521623" w:rsidRPr="00A626CC">
        <w:t xml:space="preserve">[LSU] </w:t>
      </w:r>
      <w:r w:rsidRPr="00A626CC">
        <w:t xml:space="preserve">offices were full of stacks of paper that were unusable. Now it’s all online…there’s no long history of IT systems in these places, but everyone from Ministers to Directors to staff see the benefits of the system. They can track welfare cases, black-list employers etc. We currently have 120 </w:t>
      </w:r>
      <w:r w:rsidR="00521623" w:rsidRPr="00A626CC">
        <w:t xml:space="preserve">[IRD] </w:t>
      </w:r>
      <w:r w:rsidRPr="00A626CC">
        <w:t>users per day across 6 countries, and the rollout is continuing”.</w:t>
      </w:r>
    </w:p>
    <w:p w14:paraId="44B97BFD" w14:textId="57AE0937" w:rsidR="00C45ABD" w:rsidRPr="00A626CC" w:rsidRDefault="00C45ABD" w:rsidP="00A626CC">
      <w:r w:rsidRPr="00A626CC">
        <w:t xml:space="preserve">Beyond the data management and stakeholder responsiveness, there is evidence that the work of the QLP team has had more profound influence. For example, </w:t>
      </w:r>
      <w:r w:rsidR="00AE4225" w:rsidRPr="00A626CC">
        <w:t>an</w:t>
      </w:r>
      <w:r w:rsidRPr="00A626CC">
        <w:t xml:space="preserve"> LSU capacity assessment tool has been implemented </w:t>
      </w:r>
      <w:r w:rsidR="00C53474" w:rsidRPr="00A626CC">
        <w:t>three</w:t>
      </w:r>
      <w:r w:rsidRPr="00A626CC">
        <w:t xml:space="preserve"> times over the life of investment, and QLP staff pointed to cases where this had informed country planning. Similarly, the integration of GEDSI into capacity assessments has driven a focus on this policy priority. A QLP team member observed:</w:t>
      </w:r>
    </w:p>
    <w:p w14:paraId="1AD6712E" w14:textId="77777777" w:rsidR="00C45ABD" w:rsidRPr="00A626CC" w:rsidRDefault="00C45ABD" w:rsidP="00A626CC">
      <w:pPr>
        <w:pStyle w:val="Quote"/>
      </w:pPr>
      <w:r w:rsidRPr="00A626CC">
        <w:t>“The capacity assessment tool involves self-assessments. Some of the scores may be a bit inflated, but the real value of the tool lies in the process which promotes frank discussions between PLF and LSU staff that don’t ordinarily happen. Everyone complains about the GEDSI section because it’s quite onerous, but it’s the only time we discuss and reflect, which ends up being really valued”.</w:t>
      </w:r>
    </w:p>
    <w:p w14:paraId="2FC0A424" w14:textId="7C6B855B" w:rsidR="00C45ABD" w:rsidRPr="00A626CC" w:rsidRDefault="00C45ABD" w:rsidP="00A626CC">
      <w:r w:rsidRPr="00A626CC">
        <w:t xml:space="preserve">The QLP team cited other cases of MEL information being utilised for program improvement, such as responsive research to address </w:t>
      </w:r>
      <w:r w:rsidR="00FD51C7" w:rsidRPr="00A626CC">
        <w:t>shortcomings</w:t>
      </w:r>
      <w:r w:rsidRPr="00A626CC">
        <w:t xml:space="preserve"> in the </w:t>
      </w:r>
      <w:r w:rsidR="00FD51C7" w:rsidRPr="00A626CC">
        <w:t>S</w:t>
      </w:r>
      <w:r w:rsidRPr="00A626CC">
        <w:t xml:space="preserve">kills </w:t>
      </w:r>
      <w:r w:rsidR="00FD51C7" w:rsidRPr="00A626CC">
        <w:t>D</w:t>
      </w:r>
      <w:r w:rsidRPr="00A626CC">
        <w:t xml:space="preserve">evelopment </w:t>
      </w:r>
      <w:r w:rsidR="00FD51C7" w:rsidRPr="00A626CC">
        <w:t>P</w:t>
      </w:r>
      <w:r w:rsidRPr="00A626CC">
        <w:t>rogram</w:t>
      </w:r>
      <w:r w:rsidR="00B32DDA" w:rsidRPr="00A626CC">
        <w:t>,</w:t>
      </w:r>
      <w:r w:rsidRPr="00A626CC">
        <w:t xml:space="preserve"> analysis of critical incident data to inform Regional Engagement team planning</w:t>
      </w:r>
      <w:r w:rsidR="00B32DDA" w:rsidRPr="00A626CC">
        <w:t xml:space="preserve">, and </w:t>
      </w:r>
      <w:r w:rsidR="00261D7B" w:rsidRPr="00A626CC">
        <w:t>Worker Disengagement</w:t>
      </w:r>
      <w:r w:rsidRPr="00A626CC">
        <w:t xml:space="preserve">. All annual reports also capture lessons </w:t>
      </w:r>
      <w:r w:rsidR="00AE4225" w:rsidRPr="00A626CC">
        <w:t>learned</w:t>
      </w:r>
      <w:r w:rsidRPr="00A626CC">
        <w:t xml:space="preserve"> and the outcome of reflection workshops.</w:t>
      </w:r>
    </w:p>
    <w:p w14:paraId="7A732155" w14:textId="6D98FFB8" w:rsidR="000E3621" w:rsidRDefault="004F54AF" w:rsidP="00A626CC">
      <w:r w:rsidRPr="00A626CC">
        <w:t>Of particular note</w:t>
      </w:r>
      <w:r w:rsidR="006319EB" w:rsidRPr="00A626CC">
        <w:t xml:space="preserve"> has been PLF’s efforts in relation to research</w:t>
      </w:r>
      <w:r w:rsidR="00055BD4" w:rsidRPr="00A626CC">
        <w:t xml:space="preserve">. An ambitious research strategy was developed, and while this may not have been adequately resourced, it nonetheless </w:t>
      </w:r>
      <w:r w:rsidR="006B4AC3" w:rsidRPr="00A626CC">
        <w:t>underpinned important products and directions</w:t>
      </w:r>
      <w:r w:rsidR="00733139" w:rsidRPr="00A626CC">
        <w:t xml:space="preserve">. PLF’s economics analyst undertook numerous responsive analyses </w:t>
      </w:r>
      <w:r w:rsidR="00224232" w:rsidRPr="00A626CC">
        <w:t>that supported the dynamic whole-of-government policy process</w:t>
      </w:r>
      <w:r w:rsidR="00FF6897" w:rsidRPr="00A626CC">
        <w:t xml:space="preserve">. Research studies such as </w:t>
      </w:r>
      <w:r w:rsidR="00A2740A" w:rsidRPr="00A626CC">
        <w:t xml:space="preserve">the </w:t>
      </w:r>
      <w:r w:rsidR="00FF6897" w:rsidRPr="00A626CC">
        <w:t>Family Separation Study</w:t>
      </w:r>
      <w:r w:rsidR="00760888" w:rsidRPr="00A626CC">
        <w:t xml:space="preserve"> were high quality and provided evidence to support policies and pilots.</w:t>
      </w:r>
      <w:r w:rsidR="00965D3A" w:rsidRPr="00A626CC">
        <w:t xml:space="preserve"> A key feature of the researc</w:t>
      </w:r>
      <w:r w:rsidR="005F4B3B" w:rsidRPr="00A626CC">
        <w:t>h</w:t>
      </w:r>
      <w:r w:rsidR="00965D3A" w:rsidRPr="00A626CC">
        <w:t xml:space="preserve"> agenda was the way that the QLP team coordinated with </w:t>
      </w:r>
      <w:r w:rsidR="008739CD" w:rsidRPr="00A626CC">
        <w:t>third</w:t>
      </w:r>
      <w:r w:rsidR="00007AD5">
        <w:t>-</w:t>
      </w:r>
      <w:r w:rsidR="008739CD" w:rsidRPr="00A626CC">
        <w:t>party researchers engaged in labour mobility, such as the Australia National University and the World Bank</w:t>
      </w:r>
      <w:r w:rsidR="006B7C0B" w:rsidRPr="00A626CC">
        <w:t xml:space="preserve">. This extended to </w:t>
      </w:r>
      <w:r w:rsidR="00043026" w:rsidRPr="00A626CC">
        <w:t xml:space="preserve">negotiating and implementing data sharing agreements, which </w:t>
      </w:r>
      <w:r w:rsidR="008577DD" w:rsidRPr="00A626CC">
        <w:t>remain</w:t>
      </w:r>
      <w:r w:rsidR="00043026" w:rsidRPr="00A626CC">
        <w:t xml:space="preserve"> supportive </w:t>
      </w:r>
      <w:r w:rsidR="00727862" w:rsidRPr="00A626CC">
        <w:t>of sector</w:t>
      </w:r>
      <w:r w:rsidR="00007AD5">
        <w:t>-</w:t>
      </w:r>
      <w:r w:rsidR="00727862" w:rsidRPr="00A626CC">
        <w:t>wide</w:t>
      </w:r>
      <w:r w:rsidR="00755D0D" w:rsidRPr="00A626CC">
        <w:t xml:space="preserve"> research and development efforts.</w:t>
      </w:r>
    </w:p>
    <w:p w14:paraId="219738E5" w14:textId="77777777" w:rsidR="000E3621" w:rsidRDefault="000E3621">
      <w:r>
        <w:br w:type="page"/>
      </w:r>
    </w:p>
    <w:p w14:paraId="0C65B5EC" w14:textId="4D571C46" w:rsidR="00C45ABD" w:rsidRPr="00A626CC" w:rsidRDefault="00C45ABD" w:rsidP="00A626CC">
      <w:r w:rsidRPr="00A626CC">
        <w:lastRenderedPageBreak/>
        <w:t>A key issue raised by QLP team members concerns their role definition and demands on their time. Evidently, early work involved promoting the benefits of the QLP team internally in PLF and in the LSUs, arguably as part of building a ‘performance culture’. The QLP lead recalled:</w:t>
      </w:r>
    </w:p>
    <w:p w14:paraId="3500E518" w14:textId="77777777" w:rsidR="00C45ABD" w:rsidRPr="00A626CC" w:rsidRDefault="00C45ABD" w:rsidP="00A626CC">
      <w:pPr>
        <w:pStyle w:val="Quote"/>
      </w:pPr>
      <w:r w:rsidRPr="00A626CC">
        <w:t>“The first couple of years it was all about demonstrating our value to other teams and LSUs. We’re now inundated with requests for support and evidence and intel. There is a broader recognition of the importance of data”.</w:t>
      </w:r>
    </w:p>
    <w:p w14:paraId="7E6192B2" w14:textId="77777777" w:rsidR="00C45ABD" w:rsidRPr="00A626CC" w:rsidRDefault="00C45ABD" w:rsidP="00A626CC">
      <w:r w:rsidRPr="00A626CC">
        <w:t>A QLP team member concurred:</w:t>
      </w:r>
    </w:p>
    <w:p w14:paraId="0045B3B9" w14:textId="3841A8CB" w:rsidR="00C45ABD" w:rsidRPr="00A626CC" w:rsidRDefault="00C45ABD" w:rsidP="00A626CC">
      <w:pPr>
        <w:pStyle w:val="Quote"/>
      </w:pPr>
      <w:r w:rsidRPr="00A626CC">
        <w:t>“We’ve seen changes in expectations and understanding of MEL in partner governments. We get more MEL requests which suggests changes in understanding and demand for evidence. Labour mobility data is now a hot topic in parliament”.</w:t>
      </w:r>
    </w:p>
    <w:p w14:paraId="0D0C79D5" w14:textId="17D1650C" w:rsidR="00C45ABD" w:rsidRPr="00A626CC" w:rsidRDefault="00C45ABD" w:rsidP="00A626CC">
      <w:r w:rsidRPr="00A626CC">
        <w:t xml:space="preserve">However, QLP staff </w:t>
      </w:r>
      <w:r w:rsidR="002012FD" w:rsidRPr="00A626CC">
        <w:t xml:space="preserve">based in </w:t>
      </w:r>
      <w:r w:rsidR="002012FD" w:rsidRPr="004A7C11">
        <w:t>labour sending</w:t>
      </w:r>
      <w:r w:rsidR="002012FD" w:rsidRPr="00A626CC">
        <w:t xml:space="preserve"> countries </w:t>
      </w:r>
      <w:r w:rsidRPr="00A626CC">
        <w:t>reported that their roles have expanded into a diverse range or responsibilities. One team member stated:</w:t>
      </w:r>
    </w:p>
    <w:p w14:paraId="32AA87A5" w14:textId="77777777" w:rsidR="00C45ABD" w:rsidRPr="00A626CC" w:rsidRDefault="00C45ABD" w:rsidP="00A626CC">
      <w:pPr>
        <w:pStyle w:val="Quote"/>
      </w:pPr>
      <w:r w:rsidRPr="00A626CC">
        <w:t>“Because QLP staff have capacity, we get pulled into other priorities, and QLP core functions can suffer…the upside is we get to develop a deeper understanding about other aspects of labour mobility, but it can mean that MEL work slows down”.</w:t>
      </w:r>
    </w:p>
    <w:p w14:paraId="53228DB0" w14:textId="77777777" w:rsidR="00C45ABD" w:rsidRPr="00A626CC" w:rsidRDefault="00C45ABD" w:rsidP="00A626CC">
      <w:r w:rsidRPr="00A626CC">
        <w:t>Another team member advised:</w:t>
      </w:r>
    </w:p>
    <w:p w14:paraId="6FA271D6" w14:textId="77777777" w:rsidR="00C45ABD" w:rsidRPr="00A626CC" w:rsidRDefault="00C45ABD" w:rsidP="00A626CC">
      <w:pPr>
        <w:pStyle w:val="Quote"/>
      </w:pPr>
      <w:r w:rsidRPr="00A626CC">
        <w:t>“The future design should be clear about the role definition of QLP team members…we are part of the LSU but guests of the LSU. Our bread and butter is MEL, but we perform other roles too. Even within PLF, sometimes QLP priorities get overlooked by the PLF Engagement Managers…there needs to be clear lines of reporting between QLP and LSU staff…perhaps IRD, Communications and QLP could all be in one team reporting to the QLP lead”.</w:t>
      </w:r>
    </w:p>
    <w:p w14:paraId="45F61F9E" w14:textId="77777777" w:rsidR="00C45ABD" w:rsidRDefault="00C45ABD" w:rsidP="00A626CC">
      <w:r w:rsidRPr="00A626CC">
        <w:t>An implication for the next phase of PLF is that the foundation laid through the establishment of information systems and a nascent performance culture should be consolidated.</w:t>
      </w:r>
    </w:p>
    <w:p w14:paraId="648B4DBC" w14:textId="77777777" w:rsidR="00BF7AB0" w:rsidRPr="00A626CC" w:rsidRDefault="00BF7AB0" w:rsidP="00BF7AB0">
      <w:pPr>
        <w:pStyle w:val="Blueblockheading"/>
      </w:pPr>
      <w:r w:rsidRPr="00A626CC">
        <w:rPr>
          <w:lang w:val="en-GB"/>
        </w:rPr>
        <w:t>Recommendation</w:t>
      </w:r>
      <w:r w:rsidRPr="00A626CC">
        <w:t> </w:t>
      </w:r>
    </w:p>
    <w:p w14:paraId="4F320A13" w14:textId="76D7A31C" w:rsidR="00BF7AB0" w:rsidRPr="00A626CC" w:rsidRDefault="00BF7AB0" w:rsidP="000D2BCB">
      <w:pPr>
        <w:pStyle w:val="Blueblocktext"/>
      </w:pPr>
      <w:r>
        <w:rPr>
          <w:lang w:val="en-GB"/>
        </w:rPr>
        <w:t>7</w:t>
      </w:r>
      <w:r w:rsidRPr="00A626CC">
        <w:rPr>
          <w:lang w:val="en-GB"/>
        </w:rPr>
        <w:t xml:space="preserve">. </w:t>
      </w:r>
      <w:r w:rsidR="00860576" w:rsidRPr="00860576">
        <w:rPr>
          <w:lang w:val="en-GB"/>
        </w:rPr>
        <w:t>The design team for the next phase of PLF should ensure adequate resourcing of ongoing information system rollout and support, a robust and responsive research agenda, and a high standard of MEL including benchmarking of quality and value-for-money</w:t>
      </w:r>
      <w:r w:rsidR="00860576">
        <w:rPr>
          <w:lang w:val="en-GB"/>
        </w:rPr>
        <w:t>.</w:t>
      </w:r>
    </w:p>
    <w:p w14:paraId="07B685A3" w14:textId="77777777" w:rsidR="00BF7AB0" w:rsidRPr="00A626CC" w:rsidRDefault="00BF7AB0" w:rsidP="00A626CC"/>
    <w:p w14:paraId="45BF7B89" w14:textId="6A7F5AA7" w:rsidR="0013285E" w:rsidRPr="00A626CC" w:rsidRDefault="0013285E" w:rsidP="00A626CC">
      <w:pPr>
        <w:rPr>
          <w:rFonts w:cstheme="minorHAnsi"/>
        </w:rPr>
      </w:pPr>
    </w:p>
    <w:p w14:paraId="61FD423C" w14:textId="68AEFC1A" w:rsidR="0013285E" w:rsidRPr="00A626CC" w:rsidRDefault="0013285E" w:rsidP="00A626CC">
      <w:pPr>
        <w:rPr>
          <w:rFonts w:cstheme="minorHAnsi"/>
        </w:rPr>
      </w:pPr>
    </w:p>
    <w:p w14:paraId="5723FAD8" w14:textId="1A796E15" w:rsidR="0013285E" w:rsidRPr="00A626CC" w:rsidRDefault="00DE54AD" w:rsidP="00A626CC">
      <w:pPr>
        <w:pStyle w:val="Heading1"/>
      </w:pPr>
      <w:bookmarkStart w:id="46" w:name="_Toc152591528"/>
      <w:r w:rsidRPr="00A626CC">
        <w:lastRenderedPageBreak/>
        <w:t>Conclusion</w:t>
      </w:r>
      <w:bookmarkEnd w:id="46"/>
    </w:p>
    <w:p w14:paraId="4D819A5D" w14:textId="57A301D0" w:rsidR="00DE54AD" w:rsidRPr="00A626CC" w:rsidRDefault="006A46A3" w:rsidP="00A626CC">
      <w:r w:rsidRPr="00A626CC">
        <w:t xml:space="preserve">DFAT commissioned the QTAG and an additional independent evaluator to </w:t>
      </w:r>
      <w:r w:rsidR="00F40C57" w:rsidRPr="00A626CC">
        <w:t xml:space="preserve">undertake an evaluation of the PLF. </w:t>
      </w:r>
      <w:r w:rsidR="008E7503" w:rsidRPr="00A626CC">
        <w:t xml:space="preserve">In line with standard practice, the evaluation was to </w:t>
      </w:r>
      <w:r w:rsidR="00794350" w:rsidRPr="00A626CC">
        <w:t>provide accountability for</w:t>
      </w:r>
      <w:r w:rsidR="00E8480A" w:rsidRPr="00A626CC">
        <w:t xml:space="preserve"> PLF</w:t>
      </w:r>
      <w:r w:rsidR="00F958D9" w:rsidRPr="00A626CC">
        <w:t>’s</w:t>
      </w:r>
      <w:r w:rsidR="00E8480A" w:rsidRPr="00A626CC">
        <w:t xml:space="preserve"> performance as DFAT’s implementing partner, and to enable learning </w:t>
      </w:r>
      <w:r w:rsidR="00CA2A8A" w:rsidRPr="00A626CC">
        <w:t xml:space="preserve">for the </w:t>
      </w:r>
      <w:r w:rsidR="00B0067F" w:rsidRPr="00A626CC">
        <w:t xml:space="preserve">design of </w:t>
      </w:r>
      <w:r w:rsidR="00B17F06" w:rsidRPr="00A626CC">
        <w:t xml:space="preserve">a further </w:t>
      </w:r>
      <w:r w:rsidR="00CA2A8A" w:rsidRPr="00A626CC">
        <w:t xml:space="preserve">phase of support for labour mobility. </w:t>
      </w:r>
    </w:p>
    <w:p w14:paraId="0A1ECEA2" w14:textId="47EB39F8" w:rsidR="00EC0650" w:rsidRPr="00A626CC" w:rsidRDefault="00EC0650" w:rsidP="00A626CC">
      <w:r w:rsidRPr="00A626CC">
        <w:t>The evaluation team was tasked with assessing</w:t>
      </w:r>
      <w:r w:rsidR="00434F3D" w:rsidRPr="00A626CC">
        <w:t xml:space="preserve"> how effectively</w:t>
      </w:r>
      <w:r w:rsidR="003F736B" w:rsidRPr="00A626CC">
        <w:t xml:space="preserve"> and efficiently</w:t>
      </w:r>
      <w:r w:rsidR="00434F3D" w:rsidRPr="00A626CC">
        <w:t xml:space="preserve"> </w:t>
      </w:r>
      <w:r w:rsidRPr="00A626CC">
        <w:t>PLF</w:t>
      </w:r>
      <w:r w:rsidR="00434F3D" w:rsidRPr="00A626CC">
        <w:t xml:space="preserve"> coordinated</w:t>
      </w:r>
      <w:r w:rsidRPr="00A626CC">
        <w:t xml:space="preserve"> </w:t>
      </w:r>
      <w:r w:rsidR="00434F3D" w:rsidRPr="00A626CC">
        <w:t xml:space="preserve">service delivery </w:t>
      </w:r>
      <w:r w:rsidR="00BF7118" w:rsidRPr="00A626CC">
        <w:t xml:space="preserve">across the range of </w:t>
      </w:r>
      <w:r w:rsidR="002C256D" w:rsidRPr="00A626CC">
        <w:t>functions</w:t>
      </w:r>
      <w:r w:rsidR="00B17F06" w:rsidRPr="00A626CC">
        <w:t xml:space="preserve"> required</w:t>
      </w:r>
      <w:r w:rsidR="001A119D" w:rsidRPr="00A626CC">
        <w:t>, in</w:t>
      </w:r>
      <w:r w:rsidR="00C6522A" w:rsidRPr="00A626CC">
        <w:t>cluding</w:t>
      </w:r>
      <w:r w:rsidR="001A119D" w:rsidRPr="00A626CC">
        <w:t xml:space="preserve"> the support and capacity building invest</w:t>
      </w:r>
      <w:r w:rsidR="00864C7D" w:rsidRPr="00A626CC">
        <w:t xml:space="preserve">ed in </w:t>
      </w:r>
      <w:r w:rsidR="00864C7D" w:rsidRPr="004A7C11">
        <w:t>labour-sending</w:t>
      </w:r>
      <w:r w:rsidR="00864C7D" w:rsidRPr="00A626CC">
        <w:t xml:space="preserve"> countries</w:t>
      </w:r>
      <w:r w:rsidR="00E078C0" w:rsidRPr="00A626CC">
        <w:t xml:space="preserve"> </w:t>
      </w:r>
      <w:r w:rsidR="00864C7D" w:rsidRPr="00A626CC">
        <w:t>through the LSUs</w:t>
      </w:r>
      <w:r w:rsidR="0066143A" w:rsidRPr="00A626CC">
        <w:t>. In addition, the evaluation team considered</w:t>
      </w:r>
      <w:r w:rsidR="00374806" w:rsidRPr="00A626CC">
        <w:t xml:space="preserve"> PLF’s contribution to DFAT development policy priorities: sustainability, GEDSI and MEL</w:t>
      </w:r>
      <w:r w:rsidR="00B0067F" w:rsidRPr="00A626CC">
        <w:t>.</w:t>
      </w:r>
    </w:p>
    <w:p w14:paraId="5D94F04B" w14:textId="5B56B3FC" w:rsidR="00ED7F0F" w:rsidRPr="00A626CC" w:rsidRDefault="00ED7F0F" w:rsidP="00A626CC">
      <w:r w:rsidRPr="00A626CC">
        <w:t>The evaluation team was resourced to review key documents and conduct key informant interviews with</w:t>
      </w:r>
      <w:r w:rsidR="007804B4" w:rsidRPr="00A626CC">
        <w:t xml:space="preserve"> relevant </w:t>
      </w:r>
      <w:r w:rsidR="00E078C0" w:rsidRPr="00A626CC">
        <w:t xml:space="preserve">Australian </w:t>
      </w:r>
      <w:r w:rsidR="007804B4" w:rsidRPr="00A626CC">
        <w:t xml:space="preserve">government officials (DFAT and DEWR in Canberra), PLF staff (in </w:t>
      </w:r>
      <w:r w:rsidR="00D7781D" w:rsidRPr="00A626CC">
        <w:t>Brisbane</w:t>
      </w:r>
      <w:r w:rsidR="00CD6894" w:rsidRPr="00A626CC">
        <w:t xml:space="preserve"> and the Pacific</w:t>
      </w:r>
      <w:r w:rsidR="00D7781D" w:rsidRPr="00A626CC">
        <w:t xml:space="preserve">), </w:t>
      </w:r>
      <w:r w:rsidR="00D7781D" w:rsidRPr="004A7C11">
        <w:t>labour sending</w:t>
      </w:r>
      <w:r w:rsidR="00D7781D" w:rsidRPr="00A626CC">
        <w:t xml:space="preserve"> country government </w:t>
      </w:r>
      <w:r w:rsidR="00833F28" w:rsidRPr="00A626CC">
        <w:t xml:space="preserve">officials from </w:t>
      </w:r>
      <w:r w:rsidR="00D7781D" w:rsidRPr="00A626CC">
        <w:t>Tonga, Vanuatu and Kiribati</w:t>
      </w:r>
      <w:r w:rsidR="00CD6894" w:rsidRPr="00A626CC">
        <w:t xml:space="preserve">, </w:t>
      </w:r>
      <w:r w:rsidR="005C0AA7" w:rsidRPr="00A626CC">
        <w:t xml:space="preserve">diplomatic </w:t>
      </w:r>
      <w:r w:rsidR="009A1091" w:rsidRPr="00A626CC">
        <w:t xml:space="preserve">representatives from </w:t>
      </w:r>
      <w:r w:rsidR="009A1091" w:rsidRPr="004A7C11">
        <w:t>labour sending</w:t>
      </w:r>
      <w:r w:rsidR="009A1091" w:rsidRPr="00A626CC">
        <w:t xml:space="preserve"> countries, </w:t>
      </w:r>
      <w:r w:rsidR="00CD6894" w:rsidRPr="00A626CC">
        <w:t xml:space="preserve">and various informed actors </w:t>
      </w:r>
      <w:r w:rsidR="00A46E0A" w:rsidRPr="00A626CC">
        <w:t xml:space="preserve">such as researchers, </w:t>
      </w:r>
      <w:r w:rsidR="00833F28" w:rsidRPr="00A626CC">
        <w:t xml:space="preserve">private sector stakeholders, NGO staff </w:t>
      </w:r>
      <w:r w:rsidR="00A46E0A" w:rsidRPr="00A626CC">
        <w:t xml:space="preserve">and employer representatives. </w:t>
      </w:r>
    </w:p>
    <w:p w14:paraId="00B18E14" w14:textId="3889FF57" w:rsidR="006714DC" w:rsidRPr="00A626CC" w:rsidRDefault="005C0B96" w:rsidP="00A626CC">
      <w:r w:rsidRPr="00A626CC">
        <w:t>The evaluation team found that PLF was largely effective</w:t>
      </w:r>
      <w:r w:rsidR="001523FD" w:rsidRPr="00A626CC">
        <w:t xml:space="preserve"> and efficient</w:t>
      </w:r>
      <w:r w:rsidRPr="00A626CC">
        <w:t xml:space="preserve"> in relation t</w:t>
      </w:r>
      <w:r w:rsidR="00B538CF" w:rsidRPr="00A626CC">
        <w:t>o the coordination of a</w:t>
      </w:r>
      <w:r w:rsidR="009A1091" w:rsidRPr="00A626CC">
        <w:t>n array</w:t>
      </w:r>
      <w:r w:rsidR="00B538CF" w:rsidRPr="00A626CC">
        <w:t xml:space="preserve"> of support services and functions across the entire </w:t>
      </w:r>
      <w:r w:rsidR="00C71A2C" w:rsidRPr="00A626CC">
        <w:t xml:space="preserve">worker </w:t>
      </w:r>
      <w:r w:rsidR="00B538CF" w:rsidRPr="00A626CC">
        <w:t>‘journey’</w:t>
      </w:r>
      <w:r w:rsidR="003C69E9" w:rsidRPr="00A626CC">
        <w:t>—t</w:t>
      </w:r>
      <w:r w:rsidR="00243D21" w:rsidRPr="00A626CC">
        <w:t xml:space="preserve">he scope and scale of which grew dramatically over the life of the </w:t>
      </w:r>
      <w:r w:rsidR="00F56797" w:rsidRPr="00A626CC">
        <w:t>investment</w:t>
      </w:r>
      <w:r w:rsidR="00243D21" w:rsidRPr="00A626CC">
        <w:t xml:space="preserve">. </w:t>
      </w:r>
      <w:r w:rsidR="00291D0A" w:rsidRPr="00A626CC">
        <w:t>The coordination of these services was through a functionalist structure</w:t>
      </w:r>
      <w:r w:rsidR="005D1AA7" w:rsidRPr="00A626CC">
        <w:t xml:space="preserve"> led by a small </w:t>
      </w:r>
      <w:r w:rsidR="00B5689B" w:rsidRPr="00A626CC">
        <w:t xml:space="preserve">and stable </w:t>
      </w:r>
      <w:r w:rsidR="005D1AA7" w:rsidRPr="00A626CC">
        <w:t xml:space="preserve">leadership team that ultimately spanned </w:t>
      </w:r>
      <w:r w:rsidR="00DF2953" w:rsidRPr="00A626CC">
        <w:t>eight</w:t>
      </w:r>
      <w:r w:rsidR="005D1AA7" w:rsidRPr="00A626CC">
        <w:t xml:space="preserve"> </w:t>
      </w:r>
      <w:r w:rsidR="00885F45" w:rsidRPr="00A626CC">
        <w:t xml:space="preserve">sub-teams or </w:t>
      </w:r>
      <w:r w:rsidR="005D1AA7" w:rsidRPr="00A626CC">
        <w:t xml:space="preserve">‘work-streams’. </w:t>
      </w:r>
      <w:r w:rsidR="00AC6D18" w:rsidRPr="00A626CC">
        <w:t xml:space="preserve">Each workstream </w:t>
      </w:r>
      <w:r w:rsidR="00642DA3" w:rsidRPr="00A626CC">
        <w:t>had its own structure with a lead</w:t>
      </w:r>
      <w:r w:rsidR="00005F95" w:rsidRPr="00A626CC">
        <w:t>, managers</w:t>
      </w:r>
      <w:r w:rsidR="00642DA3" w:rsidRPr="00A626CC">
        <w:t xml:space="preserve"> and </w:t>
      </w:r>
      <w:r w:rsidR="00721729" w:rsidRPr="00A626CC">
        <w:t>coordinators responsible</w:t>
      </w:r>
      <w:r w:rsidR="00BC2921" w:rsidRPr="00A626CC">
        <w:t xml:space="preserve"> for delivering the documented responsibilities of th</w:t>
      </w:r>
      <w:r w:rsidR="009B3941" w:rsidRPr="00A626CC">
        <w:t>at</w:t>
      </w:r>
      <w:r w:rsidR="00BC2921" w:rsidRPr="00A626CC">
        <w:t xml:space="preserve"> workstream, and </w:t>
      </w:r>
      <w:r w:rsidR="006714DC" w:rsidRPr="00A626CC">
        <w:t xml:space="preserve">coordinating as required with other PLF workstreams. </w:t>
      </w:r>
      <w:r w:rsidR="00205EC5" w:rsidRPr="00A626CC">
        <w:t xml:space="preserve">New work streams were </w:t>
      </w:r>
      <w:r w:rsidR="00240ABC" w:rsidRPr="00A626CC">
        <w:t xml:space="preserve">progressively </w:t>
      </w:r>
      <w:r w:rsidR="00205EC5" w:rsidRPr="00A626CC">
        <w:t xml:space="preserve">added as the scope of the contract expanded, facilitated by </w:t>
      </w:r>
      <w:r w:rsidR="00484B5A" w:rsidRPr="00A626CC">
        <w:t>seven</w:t>
      </w:r>
      <w:r w:rsidR="00205EC5" w:rsidRPr="00A626CC">
        <w:t xml:space="preserve"> contract amendments</w:t>
      </w:r>
      <w:r w:rsidR="00697A05" w:rsidRPr="00A626CC">
        <w:t>. Workstreams variously focussed on worker and AE support in Australia, LSU</w:t>
      </w:r>
      <w:r w:rsidR="00696A10" w:rsidRPr="00A626CC">
        <w:t xml:space="preserve"> support in the Pacific/Timor-Leste and corporate or cross-cutting functions. </w:t>
      </w:r>
    </w:p>
    <w:p w14:paraId="4DA886FE" w14:textId="18960ABE" w:rsidR="00B0067F" w:rsidRPr="00A626CC" w:rsidRDefault="00A55AB9" w:rsidP="00A626CC">
      <w:r w:rsidRPr="00A626CC">
        <w:t>Learning and continuous improvement was driven by the QLP team, but actively enabled by the leadership team which promote</w:t>
      </w:r>
      <w:r w:rsidR="003D3D48" w:rsidRPr="00A626CC">
        <w:t>d</w:t>
      </w:r>
      <w:r w:rsidRPr="00A626CC">
        <w:t xml:space="preserve"> a culture of reflection. </w:t>
      </w:r>
      <w:r w:rsidR="00B91F2F" w:rsidRPr="00A626CC">
        <w:t>Many stakeholders affirmed the responsiveness and adaptability of the PLF team, which not only accommodate</w:t>
      </w:r>
      <w:r w:rsidR="003D3D48" w:rsidRPr="00A626CC">
        <w:t>d significant contextual</w:t>
      </w:r>
      <w:r w:rsidR="00B91F2F" w:rsidRPr="00A626CC">
        <w:t xml:space="preserve"> change and </w:t>
      </w:r>
      <w:r w:rsidR="003D3D48" w:rsidRPr="00A626CC">
        <w:t>expanding</w:t>
      </w:r>
      <w:r w:rsidR="00B91F2F" w:rsidRPr="00A626CC">
        <w:t xml:space="preserve"> </w:t>
      </w:r>
      <w:r w:rsidR="000404B0" w:rsidRPr="00A626CC">
        <w:t xml:space="preserve">needs of the Australian Government </w:t>
      </w:r>
      <w:r w:rsidR="00B91F2F" w:rsidRPr="00A626CC">
        <w:t xml:space="preserve">and </w:t>
      </w:r>
      <w:r w:rsidR="003D3D48" w:rsidRPr="00A626CC">
        <w:t xml:space="preserve">various </w:t>
      </w:r>
      <w:r w:rsidR="00B91F2F" w:rsidRPr="00A626CC">
        <w:t>stakeholder</w:t>
      </w:r>
      <w:r w:rsidR="00B5689B" w:rsidRPr="00A626CC">
        <w:t>s</w:t>
      </w:r>
      <w:r w:rsidR="00B91F2F" w:rsidRPr="00A626CC">
        <w:t xml:space="preserve">, but also </w:t>
      </w:r>
      <w:r w:rsidR="00284999" w:rsidRPr="00A626CC">
        <w:t>managed internal growth and the onboarding of up to 190 new staff in a relatively short period of time.</w:t>
      </w:r>
      <w:r w:rsidR="003D2EE6" w:rsidRPr="00A626CC">
        <w:t xml:space="preserve"> In addition, PLF advised the Australian Government o</w:t>
      </w:r>
      <w:r w:rsidR="007404F8" w:rsidRPr="00A626CC">
        <w:t>n</w:t>
      </w:r>
      <w:r w:rsidR="003D2EE6" w:rsidRPr="00A626CC">
        <w:t xml:space="preserve"> operational and strategic matters, </w:t>
      </w:r>
      <w:r w:rsidR="00A77867" w:rsidRPr="00A626CC">
        <w:t>mitigated and managed an array of risks to the PALM scheme</w:t>
      </w:r>
      <w:r w:rsidR="003D3D48" w:rsidRPr="00A626CC">
        <w:t xml:space="preserve">, and engaged with a range of </w:t>
      </w:r>
      <w:r w:rsidR="007F730B" w:rsidRPr="00A626CC">
        <w:t xml:space="preserve">academic and research institutions. </w:t>
      </w:r>
    </w:p>
    <w:p w14:paraId="1B9B920A" w14:textId="6EE19571" w:rsidR="00B95039" w:rsidRPr="00A626CC" w:rsidRDefault="00E90470" w:rsidP="00A626CC">
      <w:r w:rsidRPr="00A626CC">
        <w:t>The coordination</w:t>
      </w:r>
      <w:r w:rsidR="007404F8" w:rsidRPr="00A626CC">
        <w:t>/alignment</w:t>
      </w:r>
      <w:r w:rsidRPr="00A626CC">
        <w:t xml:space="preserve"> of ‘offshore’ </w:t>
      </w:r>
      <w:r w:rsidR="007B582B" w:rsidRPr="00A626CC">
        <w:t>with</w:t>
      </w:r>
      <w:r w:rsidRPr="00A626CC">
        <w:t xml:space="preserve"> ‘onshore’ processes was </w:t>
      </w:r>
      <w:r w:rsidR="00B0211F" w:rsidRPr="00A626CC">
        <w:t>generally well regarded and facilitated in large part by embedded PLF staff with</w:t>
      </w:r>
      <w:r w:rsidR="007A055C" w:rsidRPr="00A626CC">
        <w:t>in</w:t>
      </w:r>
      <w:r w:rsidR="00B0211F" w:rsidRPr="00A626CC">
        <w:t xml:space="preserve"> the LSUs</w:t>
      </w:r>
      <w:r w:rsidR="003531D3" w:rsidRPr="00A626CC">
        <w:t xml:space="preserve">. These roles essentially brokered communications </w:t>
      </w:r>
      <w:r w:rsidR="007A055C" w:rsidRPr="00A626CC">
        <w:t>between</w:t>
      </w:r>
      <w:r w:rsidR="003531D3" w:rsidRPr="00A626CC">
        <w:t xml:space="preserve"> Australian and </w:t>
      </w:r>
      <w:r w:rsidR="003531D3" w:rsidRPr="00262031">
        <w:t>labour sending</w:t>
      </w:r>
      <w:r w:rsidR="003531D3" w:rsidRPr="00A626CC">
        <w:t xml:space="preserve"> stakeholders. These PLF staff also played a critical role in informing </w:t>
      </w:r>
      <w:r w:rsidR="00F73626" w:rsidRPr="00A626CC">
        <w:t xml:space="preserve">their Australia-based PLF colleagues in relation to </w:t>
      </w:r>
      <w:r w:rsidR="00F73626" w:rsidRPr="00262031">
        <w:t>labour</w:t>
      </w:r>
      <w:r w:rsidR="00007AD5">
        <w:t xml:space="preserve"> </w:t>
      </w:r>
      <w:r w:rsidR="00F73626" w:rsidRPr="00262031">
        <w:t>sending</w:t>
      </w:r>
      <w:r w:rsidR="00F73626" w:rsidRPr="00A626CC">
        <w:t xml:space="preserve"> country issues and considerations. In a formal sense, there </w:t>
      </w:r>
      <w:r w:rsidR="007A055C" w:rsidRPr="00A626CC">
        <w:t xml:space="preserve">were </w:t>
      </w:r>
      <w:r w:rsidR="00F73626" w:rsidRPr="00A626CC">
        <w:t xml:space="preserve">only three </w:t>
      </w:r>
      <w:r w:rsidR="007D4A85" w:rsidRPr="00A626CC">
        <w:t>scenarios that required the specific coordination of services</w:t>
      </w:r>
      <w:r w:rsidR="00E64B8B" w:rsidRPr="00A626CC">
        <w:t xml:space="preserve"> in-Australia and in </w:t>
      </w:r>
      <w:r w:rsidR="00E64B8B" w:rsidRPr="00262031">
        <w:t>labour sending</w:t>
      </w:r>
      <w:r w:rsidR="00E64B8B" w:rsidRPr="00A626CC">
        <w:t xml:space="preserve"> countries: </w:t>
      </w:r>
      <w:r w:rsidR="00B95039" w:rsidRPr="00A626CC">
        <w:t>i) management of critical incidents; ii) responding to employer-related issues raised by workers; iii) Assurance Team interventions in response to employer</w:t>
      </w:r>
      <w:r w:rsidR="00007AD5">
        <w:sym w:font="Symbol" w:char="F02D"/>
      </w:r>
      <w:r w:rsidR="00B95039" w:rsidRPr="00A626CC">
        <w:t>worker issues identified in routine monitoring and incident management</w:t>
      </w:r>
      <w:r w:rsidR="00E64B8B" w:rsidRPr="00A626CC">
        <w:t>.</w:t>
      </w:r>
    </w:p>
    <w:p w14:paraId="338B6BCC" w14:textId="1FCBCCE4" w:rsidR="00C9165A" w:rsidRPr="00A626CC" w:rsidRDefault="002841C2" w:rsidP="00A626CC">
      <w:r w:rsidRPr="00A626CC">
        <w:t xml:space="preserve">Notwithstanding the overall strong performance </w:t>
      </w:r>
      <w:r w:rsidR="00E62A78" w:rsidRPr="00A626CC">
        <w:t xml:space="preserve">and achievements </w:t>
      </w:r>
      <w:r w:rsidRPr="00A626CC">
        <w:t xml:space="preserve">of PLF </w:t>
      </w:r>
      <w:r w:rsidR="00E62A78" w:rsidRPr="00A626CC">
        <w:t xml:space="preserve">and the PALM scheme more broadly, </w:t>
      </w:r>
      <w:r w:rsidR="006575FD" w:rsidRPr="00A626CC">
        <w:t xml:space="preserve">several challenges remain for the next phase of programming, arising from each of the three </w:t>
      </w:r>
      <w:r w:rsidR="004A05B8" w:rsidRPr="00A626CC">
        <w:t>key phases of labour mobility: i) worker readiness; ii) worker welfare; iii) worker reintegration.</w:t>
      </w:r>
    </w:p>
    <w:p w14:paraId="622D9E0C" w14:textId="73188BDA" w:rsidR="004A05B8" w:rsidRPr="00A626CC" w:rsidRDefault="004A05B8" w:rsidP="00A626CC">
      <w:r w:rsidRPr="00A626CC">
        <w:rPr>
          <w:b/>
        </w:rPr>
        <w:lastRenderedPageBreak/>
        <w:t>Worker readiness</w:t>
      </w:r>
      <w:r w:rsidRPr="00A626CC">
        <w:t xml:space="preserve"> </w:t>
      </w:r>
      <w:r w:rsidR="004F21BD" w:rsidRPr="00A626CC">
        <w:t>systems have responded impressively to the dramatic growth in the number of worker mobilisations. Of particular note, PDB process</w:t>
      </w:r>
      <w:r w:rsidR="000F017A" w:rsidRPr="00A626CC">
        <w:t xml:space="preserve">es have </w:t>
      </w:r>
      <w:r w:rsidR="004F21BD" w:rsidRPr="00A626CC">
        <w:t xml:space="preserve">matured and professionalised. </w:t>
      </w:r>
      <w:r w:rsidR="00757540" w:rsidRPr="00A626CC">
        <w:t>Areas for f</w:t>
      </w:r>
      <w:r w:rsidR="004F21BD" w:rsidRPr="00A626CC">
        <w:t xml:space="preserve">urther </w:t>
      </w:r>
      <w:r w:rsidR="00050C90" w:rsidRPr="00A626CC">
        <w:t xml:space="preserve">evolution and refinement </w:t>
      </w:r>
      <w:r w:rsidR="00757540" w:rsidRPr="00A626CC">
        <w:t xml:space="preserve">have been identified through various </w:t>
      </w:r>
      <w:r w:rsidR="00503848" w:rsidRPr="00A626CC">
        <w:t>initiatives piloted across the region—notably a World Vision/IOM pilot in Vanuatu</w:t>
      </w:r>
      <w:r w:rsidR="00EE3AF7" w:rsidRPr="00A626CC">
        <w:t xml:space="preserve">. However, additional pre-departure content must be balanced </w:t>
      </w:r>
      <w:r w:rsidR="00D642A2" w:rsidRPr="00A626CC">
        <w:t xml:space="preserve">against the pragmatics of worker absorptive capacity and cost. There will need to be </w:t>
      </w:r>
      <w:r w:rsidR="000B4994" w:rsidRPr="00A626CC">
        <w:t xml:space="preserve">ongoing </w:t>
      </w:r>
      <w:r w:rsidR="00126C83" w:rsidRPr="00A626CC">
        <w:t>reflection</w:t>
      </w:r>
      <w:r w:rsidR="000B4994" w:rsidRPr="00A626CC">
        <w:t xml:space="preserve"> and </w:t>
      </w:r>
      <w:r w:rsidR="00126C83" w:rsidRPr="00A626CC">
        <w:t xml:space="preserve">refinement </w:t>
      </w:r>
      <w:r w:rsidR="000B4994" w:rsidRPr="00A626CC">
        <w:t xml:space="preserve">driven by evolution in the worker welfare support processes (below) and </w:t>
      </w:r>
      <w:r w:rsidR="00EA78D7" w:rsidRPr="00A626CC">
        <w:t>further changes in scope such as family accompaniment.</w:t>
      </w:r>
    </w:p>
    <w:p w14:paraId="17985105" w14:textId="795625B3" w:rsidR="00EA78D7" w:rsidRPr="00A626CC" w:rsidRDefault="00D509CB" w:rsidP="00A626CC">
      <w:r w:rsidRPr="00A626CC">
        <w:t xml:space="preserve">In Australia, </w:t>
      </w:r>
      <w:r w:rsidRPr="00A626CC">
        <w:rPr>
          <w:b/>
        </w:rPr>
        <w:t>worker welfare</w:t>
      </w:r>
      <w:r w:rsidRPr="00A626CC">
        <w:t xml:space="preserve"> has evolved as a key challenge for the PALM scheme, and hence for PLF. </w:t>
      </w:r>
      <w:r w:rsidR="00C17650" w:rsidRPr="00A626CC">
        <w:t>These services will be further transitioned to DEWR in the forward period and the role of a service provider such as PLF will likely diminish. Nevertheless, lessons learned remain relevant</w:t>
      </w:r>
      <w:r w:rsidR="00B4344E" w:rsidRPr="00A626CC">
        <w:t>—especially t</w:t>
      </w:r>
      <w:r w:rsidR="00AD63E9" w:rsidRPr="00A626CC">
        <w:t>he</w:t>
      </w:r>
      <w:r w:rsidR="00B4344E" w:rsidRPr="00A626CC">
        <w:t xml:space="preserve"> importance of culturally relevant and personal</w:t>
      </w:r>
      <w:r w:rsidR="00AD63E9" w:rsidRPr="00A626CC">
        <w:t>ised</w:t>
      </w:r>
      <w:r w:rsidR="00B4344E" w:rsidRPr="00A626CC">
        <w:t xml:space="preserve"> </w:t>
      </w:r>
      <w:r w:rsidR="00AA277B" w:rsidRPr="00A626CC">
        <w:t xml:space="preserve">worker </w:t>
      </w:r>
      <w:r w:rsidR="00B4344E" w:rsidRPr="00A626CC">
        <w:t xml:space="preserve">support (such as </w:t>
      </w:r>
      <w:r w:rsidR="005D6C58" w:rsidRPr="00A626CC">
        <w:t xml:space="preserve">provided by </w:t>
      </w:r>
      <w:r w:rsidR="00B4344E" w:rsidRPr="00A626CC">
        <w:t xml:space="preserve">the CLO network) </w:t>
      </w:r>
      <w:r w:rsidR="0066335A" w:rsidRPr="00A626CC">
        <w:t xml:space="preserve">rather than centralised/abstracted support such as </w:t>
      </w:r>
      <w:r w:rsidR="005F4B3B" w:rsidRPr="00A626CC">
        <w:t>the Support Services Line</w:t>
      </w:r>
      <w:r w:rsidR="0066335A" w:rsidRPr="00A626CC">
        <w:t xml:space="preserve">. </w:t>
      </w:r>
      <w:r w:rsidR="001A6727" w:rsidRPr="00A626CC">
        <w:t xml:space="preserve">A key issue for DEWR is that currently, the LSUs </w:t>
      </w:r>
      <w:r w:rsidR="00A6127B" w:rsidRPr="00A626CC">
        <w:t>are not well oriented to the role and processes of DEWR</w:t>
      </w:r>
      <w:r w:rsidR="0097216D" w:rsidRPr="00A626CC">
        <w:t xml:space="preserve">, </w:t>
      </w:r>
      <w:r w:rsidR="003302A8" w:rsidRPr="00A626CC">
        <w:t xml:space="preserve">which </w:t>
      </w:r>
      <w:r w:rsidR="0097216D" w:rsidRPr="00A626CC">
        <w:t>manifest</w:t>
      </w:r>
      <w:r w:rsidR="003302A8" w:rsidRPr="00A626CC">
        <w:t>s</w:t>
      </w:r>
      <w:r w:rsidR="0097216D" w:rsidRPr="00A626CC">
        <w:t xml:space="preserve"> as </w:t>
      </w:r>
      <w:r w:rsidR="000A2F76" w:rsidRPr="00A626CC">
        <w:t>weak person-to-person contacts</w:t>
      </w:r>
      <w:r w:rsidR="006B1B67" w:rsidRPr="00A626CC">
        <w:t xml:space="preserve">—something </w:t>
      </w:r>
      <w:r w:rsidR="000A2F76" w:rsidRPr="00A626CC">
        <w:t xml:space="preserve">which </w:t>
      </w:r>
      <w:r w:rsidR="005D6C58" w:rsidRPr="00A626CC">
        <w:t>is</w:t>
      </w:r>
      <w:r w:rsidR="000A2F76" w:rsidRPr="00A626CC">
        <w:t xml:space="preserve"> fundamental to successful operations in the region. </w:t>
      </w:r>
      <w:r w:rsidR="000C60BC" w:rsidRPr="00A626CC">
        <w:t xml:space="preserve">The Community of Care model </w:t>
      </w:r>
      <w:r w:rsidR="006B1B67" w:rsidRPr="00A626CC">
        <w:t xml:space="preserve">was </w:t>
      </w:r>
      <w:r w:rsidR="000C60BC" w:rsidRPr="00A626CC">
        <w:t xml:space="preserve">developed to </w:t>
      </w:r>
      <w:r w:rsidR="002D5E48" w:rsidRPr="00A626CC">
        <w:t xml:space="preserve">enable greater efficiency and scalability </w:t>
      </w:r>
      <w:r w:rsidR="006B1B67" w:rsidRPr="00A626CC">
        <w:t xml:space="preserve">and </w:t>
      </w:r>
      <w:r w:rsidR="002D5E48" w:rsidRPr="00A626CC">
        <w:t>should be formally reviewed</w:t>
      </w:r>
      <w:r w:rsidR="006B1B67" w:rsidRPr="00A626CC">
        <w:t xml:space="preserve">, noting </w:t>
      </w:r>
      <w:r w:rsidR="00122010" w:rsidRPr="00A626CC">
        <w:t>that many stakeholders consider that it is not working adequately</w:t>
      </w:r>
      <w:r w:rsidR="002D5E48" w:rsidRPr="00A626CC">
        <w:t xml:space="preserve">. </w:t>
      </w:r>
      <w:r w:rsidR="0066335A" w:rsidRPr="00A626CC">
        <w:t>Worker welfare issues</w:t>
      </w:r>
      <w:r w:rsidR="000C60BC" w:rsidRPr="00A626CC">
        <w:t xml:space="preserve"> will likely continue to evolve </w:t>
      </w:r>
      <w:r w:rsidR="002D5E48" w:rsidRPr="00A626CC">
        <w:t xml:space="preserve">in response to labour mobility policy issues—notably the question of worker portability </w:t>
      </w:r>
      <w:r w:rsidR="002673E6" w:rsidRPr="00A626CC">
        <w:t xml:space="preserve">between employers, and other changes such as family accompaniment, </w:t>
      </w:r>
      <w:r w:rsidR="00AD63E9" w:rsidRPr="00A626CC">
        <w:t xml:space="preserve">the </w:t>
      </w:r>
      <w:r w:rsidR="002673E6" w:rsidRPr="00A626CC">
        <w:t xml:space="preserve">addition of new industries </w:t>
      </w:r>
      <w:r w:rsidR="00AD63E9" w:rsidRPr="00A626CC">
        <w:t>and longer-term visas</w:t>
      </w:r>
      <w:r w:rsidR="00A2212C" w:rsidRPr="00A626CC">
        <w:t xml:space="preserve">. </w:t>
      </w:r>
      <w:r w:rsidR="005D6C58" w:rsidRPr="00A626CC">
        <w:t>W</w:t>
      </w:r>
      <w:r w:rsidR="00D62A79" w:rsidRPr="00A626CC">
        <w:t xml:space="preserve">orker welfare has emerged as central to the maintenance of a social license for labour mobility, both in Australia and in </w:t>
      </w:r>
      <w:r w:rsidR="00D62A79" w:rsidRPr="00262031">
        <w:t>labour sending</w:t>
      </w:r>
      <w:r w:rsidR="00D62A79" w:rsidRPr="00A626CC">
        <w:t xml:space="preserve"> countries</w:t>
      </w:r>
      <w:r w:rsidR="00122010" w:rsidRPr="00A626CC">
        <w:t xml:space="preserve">. In these circumstances, there will need to be ongoing (and clarified) </w:t>
      </w:r>
      <w:r w:rsidR="00A07AEE" w:rsidRPr="00A626CC">
        <w:t>collaboration between DFAT</w:t>
      </w:r>
      <w:r w:rsidR="00241C1D">
        <w:t xml:space="preserve">, </w:t>
      </w:r>
      <w:r w:rsidR="00A07AEE" w:rsidRPr="00A626CC">
        <w:t>DEWR</w:t>
      </w:r>
      <w:r w:rsidR="00241C1D">
        <w:t xml:space="preserve">, and </w:t>
      </w:r>
      <w:r w:rsidR="00837D14" w:rsidRPr="00262031">
        <w:t>labour sending</w:t>
      </w:r>
      <w:r w:rsidR="00837D14" w:rsidRPr="00837D14">
        <w:t xml:space="preserve"> diplomatic missions</w:t>
      </w:r>
      <w:r w:rsidR="00A07AEE" w:rsidRPr="00A626CC">
        <w:t>.</w:t>
      </w:r>
    </w:p>
    <w:p w14:paraId="3C7ED4C0" w14:textId="5A2DD297" w:rsidR="00F8070B" w:rsidRDefault="00A07AEE" w:rsidP="00A626CC">
      <w:r w:rsidRPr="00A626CC">
        <w:t xml:space="preserve">The matter of </w:t>
      </w:r>
      <w:r w:rsidRPr="00A626CC">
        <w:rPr>
          <w:b/>
        </w:rPr>
        <w:t>worker reintegration</w:t>
      </w:r>
      <w:r w:rsidRPr="00A626CC">
        <w:t xml:space="preserve"> is an area for much more investment and innovation moving forward. </w:t>
      </w:r>
      <w:r w:rsidR="00E15AF0" w:rsidRPr="00A626CC">
        <w:t>PLF’s p</w:t>
      </w:r>
      <w:r w:rsidRPr="00A626CC">
        <w:t xml:space="preserve">lans to </w:t>
      </w:r>
      <w:r w:rsidR="00322B4D" w:rsidRPr="00A626CC">
        <w:t xml:space="preserve">strengthen worker reintegration </w:t>
      </w:r>
      <w:r w:rsidR="00E15AF0" w:rsidRPr="00A626CC">
        <w:t xml:space="preserve">services </w:t>
      </w:r>
      <w:r w:rsidR="00322B4D" w:rsidRPr="00A626CC">
        <w:t xml:space="preserve">were directed </w:t>
      </w:r>
      <w:r w:rsidR="00E15AF0" w:rsidRPr="00A626CC">
        <w:t>at</w:t>
      </w:r>
      <w:r w:rsidR="00322B4D" w:rsidRPr="00A626CC">
        <w:t xml:space="preserve"> leveraging the financial benefit accrued through working in </w:t>
      </w:r>
      <w:r w:rsidR="005D6C58" w:rsidRPr="00A626CC">
        <w:t>Australia but</w:t>
      </w:r>
      <w:r w:rsidR="00322B4D" w:rsidRPr="00A626CC">
        <w:t xml:space="preserve"> were largely shelved by the demands of </w:t>
      </w:r>
      <w:r w:rsidR="006601EA" w:rsidRPr="00A626CC">
        <w:t xml:space="preserve">COVID-19 and growth of the scheme. This domain offers DFAT an important area to support </w:t>
      </w:r>
      <w:r w:rsidR="0034484D" w:rsidRPr="00262031">
        <w:t>labour sending</w:t>
      </w:r>
      <w:r w:rsidR="0034484D" w:rsidRPr="00A626CC">
        <w:t xml:space="preserve"> governments, across a range of strategic areas spanning tax revenue through entrepreneurship, skills development and climate</w:t>
      </w:r>
      <w:r w:rsidR="00E15AF0" w:rsidRPr="00A626CC">
        <w:t>-induced</w:t>
      </w:r>
      <w:r w:rsidR="0034484D" w:rsidRPr="00A626CC">
        <w:t xml:space="preserve"> migration. </w:t>
      </w:r>
      <w:r w:rsidR="004C312E" w:rsidRPr="00A626CC">
        <w:t>Along with worker welfare, this domain provides potential to further reinforce the social license for labour mobility</w:t>
      </w:r>
      <w:r w:rsidR="00403411" w:rsidRPr="00A626CC">
        <w:t xml:space="preserve"> as well as offering opportunities to augment strategic bilateral relationships beyond just </w:t>
      </w:r>
      <w:r w:rsidR="002D31B6" w:rsidRPr="00A626CC">
        <w:t xml:space="preserve">operational </w:t>
      </w:r>
      <w:r w:rsidR="00403411" w:rsidRPr="00A626CC">
        <w:t xml:space="preserve">support for </w:t>
      </w:r>
      <w:r w:rsidR="002D31B6" w:rsidRPr="00A626CC">
        <w:t>LSUs.</w:t>
      </w:r>
      <w:r w:rsidR="00240CFD" w:rsidRPr="00A626CC">
        <w:rPr>
          <w:rStyle w:val="FootnoteReference"/>
        </w:rPr>
        <w:footnoteReference w:id="70"/>
      </w:r>
      <w:r w:rsidR="002D31B6" w:rsidRPr="00A626CC">
        <w:t xml:space="preserve"> A move by DFAT to install additional Australia-based staff in </w:t>
      </w:r>
      <w:r w:rsidR="002D31B6" w:rsidRPr="00262031">
        <w:t>labour sending</w:t>
      </w:r>
      <w:r w:rsidR="002D31B6" w:rsidRPr="00A626CC">
        <w:t xml:space="preserve"> </w:t>
      </w:r>
      <w:r w:rsidR="00627343" w:rsidRPr="00A626CC">
        <w:t xml:space="preserve">DFAT </w:t>
      </w:r>
      <w:r w:rsidR="002D31B6" w:rsidRPr="00A626CC">
        <w:t xml:space="preserve">posts is timely. These roles should </w:t>
      </w:r>
      <w:r w:rsidR="001331F5" w:rsidRPr="00A626CC">
        <w:t xml:space="preserve">seek to broker ways to leverage labour mobility </w:t>
      </w:r>
      <w:r w:rsidR="00627343" w:rsidRPr="00A626CC">
        <w:t>priorities</w:t>
      </w:r>
      <w:r w:rsidR="001331F5" w:rsidRPr="00A626CC">
        <w:t xml:space="preserve"> and opportunities against other relevant bilateral </w:t>
      </w:r>
      <w:r w:rsidR="00627343" w:rsidRPr="00A626CC">
        <w:t>development</w:t>
      </w:r>
      <w:r w:rsidR="001331F5" w:rsidRPr="00A626CC">
        <w:t xml:space="preserve"> investments.</w:t>
      </w:r>
      <w:r w:rsidR="00427FBA" w:rsidRPr="00A626CC">
        <w:t xml:space="preserve"> This will go some way to confronting growing concerns/perceptions in the region that labour mobility </w:t>
      </w:r>
      <w:r w:rsidR="009F1EAE" w:rsidRPr="00A626CC">
        <w:t xml:space="preserve">presents a social and economic risk to </w:t>
      </w:r>
      <w:r w:rsidR="009F1EAE" w:rsidRPr="00262031">
        <w:t>labour sending</w:t>
      </w:r>
      <w:r w:rsidR="009F1EAE" w:rsidRPr="00A626CC">
        <w:t xml:space="preserve"> governments—especially the matter of ‘skills drain’.</w:t>
      </w:r>
      <w:r w:rsidR="00F81BCA" w:rsidRPr="00A626CC">
        <w:t xml:space="preserve"> </w:t>
      </w:r>
    </w:p>
    <w:p w14:paraId="2AF4E0B8" w14:textId="77777777" w:rsidR="00F8070B" w:rsidRDefault="00F8070B">
      <w:r>
        <w:br w:type="page"/>
      </w:r>
    </w:p>
    <w:p w14:paraId="4859FE76" w14:textId="72F918C8" w:rsidR="00AD76BD" w:rsidRPr="00A626CC" w:rsidRDefault="00AD76BD" w:rsidP="00A626CC">
      <w:r w:rsidRPr="00A626CC">
        <w:lastRenderedPageBreak/>
        <w:t>In relation to DFAT’s development priority themes</w:t>
      </w:r>
      <w:r w:rsidR="00155A85" w:rsidRPr="00A626CC">
        <w:t>:</w:t>
      </w:r>
    </w:p>
    <w:p w14:paraId="4F6FE812" w14:textId="1CADD90B" w:rsidR="00702365" w:rsidRPr="00A626CC" w:rsidRDefault="00702365" w:rsidP="00A626CC">
      <w:r w:rsidRPr="00A626CC">
        <w:rPr>
          <w:b/>
        </w:rPr>
        <w:t>Sustainability</w:t>
      </w:r>
      <w:r w:rsidRPr="00A626CC">
        <w:t xml:space="preserve"> </w:t>
      </w:r>
      <w:r w:rsidR="00FE4B8D" w:rsidRPr="00A626CC">
        <w:t xml:space="preserve">remains an issue that requires further debate and resolution in the context of </w:t>
      </w:r>
      <w:r w:rsidR="00405BAB" w:rsidRPr="00A626CC">
        <w:t>an</w:t>
      </w:r>
      <w:r w:rsidR="00FE4B8D" w:rsidRPr="00A626CC">
        <w:t xml:space="preserve"> expanding PALM scheme</w:t>
      </w:r>
      <w:r w:rsidR="00B32601" w:rsidRPr="00A626CC">
        <w:t xml:space="preserve">. The conception of sustainability evolved significantly over the life of the </w:t>
      </w:r>
      <w:r w:rsidR="008A50DE" w:rsidRPr="00A626CC">
        <w:t>investment</w:t>
      </w:r>
      <w:r w:rsidR="00B32601" w:rsidRPr="00A626CC">
        <w:t>, and then was largely set aside as a</w:t>
      </w:r>
      <w:r w:rsidR="008A50DE" w:rsidRPr="00A626CC">
        <w:t>n</w:t>
      </w:r>
      <w:r w:rsidR="00B32601" w:rsidRPr="00A626CC">
        <w:t xml:space="preserve"> agenda during the </w:t>
      </w:r>
      <w:r w:rsidR="001C656C" w:rsidRPr="00A626CC">
        <w:t xml:space="preserve">period of rapid scale-up and </w:t>
      </w:r>
      <w:r w:rsidR="008C0E4B" w:rsidRPr="00A626CC">
        <w:t xml:space="preserve">amid </w:t>
      </w:r>
      <w:r w:rsidR="001C656C" w:rsidRPr="00A626CC">
        <w:t xml:space="preserve">responses </w:t>
      </w:r>
      <w:r w:rsidR="008C0E4B" w:rsidRPr="00A626CC">
        <w:t xml:space="preserve">to </w:t>
      </w:r>
      <w:r w:rsidR="001C656C" w:rsidRPr="00A626CC">
        <w:t>the COVID-19 pandemic.</w:t>
      </w:r>
      <w:r w:rsidR="008C0E4B" w:rsidRPr="00A626CC">
        <w:t xml:space="preserve"> </w:t>
      </w:r>
      <w:r w:rsidR="007A4BB5" w:rsidRPr="00A626CC">
        <w:t xml:space="preserve">Initially, the concept of sustainability was underpinned by a market-based ‘user pays’ </w:t>
      </w:r>
      <w:r w:rsidR="0063717C" w:rsidRPr="00A626CC">
        <w:t xml:space="preserve">construct. This framing has evidently given way to a wider concept of sustainability that </w:t>
      </w:r>
      <w:r w:rsidR="008C0E4B" w:rsidRPr="00A626CC">
        <w:t>emphasises</w:t>
      </w:r>
      <w:r w:rsidR="0063717C" w:rsidRPr="00A626CC">
        <w:t xml:space="preserve"> equality and inclusion</w:t>
      </w:r>
      <w:r w:rsidR="0017651E" w:rsidRPr="00A626CC">
        <w:t xml:space="preserve"> and the </w:t>
      </w:r>
      <w:r w:rsidR="00275EA9" w:rsidRPr="00A626CC">
        <w:t>broader</w:t>
      </w:r>
      <w:r w:rsidR="0017651E" w:rsidRPr="00A626CC">
        <w:t xml:space="preserve"> strategic and </w:t>
      </w:r>
      <w:r w:rsidR="008C0E4B" w:rsidRPr="00A626CC">
        <w:t>geopolitical</w:t>
      </w:r>
      <w:r w:rsidR="0017651E" w:rsidRPr="00A626CC">
        <w:t xml:space="preserve"> interests of Australia and the labour sending countries. ‘Social license’ for the scheme in all participating countries</w:t>
      </w:r>
      <w:r w:rsidR="00CE7747" w:rsidRPr="00A626CC">
        <w:t xml:space="preserve"> has emerged as an organising principle.</w:t>
      </w:r>
    </w:p>
    <w:p w14:paraId="6D6D2A88" w14:textId="0BB5A7F2" w:rsidR="00155A85" w:rsidRPr="00A626CC" w:rsidRDefault="00155A85" w:rsidP="00A626CC">
      <w:r w:rsidRPr="00A626CC">
        <w:t xml:space="preserve">A dedicated </w:t>
      </w:r>
      <w:r w:rsidRPr="00A626CC">
        <w:rPr>
          <w:b/>
        </w:rPr>
        <w:t>GEDSI</w:t>
      </w:r>
      <w:r w:rsidRPr="00A626CC">
        <w:t xml:space="preserve"> team was engaged and integrated within the QLP team, which ensured </w:t>
      </w:r>
      <w:r w:rsidR="008C0E4B" w:rsidRPr="00A626CC">
        <w:t>that</w:t>
      </w:r>
      <w:r w:rsidRPr="00A626CC">
        <w:t xml:space="preserve"> equality and inclusion were key considerations in the performance management </w:t>
      </w:r>
      <w:r w:rsidR="008715B8" w:rsidRPr="00A626CC">
        <w:t xml:space="preserve">arrangements. PLF was able to promote a range of initiatives which contributed to a significant increase in the number of women participating in labour mobility, but the overall percentage remains around </w:t>
      </w:r>
      <w:r w:rsidR="0099433F" w:rsidRPr="00A626CC">
        <w:t xml:space="preserve">20%, and these women are predominantly engaged in two industries. </w:t>
      </w:r>
      <w:r w:rsidR="00506CD9" w:rsidRPr="00A626CC">
        <w:t xml:space="preserve">A cohesive design for promoting disability inclusion was developed by PLF in 2022, but its implementation has been hampered by reluctance among approved employers to promote workers with disability. </w:t>
      </w:r>
      <w:r w:rsidR="00706245" w:rsidRPr="00A626CC">
        <w:t xml:space="preserve">The work of influencing lasting changes in the norms that drive equality and inclusion are </w:t>
      </w:r>
      <w:r w:rsidR="008C0E4B" w:rsidRPr="00A626CC">
        <w:t>acknowledged</w:t>
      </w:r>
      <w:r w:rsidR="00706245" w:rsidRPr="00A626CC">
        <w:t xml:space="preserve"> to require</w:t>
      </w:r>
      <w:r w:rsidR="00807FCC" w:rsidRPr="00A626CC">
        <w:t xml:space="preserve"> significant time and investment. This work should continue to expand in the futur</w:t>
      </w:r>
      <w:r w:rsidR="008C0E4B" w:rsidRPr="00A626CC">
        <w:t xml:space="preserve">e, </w:t>
      </w:r>
      <w:r w:rsidR="00CC0BD1" w:rsidRPr="00A626CC">
        <w:t xml:space="preserve">with innovation required both in Australia and in </w:t>
      </w:r>
      <w:r w:rsidR="00CC0BD1" w:rsidRPr="00262031">
        <w:t>labour sending</w:t>
      </w:r>
      <w:r w:rsidR="00CC0BD1" w:rsidRPr="00A626CC">
        <w:t xml:space="preserve"> countries. </w:t>
      </w:r>
    </w:p>
    <w:p w14:paraId="0AD36C6E" w14:textId="68D6D18D" w:rsidR="00CE7747" w:rsidRPr="00A626CC" w:rsidRDefault="00CE7747" w:rsidP="00A626CC">
      <w:r w:rsidRPr="00A626CC">
        <w:rPr>
          <w:b/>
        </w:rPr>
        <w:t>MEL</w:t>
      </w:r>
      <w:r w:rsidRPr="00A626CC">
        <w:t xml:space="preserve"> is not only a </w:t>
      </w:r>
      <w:r w:rsidR="005C42BB" w:rsidRPr="00A626CC">
        <w:t xml:space="preserve">development policy priority and contractual requirement of DFAT, but fundamental to implementing an adaptive and responsive program such as PLF. </w:t>
      </w:r>
      <w:r w:rsidR="00E861CC" w:rsidRPr="00A626CC">
        <w:t>The QLP team within PLF managed a large workload which was dominate</w:t>
      </w:r>
      <w:r w:rsidR="006C1E4F" w:rsidRPr="00A626CC">
        <w:t>d</w:t>
      </w:r>
      <w:r w:rsidR="00E861CC" w:rsidRPr="00A626CC">
        <w:t xml:space="preserve"> by the capture and reporting of an array </w:t>
      </w:r>
      <w:r w:rsidR="006B2C61" w:rsidRPr="00A626CC">
        <w:t xml:space="preserve">of </w:t>
      </w:r>
      <w:r w:rsidR="006C1E4F" w:rsidRPr="00A626CC">
        <w:t xml:space="preserve">ever-changing </w:t>
      </w:r>
      <w:r w:rsidR="006B2C61" w:rsidRPr="00A626CC">
        <w:t xml:space="preserve">service metrics to the Australian Government. Much of this was directed at managing [arguably] poorly informed Australian media in relation to </w:t>
      </w:r>
      <w:r w:rsidR="00BB1CC2" w:rsidRPr="00A626CC">
        <w:t>worker welfare matters. In addition, the QLP team was required to undertake</w:t>
      </w:r>
      <w:r w:rsidR="00A47AE4" w:rsidRPr="00A626CC">
        <w:t xml:space="preserve"> regular development-focussed MEL work, most notably the tracking of evolving LSU capacity and the integration of GEDSI principles across the workstreams. A third area that dominated the capacity of QLP related</w:t>
      </w:r>
      <w:r w:rsidR="00056B84" w:rsidRPr="00A626CC">
        <w:t xml:space="preserve"> the development of information systems. These are seen by many as being critical to supporting efficiency, transparency and </w:t>
      </w:r>
      <w:r w:rsidR="006C1E4F" w:rsidRPr="00A626CC">
        <w:t>scalability</w:t>
      </w:r>
      <w:r w:rsidR="00265E3E" w:rsidRPr="00A626CC">
        <w:t xml:space="preserve"> of the scheme. The rollout of these information systems is continuing. Experience suggests that such rollouts (especially across </w:t>
      </w:r>
      <w:r w:rsidR="00737351" w:rsidRPr="00A626CC">
        <w:t xml:space="preserve">national, cultural, educational and technological </w:t>
      </w:r>
      <w:r w:rsidR="006C1E4F" w:rsidRPr="00A626CC">
        <w:t>boundaries</w:t>
      </w:r>
      <w:r w:rsidR="00737351" w:rsidRPr="00A626CC">
        <w:t xml:space="preserve">) </w:t>
      </w:r>
      <w:r w:rsidR="00971F5E">
        <w:t>are</w:t>
      </w:r>
      <w:r w:rsidR="00737351" w:rsidRPr="00A626CC">
        <w:t xml:space="preserve"> challenging, and will likely require continued support in the future. A final focus of the QLP team was oversight of responsive research. This work was ambitious, arguably under-resourced, but contributed </w:t>
      </w:r>
      <w:r w:rsidR="006C1E4F" w:rsidRPr="00A626CC">
        <w:t>substantive</w:t>
      </w:r>
      <w:r w:rsidR="00737351" w:rsidRPr="00A626CC">
        <w:t xml:space="preserve"> insights to improve PLF operations specifically, and the PALM scheme more broadly. It also situated the work of PLF within a broader intellectual ‘community’ of academic researchers in the domain. </w:t>
      </w:r>
      <w:r w:rsidR="00090655" w:rsidRPr="00A626CC">
        <w:t xml:space="preserve">Noting many of the remaining complexities that criss-cross the PALM scheme, this work should be </w:t>
      </w:r>
      <w:r w:rsidR="009618FF" w:rsidRPr="00A626CC">
        <w:t xml:space="preserve">continued and expanded </w:t>
      </w:r>
      <w:r w:rsidR="00090655" w:rsidRPr="00A626CC">
        <w:t>moving forward</w:t>
      </w:r>
      <w:r w:rsidR="009618FF" w:rsidRPr="00A626CC">
        <w:t>.</w:t>
      </w:r>
    </w:p>
    <w:p w14:paraId="553E3D9F" w14:textId="77777777" w:rsidR="00702365" w:rsidRPr="00A626CC" w:rsidRDefault="00702365" w:rsidP="00A626CC"/>
    <w:p w14:paraId="4136D73A" w14:textId="77777777" w:rsidR="00807FCC" w:rsidRPr="00A626CC" w:rsidRDefault="00807FCC" w:rsidP="00A626CC"/>
    <w:p w14:paraId="117C30AC" w14:textId="77777777" w:rsidR="002841C2" w:rsidRPr="00A626CC" w:rsidRDefault="002841C2" w:rsidP="00A626CC"/>
    <w:p w14:paraId="30B84C0F" w14:textId="77777777" w:rsidR="003B7D80" w:rsidRPr="00A626CC" w:rsidRDefault="003B7D80" w:rsidP="00A626CC"/>
    <w:p w14:paraId="29D3BC0A" w14:textId="3D69EE4A" w:rsidR="00EB5C13" w:rsidRPr="00A626CC" w:rsidRDefault="00DE54AD" w:rsidP="00A626CC">
      <w:pPr>
        <w:pStyle w:val="Heading8"/>
      </w:pPr>
      <w:bookmarkStart w:id="47" w:name="_Toc152591529"/>
      <w:r w:rsidRPr="00A626CC">
        <w:lastRenderedPageBreak/>
        <w:t>Terms of reference</w:t>
      </w:r>
      <w:bookmarkEnd w:id="47"/>
    </w:p>
    <w:p w14:paraId="45313C70" w14:textId="77777777" w:rsidR="00DE54AD" w:rsidRPr="00A626CC" w:rsidRDefault="00DE54AD" w:rsidP="00A626CC"/>
    <w:p w14:paraId="16D42AD9" w14:textId="77777777" w:rsidR="00B75755" w:rsidRPr="00057816" w:rsidRDefault="00B75755" w:rsidP="00057816">
      <w:pPr>
        <w:jc w:val="center"/>
        <w:rPr>
          <w:rFonts w:cstheme="minorHAnsi"/>
          <w:b/>
          <w:u w:val="single"/>
        </w:rPr>
      </w:pPr>
      <w:r w:rsidRPr="00057816">
        <w:rPr>
          <w:rFonts w:cstheme="minorHAnsi"/>
          <w:b/>
          <w:u w:val="single"/>
        </w:rPr>
        <w:t>Terms of Reference</w:t>
      </w:r>
    </w:p>
    <w:p w14:paraId="647C79B5" w14:textId="77777777" w:rsidR="00B75755" w:rsidRPr="00057816" w:rsidRDefault="00B75755" w:rsidP="00057816">
      <w:pPr>
        <w:jc w:val="center"/>
        <w:rPr>
          <w:rFonts w:cstheme="minorHAnsi"/>
          <w:b/>
          <w:u w:val="single"/>
        </w:rPr>
      </w:pPr>
      <w:r w:rsidRPr="00057816">
        <w:rPr>
          <w:rFonts w:cstheme="minorHAnsi"/>
          <w:b/>
          <w:u w:val="single"/>
        </w:rPr>
        <w:t>Independent Evaluation of the Pacific Labour Facility</w:t>
      </w:r>
    </w:p>
    <w:p w14:paraId="1655FB69" w14:textId="77777777" w:rsidR="00B75755" w:rsidRPr="00A626CC" w:rsidRDefault="00B75755" w:rsidP="00A626CC">
      <w:pPr>
        <w:rPr>
          <w:rFonts w:cstheme="minorHAnsi"/>
          <w:i/>
        </w:rPr>
      </w:pPr>
    </w:p>
    <w:p w14:paraId="7B9A98C6" w14:textId="77777777" w:rsidR="00B75755" w:rsidRPr="00A626CC" w:rsidRDefault="00B75755" w:rsidP="00A626CC">
      <w:pPr>
        <w:rPr>
          <w:rFonts w:cstheme="minorHAnsi"/>
          <w:i/>
        </w:rPr>
      </w:pPr>
      <w:r w:rsidRPr="00A626CC">
        <w:rPr>
          <w:rFonts w:cstheme="minorHAnsi"/>
          <w:i/>
        </w:rPr>
        <w:t>Background</w:t>
      </w:r>
    </w:p>
    <w:p w14:paraId="74E3D585" w14:textId="5534AB8F" w:rsidR="00B75755" w:rsidRPr="00A626CC" w:rsidRDefault="00B75755" w:rsidP="00A626CC">
      <w:pPr>
        <w:rPr>
          <w:lang w:eastAsia="en-AU"/>
        </w:rPr>
      </w:pPr>
      <w:r w:rsidRPr="00A626CC">
        <w:rPr>
          <w:lang w:eastAsia="en-AU"/>
        </w:rPr>
        <w:t>The Pacific Australia Labour Mobility (PALM) scheme is Australia’s key program to address unskilled, low-skilled and semi-skilled labour shortages across rural and regional Australia. Under the scheme Australian businesses can hire workers from nine Pacific-island countries and Timor-Leste when there are not enough local workers available. Once approved to participate in the PALM scheme, employers can recruit workers to fill positions for short-term</w:t>
      </w:r>
      <w:r w:rsidR="004D23D7">
        <w:rPr>
          <w:lang w:eastAsia="en-AU"/>
        </w:rPr>
        <w:t xml:space="preserve"> placements</w:t>
      </w:r>
      <w:r w:rsidRPr="00A626CC">
        <w:rPr>
          <w:lang w:eastAsia="en-AU"/>
        </w:rPr>
        <w:t xml:space="preserve"> of up to nine months or longer-term placements of between one and four years.  </w:t>
      </w:r>
      <w:r w:rsidR="004D23D7">
        <w:rPr>
          <w:lang w:eastAsia="en-AU"/>
        </w:rPr>
        <w:t xml:space="preserve">PALM scheme </w:t>
      </w:r>
      <w:r w:rsidRPr="00A626CC">
        <w:rPr>
          <w:lang w:eastAsia="en-AU"/>
        </w:rPr>
        <w:t>workers can be employed in any sector and in all regional and rural postcodes, while all Australian businesses in the agriculture sector can participate in the scheme.     </w:t>
      </w:r>
    </w:p>
    <w:p w14:paraId="6383373D" w14:textId="68A22C7A" w:rsidR="00B75755" w:rsidRPr="00A626CC" w:rsidRDefault="00B75755" w:rsidP="00A626CC">
      <w:pPr>
        <w:rPr>
          <w:lang w:eastAsia="en-AU"/>
        </w:rPr>
      </w:pPr>
      <w:bookmarkStart w:id="48" w:name="_Hlk134433402"/>
      <w:r w:rsidRPr="00A626CC">
        <w:rPr>
          <w:lang w:eastAsia="en-AU"/>
        </w:rPr>
        <w:t xml:space="preserve">The PALM scheme is a highly relevant program that is currently managed by the Department of Foreign Affairs and Trade (DFAT) and the Department of Employment and Workplace Relations (DEWR) with the support of the Pacific Labour Facility (PLF). </w:t>
      </w:r>
      <w:bookmarkEnd w:id="48"/>
      <w:r w:rsidRPr="00A626CC">
        <w:rPr>
          <w:lang w:eastAsia="en-AU"/>
        </w:rPr>
        <w:t xml:space="preserve">The PLF has been operational from 2018. The PLF administers the long-term stream of the PALM scheme. The PLF also provides </w:t>
      </w:r>
      <w:r w:rsidRPr="00772949">
        <w:rPr>
          <w:lang w:eastAsia="en-AU"/>
        </w:rPr>
        <w:t>sending-country</w:t>
      </w:r>
      <w:r w:rsidRPr="00A626CC">
        <w:rPr>
          <w:lang w:eastAsia="en-AU"/>
        </w:rPr>
        <w:t xml:space="preserve"> and approved employer (AE) onboarding support for the short-term stream of the PALM scheme. DEWR administers the short-term stream of the PALM scheme which is implemented under a different deed and guidelines. There have been several changes in the PALM scheme over the last 12 months. On 23 November 2021, the official merging of the </w:t>
      </w:r>
      <w:r w:rsidR="004D23D7" w:rsidRPr="00A626CC">
        <w:rPr>
          <w:lang w:eastAsia="en-AU"/>
        </w:rPr>
        <w:t xml:space="preserve">Pacific Labour Scheme </w:t>
      </w:r>
      <w:r w:rsidR="004D23D7">
        <w:rPr>
          <w:lang w:eastAsia="en-AU"/>
        </w:rPr>
        <w:t>(</w:t>
      </w:r>
      <w:r w:rsidRPr="00A626CC">
        <w:rPr>
          <w:lang w:eastAsia="en-AU"/>
        </w:rPr>
        <w:t>PLS</w:t>
      </w:r>
      <w:r w:rsidR="004D23D7">
        <w:rPr>
          <w:lang w:eastAsia="en-AU"/>
        </w:rPr>
        <w:t>)</w:t>
      </w:r>
      <w:r w:rsidRPr="00A626CC">
        <w:rPr>
          <w:lang w:eastAsia="en-AU"/>
        </w:rPr>
        <w:t xml:space="preserve"> and </w:t>
      </w:r>
      <w:r w:rsidR="004D23D7" w:rsidRPr="00A626CC">
        <w:rPr>
          <w:lang w:eastAsia="en-AU"/>
        </w:rPr>
        <w:t xml:space="preserve">Seasonal Worker Programme </w:t>
      </w:r>
      <w:r w:rsidR="004D23D7">
        <w:rPr>
          <w:lang w:eastAsia="en-AU"/>
        </w:rPr>
        <w:t>(</w:t>
      </w:r>
      <w:r w:rsidRPr="00A626CC">
        <w:rPr>
          <w:lang w:eastAsia="en-AU"/>
        </w:rPr>
        <w:t>SWP</w:t>
      </w:r>
      <w:r w:rsidR="004D23D7">
        <w:rPr>
          <w:lang w:eastAsia="en-AU"/>
        </w:rPr>
        <w:t>)</w:t>
      </w:r>
      <w:r w:rsidRPr="00A626CC">
        <w:rPr>
          <w:lang w:eastAsia="en-AU"/>
        </w:rPr>
        <w:t xml:space="preserve"> under the PALM scheme was announced, with implementation of this merged ‘single program’ scheduled to take place in April 2022. The PALM scheme visa was launched in April 2022; however, the implementation of the single program was delayed until an as-yet undetermined date, in part due to a delay in tax legislation. Further significant changes in the past 12 months include: a change of Australian Government; changes in the policy settings for Australia’s labour mobility initiatives; machinery of government changes that split responsibility for delivery between DFAT and DEWR; and ongoing work to consolidate the PLS and SWP into a single PALM scheme. In addition, 80 per cent more long</w:t>
      </w:r>
      <w:r w:rsidR="004D23D7">
        <w:rPr>
          <w:lang w:eastAsia="en-AU"/>
        </w:rPr>
        <w:t>er</w:t>
      </w:r>
      <w:r w:rsidRPr="00A626CC">
        <w:rPr>
          <w:lang w:eastAsia="en-AU"/>
        </w:rPr>
        <w:t xml:space="preserve">-term PALM </w:t>
      </w:r>
      <w:r w:rsidR="006C7EE7">
        <w:rPr>
          <w:lang w:eastAsia="en-AU"/>
        </w:rPr>
        <w:t xml:space="preserve">scheme </w:t>
      </w:r>
      <w:r w:rsidRPr="00A626CC">
        <w:rPr>
          <w:lang w:eastAsia="en-AU"/>
        </w:rPr>
        <w:t>workers arrived in Australia in 2021-22 than originally projected.</w:t>
      </w:r>
    </w:p>
    <w:p w14:paraId="3BEB1CF7" w14:textId="3CF6320F" w:rsidR="00B75755" w:rsidRPr="00A626CC" w:rsidRDefault="00B75755" w:rsidP="00A626CC">
      <w:pPr>
        <w:rPr>
          <w:lang w:eastAsia="en-GB"/>
        </w:rPr>
      </w:pPr>
      <w:r w:rsidRPr="00A626CC">
        <w:rPr>
          <w:lang w:eastAsia="en-GB"/>
        </w:rPr>
        <w:t>The PALM</w:t>
      </w:r>
      <w:r w:rsidR="009E328D" w:rsidRPr="00A626CC">
        <w:rPr>
          <w:lang w:eastAsia="en-GB"/>
        </w:rPr>
        <w:t xml:space="preserve"> </w:t>
      </w:r>
      <w:r w:rsidRPr="00A626CC">
        <w:rPr>
          <w:lang w:eastAsia="en-GB"/>
        </w:rPr>
        <w:t xml:space="preserve">scheme aims to ensure that sustainable and effective expansion of circular labour mobility to Australia contributes to inclusive economic growth and social development of Pacific </w:t>
      </w:r>
      <w:r w:rsidR="003B51D1">
        <w:rPr>
          <w:lang w:eastAsia="en-GB"/>
        </w:rPr>
        <w:t>i</w:t>
      </w:r>
      <w:r w:rsidRPr="00A626CC">
        <w:rPr>
          <w:lang w:eastAsia="en-GB"/>
        </w:rPr>
        <w:t xml:space="preserve">sland </w:t>
      </w:r>
      <w:r w:rsidR="003B51D1">
        <w:rPr>
          <w:lang w:eastAsia="en-GB"/>
        </w:rPr>
        <w:t>c</w:t>
      </w:r>
      <w:r w:rsidRPr="00A626CC">
        <w:rPr>
          <w:lang w:eastAsia="en-GB"/>
        </w:rPr>
        <w:t xml:space="preserve">ountries (PICs) and Timor-Leste. This goal recognises that the benefits of labour mobility, including increased incomes and new skills and qualifications, can lead to a range of positive economic and social impacts, such as improved health and education outcomes, and enhanced work opportunities. The PLF contributes to this goal through three End of Program Outcomes (EOPO). </w:t>
      </w:r>
    </w:p>
    <w:p w14:paraId="45C30898" w14:textId="77777777" w:rsidR="00B75755" w:rsidRPr="00A626CC" w:rsidRDefault="00B75755" w:rsidP="00A626CC">
      <w:pPr>
        <w:pStyle w:val="ListBullet"/>
        <w:numPr>
          <w:ilvl w:val="0"/>
          <w:numId w:val="113"/>
        </w:numPr>
        <w:rPr>
          <w:lang w:eastAsia="en-AU"/>
        </w:rPr>
      </w:pPr>
      <w:r w:rsidRPr="00A626CC">
        <w:rPr>
          <w:lang w:eastAsia="en-AU"/>
        </w:rPr>
        <w:t>EOPO 1: An increase of appropriately skilled and diverse women and men are mobilised to work in Australia.</w:t>
      </w:r>
    </w:p>
    <w:p w14:paraId="662D9964" w14:textId="77777777" w:rsidR="00B75755" w:rsidRPr="00A626CC" w:rsidRDefault="00B75755" w:rsidP="00A626CC">
      <w:pPr>
        <w:pStyle w:val="ListBullet"/>
        <w:numPr>
          <w:ilvl w:val="0"/>
          <w:numId w:val="114"/>
        </w:numPr>
        <w:rPr>
          <w:lang w:eastAsia="en-AU"/>
        </w:rPr>
      </w:pPr>
      <w:r w:rsidRPr="00A626CC">
        <w:rPr>
          <w:lang w:eastAsia="en-AU"/>
        </w:rPr>
        <w:t>EOPO 2: There is a sustainable and growing demand for Pacific women and men workers from Australian industry.</w:t>
      </w:r>
    </w:p>
    <w:p w14:paraId="2B3F65F8" w14:textId="77777777" w:rsidR="002407AE" w:rsidRPr="00A626CC" w:rsidRDefault="00B75755" w:rsidP="00A626CC">
      <w:pPr>
        <w:pStyle w:val="ListBullet"/>
        <w:numPr>
          <w:ilvl w:val="0"/>
          <w:numId w:val="115"/>
        </w:numPr>
      </w:pPr>
      <w:r w:rsidRPr="00A626CC">
        <w:rPr>
          <w:lang w:eastAsia="en-AU"/>
        </w:rPr>
        <w:t>EOPO 3: The PLS maximises benefit and minimises risk to Pacific women and men workers and Pacific and Australian communities.</w:t>
      </w:r>
    </w:p>
    <w:p w14:paraId="627DED2B" w14:textId="309DA7E9" w:rsidR="00B75755" w:rsidRPr="00A626CC" w:rsidRDefault="00B75755" w:rsidP="00A626CC">
      <w:r w:rsidRPr="00A626CC">
        <w:lastRenderedPageBreak/>
        <w:t xml:space="preserve">In addition to advancing these policy objectives, the PLF has focused on the following.   </w:t>
      </w:r>
    </w:p>
    <w:p w14:paraId="14008342" w14:textId="61233D78" w:rsidR="00B75755" w:rsidRPr="00A626CC" w:rsidRDefault="00B75755" w:rsidP="00A626CC">
      <w:pPr>
        <w:pStyle w:val="ListBullet"/>
        <w:numPr>
          <w:ilvl w:val="0"/>
          <w:numId w:val="116"/>
        </w:numPr>
      </w:pPr>
      <w:r w:rsidRPr="00A626CC">
        <w:t xml:space="preserve">Establishing two new PLF streams to support scheme growth: the Australian engagement stream which provides the PLF with a regional presence to promote the scheme and support AEs through their PALM </w:t>
      </w:r>
      <w:r w:rsidR="009E328D">
        <w:t xml:space="preserve">scheme </w:t>
      </w:r>
      <w:r w:rsidRPr="00A626CC">
        <w:t>experience; as well as the assurance stream which, through its audits and investigations, is continuously providing the PLF with evidence to inform risk management and scheme growth.</w:t>
      </w:r>
    </w:p>
    <w:p w14:paraId="72B83F62" w14:textId="77777777" w:rsidR="00B75755" w:rsidRPr="00A626CC" w:rsidRDefault="00B75755" w:rsidP="00A626CC">
      <w:pPr>
        <w:pStyle w:val="ListBullet"/>
        <w:numPr>
          <w:ilvl w:val="0"/>
          <w:numId w:val="117"/>
        </w:numPr>
      </w:pPr>
      <w:r w:rsidRPr="00A626CC">
        <w:t>Implementing a community of care approach for worker wellbeing, specifically capacity support to AEs to respond to worker-related issues and critical incidents.</w:t>
      </w:r>
    </w:p>
    <w:p w14:paraId="21648C96" w14:textId="77777777" w:rsidR="00B75755" w:rsidRPr="00A626CC" w:rsidRDefault="00B75755" w:rsidP="00A626CC">
      <w:pPr>
        <w:pStyle w:val="ListBullet"/>
        <w:numPr>
          <w:ilvl w:val="0"/>
          <w:numId w:val="118"/>
        </w:numPr>
      </w:pPr>
      <w:r w:rsidRPr="00A626CC">
        <w:t>Supporting labour sending units (LSUs) and AEs to support inclusion and diversity strategies through highlighting women’s transferable skills and suitability of women for non-traditional roles; a planned disability pilot program; encouraging youth, people with disabilities and rural and remote communities to participate in line with LSU priorities; as well as communications to address family awareness.</w:t>
      </w:r>
    </w:p>
    <w:p w14:paraId="2972253E" w14:textId="77777777" w:rsidR="00B75755" w:rsidRPr="00A626CC" w:rsidRDefault="00B75755" w:rsidP="00A626CC">
      <w:pPr>
        <w:pStyle w:val="ListBullet"/>
        <w:numPr>
          <w:ilvl w:val="0"/>
          <w:numId w:val="119"/>
        </w:numPr>
      </w:pPr>
      <w:r w:rsidRPr="00A626CC">
        <w:t xml:space="preserve">Rolling out technology platforms such as the in-country recruitment database (IRD) and external stakeholder portals in the PLF management information system (MIS) to streamline processes and increase automation, leading to greater efficiencies within the scheme. </w:t>
      </w:r>
    </w:p>
    <w:p w14:paraId="1B0B91B2" w14:textId="77777777" w:rsidR="00B75755" w:rsidRPr="00A626CC" w:rsidRDefault="00B75755" w:rsidP="00A626CC">
      <w:pPr>
        <w:pStyle w:val="ListBullet"/>
        <w:numPr>
          <w:ilvl w:val="0"/>
          <w:numId w:val="120"/>
        </w:numPr>
      </w:pPr>
      <w:r w:rsidRPr="00A626CC">
        <w:t>Undertaking continued research and forming new partnerships to diversify industries in the PLS, including an aged care expansion pilot.</w:t>
      </w:r>
    </w:p>
    <w:p w14:paraId="25E108CC" w14:textId="518BF3D1" w:rsidR="00B75755" w:rsidRPr="00A626CC" w:rsidRDefault="00B75755" w:rsidP="00A626CC">
      <w:pPr>
        <w:pStyle w:val="ListBullet"/>
        <w:numPr>
          <w:ilvl w:val="0"/>
          <w:numId w:val="121"/>
        </w:numPr>
      </w:pPr>
      <w:r w:rsidRPr="00A626CC">
        <w:t>Enhancing support for PALM</w:t>
      </w:r>
      <w:r w:rsidR="009E328D">
        <w:t xml:space="preserve"> scheme</w:t>
      </w:r>
      <w:r w:rsidRPr="00A626CC">
        <w:t xml:space="preserve"> workers to access to skills training and development.</w:t>
      </w:r>
    </w:p>
    <w:p w14:paraId="4023747B" w14:textId="04008809" w:rsidR="00B75755" w:rsidRPr="00A626CC" w:rsidRDefault="00B75755" w:rsidP="00A626CC">
      <w:pPr>
        <w:rPr>
          <w:rFonts w:cstheme="minorHAnsi"/>
          <w:lang w:val="en-NZ"/>
        </w:rPr>
      </w:pPr>
      <w:r w:rsidRPr="00A626CC">
        <w:rPr>
          <w:rFonts w:cstheme="minorHAnsi"/>
          <w:lang w:eastAsia="en-AU"/>
        </w:rPr>
        <w:t xml:space="preserve">While the current PLF contract is </w:t>
      </w:r>
      <w:r w:rsidRPr="00A626CC">
        <w:rPr>
          <w:rFonts w:cstheme="minorHAnsi"/>
          <w:lang w:val="en-NZ"/>
        </w:rPr>
        <w:t xml:space="preserve">due to end in </w:t>
      </w:r>
      <w:r w:rsidR="00FC1D04" w:rsidRPr="00A626CC">
        <w:rPr>
          <w:rFonts w:cstheme="minorHAnsi"/>
          <w:lang w:val="en-NZ"/>
        </w:rPr>
        <w:t xml:space="preserve">December </w:t>
      </w:r>
      <w:r w:rsidRPr="00A626CC">
        <w:rPr>
          <w:rFonts w:cstheme="minorHAnsi"/>
          <w:lang w:val="en-NZ"/>
        </w:rPr>
        <w:t xml:space="preserve">2023, it is likely the contract will be extended for a short period while the next phase of offshore service provision is designed (with DFAT leading the design process in close collaboration with DEWR). </w:t>
      </w:r>
    </w:p>
    <w:p w14:paraId="2B38718B" w14:textId="4BEB2F82" w:rsidR="00B75755" w:rsidRPr="00A626CC" w:rsidRDefault="00B75755" w:rsidP="00A626CC">
      <w:pPr>
        <w:rPr>
          <w:rFonts w:cstheme="minorHAnsi"/>
          <w:lang w:eastAsia="en-AU"/>
        </w:rPr>
      </w:pPr>
      <w:r w:rsidRPr="00A626CC">
        <w:rPr>
          <w:rFonts w:cstheme="minorHAnsi"/>
          <w:lang w:val="en-NZ"/>
        </w:rPr>
        <w:t xml:space="preserve">Note DEWR leads on </w:t>
      </w:r>
      <w:r w:rsidRPr="00A626CC">
        <w:rPr>
          <w:rFonts w:cstheme="minorHAnsi"/>
          <w:i/>
          <w:iCs/>
          <w:lang w:val="en-NZ"/>
        </w:rPr>
        <w:t>onshore</w:t>
      </w:r>
      <w:r w:rsidRPr="00A626CC">
        <w:rPr>
          <w:rFonts w:cstheme="minorHAnsi"/>
          <w:lang w:val="en-NZ"/>
        </w:rPr>
        <w:t xml:space="preserve"> operational services and employer engagement while DFAT leads on overall policy and all strategic elements of </w:t>
      </w:r>
      <w:r w:rsidR="00E65D43">
        <w:rPr>
          <w:rFonts w:cstheme="minorHAnsi"/>
          <w:lang w:val="en-NZ"/>
        </w:rPr>
        <w:t xml:space="preserve">the </w:t>
      </w:r>
      <w:r w:rsidRPr="00A626CC">
        <w:rPr>
          <w:rFonts w:cstheme="minorHAnsi"/>
          <w:lang w:val="en-NZ"/>
        </w:rPr>
        <w:t>PALM</w:t>
      </w:r>
      <w:r w:rsidR="009E328D">
        <w:rPr>
          <w:rFonts w:cstheme="minorHAnsi"/>
          <w:lang w:val="en-NZ"/>
        </w:rPr>
        <w:t xml:space="preserve"> scheme</w:t>
      </w:r>
      <w:r w:rsidRPr="00A626CC">
        <w:rPr>
          <w:rFonts w:cstheme="minorHAnsi"/>
          <w:lang w:val="en-NZ"/>
        </w:rPr>
        <w:t xml:space="preserve"> as well as </w:t>
      </w:r>
      <w:r w:rsidRPr="00A626CC">
        <w:rPr>
          <w:rFonts w:cstheme="minorHAnsi"/>
          <w:i/>
          <w:iCs/>
          <w:lang w:val="en-NZ"/>
        </w:rPr>
        <w:t>offshore</w:t>
      </w:r>
      <w:r w:rsidRPr="00A626CC">
        <w:rPr>
          <w:rFonts w:cstheme="minorHAnsi"/>
          <w:lang w:val="en-NZ"/>
        </w:rPr>
        <w:t xml:space="preserve"> operational services, including LSU engagement. </w:t>
      </w:r>
      <w:r w:rsidRPr="00A626CC">
        <w:rPr>
          <w:rFonts w:cstheme="minorHAnsi"/>
          <w:lang w:eastAsia="en-AU"/>
        </w:rPr>
        <w:t xml:space="preserve">It is anticipated DFAT will lead on Monitoring, Evaluation, Research and Learning (MERL) Policy although DEWR will also have responsibilities in these areas (how MERL responsibilities will be shared between departments is currently under consideration). </w:t>
      </w:r>
    </w:p>
    <w:p w14:paraId="2F68B9B0" w14:textId="45616690" w:rsidR="00B75755" w:rsidRPr="00A626CC" w:rsidRDefault="00B75755" w:rsidP="00A626CC">
      <w:pPr>
        <w:rPr>
          <w:rFonts w:cstheme="minorHAnsi"/>
          <w:lang w:eastAsia="en-AU"/>
        </w:rPr>
      </w:pPr>
      <w:r w:rsidRPr="00A626CC">
        <w:rPr>
          <w:rFonts w:cstheme="minorHAnsi"/>
          <w:lang w:eastAsia="en-AU"/>
        </w:rPr>
        <w:t xml:space="preserve">Lessons learned and recommendations from current management arrangements will support the streamlined and coherent future management of </w:t>
      </w:r>
      <w:r w:rsidR="00E65D43">
        <w:rPr>
          <w:rFonts w:cstheme="minorHAnsi"/>
          <w:lang w:eastAsia="en-AU"/>
        </w:rPr>
        <w:t xml:space="preserve">the </w:t>
      </w:r>
      <w:r w:rsidRPr="00A626CC">
        <w:rPr>
          <w:rFonts w:cstheme="minorHAnsi"/>
          <w:lang w:eastAsia="en-AU"/>
        </w:rPr>
        <w:t xml:space="preserve">PALM </w:t>
      </w:r>
      <w:r w:rsidR="00E65D43">
        <w:rPr>
          <w:rFonts w:cstheme="minorHAnsi"/>
          <w:lang w:eastAsia="en-AU"/>
        </w:rPr>
        <w:t xml:space="preserve">scheme </w:t>
      </w:r>
      <w:r w:rsidRPr="00A626CC">
        <w:rPr>
          <w:rFonts w:cstheme="minorHAnsi"/>
          <w:lang w:eastAsia="en-AU"/>
        </w:rPr>
        <w:t xml:space="preserve">by the two departments.  </w:t>
      </w:r>
      <w:r w:rsidRPr="00A626CC">
        <w:rPr>
          <w:rFonts w:cstheme="minorHAnsi"/>
          <w:lang w:val="en-NZ"/>
        </w:rPr>
        <w:t>These lessons might relate to how PLF:</w:t>
      </w:r>
    </w:p>
    <w:p w14:paraId="5FA866C2" w14:textId="589E116E" w:rsidR="00B75755" w:rsidRPr="00C95E77" w:rsidRDefault="00B75755" w:rsidP="00C95E77">
      <w:pPr>
        <w:pStyle w:val="ListNumber"/>
        <w:numPr>
          <w:ilvl w:val="0"/>
          <w:numId w:val="146"/>
        </w:numPr>
        <w:rPr>
          <w:lang w:val="en-NZ"/>
        </w:rPr>
      </w:pPr>
      <w:r w:rsidRPr="00C95E77">
        <w:rPr>
          <w:lang w:val="en-NZ"/>
        </w:rPr>
        <w:t xml:space="preserve">promoted coordination across its various departments/teams; </w:t>
      </w:r>
    </w:p>
    <w:p w14:paraId="5A7B07CD" w14:textId="75810640" w:rsidR="00B75755" w:rsidRPr="00A626CC" w:rsidRDefault="00B75755" w:rsidP="00A626CC">
      <w:pPr>
        <w:pStyle w:val="ListNumber"/>
        <w:rPr>
          <w:lang w:val="en-NZ"/>
        </w:rPr>
      </w:pPr>
      <w:r w:rsidRPr="00A626CC">
        <w:rPr>
          <w:lang w:val="en-NZ"/>
        </w:rPr>
        <w:t xml:space="preserve">coordinated with SWP when it was still managed by DEWR; and </w:t>
      </w:r>
    </w:p>
    <w:p w14:paraId="3CE72FD2" w14:textId="188A61B3" w:rsidR="00B75755" w:rsidRPr="00A626CC" w:rsidRDefault="00B75755" w:rsidP="00A626CC">
      <w:pPr>
        <w:pStyle w:val="ListNumber"/>
        <w:rPr>
          <w:lang w:val="en-NZ"/>
        </w:rPr>
      </w:pPr>
      <w:r w:rsidRPr="00A626CC">
        <w:rPr>
          <w:lang w:val="en-NZ"/>
        </w:rPr>
        <w:t xml:space="preserve">coordinated with other key stakeholders – e.g. with DFAT Canberra and Posts, DEWR, and Pacific and Timor-Leste agencies and government officials. </w:t>
      </w:r>
    </w:p>
    <w:p w14:paraId="1C8ECBAF" w14:textId="6CE90C24" w:rsidR="00496A1E" w:rsidRDefault="00B75755" w:rsidP="00A626CC">
      <w:pPr>
        <w:rPr>
          <w:rFonts w:cstheme="minorHAnsi"/>
        </w:rPr>
      </w:pPr>
      <w:bookmarkStart w:id="49" w:name="_Hlk134433077"/>
      <w:r w:rsidRPr="00A626CC">
        <w:rPr>
          <w:rFonts w:cstheme="minorHAnsi"/>
          <w:lang w:eastAsia="en-AU"/>
        </w:rPr>
        <w:t xml:space="preserve">The Quality and Technical Assurance Group (QTAG) independently reviews program implementation of the PALM scheme and the PLF on an annual basis and provides technical advice and recommendations to DFAT with a focus on the performance of the PLF. The QTAG also provides strategic support, monitoring and evaluation (M&amp;E), learning advice and quality assurance of products to DFAT on an </w:t>
      </w:r>
      <w:r w:rsidRPr="006B53DD">
        <w:rPr>
          <w:rFonts w:cstheme="minorHAnsi"/>
          <w:i/>
          <w:iCs/>
          <w:lang w:eastAsia="en-AU"/>
        </w:rPr>
        <w:t>ad</w:t>
      </w:r>
      <w:r w:rsidR="006B53DD">
        <w:rPr>
          <w:rFonts w:cstheme="minorHAnsi"/>
          <w:i/>
          <w:iCs/>
          <w:lang w:eastAsia="en-AU"/>
        </w:rPr>
        <w:t xml:space="preserve"> </w:t>
      </w:r>
      <w:r w:rsidRPr="006B53DD">
        <w:rPr>
          <w:rFonts w:cstheme="minorHAnsi"/>
          <w:i/>
          <w:iCs/>
          <w:lang w:eastAsia="en-AU"/>
        </w:rPr>
        <w:t>hoc</w:t>
      </w:r>
      <w:r w:rsidRPr="00A626CC">
        <w:rPr>
          <w:rFonts w:cstheme="minorHAnsi"/>
          <w:lang w:eastAsia="en-AU"/>
        </w:rPr>
        <w:t xml:space="preserve"> basis. DFAT has commissioned the QTAG to conduct this independent evaluation through </w:t>
      </w:r>
      <w:r w:rsidRPr="00A626CC">
        <w:rPr>
          <w:rFonts w:cstheme="minorHAnsi"/>
        </w:rPr>
        <w:t>exercising the third and final option to extend the current Service Order (SO) 75522/2 until 8 December 2023.</w:t>
      </w:r>
      <w:bookmarkEnd w:id="49"/>
    </w:p>
    <w:p w14:paraId="4383B67E" w14:textId="77777777" w:rsidR="00496A1E" w:rsidRDefault="00496A1E">
      <w:pPr>
        <w:rPr>
          <w:rFonts w:cstheme="minorHAnsi"/>
        </w:rPr>
      </w:pPr>
      <w:r>
        <w:rPr>
          <w:rFonts w:cstheme="minorHAnsi"/>
        </w:rPr>
        <w:br w:type="page"/>
      </w:r>
    </w:p>
    <w:p w14:paraId="2D28B03F" w14:textId="77777777" w:rsidR="00B75755" w:rsidRPr="00A626CC" w:rsidRDefault="00B75755" w:rsidP="00A626CC">
      <w:pPr>
        <w:rPr>
          <w:rFonts w:cstheme="minorHAnsi"/>
          <w:i/>
          <w:lang w:eastAsia="en-AU"/>
        </w:rPr>
      </w:pPr>
      <w:r w:rsidRPr="00A626CC">
        <w:rPr>
          <w:rFonts w:cstheme="minorHAnsi"/>
          <w:i/>
          <w:lang w:eastAsia="en-AU"/>
        </w:rPr>
        <w:lastRenderedPageBreak/>
        <w:t>Purpose</w:t>
      </w:r>
    </w:p>
    <w:p w14:paraId="0CFE3928" w14:textId="77777777" w:rsidR="00B75755" w:rsidRPr="00A626CC" w:rsidRDefault="00B75755" w:rsidP="00A626CC">
      <w:pPr>
        <w:rPr>
          <w:rFonts w:cstheme="minorHAnsi"/>
          <w:lang w:eastAsia="en-AU"/>
        </w:rPr>
      </w:pPr>
      <w:r w:rsidRPr="00A626CC">
        <w:rPr>
          <w:rFonts w:cstheme="minorHAnsi"/>
          <w:lang w:eastAsia="en-AU"/>
        </w:rPr>
        <w:t>The independent evaluation has two primary purposes.</w:t>
      </w:r>
    </w:p>
    <w:p w14:paraId="0FE365F6" w14:textId="77777777" w:rsidR="00B75755" w:rsidRPr="00A626CC" w:rsidRDefault="00B75755" w:rsidP="00C95E77">
      <w:pPr>
        <w:pStyle w:val="ListNumber"/>
        <w:numPr>
          <w:ilvl w:val="0"/>
          <w:numId w:val="147"/>
        </w:numPr>
      </w:pPr>
      <w:bookmarkStart w:id="50" w:name="_Hlk134433599"/>
      <w:r w:rsidRPr="00A626CC">
        <w:t>Accountability – the independent, evidence-based evaluation of the PLF will primarily demonstrate accountability for public funds and inform DFAT reporting requirements (in combination with the Completion Report to be prepared by PLF in late 2023); and</w:t>
      </w:r>
    </w:p>
    <w:p w14:paraId="21CB4B36" w14:textId="5509608F" w:rsidR="00B75755" w:rsidRPr="00B75755" w:rsidRDefault="00B75755" w:rsidP="00B75755">
      <w:pPr>
        <w:pStyle w:val="ListNumber"/>
      </w:pPr>
      <w:r>
        <w:t xml:space="preserve">Learning and improvement – secondly, the evaluation provides an important opportunity to capture lessons to inform the next phase of DFAT’s support for </w:t>
      </w:r>
      <w:r w:rsidR="00053C9E">
        <w:t xml:space="preserve">the </w:t>
      </w:r>
      <w:r>
        <w:t>PALM</w:t>
      </w:r>
      <w:r w:rsidR="00053C9E">
        <w:t xml:space="preserve"> scheme</w:t>
      </w:r>
      <w:r>
        <w:t>.</w:t>
      </w:r>
    </w:p>
    <w:bookmarkEnd w:id="50"/>
    <w:p w14:paraId="0F111CFA" w14:textId="2C788E8D" w:rsidR="00B75755" w:rsidRPr="00A626CC" w:rsidRDefault="00B75755" w:rsidP="00A626CC">
      <w:pPr>
        <w:rPr>
          <w:lang w:eastAsia="en-AU"/>
        </w:rPr>
      </w:pPr>
      <w:r w:rsidRPr="00A626CC">
        <w:rPr>
          <w:lang w:eastAsia="en-AU"/>
        </w:rPr>
        <w:t xml:space="preserve">In line with these purposes, the primary users of the evaluation are DFAT and the future implementing partner of the next phase of DFAT-funded PALM </w:t>
      </w:r>
      <w:r w:rsidR="00053C9E">
        <w:rPr>
          <w:lang w:eastAsia="en-AU"/>
        </w:rPr>
        <w:t xml:space="preserve">scheme </w:t>
      </w:r>
      <w:r w:rsidRPr="00A626CC">
        <w:rPr>
          <w:lang w:eastAsia="en-AU"/>
        </w:rPr>
        <w:t xml:space="preserve">support. </w:t>
      </w:r>
    </w:p>
    <w:p w14:paraId="1E916BCE" w14:textId="77777777" w:rsidR="00B75755" w:rsidRPr="00A626CC" w:rsidRDefault="00B75755" w:rsidP="00A626CC">
      <w:pPr>
        <w:rPr>
          <w:lang w:eastAsia="en-AU"/>
        </w:rPr>
      </w:pPr>
      <w:r w:rsidRPr="00A626CC">
        <w:rPr>
          <w:lang w:eastAsia="en-AU"/>
        </w:rPr>
        <w:t xml:space="preserve">Secondary audiences include DEWR and PIC and Timor-Leste governments. </w:t>
      </w:r>
    </w:p>
    <w:p w14:paraId="224C212B" w14:textId="6D7DE7EE" w:rsidR="00B75755" w:rsidRPr="00A626CC" w:rsidRDefault="00B75755" w:rsidP="00A626CC">
      <w:pPr>
        <w:rPr>
          <w:lang w:eastAsia="en-AU"/>
        </w:rPr>
      </w:pPr>
      <w:r w:rsidRPr="00A626CC">
        <w:rPr>
          <w:rFonts w:eastAsia="Times New Roman"/>
        </w:rPr>
        <w:t xml:space="preserve">The evaluation will be conducted in line with DFAT’s </w:t>
      </w:r>
      <w:hyperlink r:id="rId32" w:history="1">
        <w:r w:rsidRPr="00A626CC">
          <w:rPr>
            <w:rStyle w:val="Hyperlink"/>
            <w:rFonts w:eastAsia="Times New Roman" w:cstheme="minorHAnsi"/>
            <w:color w:val="222222" w:themeColor="text1"/>
            <w:sz w:val="22"/>
          </w:rPr>
          <w:t>Ethical Research and Evaluation Guidance</w:t>
        </w:r>
      </w:hyperlink>
      <w:r w:rsidRPr="00A626CC">
        <w:rPr>
          <w:rStyle w:val="Hyperlink"/>
          <w:rFonts w:eastAsia="Times New Roman" w:cstheme="minorHAnsi"/>
          <w:color w:val="222222" w:themeColor="text1"/>
          <w:sz w:val="22"/>
        </w:rPr>
        <w:t>.</w:t>
      </w:r>
    </w:p>
    <w:p w14:paraId="5DA13547" w14:textId="77777777" w:rsidR="00B75755" w:rsidRPr="00A626CC" w:rsidRDefault="00B75755" w:rsidP="00A626CC">
      <w:pPr>
        <w:rPr>
          <w:rFonts w:cstheme="minorHAnsi"/>
          <w:i/>
        </w:rPr>
      </w:pPr>
      <w:r w:rsidRPr="00A626CC">
        <w:rPr>
          <w:rFonts w:cstheme="minorHAnsi"/>
          <w:i/>
        </w:rPr>
        <w:t>Scope</w:t>
      </w:r>
    </w:p>
    <w:p w14:paraId="0C85C9A6" w14:textId="5048D1CB" w:rsidR="00B75755" w:rsidRPr="00A626CC" w:rsidRDefault="00B75755" w:rsidP="00A626CC">
      <w:pPr>
        <w:rPr>
          <w:rFonts w:cstheme="minorHAnsi"/>
          <w:lang w:eastAsia="en-AU"/>
        </w:rPr>
      </w:pPr>
      <w:bookmarkStart w:id="51" w:name="_Hlk134434413"/>
      <w:r w:rsidRPr="00A626CC">
        <w:rPr>
          <w:lang w:eastAsia="en-AU"/>
        </w:rPr>
        <w:t xml:space="preserve">The evaluation will assess the effectiveness of DFAT’s </w:t>
      </w:r>
      <w:r w:rsidR="00090AAF">
        <w:rPr>
          <w:lang w:eastAsia="en-AU"/>
        </w:rPr>
        <w:t>PLF</w:t>
      </w:r>
      <w:r w:rsidRPr="00A626CC">
        <w:rPr>
          <w:lang w:eastAsia="en-AU"/>
        </w:rPr>
        <w:t xml:space="preserve"> investment from 2018 to 2023, including (but not restricted to) the performance of PLF as DFAT’s implementing partner. </w:t>
      </w:r>
      <w:r w:rsidRPr="00A626CC">
        <w:rPr>
          <w:rFonts w:cstheme="minorHAnsi"/>
          <w:lang w:eastAsia="en-AU"/>
        </w:rPr>
        <w:t>The evaluation will explore and provide data on achievements, challenges, and enabling/hindering factors; and will take account of PLF’s highly dynamic operating context.</w:t>
      </w:r>
    </w:p>
    <w:p w14:paraId="0395AB84" w14:textId="69188A16" w:rsidR="00B75755" w:rsidRPr="00A626CC" w:rsidRDefault="00B75755" w:rsidP="00A626CC">
      <w:pPr>
        <w:rPr>
          <w:rFonts w:cstheme="minorHAnsi"/>
          <w:lang w:eastAsia="en-AU"/>
        </w:rPr>
      </w:pPr>
      <w:bookmarkStart w:id="52" w:name="_Hlk134434445"/>
      <w:bookmarkEnd w:id="51"/>
      <w:r w:rsidRPr="00A626CC">
        <w:rPr>
          <w:lang w:eastAsia="en-AU"/>
        </w:rPr>
        <w:t xml:space="preserve">It will provide an opportunity to capture lessons as well as review and evaluate </w:t>
      </w:r>
      <w:r w:rsidRPr="00A626CC">
        <w:rPr>
          <w:rFonts w:cstheme="minorHAnsi"/>
          <w:lang w:eastAsia="en-AU"/>
        </w:rPr>
        <w:t>PLF’s approach to ensuring coordination of onshore and offshore efforts to deliver an effective PALM program</w:t>
      </w:r>
      <w:r w:rsidRPr="00A626CC">
        <w:rPr>
          <w:lang w:eastAsia="en-AU"/>
        </w:rPr>
        <w:t xml:space="preserve">; </w:t>
      </w:r>
      <w:r w:rsidRPr="00A626CC">
        <w:rPr>
          <w:rFonts w:cstheme="minorHAnsi"/>
          <w:lang w:eastAsia="en-AU"/>
        </w:rPr>
        <w:t>feed into the new design phase</w:t>
      </w:r>
      <w:r w:rsidRPr="00A626CC">
        <w:rPr>
          <w:lang w:eastAsia="en-AU"/>
        </w:rPr>
        <w:t xml:space="preserve"> of PALM 2.0; and position DFAT with the appropriate evidence and data for the </w:t>
      </w:r>
      <w:r w:rsidRPr="00A626CC">
        <w:rPr>
          <w:rFonts w:cstheme="minorHAnsi"/>
          <w:lang w:eastAsia="en-AU"/>
        </w:rPr>
        <w:t>Final Investment Monitoring Report (FIMR)</w:t>
      </w:r>
      <w:r w:rsidRPr="00A626CC">
        <w:rPr>
          <w:lang w:eastAsia="en-AU"/>
        </w:rPr>
        <w:t xml:space="preserve"> which is required to be undertaken at the end of the PLF contract. </w:t>
      </w:r>
      <w:bookmarkEnd w:id="52"/>
      <w:r w:rsidRPr="00A626CC">
        <w:rPr>
          <w:lang w:eastAsia="en-AU"/>
        </w:rPr>
        <w:t xml:space="preserve">Thus, </w:t>
      </w:r>
      <w:bookmarkStart w:id="53" w:name="_Hlk134434514"/>
      <w:r w:rsidRPr="00A626CC">
        <w:rPr>
          <w:lang w:eastAsia="en-AU"/>
        </w:rPr>
        <w:t xml:space="preserve">the evaluation has four broad focus areas: </w:t>
      </w:r>
      <w:bookmarkEnd w:id="53"/>
    </w:p>
    <w:p w14:paraId="1FE1A200" w14:textId="0F0CD866" w:rsidR="00B75755" w:rsidRPr="00A626CC" w:rsidRDefault="00B75755" w:rsidP="00A626CC">
      <w:pPr>
        <w:pStyle w:val="ListBullet"/>
        <w:numPr>
          <w:ilvl w:val="0"/>
          <w:numId w:val="123"/>
        </w:numPr>
        <w:rPr>
          <w:lang w:eastAsia="en-AU"/>
        </w:rPr>
      </w:pPr>
      <w:bookmarkStart w:id="54" w:name="_Hlk134434505"/>
      <w:r w:rsidRPr="00A626CC">
        <w:rPr>
          <w:lang w:eastAsia="en-AU"/>
        </w:rPr>
        <w:t>An assessment of the efficiency and effectiveness of collaboration and coordination between onshore and offshore services. Currently, PLF takes a whole of system approach, i.e.</w:t>
      </w:r>
      <w:r w:rsidR="00257CFD">
        <w:rPr>
          <w:lang w:eastAsia="en-AU"/>
        </w:rPr>
        <w:t>,</w:t>
      </w:r>
      <w:r w:rsidRPr="00A626CC">
        <w:rPr>
          <w:lang w:eastAsia="en-AU"/>
        </w:rPr>
        <w:t xml:space="preserve"> its services cover all aspects of the worker journey. This aspect of the evaluation will look at: 1) how PLF promoted coordination across its various departments/teams; 2) how PLF coordinated with SWP when it was still managed by DEWR; 3) other key coordination relationships – e.g.</w:t>
      </w:r>
      <w:r w:rsidR="00257CFD">
        <w:rPr>
          <w:lang w:eastAsia="en-AU"/>
        </w:rPr>
        <w:t>,</w:t>
      </w:r>
      <w:r w:rsidRPr="00A626CC">
        <w:rPr>
          <w:lang w:eastAsia="en-AU"/>
        </w:rPr>
        <w:t xml:space="preserve"> DFAT, LSUs, CLOs, HOMs, etc. Lessons will inform development of models for coordination between DFAT, DEWR, and their implementing partners in the next phase.</w:t>
      </w:r>
    </w:p>
    <w:p w14:paraId="2E109293" w14:textId="77777777" w:rsidR="00B75755" w:rsidRPr="00A626CC" w:rsidRDefault="00B75755" w:rsidP="00A626CC">
      <w:pPr>
        <w:pStyle w:val="ListBullet"/>
        <w:numPr>
          <w:ilvl w:val="0"/>
          <w:numId w:val="124"/>
        </w:numPr>
        <w:rPr>
          <w:lang w:eastAsia="en-AU"/>
        </w:rPr>
      </w:pPr>
      <w:r w:rsidRPr="00A626CC">
        <w:rPr>
          <w:lang w:eastAsia="en-AU"/>
        </w:rPr>
        <w:t>Offshore PLM services, e.g. support and capacity building for partner countries, as well as pre-departure and reintegration support to workers and their families. These findings will inform the design of the next phase of offshore service provision, to be commissioned by DFAT.</w:t>
      </w:r>
    </w:p>
    <w:p w14:paraId="4CD3CA33" w14:textId="77777777" w:rsidR="00B75755" w:rsidRPr="00A626CC" w:rsidRDefault="00B75755" w:rsidP="00A626CC">
      <w:pPr>
        <w:pStyle w:val="ListBullet"/>
        <w:numPr>
          <w:ilvl w:val="0"/>
          <w:numId w:val="125"/>
        </w:numPr>
        <w:rPr>
          <w:lang w:eastAsia="en-AU"/>
        </w:rPr>
      </w:pPr>
      <w:r w:rsidRPr="00A626CC">
        <w:rPr>
          <w:lang w:eastAsia="en-AU"/>
        </w:rPr>
        <w:t>Assessing GEDSI and sustainability dimensions of both points above, in line with DFAT’s FIMR requirements.</w:t>
      </w:r>
    </w:p>
    <w:p w14:paraId="7400D43A" w14:textId="77777777" w:rsidR="00B75755" w:rsidRPr="00A626CC" w:rsidRDefault="00B75755" w:rsidP="00A626CC">
      <w:pPr>
        <w:pStyle w:val="ListBullet"/>
        <w:numPr>
          <w:ilvl w:val="0"/>
          <w:numId w:val="126"/>
        </w:numPr>
        <w:rPr>
          <w:lang w:eastAsia="en-AU"/>
        </w:rPr>
      </w:pPr>
      <w:r w:rsidRPr="00A626CC">
        <w:rPr>
          <w:lang w:eastAsia="en-AU"/>
        </w:rPr>
        <w:t>Assessing the quality of PLF’s monitoring, evaluation, and learning (MEL) system.</w:t>
      </w:r>
      <w:bookmarkEnd w:id="54"/>
    </w:p>
    <w:p w14:paraId="68432200" w14:textId="77777777" w:rsidR="00496A1E" w:rsidRDefault="00496A1E">
      <w:pPr>
        <w:rPr>
          <w:rFonts w:cstheme="minorHAnsi"/>
          <w:i/>
        </w:rPr>
      </w:pPr>
      <w:r>
        <w:rPr>
          <w:rFonts w:cstheme="minorHAnsi"/>
          <w:i/>
        </w:rPr>
        <w:br w:type="page"/>
      </w:r>
    </w:p>
    <w:p w14:paraId="084903AB" w14:textId="592E8221" w:rsidR="00B75755" w:rsidRPr="00A626CC" w:rsidRDefault="00B75755" w:rsidP="00A626CC">
      <w:pPr>
        <w:rPr>
          <w:rFonts w:cstheme="minorHAnsi"/>
          <w:i/>
        </w:rPr>
      </w:pPr>
      <w:r w:rsidRPr="00A626CC">
        <w:rPr>
          <w:rFonts w:cstheme="minorHAnsi"/>
          <w:i/>
        </w:rPr>
        <w:lastRenderedPageBreak/>
        <w:t>Key Questions</w:t>
      </w:r>
    </w:p>
    <w:p w14:paraId="741E5D2F" w14:textId="77777777" w:rsidR="00B75755" w:rsidRPr="00C95E77" w:rsidRDefault="00B75755" w:rsidP="00C95E77">
      <w:pPr>
        <w:pStyle w:val="ListNumber"/>
        <w:numPr>
          <w:ilvl w:val="0"/>
          <w:numId w:val="148"/>
        </w:numPr>
        <w:rPr>
          <w:b/>
        </w:rPr>
      </w:pPr>
      <w:r w:rsidRPr="00C95E77">
        <w:rPr>
          <w:b/>
        </w:rPr>
        <w:t xml:space="preserve">How effectively and efficiently have PLM services been coordinated internally and externally across all stages of the employer and worker journey? </w:t>
      </w:r>
    </w:p>
    <w:p w14:paraId="4BE9B867" w14:textId="77777777" w:rsidR="00B75755" w:rsidRPr="002407AE" w:rsidRDefault="00B75755" w:rsidP="002407AE">
      <w:pPr>
        <w:pStyle w:val="ListNumber2"/>
      </w:pPr>
      <w:r>
        <w:t xml:space="preserve">What have been the main achievements and challenges in relation to coordination of PLM services across all stages of the worker and employer journey, including in relation to promotion of GEDSI? </w:t>
      </w:r>
    </w:p>
    <w:p w14:paraId="605429A6" w14:textId="77777777" w:rsidR="00B75755" w:rsidRPr="002407AE" w:rsidRDefault="00B75755" w:rsidP="002407AE">
      <w:pPr>
        <w:pStyle w:val="ListNumber2"/>
      </w:pPr>
      <w:r>
        <w:t>What factors (positive or negative) have shaped the effectiveness and efficiency of service coordination?</w:t>
      </w:r>
    </w:p>
    <w:p w14:paraId="17CEA42B" w14:textId="77777777" w:rsidR="00B75755" w:rsidRPr="002407AE" w:rsidRDefault="00B75755" w:rsidP="002407AE">
      <w:pPr>
        <w:pStyle w:val="ListNumber2"/>
      </w:pPr>
      <w:r>
        <w:t>How might key lessons be applied in the next phase, considering proposed changes in roles and responsibilities of DFAT, DEWR, and their implementing partners?</w:t>
      </w:r>
    </w:p>
    <w:p w14:paraId="6D7CB772" w14:textId="77777777" w:rsidR="00B75755" w:rsidRPr="002407AE" w:rsidRDefault="00B75755" w:rsidP="00C95E77">
      <w:pPr>
        <w:pStyle w:val="ListNumber"/>
      </w:pPr>
      <w:r w:rsidRPr="083ABB65">
        <w:t xml:space="preserve">How effective was provision of offshore PLM services, </w:t>
      </w:r>
      <w:bookmarkStart w:id="55" w:name="_Hlk130883932"/>
      <w:r w:rsidRPr="083ABB65">
        <w:t>e.g. support and capacity building for partner countries, as well as pre-departure and reintegration support to workers and their families</w:t>
      </w:r>
      <w:bookmarkEnd w:id="55"/>
      <w:r w:rsidRPr="083ABB65">
        <w:t>?</w:t>
      </w:r>
    </w:p>
    <w:p w14:paraId="64968899" w14:textId="56D6AB4A" w:rsidR="00B75755" w:rsidRPr="002407AE" w:rsidRDefault="00B75755" w:rsidP="002407AE">
      <w:pPr>
        <w:pStyle w:val="ListNumber2"/>
        <w:numPr>
          <w:ilvl w:val="1"/>
          <w:numId w:val="35"/>
        </w:numPr>
      </w:pPr>
      <w:r w:rsidRPr="002407AE">
        <w:t>What were the main strengths and weaknesses of offshore service provision in terms of meeting the needs of LSUs, workers, employers, and other partners? To what extent were end</w:t>
      </w:r>
      <w:r w:rsidR="00257CFD">
        <w:t>-</w:t>
      </w:r>
      <w:r w:rsidRPr="002407AE">
        <w:t>of</w:t>
      </w:r>
      <w:r w:rsidR="00257CFD">
        <w:t>-</w:t>
      </w:r>
      <w:r w:rsidRPr="002407AE">
        <w:t>program and intermediate outcomes achieved? Were gender and GEDSI considerations adequately addressed?</w:t>
      </w:r>
    </w:p>
    <w:p w14:paraId="7E033CE8" w14:textId="77777777" w:rsidR="00B75755" w:rsidRPr="002407AE" w:rsidRDefault="00B75755" w:rsidP="002407AE">
      <w:pPr>
        <w:pStyle w:val="ListNumber2"/>
        <w:numPr>
          <w:ilvl w:val="1"/>
          <w:numId w:val="35"/>
        </w:numPr>
      </w:pPr>
      <w:r w:rsidRPr="002407AE">
        <w:t>What factors explain particularly positive or challenging aspects of offshore service provision?</w:t>
      </w:r>
    </w:p>
    <w:p w14:paraId="5D447CA0" w14:textId="77777777" w:rsidR="00B75755" w:rsidRPr="002407AE" w:rsidRDefault="00B75755" w:rsidP="002407AE">
      <w:pPr>
        <w:pStyle w:val="ListNumber2"/>
        <w:numPr>
          <w:ilvl w:val="1"/>
          <w:numId w:val="35"/>
        </w:numPr>
      </w:pPr>
      <w:r w:rsidRPr="002407AE">
        <w:t>How might key lessons be applied to the design and implementation of the next phase of offshore service provision?</w:t>
      </w:r>
    </w:p>
    <w:p w14:paraId="276DF924" w14:textId="77777777" w:rsidR="00B75755" w:rsidRPr="002407AE" w:rsidRDefault="00B75755" w:rsidP="002407AE">
      <w:pPr>
        <w:pStyle w:val="ListNumber2"/>
        <w:numPr>
          <w:ilvl w:val="1"/>
          <w:numId w:val="35"/>
        </w:numPr>
      </w:pPr>
      <w:r w:rsidRPr="002407AE">
        <w:t>What have been the main achievements, challenges, and contributing factors relating to sustainability of these offshore services? How could DFAT promote the sustainability of these services under the next phase?</w:t>
      </w:r>
    </w:p>
    <w:p w14:paraId="40FBACF3" w14:textId="047626F4" w:rsidR="00B75755" w:rsidRPr="002407AE" w:rsidRDefault="00B75755" w:rsidP="083ABB65">
      <w:pPr>
        <w:pStyle w:val="ListNumber"/>
        <w:rPr>
          <w:b/>
        </w:rPr>
      </w:pPr>
      <w:r w:rsidRPr="083ABB65">
        <w:rPr>
          <w:b/>
        </w:rPr>
        <w:t>To what extent did the PLF MEL system generate credible information that was used for management decision-making, learning and accountability purposes?</w:t>
      </w:r>
    </w:p>
    <w:p w14:paraId="1226BC13" w14:textId="77777777" w:rsidR="00B75755" w:rsidRPr="002407AE" w:rsidRDefault="00B75755" w:rsidP="002407AE">
      <w:pPr>
        <w:pStyle w:val="ListNumber2"/>
        <w:numPr>
          <w:ilvl w:val="1"/>
          <w:numId w:val="34"/>
        </w:numPr>
      </w:pPr>
      <w:r w:rsidRPr="002407AE">
        <w:t>What were the main strengths and weaknesses of PLF’s MEL system?</w:t>
      </w:r>
    </w:p>
    <w:p w14:paraId="7309D78D" w14:textId="77777777" w:rsidR="00B75755" w:rsidRPr="002407AE" w:rsidRDefault="00B75755" w:rsidP="002407AE">
      <w:pPr>
        <w:pStyle w:val="ListNumber2"/>
        <w:numPr>
          <w:ilvl w:val="1"/>
          <w:numId w:val="34"/>
        </w:numPr>
      </w:pPr>
      <w:r w:rsidRPr="002407AE">
        <w:t xml:space="preserve">What key contributing factors supported or hindered the credibility and use of PLF’s MEL data? </w:t>
      </w:r>
    </w:p>
    <w:p w14:paraId="5B9F3455" w14:textId="77777777" w:rsidR="00B75755" w:rsidRPr="002407AE" w:rsidRDefault="00B75755" w:rsidP="002407AE">
      <w:pPr>
        <w:pStyle w:val="ListNumber2"/>
        <w:numPr>
          <w:ilvl w:val="1"/>
          <w:numId w:val="34"/>
        </w:numPr>
      </w:pPr>
      <w:r w:rsidRPr="002407AE">
        <w:t>How might MEL-related lessons be applied in the next phase, to ensure a fit for purpose MEL approach?</w:t>
      </w:r>
    </w:p>
    <w:p w14:paraId="05A78151" w14:textId="77777777" w:rsidR="00B75755" w:rsidRPr="00A626CC" w:rsidRDefault="00B75755" w:rsidP="00A626CC">
      <w:pPr>
        <w:rPr>
          <w:rFonts w:cstheme="minorHAnsi"/>
          <w:i/>
        </w:rPr>
      </w:pPr>
      <w:r w:rsidRPr="00A626CC">
        <w:rPr>
          <w:rFonts w:cstheme="minorHAnsi"/>
          <w:i/>
        </w:rPr>
        <w:t>Evaluation Methodology</w:t>
      </w:r>
    </w:p>
    <w:p w14:paraId="0618AB24" w14:textId="77777777" w:rsidR="00B75755" w:rsidRPr="00A626CC" w:rsidRDefault="00B75755" w:rsidP="00A626CC">
      <w:pPr>
        <w:rPr>
          <w:rFonts w:cstheme="minorHAnsi"/>
        </w:rPr>
      </w:pPr>
      <w:bookmarkStart w:id="56" w:name="_Hlk134434557"/>
      <w:r w:rsidRPr="00A626CC">
        <w:rPr>
          <w:rFonts w:cstheme="minorHAnsi"/>
        </w:rPr>
        <w:t>Data collection is likely to involve the following.</w:t>
      </w:r>
    </w:p>
    <w:p w14:paraId="7B6A25B8" w14:textId="77777777" w:rsidR="00B75755" w:rsidRPr="00A626CC" w:rsidRDefault="00B75755" w:rsidP="00A626CC">
      <w:pPr>
        <w:pStyle w:val="ListBullet"/>
        <w:numPr>
          <w:ilvl w:val="0"/>
          <w:numId w:val="128"/>
        </w:numPr>
      </w:pPr>
      <w:r w:rsidRPr="00A626CC">
        <w:t>Document review.</w:t>
      </w:r>
    </w:p>
    <w:p w14:paraId="3235F30A" w14:textId="77777777" w:rsidR="00B75755" w:rsidRPr="00A626CC" w:rsidRDefault="00B75755" w:rsidP="00A626CC">
      <w:pPr>
        <w:pStyle w:val="ListBullet"/>
        <w:numPr>
          <w:ilvl w:val="0"/>
          <w:numId w:val="129"/>
        </w:numPr>
      </w:pPr>
      <w:bookmarkStart w:id="57" w:name="_Hlk134434547"/>
      <w:bookmarkEnd w:id="56"/>
      <w:r w:rsidRPr="00A626CC">
        <w:t>Participation in PLF’s own reflection workshops planned for early May 2023 (currently scheduled for w/c 8 May) with PLF staff (including PIC- and Timor-Leste-based staff).</w:t>
      </w:r>
    </w:p>
    <w:p w14:paraId="5AB98F63" w14:textId="77777777" w:rsidR="00B75755" w:rsidRPr="00A626CC" w:rsidRDefault="00B75755" w:rsidP="00A626CC">
      <w:pPr>
        <w:pStyle w:val="ListBullet"/>
        <w:numPr>
          <w:ilvl w:val="0"/>
          <w:numId w:val="130"/>
        </w:numPr>
      </w:pPr>
      <w:r w:rsidRPr="00A626CC">
        <w:t>Consultation workshop with a cross-section of PIC and Timor-Leste government representatives, either in Australia or a sending country.</w:t>
      </w:r>
    </w:p>
    <w:p w14:paraId="1BBEB11E" w14:textId="77777777" w:rsidR="00B75755" w:rsidRPr="00A626CC" w:rsidRDefault="00B75755" w:rsidP="00A626CC">
      <w:pPr>
        <w:pStyle w:val="ListBullet"/>
        <w:numPr>
          <w:ilvl w:val="0"/>
          <w:numId w:val="131"/>
        </w:numPr>
      </w:pPr>
      <w:r w:rsidRPr="00A626CC">
        <w:t>Individual and group interviews with key stakeholders – DFAT, DEWR, PLF, workers, etc.</w:t>
      </w:r>
    </w:p>
    <w:p w14:paraId="3303658D" w14:textId="77777777" w:rsidR="00B75755" w:rsidRPr="00A626CC" w:rsidRDefault="00B75755" w:rsidP="00B51164">
      <w:pPr>
        <w:pStyle w:val="ListBullet"/>
        <w:numPr>
          <w:ilvl w:val="0"/>
          <w:numId w:val="0"/>
        </w:numPr>
        <w:ind w:left="360"/>
        <w:rPr>
          <w:rFonts w:cstheme="minorHAnsi"/>
        </w:rPr>
      </w:pPr>
    </w:p>
    <w:p w14:paraId="7D9D91CE" w14:textId="7FFCC3B0" w:rsidR="00AB6E21" w:rsidRDefault="00B75755" w:rsidP="00A626CC">
      <w:r w:rsidRPr="00A626CC">
        <w:t>Preliminary findings will be presented to DFAT, PLF, and DEWR for feedback and discussion before the report is drafted. Methods for data collection, analysis, and interpretation will be elaborated in the evaluation plan, which will be developed consultatively with primary users.</w:t>
      </w:r>
    </w:p>
    <w:p w14:paraId="1EEC3545" w14:textId="77777777" w:rsidR="00AB6E21" w:rsidRDefault="00AB6E21">
      <w:r>
        <w:br w:type="page"/>
      </w:r>
    </w:p>
    <w:bookmarkEnd w:id="57"/>
    <w:p w14:paraId="20EF77BC" w14:textId="77777777" w:rsidR="00B75755" w:rsidRPr="00A626CC" w:rsidRDefault="00B75755" w:rsidP="00A626CC">
      <w:pPr>
        <w:rPr>
          <w:rFonts w:cstheme="minorHAnsi"/>
          <w:i/>
        </w:rPr>
      </w:pPr>
      <w:r w:rsidRPr="00A626CC">
        <w:rPr>
          <w:rFonts w:cstheme="minorHAnsi"/>
          <w:i/>
        </w:rPr>
        <w:lastRenderedPageBreak/>
        <w:t>Roles/Team</w:t>
      </w:r>
    </w:p>
    <w:p w14:paraId="1DD1305B" w14:textId="77777777" w:rsidR="00B75755" w:rsidRPr="00A626CC" w:rsidRDefault="00B75755" w:rsidP="00A626CC">
      <w:r w:rsidRPr="00A626CC">
        <w:t>The evaluation team will consist of:</w:t>
      </w:r>
    </w:p>
    <w:p w14:paraId="7D38CA5A" w14:textId="77777777" w:rsidR="00B75755" w:rsidRPr="00A626CC" w:rsidRDefault="00B75755" w:rsidP="00B75755">
      <w:pPr>
        <w:pStyle w:val="ListBullet"/>
        <w:numPr>
          <w:ilvl w:val="0"/>
          <w:numId w:val="24"/>
        </w:numPr>
        <w:spacing w:after="0" w:line="264" w:lineRule="auto"/>
        <w:contextualSpacing w:val="0"/>
        <w:rPr>
          <w:rFonts w:cstheme="minorHAnsi"/>
          <w:sz w:val="22"/>
        </w:rPr>
      </w:pPr>
      <w:r w:rsidRPr="00A626CC">
        <w:rPr>
          <w:rFonts w:cstheme="minorHAnsi"/>
          <w:sz w:val="22"/>
        </w:rPr>
        <w:t xml:space="preserve">Team Leader – Paul Crawford (est. 40 days) </w:t>
      </w:r>
    </w:p>
    <w:p w14:paraId="06B7E0D9" w14:textId="77777777" w:rsidR="00B75755" w:rsidRPr="00A626CC" w:rsidRDefault="00B75755" w:rsidP="00A626CC">
      <w:pPr>
        <w:pStyle w:val="ListBullet"/>
        <w:numPr>
          <w:ilvl w:val="1"/>
          <w:numId w:val="132"/>
        </w:numPr>
        <w:spacing w:after="0" w:line="264" w:lineRule="auto"/>
        <w:contextualSpacing w:val="0"/>
        <w:rPr>
          <w:rFonts w:cstheme="minorHAnsi"/>
          <w:sz w:val="22"/>
        </w:rPr>
      </w:pPr>
      <w:r w:rsidRPr="00A626CC">
        <w:rPr>
          <w:rFonts w:cstheme="minorHAnsi"/>
          <w:sz w:val="22"/>
        </w:rPr>
        <w:t xml:space="preserve">Senior evaluator </w:t>
      </w:r>
    </w:p>
    <w:p w14:paraId="5739ABF0" w14:textId="77777777" w:rsidR="00B75755" w:rsidRPr="00A626CC" w:rsidRDefault="00B75755" w:rsidP="00A626CC">
      <w:pPr>
        <w:pStyle w:val="ListBullet"/>
        <w:numPr>
          <w:ilvl w:val="1"/>
          <w:numId w:val="133"/>
        </w:numPr>
        <w:spacing w:after="0" w:line="264" w:lineRule="auto"/>
        <w:contextualSpacing w:val="0"/>
        <w:rPr>
          <w:rFonts w:cstheme="minorHAnsi"/>
          <w:sz w:val="22"/>
        </w:rPr>
      </w:pPr>
      <w:r w:rsidRPr="00A626CC">
        <w:rPr>
          <w:rFonts w:cstheme="minorHAnsi"/>
          <w:sz w:val="22"/>
        </w:rPr>
        <w:t>Highly experienced conducting evaluations of complex programs</w:t>
      </w:r>
    </w:p>
    <w:p w14:paraId="5A85FE7D" w14:textId="77777777" w:rsidR="00B75755" w:rsidRPr="00A626CC" w:rsidRDefault="00B75755" w:rsidP="00A626CC">
      <w:pPr>
        <w:pStyle w:val="ListBullet"/>
        <w:numPr>
          <w:ilvl w:val="1"/>
          <w:numId w:val="134"/>
        </w:numPr>
        <w:spacing w:after="0" w:line="264" w:lineRule="auto"/>
        <w:contextualSpacing w:val="0"/>
        <w:rPr>
          <w:rFonts w:cstheme="minorHAnsi"/>
          <w:sz w:val="22"/>
        </w:rPr>
      </w:pPr>
      <w:r w:rsidRPr="00A626CC">
        <w:rPr>
          <w:rFonts w:cstheme="minorHAnsi"/>
          <w:sz w:val="22"/>
        </w:rPr>
        <w:t>Deep understanding of organisational development and systems thinking</w:t>
      </w:r>
    </w:p>
    <w:p w14:paraId="6180D541" w14:textId="77777777" w:rsidR="00B75755" w:rsidRPr="00A626CC" w:rsidRDefault="00B75755" w:rsidP="00A626CC">
      <w:pPr>
        <w:pStyle w:val="ListBullet"/>
        <w:numPr>
          <w:ilvl w:val="1"/>
          <w:numId w:val="135"/>
        </w:numPr>
        <w:spacing w:after="0" w:line="264" w:lineRule="auto"/>
        <w:contextualSpacing w:val="0"/>
        <w:rPr>
          <w:rFonts w:cstheme="minorHAnsi"/>
          <w:sz w:val="22"/>
        </w:rPr>
      </w:pPr>
      <w:r w:rsidRPr="00A626CC">
        <w:rPr>
          <w:rFonts w:cstheme="minorHAnsi"/>
          <w:sz w:val="22"/>
        </w:rPr>
        <w:t>Significant experience evaluating programs in the Pacific region.</w:t>
      </w:r>
    </w:p>
    <w:p w14:paraId="26820245" w14:textId="77777777" w:rsidR="00B75755" w:rsidRPr="00A626CC" w:rsidRDefault="00B75755" w:rsidP="00A626CC">
      <w:pPr>
        <w:pStyle w:val="ListBullet"/>
        <w:numPr>
          <w:ilvl w:val="0"/>
          <w:numId w:val="136"/>
        </w:numPr>
        <w:spacing w:after="0" w:line="264" w:lineRule="auto"/>
        <w:contextualSpacing w:val="0"/>
        <w:rPr>
          <w:rFonts w:cstheme="minorHAnsi"/>
          <w:sz w:val="22"/>
        </w:rPr>
      </w:pPr>
      <w:r w:rsidRPr="00A626CC">
        <w:rPr>
          <w:rFonts w:cstheme="minorHAnsi"/>
          <w:sz w:val="22"/>
        </w:rPr>
        <w:t>Labour Mobility Specialists – Heather Nunns (est. 30 days) and Charlotte Bedford (est. 10 days)</w:t>
      </w:r>
    </w:p>
    <w:p w14:paraId="649DDADE" w14:textId="77777777" w:rsidR="00B75755" w:rsidRPr="00A626CC" w:rsidRDefault="00B75755" w:rsidP="00A626CC">
      <w:pPr>
        <w:pStyle w:val="ListBullet"/>
        <w:numPr>
          <w:ilvl w:val="1"/>
          <w:numId w:val="137"/>
        </w:numPr>
        <w:spacing w:after="0" w:line="264" w:lineRule="auto"/>
        <w:contextualSpacing w:val="0"/>
        <w:rPr>
          <w:rFonts w:cstheme="minorHAnsi"/>
          <w:sz w:val="22"/>
        </w:rPr>
      </w:pPr>
      <w:r w:rsidRPr="00A626CC">
        <w:rPr>
          <w:rFonts w:cstheme="minorHAnsi"/>
          <w:sz w:val="22"/>
        </w:rPr>
        <w:t>Evaluators and researchers</w:t>
      </w:r>
    </w:p>
    <w:p w14:paraId="16E273A2" w14:textId="77777777" w:rsidR="00B75755" w:rsidRPr="00A626CC" w:rsidRDefault="00B75755" w:rsidP="00A626CC">
      <w:pPr>
        <w:pStyle w:val="ListBullet"/>
        <w:numPr>
          <w:ilvl w:val="1"/>
          <w:numId w:val="138"/>
        </w:numPr>
        <w:spacing w:after="0" w:line="264" w:lineRule="auto"/>
        <w:contextualSpacing w:val="0"/>
        <w:rPr>
          <w:rFonts w:cstheme="minorHAnsi"/>
          <w:sz w:val="22"/>
        </w:rPr>
      </w:pPr>
      <w:r w:rsidRPr="00A626CC">
        <w:rPr>
          <w:rFonts w:cstheme="minorHAnsi"/>
          <w:sz w:val="22"/>
        </w:rPr>
        <w:t>Deep understanding and experience with PLM opportunities and challenges in Australia and New Zealand settings, including GEDSI impacts</w:t>
      </w:r>
    </w:p>
    <w:p w14:paraId="087AC06F" w14:textId="77777777" w:rsidR="00B75755" w:rsidRPr="00A626CC" w:rsidRDefault="00B75755" w:rsidP="00A626CC">
      <w:pPr>
        <w:pStyle w:val="ListBullet"/>
        <w:numPr>
          <w:ilvl w:val="1"/>
          <w:numId w:val="139"/>
        </w:numPr>
        <w:spacing w:after="0" w:line="264" w:lineRule="auto"/>
        <w:contextualSpacing w:val="0"/>
        <w:rPr>
          <w:rFonts w:cstheme="minorHAnsi"/>
          <w:sz w:val="22"/>
        </w:rPr>
      </w:pPr>
      <w:r w:rsidRPr="00A626CC">
        <w:rPr>
          <w:rFonts w:cstheme="minorHAnsi"/>
          <w:sz w:val="22"/>
        </w:rPr>
        <w:t>Significant experience evaluating programs in the Pacific region</w:t>
      </w:r>
    </w:p>
    <w:p w14:paraId="683506BD" w14:textId="77777777" w:rsidR="00B75755" w:rsidRPr="00A626CC" w:rsidRDefault="00B75755" w:rsidP="00A626CC">
      <w:pPr>
        <w:pStyle w:val="ListBullet"/>
        <w:numPr>
          <w:ilvl w:val="1"/>
          <w:numId w:val="140"/>
        </w:numPr>
        <w:spacing w:after="0" w:line="264" w:lineRule="auto"/>
        <w:contextualSpacing w:val="0"/>
        <w:rPr>
          <w:rFonts w:cstheme="minorHAnsi"/>
          <w:sz w:val="22"/>
        </w:rPr>
      </w:pPr>
      <w:r w:rsidRPr="00A626CC">
        <w:rPr>
          <w:rFonts w:cstheme="minorHAnsi"/>
          <w:sz w:val="22"/>
        </w:rPr>
        <w:t>Highly experienced conducting evaluations of complex programs.</w:t>
      </w:r>
    </w:p>
    <w:p w14:paraId="55506523" w14:textId="77777777" w:rsidR="00B75755" w:rsidRPr="00A626CC" w:rsidRDefault="00B75755" w:rsidP="00B51164">
      <w:pPr>
        <w:pStyle w:val="ListBullet"/>
        <w:numPr>
          <w:ilvl w:val="0"/>
          <w:numId w:val="0"/>
        </w:numPr>
        <w:ind w:left="360"/>
        <w:rPr>
          <w:rFonts w:cstheme="minorHAnsi"/>
        </w:rPr>
      </w:pPr>
    </w:p>
    <w:p w14:paraId="0844DFD0" w14:textId="77777777" w:rsidR="00B75755" w:rsidRPr="00A626CC" w:rsidRDefault="00B75755" w:rsidP="00A626CC">
      <w:r w:rsidRPr="00A626CC">
        <w:t xml:space="preserve">From Clear Horizon, Dave Green will provide quality assurance and DFAT liaison support. Rennai Marlais will provide administrative and logistics support. </w:t>
      </w:r>
    </w:p>
    <w:p w14:paraId="33477CE5" w14:textId="67AF3E10" w:rsidR="00B75755" w:rsidRPr="00A626CC" w:rsidRDefault="00B75755" w:rsidP="00A626CC">
      <w:pPr>
        <w:rPr>
          <w:lang w:eastAsia="en-AU"/>
        </w:rPr>
      </w:pPr>
      <w:r w:rsidRPr="00A626CC">
        <w:t xml:space="preserve">The team will report to Kate Fuller, DFAT QTAG contract manager and, where relevant, Priya Sivakumaran, Director of the DFAT Pacific Labour Growth Strategy and Design Section. Sue-Ellen O’Farrell/Kristy Ward will be the team’s key points of contact in PLF. DFAT, PLF, and DEWR </w:t>
      </w:r>
      <w:r w:rsidRPr="00A626CC">
        <w:rPr>
          <w:lang w:eastAsia="en-AU"/>
        </w:rPr>
        <w:t>will have an opportunity for feedback at key points in the review, including feedback on the evaluation plan, attendance at a preliminary findings presentation, and feedback on the final report.  PLF will assist with arranging meetings and coordinating face</w:t>
      </w:r>
      <w:r w:rsidR="00257CFD">
        <w:rPr>
          <w:lang w:eastAsia="en-AU"/>
        </w:rPr>
        <w:t>-</w:t>
      </w:r>
      <w:r w:rsidRPr="00A626CC">
        <w:rPr>
          <w:lang w:eastAsia="en-AU"/>
        </w:rPr>
        <w:t>to</w:t>
      </w:r>
      <w:r w:rsidR="00257CFD">
        <w:rPr>
          <w:lang w:eastAsia="en-AU"/>
        </w:rPr>
        <w:t>-</w:t>
      </w:r>
      <w:r w:rsidRPr="00A626CC">
        <w:rPr>
          <w:lang w:eastAsia="en-AU"/>
        </w:rPr>
        <w:t xml:space="preserve">face discussions as appropriate. </w:t>
      </w:r>
    </w:p>
    <w:p w14:paraId="588F2798" w14:textId="77777777" w:rsidR="00B75755" w:rsidRPr="00A626CC" w:rsidRDefault="00B75755" w:rsidP="00A626CC">
      <w:pPr>
        <w:rPr>
          <w:rFonts w:cstheme="minorHAnsi"/>
          <w:i/>
        </w:rPr>
      </w:pPr>
      <w:r w:rsidRPr="00A626CC">
        <w:rPr>
          <w:rFonts w:cstheme="minorHAnsi"/>
          <w:i/>
          <w:lang w:val="en-NZ"/>
        </w:rPr>
        <w:t>Deliverables &amp; Timeframe</w:t>
      </w:r>
      <w:r w:rsidRPr="00A626CC">
        <w:rPr>
          <w:rFonts w:cstheme="minorHAnsi"/>
          <w:b/>
          <w:bCs/>
          <w:i/>
          <w:lang w:val="en-NZ"/>
        </w:rPr>
        <w:t xml:space="preserve"> </w:t>
      </w:r>
      <w:r w:rsidRPr="00A626CC">
        <w:rPr>
          <w:rFonts w:cstheme="minorHAnsi"/>
          <w:i/>
        </w:rPr>
        <w:t xml:space="preserve"> </w:t>
      </w:r>
    </w:p>
    <w:p w14:paraId="06EEDA39" w14:textId="77777777" w:rsidR="00B75755" w:rsidRPr="00A626CC" w:rsidRDefault="00B75755" w:rsidP="00A626CC">
      <w:r w:rsidRPr="00A626CC">
        <w:t xml:space="preserve">A rough timeline is outlined below and will provide an opportunity for parallel design support and sharing of lessons and early findings where relevant. Key outputs will include the following.  </w:t>
      </w:r>
    </w:p>
    <w:p w14:paraId="143674AE" w14:textId="77777777" w:rsidR="00B75755" w:rsidRPr="00A626CC" w:rsidRDefault="00B75755" w:rsidP="00A626CC">
      <w:pPr>
        <w:pStyle w:val="ListBullet"/>
        <w:numPr>
          <w:ilvl w:val="0"/>
          <w:numId w:val="141"/>
        </w:numPr>
      </w:pPr>
      <w:r w:rsidRPr="00A626CC">
        <w:t>Evaluation plan (responding to this Terms of Reference (ToRs)) – meeting DFAT Design and M&amp;E standard 9</w:t>
      </w:r>
    </w:p>
    <w:p w14:paraId="082704FE" w14:textId="77777777" w:rsidR="00B75755" w:rsidRPr="00A626CC" w:rsidRDefault="00B75755" w:rsidP="00A626CC">
      <w:pPr>
        <w:pStyle w:val="ListBullet"/>
        <w:numPr>
          <w:ilvl w:val="0"/>
          <w:numId w:val="142"/>
        </w:numPr>
      </w:pPr>
      <w:r w:rsidRPr="00A626CC">
        <w:t>Presentation of preliminary findings and written Aide Memoire</w:t>
      </w:r>
    </w:p>
    <w:p w14:paraId="5BF72637" w14:textId="77777777" w:rsidR="00B75755" w:rsidRPr="00A626CC" w:rsidRDefault="00B75755" w:rsidP="00A626CC">
      <w:pPr>
        <w:pStyle w:val="ListBullet"/>
        <w:numPr>
          <w:ilvl w:val="0"/>
          <w:numId w:val="143"/>
        </w:numPr>
      </w:pPr>
      <w:r w:rsidRPr="00A626CC">
        <w:t>Draft report – meeting DFAT Design and M&amp;E standard 10</w:t>
      </w:r>
    </w:p>
    <w:p w14:paraId="3381F0AF" w14:textId="77777777" w:rsidR="00B75755" w:rsidRPr="00A626CC" w:rsidRDefault="00B75755" w:rsidP="00A626CC">
      <w:pPr>
        <w:pStyle w:val="ListBullet"/>
        <w:numPr>
          <w:ilvl w:val="0"/>
          <w:numId w:val="144"/>
        </w:numPr>
      </w:pPr>
      <w:r w:rsidRPr="00A626CC">
        <w:t>Final report – meeting DFAT Design and M&amp;E standard 10, likely to be published (within three months of finalisation). Particularly sensitive material may be included in internal annexes.</w:t>
      </w:r>
    </w:p>
    <w:p w14:paraId="1AFB4836" w14:textId="77777777" w:rsidR="00B75755" w:rsidRPr="00A626CC" w:rsidRDefault="00B75755" w:rsidP="00A626CC">
      <w:pPr>
        <w:pStyle w:val="ListBullet"/>
        <w:numPr>
          <w:ilvl w:val="0"/>
          <w:numId w:val="145"/>
        </w:numPr>
      </w:pPr>
      <w:r w:rsidRPr="00A626CC">
        <w:t>Evaluation brief summarising key findings and recommendations, for sharing with relevant parts of DFAT and other stakeholders</w:t>
      </w:r>
    </w:p>
    <w:p w14:paraId="7592361A" w14:textId="27EDA071" w:rsidR="00B75755" w:rsidRPr="00A626CC" w:rsidRDefault="00B75755" w:rsidP="00A626CC">
      <w:r w:rsidRPr="00A626CC">
        <w:t>A more detailed timeline will be agreed in the evaluation plan, meeting requirements of DFAT Design and M&amp;E Standard 8.14 and 9.16 relating to scheduling.</w:t>
      </w:r>
    </w:p>
    <w:tbl>
      <w:tblPr>
        <w:tblStyle w:val="GridTable1Light-Accent1"/>
        <w:tblpPr w:leftFromText="180" w:rightFromText="180" w:vertAnchor="text" w:horzAnchor="margin" w:tblpY="-77"/>
        <w:tblW w:w="5000" w:type="pct"/>
        <w:tblLook w:val="04A0" w:firstRow="1" w:lastRow="0" w:firstColumn="1" w:lastColumn="0" w:noHBand="0" w:noVBand="1"/>
      </w:tblPr>
      <w:tblGrid>
        <w:gridCol w:w="5000"/>
        <w:gridCol w:w="4742"/>
      </w:tblGrid>
      <w:tr w:rsidR="00B75755" w:rsidRPr="00D97643" w14:paraId="3317F027" w14:textId="77777777" w:rsidTr="00A32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053269A7" w14:textId="77777777" w:rsidR="00B75755" w:rsidRPr="00D97643" w:rsidRDefault="00B75755" w:rsidP="00A32FCC">
            <w:pPr>
              <w:jc w:val="both"/>
              <w:rPr>
                <w:rFonts w:cstheme="minorHAnsi"/>
              </w:rPr>
            </w:pPr>
            <w:r w:rsidRPr="00D97643">
              <w:rPr>
                <w:rFonts w:cstheme="minorHAnsi"/>
              </w:rPr>
              <w:lastRenderedPageBreak/>
              <w:t>Task</w:t>
            </w:r>
          </w:p>
        </w:tc>
        <w:tc>
          <w:tcPr>
            <w:tcW w:w="0" w:type="pct"/>
          </w:tcPr>
          <w:p w14:paraId="7A0BD5D9" w14:textId="77777777" w:rsidR="00B75755" w:rsidRPr="00D97643" w:rsidRDefault="00B75755" w:rsidP="00A32FCC">
            <w:pPr>
              <w:jc w:val="both"/>
              <w:cnfStyle w:val="100000000000" w:firstRow="1" w:lastRow="0" w:firstColumn="0" w:lastColumn="0" w:oddVBand="0" w:evenVBand="0" w:oddHBand="0" w:evenHBand="0" w:firstRowFirstColumn="0" w:firstRowLastColumn="0" w:lastRowFirstColumn="0" w:lastRowLastColumn="0"/>
              <w:rPr>
                <w:rFonts w:cstheme="minorHAnsi"/>
              </w:rPr>
            </w:pPr>
            <w:r w:rsidRPr="00D97643">
              <w:rPr>
                <w:rFonts w:cstheme="minorHAnsi"/>
              </w:rPr>
              <w:t xml:space="preserve">When </w:t>
            </w:r>
          </w:p>
        </w:tc>
      </w:tr>
      <w:tr w:rsidR="00B75755" w:rsidRPr="00D97643" w14:paraId="2091E0EF" w14:textId="77777777" w:rsidTr="00A32FCC">
        <w:tc>
          <w:tcPr>
            <w:cnfStyle w:val="001000000000" w:firstRow="0" w:lastRow="0" w:firstColumn="1" w:lastColumn="0" w:oddVBand="0" w:evenVBand="0" w:oddHBand="0" w:evenHBand="0" w:firstRowFirstColumn="0" w:firstRowLastColumn="0" w:lastRowFirstColumn="0" w:lastRowLastColumn="0"/>
            <w:tcW w:w="0" w:type="pct"/>
            <w:hideMark/>
          </w:tcPr>
          <w:p w14:paraId="3864C7A2" w14:textId="77777777" w:rsidR="00B75755" w:rsidRPr="00D97643" w:rsidRDefault="00B75755" w:rsidP="00BF641E">
            <w:pPr>
              <w:spacing w:line="276" w:lineRule="auto"/>
              <w:rPr>
                <w:b w:val="0"/>
                <w:bCs w:val="0"/>
              </w:rPr>
            </w:pPr>
            <w:r w:rsidRPr="00D97643">
              <w:t>Draft TORs, consult within DFAT</w:t>
            </w:r>
          </w:p>
        </w:tc>
        <w:tc>
          <w:tcPr>
            <w:tcW w:w="0" w:type="pct"/>
            <w:hideMark/>
          </w:tcPr>
          <w:p w14:paraId="0D4B65ED" w14:textId="77777777" w:rsidR="00B75755" w:rsidRPr="00D97643" w:rsidRDefault="00B75755" w:rsidP="00BF641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97643">
              <w:rPr>
                <w:rFonts w:cstheme="minorHAnsi"/>
              </w:rPr>
              <w:t>March 2023</w:t>
            </w:r>
          </w:p>
        </w:tc>
      </w:tr>
      <w:tr w:rsidR="00B75755" w:rsidRPr="00D97643" w14:paraId="3B7AA9CA" w14:textId="77777777" w:rsidTr="00A32FCC">
        <w:tc>
          <w:tcPr>
            <w:cnfStyle w:val="001000000000" w:firstRow="0" w:lastRow="0" w:firstColumn="1" w:lastColumn="0" w:oddVBand="0" w:evenVBand="0" w:oddHBand="0" w:evenHBand="0" w:firstRowFirstColumn="0" w:firstRowLastColumn="0" w:lastRowFirstColumn="0" w:lastRowLastColumn="0"/>
            <w:tcW w:w="0" w:type="pct"/>
            <w:hideMark/>
          </w:tcPr>
          <w:p w14:paraId="176EEE45" w14:textId="77777777" w:rsidR="00B75755" w:rsidRPr="00D97643" w:rsidRDefault="00B75755" w:rsidP="00BF641E">
            <w:pPr>
              <w:spacing w:line="276" w:lineRule="auto"/>
              <w:rPr>
                <w:b w:val="0"/>
                <w:bCs w:val="0"/>
              </w:rPr>
            </w:pPr>
            <w:r w:rsidRPr="00D97643">
              <w:t xml:space="preserve">Final draft TORs approved and disseminated </w:t>
            </w:r>
          </w:p>
        </w:tc>
        <w:tc>
          <w:tcPr>
            <w:tcW w:w="0" w:type="pct"/>
            <w:hideMark/>
          </w:tcPr>
          <w:p w14:paraId="15B77E72" w14:textId="77777777" w:rsidR="00B75755" w:rsidRPr="00D97643" w:rsidRDefault="00B75755" w:rsidP="00BF641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97643">
              <w:rPr>
                <w:rFonts w:cstheme="minorHAnsi"/>
              </w:rPr>
              <w:t>May 2023</w:t>
            </w:r>
          </w:p>
        </w:tc>
      </w:tr>
      <w:tr w:rsidR="00B75755" w:rsidRPr="00D97643" w14:paraId="55249ED8" w14:textId="77777777" w:rsidTr="00A32FCC">
        <w:tc>
          <w:tcPr>
            <w:cnfStyle w:val="001000000000" w:firstRow="0" w:lastRow="0" w:firstColumn="1" w:lastColumn="0" w:oddVBand="0" w:evenVBand="0" w:oddHBand="0" w:evenHBand="0" w:firstRowFirstColumn="0" w:firstRowLastColumn="0" w:lastRowFirstColumn="0" w:lastRowLastColumn="0"/>
            <w:tcW w:w="0" w:type="pct"/>
            <w:hideMark/>
          </w:tcPr>
          <w:p w14:paraId="6BD08412" w14:textId="77777777" w:rsidR="00B75755" w:rsidRPr="00D97643" w:rsidRDefault="00B75755" w:rsidP="00BF641E">
            <w:pPr>
              <w:spacing w:line="276" w:lineRule="auto"/>
              <w:rPr>
                <w:b w:val="0"/>
                <w:bCs w:val="0"/>
              </w:rPr>
            </w:pPr>
            <w:r w:rsidRPr="00D97643">
              <w:t xml:space="preserve">Evaluation Team confirmed and recruitment of external Team Leader </w:t>
            </w:r>
          </w:p>
        </w:tc>
        <w:tc>
          <w:tcPr>
            <w:tcW w:w="0" w:type="pct"/>
            <w:hideMark/>
          </w:tcPr>
          <w:p w14:paraId="396790A3" w14:textId="77777777" w:rsidR="00B75755" w:rsidRPr="00D97643" w:rsidRDefault="00B75755" w:rsidP="00BF641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97643">
              <w:rPr>
                <w:rFonts w:cstheme="minorHAnsi"/>
              </w:rPr>
              <w:t>May 2023</w:t>
            </w:r>
          </w:p>
        </w:tc>
      </w:tr>
      <w:tr w:rsidR="00B75755" w:rsidRPr="00D97643" w14:paraId="1571B40A" w14:textId="77777777" w:rsidTr="00A32FCC">
        <w:tc>
          <w:tcPr>
            <w:cnfStyle w:val="001000000000" w:firstRow="0" w:lastRow="0" w:firstColumn="1" w:lastColumn="0" w:oddVBand="0" w:evenVBand="0" w:oddHBand="0" w:evenHBand="0" w:firstRowFirstColumn="0" w:firstRowLastColumn="0" w:lastRowFirstColumn="0" w:lastRowLastColumn="0"/>
            <w:tcW w:w="0" w:type="pct"/>
            <w:hideMark/>
          </w:tcPr>
          <w:p w14:paraId="78EEB84E" w14:textId="77777777" w:rsidR="00B75755" w:rsidRPr="00D97643" w:rsidRDefault="00B75755" w:rsidP="00BF641E">
            <w:pPr>
              <w:spacing w:line="276" w:lineRule="auto"/>
              <w:rPr>
                <w:b w:val="0"/>
                <w:bCs w:val="0"/>
              </w:rPr>
            </w:pPr>
            <w:r w:rsidRPr="00D97643">
              <w:t>Approve evaluation plan</w:t>
            </w:r>
          </w:p>
        </w:tc>
        <w:tc>
          <w:tcPr>
            <w:tcW w:w="0" w:type="pct"/>
            <w:hideMark/>
          </w:tcPr>
          <w:p w14:paraId="7921817E" w14:textId="77777777" w:rsidR="00B75755" w:rsidRPr="00D97643" w:rsidRDefault="00B75755" w:rsidP="00BF641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97643">
              <w:rPr>
                <w:rFonts w:cstheme="minorHAnsi"/>
              </w:rPr>
              <w:t>By end May 2023</w:t>
            </w:r>
          </w:p>
        </w:tc>
      </w:tr>
      <w:tr w:rsidR="00B75755" w:rsidRPr="00D97643" w14:paraId="4B67F2C5" w14:textId="77777777" w:rsidTr="00A32FCC">
        <w:tc>
          <w:tcPr>
            <w:cnfStyle w:val="001000000000" w:firstRow="0" w:lastRow="0" w:firstColumn="1" w:lastColumn="0" w:oddVBand="0" w:evenVBand="0" w:oddHBand="0" w:evenHBand="0" w:firstRowFirstColumn="0" w:firstRowLastColumn="0" w:lastRowFirstColumn="0" w:lastRowLastColumn="0"/>
            <w:tcW w:w="0" w:type="pct"/>
            <w:hideMark/>
          </w:tcPr>
          <w:p w14:paraId="4614A173" w14:textId="77777777" w:rsidR="00B75755" w:rsidRPr="00D97643" w:rsidRDefault="00B75755" w:rsidP="00BF641E">
            <w:pPr>
              <w:spacing w:line="276" w:lineRule="auto"/>
              <w:rPr>
                <w:b w:val="0"/>
                <w:bCs w:val="0"/>
              </w:rPr>
            </w:pPr>
            <w:r w:rsidRPr="00D97643">
              <w:t>Evaluation data collection</w:t>
            </w:r>
          </w:p>
        </w:tc>
        <w:tc>
          <w:tcPr>
            <w:tcW w:w="0" w:type="pct"/>
            <w:hideMark/>
          </w:tcPr>
          <w:p w14:paraId="20828D00" w14:textId="77777777" w:rsidR="00B75755" w:rsidRPr="00D97643" w:rsidRDefault="00B75755" w:rsidP="00BF641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97643">
              <w:rPr>
                <w:rFonts w:cstheme="minorHAnsi"/>
              </w:rPr>
              <w:t>June – August 2023</w:t>
            </w:r>
          </w:p>
        </w:tc>
      </w:tr>
      <w:tr w:rsidR="00B75755" w:rsidRPr="00D97643" w14:paraId="358C7B17" w14:textId="77777777" w:rsidTr="00A32FCC">
        <w:tc>
          <w:tcPr>
            <w:cnfStyle w:val="001000000000" w:firstRow="0" w:lastRow="0" w:firstColumn="1" w:lastColumn="0" w:oddVBand="0" w:evenVBand="0" w:oddHBand="0" w:evenHBand="0" w:firstRowFirstColumn="0" w:firstRowLastColumn="0" w:lastRowFirstColumn="0" w:lastRowLastColumn="0"/>
            <w:tcW w:w="0" w:type="pct"/>
            <w:hideMark/>
          </w:tcPr>
          <w:p w14:paraId="6DD94B20" w14:textId="77777777" w:rsidR="00B75755" w:rsidRPr="00D97643" w:rsidRDefault="00B75755" w:rsidP="00BF641E">
            <w:pPr>
              <w:spacing w:line="276" w:lineRule="auto"/>
              <w:rPr>
                <w:b w:val="0"/>
                <w:bCs w:val="0"/>
              </w:rPr>
            </w:pPr>
            <w:r w:rsidRPr="00D97643">
              <w:t>Share information and coordinate with design team as and where required and appropriate</w:t>
            </w:r>
          </w:p>
        </w:tc>
        <w:tc>
          <w:tcPr>
            <w:tcW w:w="0" w:type="pct"/>
            <w:hideMark/>
          </w:tcPr>
          <w:p w14:paraId="4424097B" w14:textId="77777777" w:rsidR="00B75755" w:rsidRPr="00D97643" w:rsidRDefault="00B75755" w:rsidP="00BF641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97643">
              <w:rPr>
                <w:rFonts w:cstheme="minorHAnsi"/>
              </w:rPr>
              <w:t>July/August 2023</w:t>
            </w:r>
          </w:p>
        </w:tc>
      </w:tr>
      <w:tr w:rsidR="00B75755" w:rsidRPr="00D97643" w14:paraId="72999D56" w14:textId="77777777" w:rsidTr="00A32FCC">
        <w:tc>
          <w:tcPr>
            <w:cnfStyle w:val="001000000000" w:firstRow="0" w:lastRow="0" w:firstColumn="1" w:lastColumn="0" w:oddVBand="0" w:evenVBand="0" w:oddHBand="0" w:evenHBand="0" w:firstRowFirstColumn="0" w:firstRowLastColumn="0" w:lastRowFirstColumn="0" w:lastRowLastColumn="0"/>
            <w:tcW w:w="0" w:type="pct"/>
            <w:hideMark/>
          </w:tcPr>
          <w:p w14:paraId="695AFF2A" w14:textId="77777777" w:rsidR="00B75755" w:rsidRPr="00D97643" w:rsidRDefault="00B75755" w:rsidP="00BF641E">
            <w:pPr>
              <w:spacing w:line="276" w:lineRule="auto"/>
              <w:rPr>
                <w:b w:val="0"/>
                <w:bCs w:val="0"/>
              </w:rPr>
            </w:pPr>
            <w:r w:rsidRPr="00D97643">
              <w:t>Early findings presented - depending on design timeline; comms products designed</w:t>
            </w:r>
          </w:p>
        </w:tc>
        <w:tc>
          <w:tcPr>
            <w:tcW w:w="0" w:type="pct"/>
            <w:hideMark/>
          </w:tcPr>
          <w:p w14:paraId="62FBD7FB" w14:textId="77777777" w:rsidR="00B75755" w:rsidRPr="00D97643" w:rsidRDefault="00B75755" w:rsidP="00BF641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97643">
              <w:rPr>
                <w:rFonts w:cstheme="minorHAnsi"/>
              </w:rPr>
              <w:t>August 2023</w:t>
            </w:r>
          </w:p>
        </w:tc>
      </w:tr>
      <w:tr w:rsidR="00B75755" w:rsidRPr="00D97643" w14:paraId="2239F435" w14:textId="77777777" w:rsidTr="00A32FCC">
        <w:tc>
          <w:tcPr>
            <w:cnfStyle w:val="001000000000" w:firstRow="0" w:lastRow="0" w:firstColumn="1" w:lastColumn="0" w:oddVBand="0" w:evenVBand="0" w:oddHBand="0" w:evenHBand="0" w:firstRowFirstColumn="0" w:firstRowLastColumn="0" w:lastRowFirstColumn="0" w:lastRowLastColumn="0"/>
            <w:tcW w:w="0" w:type="pct"/>
            <w:hideMark/>
          </w:tcPr>
          <w:p w14:paraId="0A35CE54" w14:textId="77777777" w:rsidR="00B75755" w:rsidRPr="00D97643" w:rsidRDefault="00B75755" w:rsidP="00BF641E">
            <w:pPr>
              <w:spacing w:line="276" w:lineRule="auto"/>
              <w:rPr>
                <w:b w:val="0"/>
                <w:bCs w:val="0"/>
              </w:rPr>
            </w:pPr>
            <w:r w:rsidRPr="00D97643">
              <w:t>Aide Memoire or Executive Summary</w:t>
            </w:r>
          </w:p>
        </w:tc>
        <w:tc>
          <w:tcPr>
            <w:tcW w:w="0" w:type="pct"/>
            <w:hideMark/>
          </w:tcPr>
          <w:p w14:paraId="4D391726" w14:textId="77777777" w:rsidR="00B75755" w:rsidRPr="00D97643" w:rsidRDefault="00B75755" w:rsidP="00BF641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97643">
              <w:rPr>
                <w:rFonts w:cstheme="minorHAnsi"/>
              </w:rPr>
              <w:t>Early September 2023</w:t>
            </w:r>
          </w:p>
        </w:tc>
      </w:tr>
      <w:tr w:rsidR="00B75755" w:rsidRPr="00D97643" w14:paraId="68735985" w14:textId="77777777" w:rsidTr="00A32FCC">
        <w:tc>
          <w:tcPr>
            <w:cnfStyle w:val="001000000000" w:firstRow="0" w:lastRow="0" w:firstColumn="1" w:lastColumn="0" w:oddVBand="0" w:evenVBand="0" w:oddHBand="0" w:evenHBand="0" w:firstRowFirstColumn="0" w:firstRowLastColumn="0" w:lastRowFirstColumn="0" w:lastRowLastColumn="0"/>
            <w:tcW w:w="0" w:type="pct"/>
            <w:hideMark/>
          </w:tcPr>
          <w:p w14:paraId="245A6235" w14:textId="77777777" w:rsidR="00B75755" w:rsidRPr="00D97643" w:rsidRDefault="00B75755" w:rsidP="00BF641E">
            <w:pPr>
              <w:spacing w:line="276" w:lineRule="auto"/>
              <w:rPr>
                <w:b w:val="0"/>
                <w:bCs w:val="0"/>
              </w:rPr>
            </w:pPr>
            <w:r w:rsidRPr="00D97643">
              <w:t>Draft review submitted to DFAT</w:t>
            </w:r>
          </w:p>
        </w:tc>
        <w:tc>
          <w:tcPr>
            <w:tcW w:w="0" w:type="pct"/>
            <w:hideMark/>
          </w:tcPr>
          <w:p w14:paraId="3A7653A3" w14:textId="77777777" w:rsidR="00B75755" w:rsidRPr="00D97643" w:rsidRDefault="00B75755" w:rsidP="00BF641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97643">
              <w:rPr>
                <w:rFonts w:cstheme="minorHAnsi"/>
              </w:rPr>
              <w:t>September 2023</w:t>
            </w:r>
          </w:p>
        </w:tc>
      </w:tr>
      <w:tr w:rsidR="00B75755" w:rsidRPr="00D97643" w14:paraId="64457A50" w14:textId="77777777" w:rsidTr="00A32FCC">
        <w:tc>
          <w:tcPr>
            <w:cnfStyle w:val="001000000000" w:firstRow="0" w:lastRow="0" w:firstColumn="1" w:lastColumn="0" w:oddVBand="0" w:evenVBand="0" w:oddHBand="0" w:evenHBand="0" w:firstRowFirstColumn="0" w:firstRowLastColumn="0" w:lastRowFirstColumn="0" w:lastRowLastColumn="0"/>
            <w:tcW w:w="0" w:type="pct"/>
            <w:hideMark/>
          </w:tcPr>
          <w:p w14:paraId="2C3E4432" w14:textId="77777777" w:rsidR="00B75755" w:rsidRPr="00D97643" w:rsidRDefault="00B75755" w:rsidP="00BF641E">
            <w:pPr>
              <w:spacing w:line="276" w:lineRule="auto"/>
              <w:rPr>
                <w:b w:val="0"/>
                <w:bCs w:val="0"/>
              </w:rPr>
            </w:pPr>
            <w:r w:rsidRPr="00D97643">
              <w:t>Comments and feedback incorporated, and final report submitted for management response and clearance</w:t>
            </w:r>
          </w:p>
        </w:tc>
        <w:tc>
          <w:tcPr>
            <w:tcW w:w="0" w:type="pct"/>
            <w:hideMark/>
          </w:tcPr>
          <w:p w14:paraId="6BCAF5D2" w14:textId="77777777" w:rsidR="00B75755" w:rsidRPr="00D97643" w:rsidRDefault="00B75755" w:rsidP="00BF641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97643">
              <w:rPr>
                <w:rFonts w:cstheme="minorHAnsi"/>
              </w:rPr>
              <w:t>October 2023</w:t>
            </w:r>
          </w:p>
        </w:tc>
      </w:tr>
    </w:tbl>
    <w:p w14:paraId="5872472C" w14:textId="77777777" w:rsidR="00B75755" w:rsidRPr="00A626CC" w:rsidRDefault="00B75755" w:rsidP="00A626CC">
      <w:pPr>
        <w:rPr>
          <w:rFonts w:cstheme="minorHAnsi"/>
          <w:i/>
        </w:rPr>
      </w:pPr>
    </w:p>
    <w:p w14:paraId="5CCC596D" w14:textId="77777777" w:rsidR="00762022" w:rsidRDefault="00762022">
      <w:pPr>
        <w:rPr>
          <w:rFonts w:asciiTheme="majorHAnsi" w:eastAsiaTheme="majorEastAsia" w:hAnsiTheme="majorHAnsi" w:cstheme="majorBidi"/>
          <w:caps/>
          <w:sz w:val="40"/>
          <w:szCs w:val="21"/>
        </w:rPr>
      </w:pPr>
      <w:r>
        <w:br w:type="page"/>
      </w:r>
    </w:p>
    <w:p w14:paraId="6CCC06AC" w14:textId="498A5121" w:rsidR="00762022" w:rsidRDefault="00762022" w:rsidP="00762022">
      <w:r w:rsidRPr="00762022">
        <w:rPr>
          <w:rFonts w:asciiTheme="majorHAnsi" w:eastAsiaTheme="majorEastAsia" w:hAnsiTheme="majorHAnsi" w:cstheme="majorBidi"/>
          <w:sz w:val="40"/>
          <w:szCs w:val="21"/>
        </w:rPr>
        <w:lastRenderedPageBreak/>
        <w:t>APPENDIX B EMployer – Worker Journey</w:t>
      </w:r>
      <w:r>
        <w:t xml:space="preserve"> </w:t>
      </w:r>
    </w:p>
    <w:tbl>
      <w:tblPr>
        <w:tblStyle w:val="TableGrid"/>
        <w:tblW w:w="0" w:type="auto"/>
        <w:tblLook w:val="04A0" w:firstRow="1" w:lastRow="0" w:firstColumn="1" w:lastColumn="0" w:noHBand="0" w:noVBand="1"/>
      </w:tblPr>
      <w:tblGrid>
        <w:gridCol w:w="1647"/>
        <w:gridCol w:w="2525"/>
        <w:gridCol w:w="3182"/>
        <w:gridCol w:w="2398"/>
      </w:tblGrid>
      <w:tr w:rsidR="00762022" w14:paraId="54670FA1" w14:textId="77777777" w:rsidTr="00962D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F267F86" w14:textId="77777777" w:rsidR="00762022" w:rsidRDefault="00762022" w:rsidP="00962DD2">
            <w:r>
              <w:t>Stage</w:t>
            </w:r>
          </w:p>
        </w:tc>
        <w:tc>
          <w:tcPr>
            <w:tcW w:w="0" w:type="auto"/>
          </w:tcPr>
          <w:p w14:paraId="02F73065" w14:textId="77777777" w:rsidR="00762022" w:rsidRDefault="00762022" w:rsidP="00962DD2">
            <w:pPr>
              <w:cnfStyle w:val="100000000000" w:firstRow="1" w:lastRow="0" w:firstColumn="0" w:lastColumn="0" w:oddVBand="0" w:evenVBand="0" w:oddHBand="0" w:evenHBand="0" w:firstRowFirstColumn="0" w:firstRowLastColumn="0" w:lastRowFirstColumn="0" w:lastRowLastColumn="0"/>
            </w:pPr>
            <w:r>
              <w:t>Approved employer (AE) journey</w:t>
            </w:r>
          </w:p>
        </w:tc>
        <w:tc>
          <w:tcPr>
            <w:tcW w:w="0" w:type="auto"/>
          </w:tcPr>
          <w:p w14:paraId="600837C7" w14:textId="77777777" w:rsidR="00762022" w:rsidRDefault="00762022" w:rsidP="00962DD2">
            <w:pPr>
              <w:cnfStyle w:val="100000000000" w:firstRow="1" w:lastRow="0" w:firstColumn="0" w:lastColumn="0" w:oddVBand="0" w:evenVBand="0" w:oddHBand="0" w:evenHBand="0" w:firstRowFirstColumn="0" w:firstRowLastColumn="0" w:lastRowFirstColumn="0" w:lastRowLastColumn="0"/>
            </w:pPr>
            <w:r>
              <w:rPr>
                <w:lang w:val="en-NZ"/>
              </w:rPr>
              <w:t xml:space="preserve">AE - worker intersection: What does ‘good’ </w:t>
            </w:r>
            <w:r>
              <w:rPr>
                <w:u w:val="single"/>
                <w:lang w:val="en-NZ"/>
              </w:rPr>
              <w:t>coordination of services</w:t>
            </w:r>
            <w:r>
              <w:rPr>
                <w:lang w:val="en-NZ"/>
              </w:rPr>
              <w:t xml:space="preserve"> look like?</w:t>
            </w:r>
          </w:p>
        </w:tc>
        <w:tc>
          <w:tcPr>
            <w:tcW w:w="0" w:type="auto"/>
          </w:tcPr>
          <w:p w14:paraId="3650CA20" w14:textId="77777777" w:rsidR="00762022" w:rsidRDefault="00762022" w:rsidP="00962DD2">
            <w:pPr>
              <w:cnfStyle w:val="100000000000" w:firstRow="1" w:lastRow="0" w:firstColumn="0" w:lastColumn="0" w:oddVBand="0" w:evenVBand="0" w:oddHBand="0" w:evenHBand="0" w:firstRowFirstColumn="0" w:firstRowLastColumn="0" w:lastRowFirstColumn="0" w:lastRowLastColumn="0"/>
            </w:pPr>
            <w:r>
              <w:t>Worker journey (and family at home)</w:t>
            </w:r>
          </w:p>
        </w:tc>
      </w:tr>
      <w:tr w:rsidR="00762022" w14:paraId="16C18DC0" w14:textId="77777777" w:rsidTr="00962DD2">
        <w:tc>
          <w:tcPr>
            <w:cnfStyle w:val="001000000000" w:firstRow="0" w:lastRow="0" w:firstColumn="1" w:lastColumn="0" w:oddVBand="0" w:evenVBand="0" w:oddHBand="0" w:evenHBand="0" w:firstRowFirstColumn="0" w:firstRowLastColumn="0" w:lastRowFirstColumn="0" w:lastRowLastColumn="0"/>
            <w:tcW w:w="0" w:type="auto"/>
          </w:tcPr>
          <w:p w14:paraId="10CF83CF" w14:textId="77777777" w:rsidR="00762022" w:rsidRPr="00155ED8" w:rsidRDefault="00762022" w:rsidP="00962DD2">
            <w:r w:rsidRPr="00155ED8">
              <w:t xml:space="preserve">Stage 1: </w:t>
            </w:r>
            <w:r>
              <w:t>P</w:t>
            </w:r>
            <w:r w:rsidRPr="00155ED8">
              <w:t>re</w:t>
            </w:r>
            <w:r>
              <w:t>-</w:t>
            </w:r>
            <w:r w:rsidRPr="00155ED8">
              <w:t>application, application, recruitment</w:t>
            </w:r>
          </w:p>
        </w:tc>
        <w:tc>
          <w:tcPr>
            <w:tcW w:w="0" w:type="auto"/>
          </w:tcPr>
          <w:p w14:paraId="04005A65" w14:textId="77777777" w:rsidR="00762022" w:rsidRPr="006B1F76"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6B1F76">
              <w:t>Application submitted to become an Approved Employer.</w:t>
            </w:r>
          </w:p>
          <w:p w14:paraId="1C987F07" w14:textId="77777777" w:rsidR="00762022" w:rsidRPr="006B1F76"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6B1F76">
              <w:t>Completes onboarding processes.</w:t>
            </w:r>
          </w:p>
          <w:p w14:paraId="214DFB13" w14:textId="77777777" w:rsidR="00762022" w:rsidRPr="006B1F76" w:rsidRDefault="00762022" w:rsidP="00962DD2">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p w14:paraId="47A5BEF9" w14:textId="77777777" w:rsidR="00762022" w:rsidRPr="006B1F76"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6B1F76">
              <w:t xml:space="preserve">Worker recruitment application submitted. </w:t>
            </w:r>
          </w:p>
          <w:p w14:paraId="3C9C43B4" w14:textId="77777777" w:rsidR="00762022" w:rsidRPr="006B1F76"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6B1F76">
              <w:t xml:space="preserve">Workers recruited. </w:t>
            </w:r>
          </w:p>
          <w:p w14:paraId="51DE23C9" w14:textId="77777777" w:rsidR="00762022" w:rsidRPr="006B1F76"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6B1F76">
              <w:t>An offer of employment given to each worker.</w:t>
            </w:r>
          </w:p>
          <w:p w14:paraId="520FB63A" w14:textId="77777777" w:rsidR="00762022"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6B1F76">
              <w:t>Visa applications submitted to Home Affairs 14 calendar dates before proposed travel date.</w:t>
            </w:r>
          </w:p>
        </w:tc>
        <w:tc>
          <w:tcPr>
            <w:tcW w:w="0" w:type="auto"/>
          </w:tcPr>
          <w:p w14:paraId="3FCEB19A"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Interested people and their families have access to information about what’s involved in being a PALM worker.</w:t>
            </w:r>
          </w:p>
          <w:p w14:paraId="77803550"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AEs actively engage with LSUs e.g. to understand preferred recruitment approaches, timing etc.</w:t>
            </w:r>
          </w:p>
          <w:p w14:paraId="0C8A2C23"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 xml:space="preserve">Potential recruits are available that meet AE’s skill and experience requirements. </w:t>
            </w:r>
          </w:p>
          <w:p w14:paraId="2BCBE7C0"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AEs work around the amount of time LSUs need for recruitment and worker processing.</w:t>
            </w:r>
          </w:p>
          <w:p w14:paraId="48866A98"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AE recruitment practices are receptive to GEDSI priorities.</w:t>
            </w:r>
          </w:p>
        </w:tc>
        <w:tc>
          <w:tcPr>
            <w:tcW w:w="0" w:type="auto"/>
          </w:tcPr>
          <w:p w14:paraId="67B42BBF" w14:textId="77777777" w:rsidR="00762022" w:rsidRPr="0075060B"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75060B">
              <w:t>Worker and their families make an informed decision about participating in PALM.</w:t>
            </w:r>
          </w:p>
          <w:p w14:paraId="05FF3920" w14:textId="77777777" w:rsidR="00762022" w:rsidRPr="0075060B"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75060B">
              <w:t>Worker and their family have shared goals about PALM participation e.g. financial goals.</w:t>
            </w:r>
          </w:p>
          <w:p w14:paraId="2B3F21F8" w14:textId="77777777" w:rsidR="00762022" w:rsidRPr="0075060B"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75060B">
              <w:t>Worker applies to become a PALM worker via LSU processes e.g. work ready pool.</w:t>
            </w:r>
          </w:p>
          <w:p w14:paraId="3006FA6A" w14:textId="77777777" w:rsidR="00762022"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75060B">
              <w:t>Worker is recruited by a</w:t>
            </w:r>
            <w:r>
              <w:t>n</w:t>
            </w:r>
            <w:r w:rsidRPr="0075060B">
              <w:t xml:space="preserve"> AE, receives</w:t>
            </w:r>
            <w:r>
              <w:t>,</w:t>
            </w:r>
            <w:r w:rsidRPr="0075060B">
              <w:t xml:space="preserve"> and accepts offer of employment.</w:t>
            </w:r>
          </w:p>
        </w:tc>
      </w:tr>
      <w:tr w:rsidR="00762022" w14:paraId="07C0EA53" w14:textId="77777777" w:rsidTr="00962DD2">
        <w:tc>
          <w:tcPr>
            <w:cnfStyle w:val="001000000000" w:firstRow="0" w:lastRow="0" w:firstColumn="1" w:lastColumn="0" w:oddVBand="0" w:evenVBand="0" w:oddHBand="0" w:evenHBand="0" w:firstRowFirstColumn="0" w:firstRowLastColumn="0" w:lastRowFirstColumn="0" w:lastRowLastColumn="0"/>
            <w:tcW w:w="0" w:type="auto"/>
          </w:tcPr>
          <w:p w14:paraId="1A67BF0B" w14:textId="77777777" w:rsidR="00762022" w:rsidRDefault="00762022" w:rsidP="00962DD2">
            <w:r w:rsidRPr="001158B0">
              <w:t xml:space="preserve">Stage 2: </w:t>
            </w:r>
            <w:r>
              <w:t>P</w:t>
            </w:r>
            <w:r w:rsidRPr="001158B0">
              <w:t>re</w:t>
            </w:r>
            <w:r>
              <w:t>-</w:t>
            </w:r>
            <w:r w:rsidRPr="001158B0">
              <w:t xml:space="preserve"> mobilisation, mobilisation</w:t>
            </w:r>
          </w:p>
        </w:tc>
        <w:tc>
          <w:tcPr>
            <w:tcW w:w="0" w:type="auto"/>
          </w:tcPr>
          <w:p w14:paraId="1918B6A1" w14:textId="77777777" w:rsidR="00762022" w:rsidRPr="00DD04DD"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DD04DD">
              <w:t>AE prepares for workers’ arrival. Preparation includes the workplace and staff e.g. building cultural competencies of supervisors, team leaders and managers.</w:t>
            </w:r>
          </w:p>
        </w:tc>
        <w:tc>
          <w:tcPr>
            <w:tcW w:w="0" w:type="auto"/>
          </w:tcPr>
          <w:p w14:paraId="642309B7"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Pre-departure briefings delivered by LSUs provide workers with useful information to prepare them for working and living in Australia.</w:t>
            </w:r>
          </w:p>
          <w:p w14:paraId="2F389968"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AEs provide recruited workers with useful information about the job they will be doing and location where they will be living.</w:t>
            </w:r>
          </w:p>
        </w:tc>
        <w:tc>
          <w:tcPr>
            <w:tcW w:w="0" w:type="auto"/>
          </w:tcPr>
          <w:p w14:paraId="29620226" w14:textId="77777777" w:rsidR="00762022" w:rsidRPr="00DD04DD"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DD04DD">
              <w:t>Worker and their family</w:t>
            </w:r>
            <w:r>
              <w:t xml:space="preserve"> </w:t>
            </w:r>
            <w:r w:rsidRPr="00DD04DD">
              <w:t>have time to make necessary preparations for the worker’s absence e.g. support for spouse, food production responsibilities.</w:t>
            </w:r>
          </w:p>
          <w:p w14:paraId="2FF93DB4" w14:textId="77777777" w:rsidR="00762022" w:rsidRPr="00DD04DD"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DD04DD">
              <w:t>Spouses have realistic expectations of likely remittance amounts after tax, deductions and living costs</w:t>
            </w:r>
          </w:p>
        </w:tc>
      </w:tr>
      <w:tr w:rsidR="00762022" w14:paraId="3533AC5C" w14:textId="77777777" w:rsidTr="00962DD2">
        <w:tc>
          <w:tcPr>
            <w:cnfStyle w:val="001000000000" w:firstRow="0" w:lastRow="0" w:firstColumn="1" w:lastColumn="0" w:oddVBand="0" w:evenVBand="0" w:oddHBand="0" w:evenHBand="0" w:firstRowFirstColumn="0" w:firstRowLastColumn="0" w:lastRowFirstColumn="0" w:lastRowLastColumn="0"/>
            <w:tcW w:w="0" w:type="auto"/>
          </w:tcPr>
          <w:p w14:paraId="0EEA3405" w14:textId="77777777" w:rsidR="00762022" w:rsidRDefault="00762022" w:rsidP="00962DD2">
            <w:r w:rsidRPr="001158B0">
              <w:t xml:space="preserve">Stage 3: </w:t>
            </w:r>
            <w:r>
              <w:t>W</w:t>
            </w:r>
            <w:r w:rsidRPr="001158B0">
              <w:t>orker arrival in Australia;                 AE capacity building</w:t>
            </w:r>
          </w:p>
        </w:tc>
        <w:tc>
          <w:tcPr>
            <w:tcW w:w="0" w:type="auto"/>
          </w:tcPr>
          <w:p w14:paraId="49DA4A54"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AE delivers face to face on-arrival briefing to workers.</w:t>
            </w:r>
          </w:p>
          <w:p w14:paraId="5662604A"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AE provides workplace induction to workers.</w:t>
            </w:r>
          </w:p>
          <w:p w14:paraId="1714E6AE"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 xml:space="preserve">AE completes and submits arrival report. </w:t>
            </w:r>
          </w:p>
          <w:p w14:paraId="17E254FD"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 xml:space="preserve">Welfare Support person has (at least) fortnightly face to face meetings with workers to establish rapport and check-in </w:t>
            </w:r>
            <w:r w:rsidRPr="00485B0F">
              <w:lastRenderedPageBreak/>
              <w:t>about everyday issues.</w:t>
            </w:r>
          </w:p>
          <w:p w14:paraId="60E33517"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AEs deal with worker grievances in a timely manner to avoid escalation (may involve LSUs and CLOs as appropriate).</w:t>
            </w:r>
          </w:p>
          <w:p w14:paraId="0778A2A1"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Workers are offered skill development opportunities as appropriate.</w:t>
            </w:r>
          </w:p>
          <w:p w14:paraId="3A03A3D9"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AE is supported by PLF capacity building activities on an as-required basis, via the AES.</w:t>
            </w:r>
          </w:p>
        </w:tc>
        <w:tc>
          <w:tcPr>
            <w:tcW w:w="0" w:type="auto"/>
          </w:tcPr>
          <w:p w14:paraId="38B19FDD"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lastRenderedPageBreak/>
              <w:t xml:space="preserve">On arrival in Australia, workers are met by the AE or are given    sufficient support/information to get to their accommodation. </w:t>
            </w:r>
          </w:p>
          <w:p w14:paraId="114EA792"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 xml:space="preserve">AE works through on-arrival requirements with workers within    five days of arrival (bank account etc). </w:t>
            </w:r>
          </w:p>
          <w:p w14:paraId="117F4E0E"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 xml:space="preserve">On arrival briefing (and other briefings in the following weeks) provide workers with the information they need to </w:t>
            </w:r>
            <w:r w:rsidRPr="00A90B47">
              <w:rPr>
                <w:b/>
              </w:rPr>
              <w:lastRenderedPageBreak/>
              <w:t xml:space="preserve">settle into work and life in Australia e.g. maintaining health and wellbeing, safety in the community. </w:t>
            </w:r>
          </w:p>
          <w:p w14:paraId="5BE22389"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Good communication channels established between workers and the Welfare Support Person mean the worker feels confident about sharing issues/concerns with him/her.</w:t>
            </w:r>
          </w:p>
          <w:p w14:paraId="0D7A1E4E"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b/>
              </w:rPr>
            </w:pPr>
            <w:r w:rsidRPr="00A90B47">
              <w:rPr>
                <w:b/>
              </w:rPr>
              <w:t>AE addresses worker’s work concerns/support needs/welfare issues in a timely manner to prevent them from escalating.</w:t>
            </w:r>
          </w:p>
        </w:tc>
        <w:tc>
          <w:tcPr>
            <w:tcW w:w="0" w:type="auto"/>
          </w:tcPr>
          <w:p w14:paraId="20E96084"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lastRenderedPageBreak/>
              <w:t>Workers have the knowledge they need to settle into work routines.</w:t>
            </w:r>
          </w:p>
          <w:p w14:paraId="34287B0D"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Workers settle into and become part of their new community e.g. join church, clubs.</w:t>
            </w:r>
          </w:p>
          <w:p w14:paraId="1005660F"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Workers know and are confident about accessing support if they need it e.g. PALM Support Line, CLOs.</w:t>
            </w:r>
          </w:p>
          <w:p w14:paraId="3A291A1A"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lastRenderedPageBreak/>
              <w:t>Workers are aware of and access education and information resources provided by PLF.</w:t>
            </w:r>
          </w:p>
          <w:p w14:paraId="55DB2A51"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Workers maintain regular contact with family at home to mitigate homesickness and sustain family dynamics.</w:t>
            </w:r>
          </w:p>
          <w:p w14:paraId="53F33B38"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Spouses and children left at home receive the support they need in the worker’s absence (via family, church, NGOs etc)</w:t>
            </w:r>
          </w:p>
        </w:tc>
      </w:tr>
      <w:tr w:rsidR="00762022" w14:paraId="58037748" w14:textId="77777777" w:rsidTr="00962DD2">
        <w:tc>
          <w:tcPr>
            <w:cnfStyle w:val="001000000000" w:firstRow="0" w:lastRow="0" w:firstColumn="1" w:lastColumn="0" w:oddVBand="0" w:evenVBand="0" w:oddHBand="0" w:evenHBand="0" w:firstRowFirstColumn="0" w:firstRowLastColumn="0" w:lastRowFirstColumn="0" w:lastRowLastColumn="0"/>
            <w:tcW w:w="0" w:type="auto"/>
          </w:tcPr>
          <w:p w14:paraId="1A68172C" w14:textId="77777777" w:rsidR="00762022" w:rsidRDefault="00762022" w:rsidP="00962DD2">
            <w:r w:rsidRPr="001158B0">
              <w:lastRenderedPageBreak/>
              <w:t xml:space="preserve">Stage 4: </w:t>
            </w:r>
            <w:r>
              <w:t>R</w:t>
            </w:r>
            <w:r w:rsidRPr="001158B0">
              <w:t>eturn preparation, reintegration</w:t>
            </w:r>
          </w:p>
        </w:tc>
        <w:tc>
          <w:tcPr>
            <w:tcW w:w="0" w:type="auto"/>
          </w:tcPr>
          <w:p w14:paraId="264DACFB"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AE helps workers to start preparing to return home   e.g. savings for flight home, flight booking, leaving accommodation.</w:t>
            </w:r>
          </w:p>
          <w:p w14:paraId="0CF1E34B"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AE delivers face to face departure briefing for workers immediately before departure e.g. final pay etc.</w:t>
            </w:r>
          </w:p>
        </w:tc>
        <w:tc>
          <w:tcPr>
            <w:tcW w:w="0" w:type="auto"/>
          </w:tcPr>
          <w:p w14:paraId="36A95A03" w14:textId="77777777" w:rsidR="00762022" w:rsidRPr="00A90B47" w:rsidRDefault="00762022" w:rsidP="00962DD2">
            <w:pPr>
              <w:pStyle w:val="ListBullet"/>
              <w:cnfStyle w:val="000000000000" w:firstRow="0" w:lastRow="0" w:firstColumn="0" w:lastColumn="0" w:oddVBand="0" w:evenVBand="0" w:oddHBand="0" w:evenHBand="0" w:firstRowFirstColumn="0" w:firstRowLastColumn="0" w:lastRowFirstColumn="0" w:lastRowLastColumn="0"/>
              <w:rPr>
                <w:i/>
              </w:rPr>
            </w:pPr>
            <w:r w:rsidRPr="00A90B47">
              <w:rPr>
                <w:i/>
              </w:rPr>
              <w:t>Note: once the worker leaves the employer, that’s the end of the AE-worker intersection.</w:t>
            </w:r>
          </w:p>
        </w:tc>
        <w:tc>
          <w:tcPr>
            <w:tcW w:w="0" w:type="auto"/>
          </w:tcPr>
          <w:p w14:paraId="19EEED8C"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Workers make a successful transition into family and community at home.</w:t>
            </w:r>
          </w:p>
          <w:p w14:paraId="7E1BE022"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 xml:space="preserve">Reintegration support offered by LSUs? NGOs? </w:t>
            </w:r>
          </w:p>
          <w:p w14:paraId="0E72751C" w14:textId="77777777" w:rsidR="00762022" w:rsidRPr="00485B0F" w:rsidRDefault="00762022" w:rsidP="00962DD2">
            <w:pPr>
              <w:pStyle w:val="ListBullet"/>
              <w:cnfStyle w:val="000000000000" w:firstRow="0" w:lastRow="0" w:firstColumn="0" w:lastColumn="0" w:oddVBand="0" w:evenVBand="0" w:oddHBand="0" w:evenHBand="0" w:firstRowFirstColumn="0" w:firstRowLastColumn="0" w:lastRowFirstColumn="0" w:lastRowLastColumn="0"/>
            </w:pPr>
            <w:r w:rsidRPr="00485B0F">
              <w:t>Workers and spouses use savings for their intended purposes e.g. house construction, enterprise development.</w:t>
            </w:r>
          </w:p>
        </w:tc>
      </w:tr>
    </w:tbl>
    <w:p w14:paraId="3EBD48A5" w14:textId="77777777" w:rsidR="00E019CA" w:rsidRPr="00D80AF2" w:rsidRDefault="00E019CA" w:rsidP="00E019CA">
      <w:bookmarkStart w:id="58" w:name="_Toc152591531"/>
    </w:p>
    <w:p w14:paraId="2620D58C" w14:textId="2FDC24A7" w:rsidR="00EB5C13" w:rsidRPr="00A626CC" w:rsidRDefault="00EB5C13" w:rsidP="00A626CC">
      <w:pPr>
        <w:pStyle w:val="Heading8"/>
      </w:pPr>
      <w:r w:rsidRPr="00A626CC">
        <w:lastRenderedPageBreak/>
        <w:t>Interviewees</w:t>
      </w:r>
      <w:bookmarkEnd w:id="58"/>
    </w:p>
    <w:tbl>
      <w:tblPr>
        <w:tblStyle w:val="TableGrid"/>
        <w:tblW w:w="9781" w:type="dxa"/>
        <w:tblLook w:val="04A0" w:firstRow="1" w:lastRow="0" w:firstColumn="1" w:lastColumn="0" w:noHBand="0" w:noVBand="1"/>
      </w:tblPr>
      <w:tblGrid>
        <w:gridCol w:w="1752"/>
        <w:gridCol w:w="8029"/>
      </w:tblGrid>
      <w:tr w:rsidR="00EB5C13" w:rsidRPr="00A626CC" w14:paraId="63DA0FD0" w14:textId="77777777" w:rsidTr="00674BA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hideMark/>
          </w:tcPr>
          <w:p w14:paraId="46D9EBDF" w14:textId="0B240C0A" w:rsidR="00EB5C13" w:rsidRPr="00A626CC" w:rsidRDefault="00EB5C13" w:rsidP="00A626CC">
            <w:r w:rsidRPr="00A626CC">
              <w:t>DFAT </w:t>
            </w:r>
          </w:p>
        </w:tc>
        <w:tc>
          <w:tcPr>
            <w:tcW w:w="8080" w:type="dxa"/>
            <w:hideMark/>
          </w:tcPr>
          <w:p w14:paraId="313A9278" w14:textId="77777777" w:rsidR="00EB5C13" w:rsidRPr="00A626CC" w:rsidRDefault="00EB5C13" w:rsidP="00A626CC">
            <w:pPr>
              <w:pStyle w:val="ListBullet2"/>
              <w:cnfStyle w:val="100000000000" w:firstRow="1" w:lastRow="0" w:firstColumn="0" w:lastColumn="0" w:oddVBand="0" w:evenVBand="0" w:oddHBand="0" w:evenHBand="0" w:firstRowFirstColumn="0" w:firstRowLastColumn="0" w:lastRowFirstColumn="0" w:lastRowLastColumn="0"/>
            </w:pPr>
            <w:r w:rsidRPr="00A626CC">
              <w:t>Office of the Pacific (5)  </w:t>
            </w:r>
          </w:p>
          <w:p w14:paraId="23C2FDDD" w14:textId="77777777" w:rsidR="00330891" w:rsidRPr="00A626CC" w:rsidRDefault="00EB5C13" w:rsidP="00A626CC">
            <w:pPr>
              <w:pStyle w:val="ListBullet2"/>
              <w:cnfStyle w:val="100000000000" w:firstRow="1" w:lastRow="0" w:firstColumn="0" w:lastColumn="0" w:oddVBand="0" w:evenVBand="0" w:oddHBand="0" w:evenHBand="0" w:firstRowFirstColumn="0" w:firstRowLastColumn="0" w:lastRowFirstColumn="0" w:lastRowLastColumn="0"/>
            </w:pPr>
            <w:r w:rsidRPr="00A626CC">
              <w:t>Former Labour Mobility Director</w:t>
            </w:r>
          </w:p>
          <w:p w14:paraId="2F11D1DF" w14:textId="74F31DCF" w:rsidR="00EB5C13" w:rsidRPr="00A626CC" w:rsidRDefault="00330891" w:rsidP="00A626CC">
            <w:pPr>
              <w:pStyle w:val="ListBullet2"/>
              <w:cnfStyle w:val="100000000000" w:firstRow="1" w:lastRow="0" w:firstColumn="0" w:lastColumn="0" w:oddVBand="0" w:evenVBand="0" w:oddHBand="0" w:evenHBand="0" w:firstRowFirstColumn="0" w:firstRowLastColumn="0" w:lastRowFirstColumn="0" w:lastRowLastColumn="0"/>
            </w:pPr>
            <w:r w:rsidRPr="00A626CC">
              <w:t>Former Assistance Director</w:t>
            </w:r>
            <w:r w:rsidR="00EB5C13" w:rsidRPr="00A626CC">
              <w:t>  </w:t>
            </w:r>
          </w:p>
          <w:p w14:paraId="061A6156" w14:textId="77777777" w:rsidR="00EB5C13" w:rsidRPr="00A626CC" w:rsidRDefault="00EB5C13" w:rsidP="00A626CC">
            <w:pPr>
              <w:pStyle w:val="ListBullet2"/>
              <w:cnfStyle w:val="100000000000" w:firstRow="1" w:lastRow="0" w:firstColumn="0" w:lastColumn="0" w:oddVBand="0" w:evenVBand="0" w:oddHBand="0" w:evenHBand="0" w:firstRowFirstColumn="0" w:firstRowLastColumn="0" w:lastRowFirstColumn="0" w:lastRowLastColumn="0"/>
            </w:pPr>
            <w:r w:rsidRPr="00A626CC">
              <w:t>Former Labour Mobility Officer </w:t>
            </w:r>
          </w:p>
          <w:p w14:paraId="4A1AE552" w14:textId="77777777" w:rsidR="0076283D" w:rsidRPr="00A626CC" w:rsidRDefault="0076283D" w:rsidP="00A626CC">
            <w:pPr>
              <w:pStyle w:val="ListBullet2"/>
              <w:cnfStyle w:val="100000000000" w:firstRow="1" w:lastRow="0" w:firstColumn="0" w:lastColumn="0" w:oddVBand="0" w:evenVBand="0" w:oddHBand="0" w:evenHBand="0" w:firstRowFirstColumn="0" w:firstRowLastColumn="0" w:lastRowFirstColumn="0" w:lastRowLastColumn="0"/>
            </w:pPr>
            <w:r w:rsidRPr="00A626CC">
              <w:t>Chief Economist</w:t>
            </w:r>
          </w:p>
          <w:p w14:paraId="59AD2E67" w14:textId="54924EDC" w:rsidR="0076283D" w:rsidRPr="00A626CC" w:rsidRDefault="0076283D" w:rsidP="00A626CC">
            <w:pPr>
              <w:pStyle w:val="ListBullet2"/>
              <w:cnfStyle w:val="100000000000" w:firstRow="1" w:lastRow="0" w:firstColumn="0" w:lastColumn="0" w:oddVBand="0" w:evenVBand="0" w:oddHBand="0" w:evenHBand="0" w:firstRowFirstColumn="0" w:firstRowLastColumn="0" w:lastRowFirstColumn="0" w:lastRowLastColumn="0"/>
            </w:pPr>
            <w:r w:rsidRPr="00A626CC">
              <w:t>Education and skills team</w:t>
            </w:r>
          </w:p>
        </w:tc>
      </w:tr>
      <w:tr w:rsidR="00EB5C13" w:rsidRPr="00A626CC" w14:paraId="6D2204B3" w14:textId="77777777" w:rsidTr="00674BAD">
        <w:trPr>
          <w:trHeight w:val="288"/>
        </w:trPr>
        <w:tc>
          <w:tcPr>
            <w:cnfStyle w:val="001000000000" w:firstRow="0" w:lastRow="0" w:firstColumn="1" w:lastColumn="0" w:oddVBand="0" w:evenVBand="0" w:oddHBand="0" w:evenHBand="0" w:firstRowFirstColumn="0" w:firstRowLastColumn="0" w:lastRowFirstColumn="0" w:lastRowLastColumn="0"/>
            <w:tcW w:w="1701" w:type="dxa"/>
            <w:hideMark/>
          </w:tcPr>
          <w:p w14:paraId="3F9D9C11" w14:textId="77777777" w:rsidR="00EB5C13" w:rsidRPr="00A626CC" w:rsidRDefault="00EB5C13" w:rsidP="00A626CC">
            <w:pPr>
              <w:spacing w:before="120"/>
              <w:ind w:left="113"/>
              <w:rPr>
                <w:rFonts w:ascii="Arial" w:hAnsi="Arial" w:cs="Arial"/>
                <w:color w:val="auto"/>
              </w:rPr>
            </w:pPr>
            <w:r w:rsidRPr="00A626CC">
              <w:rPr>
                <w:rFonts w:ascii="Arial" w:hAnsi="Arial" w:cs="Arial"/>
                <w:color w:val="auto"/>
              </w:rPr>
              <w:t>DEWR </w:t>
            </w:r>
          </w:p>
        </w:tc>
        <w:tc>
          <w:tcPr>
            <w:tcW w:w="8080" w:type="dxa"/>
            <w:hideMark/>
          </w:tcPr>
          <w:p w14:paraId="504AA840"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Worker Support Director and five members of various teams that have worked with PLF </w:t>
            </w:r>
          </w:p>
          <w:p w14:paraId="5F7C2D8C" w14:textId="77777777" w:rsidR="00A8126B" w:rsidRPr="00A626CC" w:rsidRDefault="00A8126B" w:rsidP="00A626CC">
            <w:pPr>
              <w:pStyle w:val="ListBullet2"/>
              <w:cnfStyle w:val="000000000000" w:firstRow="0" w:lastRow="0" w:firstColumn="0" w:lastColumn="0" w:oddVBand="0" w:evenVBand="0" w:oddHBand="0" w:evenHBand="0" w:firstRowFirstColumn="0" w:firstRowLastColumn="0" w:lastRowFirstColumn="0" w:lastRowLastColumn="0"/>
            </w:pPr>
            <w:r w:rsidRPr="00A626CC">
              <w:t>Former Senior Manager</w:t>
            </w:r>
          </w:p>
          <w:p w14:paraId="1C791B88" w14:textId="48776799" w:rsidR="00A8126B" w:rsidRPr="00A626CC" w:rsidRDefault="000E507B" w:rsidP="00A626CC">
            <w:pPr>
              <w:pStyle w:val="ListBullet2"/>
              <w:cnfStyle w:val="000000000000" w:firstRow="0" w:lastRow="0" w:firstColumn="0" w:lastColumn="0" w:oddVBand="0" w:evenVBand="0" w:oddHBand="0" w:evenHBand="0" w:firstRowFirstColumn="0" w:firstRowLastColumn="0" w:lastRowFirstColumn="0" w:lastRowLastColumn="0"/>
            </w:pPr>
            <w:r w:rsidRPr="00A626CC">
              <w:t>Former Director</w:t>
            </w:r>
          </w:p>
        </w:tc>
      </w:tr>
      <w:tr w:rsidR="00EB5C13" w:rsidRPr="00A626CC" w14:paraId="70774532" w14:textId="77777777" w:rsidTr="00674BAD">
        <w:trPr>
          <w:trHeight w:val="288"/>
        </w:trPr>
        <w:tc>
          <w:tcPr>
            <w:cnfStyle w:val="001000000000" w:firstRow="0" w:lastRow="0" w:firstColumn="1" w:lastColumn="0" w:oddVBand="0" w:evenVBand="0" w:oddHBand="0" w:evenHBand="0" w:firstRowFirstColumn="0" w:firstRowLastColumn="0" w:lastRowFirstColumn="0" w:lastRowLastColumn="0"/>
            <w:tcW w:w="1701" w:type="dxa"/>
            <w:hideMark/>
          </w:tcPr>
          <w:p w14:paraId="4D1B2E21" w14:textId="77777777" w:rsidR="00EB5C13" w:rsidRPr="00A626CC" w:rsidRDefault="00EB5C13" w:rsidP="00A626CC">
            <w:pPr>
              <w:spacing w:before="120"/>
              <w:ind w:left="113"/>
              <w:rPr>
                <w:rFonts w:ascii="Arial" w:hAnsi="Arial" w:cs="Arial"/>
                <w:color w:val="auto"/>
              </w:rPr>
            </w:pPr>
            <w:r w:rsidRPr="00A626CC">
              <w:rPr>
                <w:rFonts w:ascii="Arial" w:hAnsi="Arial" w:cs="Arial"/>
                <w:color w:val="auto"/>
              </w:rPr>
              <w:t>Pacific/Timor- Leste Governments  </w:t>
            </w:r>
          </w:p>
        </w:tc>
        <w:tc>
          <w:tcPr>
            <w:tcW w:w="8080" w:type="dxa"/>
            <w:hideMark/>
          </w:tcPr>
          <w:p w14:paraId="26C57F6E"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HOM PNG </w:t>
            </w:r>
          </w:p>
          <w:p w14:paraId="01B677D4"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HOM Fiji </w:t>
            </w:r>
          </w:p>
          <w:p w14:paraId="501FC3D3"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HOM Samoa </w:t>
            </w:r>
          </w:p>
          <w:p w14:paraId="6DA85E41"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HOM Solomon Islands </w:t>
            </w:r>
          </w:p>
          <w:p w14:paraId="6F34C3F8"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HOM Tonga </w:t>
            </w:r>
          </w:p>
          <w:p w14:paraId="564EF1B6"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HOM Nauru </w:t>
            </w:r>
          </w:p>
          <w:p w14:paraId="2D9BAD42"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HOM Vanuatu </w:t>
            </w:r>
          </w:p>
          <w:p w14:paraId="48528429"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Country Liaison Officer Tonga </w:t>
            </w:r>
          </w:p>
          <w:p w14:paraId="20A4E1CD"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Country Liaison Officer Solomon Islands  </w:t>
            </w:r>
          </w:p>
        </w:tc>
      </w:tr>
      <w:tr w:rsidR="00EB5C13" w:rsidRPr="00A626CC" w14:paraId="0F0BD1FA" w14:textId="77777777" w:rsidTr="00674BAD">
        <w:trPr>
          <w:trHeight w:val="288"/>
        </w:trPr>
        <w:tc>
          <w:tcPr>
            <w:cnfStyle w:val="001000000000" w:firstRow="0" w:lastRow="0" w:firstColumn="1" w:lastColumn="0" w:oddVBand="0" w:evenVBand="0" w:oddHBand="0" w:evenHBand="0" w:firstRowFirstColumn="0" w:firstRowLastColumn="0" w:lastRowFirstColumn="0" w:lastRowLastColumn="0"/>
            <w:tcW w:w="1701" w:type="dxa"/>
            <w:hideMark/>
          </w:tcPr>
          <w:p w14:paraId="2AA67332" w14:textId="77777777" w:rsidR="00EB5C13" w:rsidRPr="00A626CC" w:rsidRDefault="00EB5C13" w:rsidP="00A626CC">
            <w:pPr>
              <w:spacing w:before="120"/>
              <w:ind w:left="113"/>
              <w:rPr>
                <w:rFonts w:ascii="Arial" w:hAnsi="Arial" w:cs="Arial"/>
                <w:color w:val="auto"/>
              </w:rPr>
            </w:pPr>
            <w:r w:rsidRPr="00A626CC">
              <w:rPr>
                <w:rFonts w:ascii="Arial" w:hAnsi="Arial" w:cs="Arial"/>
                <w:color w:val="auto"/>
              </w:rPr>
              <w:t>PLF (Brisbane consultations) </w:t>
            </w:r>
          </w:p>
        </w:tc>
        <w:tc>
          <w:tcPr>
            <w:tcW w:w="8080" w:type="dxa"/>
            <w:hideMark/>
          </w:tcPr>
          <w:p w14:paraId="4E9E0B85"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PLF Team Leader and Deputy Team Leader </w:t>
            </w:r>
          </w:p>
          <w:p w14:paraId="202CDCAA"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GEDSI Manager and Coordinator </w:t>
            </w:r>
          </w:p>
          <w:p w14:paraId="741A1615"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QPL Lead and M&amp;E Manager  </w:t>
            </w:r>
          </w:p>
          <w:p w14:paraId="27CE29E7"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Acting Worker and Employer Support Services Lead, Employer Onboarding Manager, Worker Support Manager   </w:t>
            </w:r>
          </w:p>
          <w:p w14:paraId="2B2A4994"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Chief Information Officer and two team members </w:t>
            </w:r>
          </w:p>
          <w:p w14:paraId="10557142"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Assurance Lead </w:t>
            </w:r>
          </w:p>
          <w:p w14:paraId="38E6B72F"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Pacific &amp; Timor Leste Engagement Lead and two Regional Engagement Managers </w:t>
            </w:r>
          </w:p>
          <w:p w14:paraId="060E677C"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Australian Engagement Lead and team member  </w:t>
            </w:r>
          </w:p>
          <w:p w14:paraId="71A4B89D"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Strategy &amp; Partnerships Manager  </w:t>
            </w:r>
          </w:p>
          <w:p w14:paraId="574B648E"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In-country Engagement Managers and Program Managers (5) </w:t>
            </w:r>
          </w:p>
          <w:p w14:paraId="025D8FCE"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In-country QLP Managers (4)  </w:t>
            </w:r>
          </w:p>
          <w:p w14:paraId="5A627ABF"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Training Support Manager </w:t>
            </w:r>
          </w:p>
        </w:tc>
      </w:tr>
      <w:tr w:rsidR="00EB5C13" w:rsidRPr="00A626CC" w14:paraId="6B3676B7" w14:textId="77777777" w:rsidTr="00674BAD">
        <w:trPr>
          <w:trHeight w:val="288"/>
        </w:trPr>
        <w:tc>
          <w:tcPr>
            <w:cnfStyle w:val="001000000000" w:firstRow="0" w:lastRow="0" w:firstColumn="1" w:lastColumn="0" w:oddVBand="0" w:evenVBand="0" w:oddHBand="0" w:evenHBand="0" w:firstRowFirstColumn="0" w:firstRowLastColumn="0" w:lastRowFirstColumn="0" w:lastRowLastColumn="0"/>
            <w:tcW w:w="1701" w:type="dxa"/>
            <w:hideMark/>
          </w:tcPr>
          <w:p w14:paraId="53830D1B" w14:textId="77777777" w:rsidR="00EB5C13" w:rsidRPr="00A626CC" w:rsidRDefault="00EB5C13" w:rsidP="00A626CC">
            <w:pPr>
              <w:spacing w:before="120"/>
              <w:ind w:left="113"/>
              <w:rPr>
                <w:rFonts w:ascii="Arial" w:hAnsi="Arial" w:cs="Arial"/>
                <w:color w:val="auto"/>
              </w:rPr>
            </w:pPr>
            <w:r w:rsidRPr="00A626CC">
              <w:rPr>
                <w:rFonts w:ascii="Arial" w:hAnsi="Arial" w:cs="Arial"/>
                <w:color w:val="auto"/>
              </w:rPr>
              <w:t>Tonga consultations </w:t>
            </w:r>
          </w:p>
        </w:tc>
        <w:tc>
          <w:tcPr>
            <w:tcW w:w="8080" w:type="dxa"/>
            <w:hideMark/>
          </w:tcPr>
          <w:p w14:paraId="659AA1DE"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Australian High Commission (3) </w:t>
            </w:r>
          </w:p>
          <w:p w14:paraId="7840B26A"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Deputy CEO Labour Division, Ministry of Trade &amp; Economic Development  </w:t>
            </w:r>
          </w:p>
          <w:p w14:paraId="65097482"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Acting CEO Ministry of Internal Affairs and Head of Women’s Division </w:t>
            </w:r>
          </w:p>
          <w:p w14:paraId="36C77D90"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Welfare Officer &amp; Welfare Coordinator </w:t>
            </w:r>
          </w:p>
          <w:p w14:paraId="1E28CB17"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LSU Senior Employment Officer </w:t>
            </w:r>
          </w:p>
          <w:p w14:paraId="1E03F9AA"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LSU Data Officer </w:t>
            </w:r>
          </w:p>
          <w:p w14:paraId="198DAD1A"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PLF Program Manager </w:t>
            </w:r>
          </w:p>
        </w:tc>
      </w:tr>
      <w:tr w:rsidR="00EB5C13" w:rsidRPr="00A626CC" w14:paraId="3657E868" w14:textId="77777777" w:rsidTr="00674BAD">
        <w:trPr>
          <w:trHeight w:val="288"/>
        </w:trPr>
        <w:tc>
          <w:tcPr>
            <w:cnfStyle w:val="001000000000" w:firstRow="0" w:lastRow="0" w:firstColumn="1" w:lastColumn="0" w:oddVBand="0" w:evenVBand="0" w:oddHBand="0" w:evenHBand="0" w:firstRowFirstColumn="0" w:firstRowLastColumn="0" w:lastRowFirstColumn="0" w:lastRowLastColumn="0"/>
            <w:tcW w:w="1701" w:type="dxa"/>
            <w:hideMark/>
          </w:tcPr>
          <w:p w14:paraId="23753422" w14:textId="77777777" w:rsidR="00EB5C13" w:rsidRPr="00A626CC" w:rsidRDefault="00EB5C13" w:rsidP="00A626CC">
            <w:pPr>
              <w:spacing w:before="120"/>
              <w:ind w:left="113"/>
              <w:rPr>
                <w:rFonts w:ascii="Arial" w:hAnsi="Arial" w:cs="Arial"/>
                <w:color w:val="auto"/>
              </w:rPr>
            </w:pPr>
            <w:r w:rsidRPr="00A626CC">
              <w:rPr>
                <w:rFonts w:ascii="Arial" w:hAnsi="Arial" w:cs="Arial"/>
                <w:color w:val="auto"/>
              </w:rPr>
              <w:t>Vanuatu consultations </w:t>
            </w:r>
          </w:p>
        </w:tc>
        <w:tc>
          <w:tcPr>
            <w:tcW w:w="8080" w:type="dxa"/>
            <w:hideMark/>
          </w:tcPr>
          <w:p w14:paraId="625DB452"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Labour Commissioner </w:t>
            </w:r>
          </w:p>
          <w:p w14:paraId="3FDBA1EE"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IOM  </w:t>
            </w:r>
          </w:p>
          <w:p w14:paraId="67DFEFC4"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World Vision </w:t>
            </w:r>
          </w:p>
          <w:p w14:paraId="14FE16E9"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PLF (2) </w:t>
            </w:r>
          </w:p>
          <w:p w14:paraId="72C1A0EA"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V-Lab   </w:t>
            </w:r>
          </w:p>
          <w:p w14:paraId="09471AA9"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LSU team members (5) </w:t>
            </w:r>
          </w:p>
          <w:p w14:paraId="07D67D5F"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Seasonal worker  </w:t>
            </w:r>
          </w:p>
          <w:p w14:paraId="4A944CEC"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Labour mobility agents  </w:t>
            </w:r>
          </w:p>
        </w:tc>
      </w:tr>
      <w:tr w:rsidR="00EB5C13" w:rsidRPr="00A626CC" w14:paraId="40F4AE2A" w14:textId="77777777" w:rsidTr="00674BAD">
        <w:trPr>
          <w:trHeight w:val="288"/>
        </w:trPr>
        <w:tc>
          <w:tcPr>
            <w:cnfStyle w:val="001000000000" w:firstRow="0" w:lastRow="0" w:firstColumn="1" w:lastColumn="0" w:oddVBand="0" w:evenVBand="0" w:oddHBand="0" w:evenHBand="0" w:firstRowFirstColumn="0" w:firstRowLastColumn="0" w:lastRowFirstColumn="0" w:lastRowLastColumn="0"/>
            <w:tcW w:w="1701" w:type="dxa"/>
            <w:hideMark/>
          </w:tcPr>
          <w:p w14:paraId="657B9C1F" w14:textId="77777777" w:rsidR="00EB5C13" w:rsidRPr="00A626CC" w:rsidRDefault="00EB5C13" w:rsidP="00A626CC">
            <w:pPr>
              <w:spacing w:before="120"/>
              <w:ind w:left="113"/>
              <w:rPr>
                <w:rFonts w:ascii="Arial" w:hAnsi="Arial" w:cs="Arial"/>
                <w:color w:val="auto"/>
              </w:rPr>
            </w:pPr>
            <w:r w:rsidRPr="00A626CC">
              <w:rPr>
                <w:rFonts w:ascii="Arial" w:hAnsi="Arial" w:cs="Arial"/>
                <w:color w:val="auto"/>
              </w:rPr>
              <w:lastRenderedPageBreak/>
              <w:t>Kiribati consultations  </w:t>
            </w:r>
          </w:p>
        </w:tc>
        <w:tc>
          <w:tcPr>
            <w:tcW w:w="8080" w:type="dxa"/>
            <w:hideMark/>
          </w:tcPr>
          <w:p w14:paraId="52212FE5"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Director and four senior managers Kiribati Institute of Technology </w:t>
            </w:r>
          </w:p>
          <w:p w14:paraId="5E374DD7"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Secretary Ministry of Employment and Human Resources and  </w:t>
            </w:r>
          </w:p>
          <w:p w14:paraId="0AB20F4B"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Director for Labour </w:t>
            </w:r>
          </w:p>
          <w:p w14:paraId="6C017015"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Panel Doctor Marine Training Centre </w:t>
            </w:r>
          </w:p>
          <w:p w14:paraId="0E35CC8B"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PLF In-country Engagement Manager </w:t>
            </w:r>
          </w:p>
        </w:tc>
      </w:tr>
      <w:tr w:rsidR="00EB5C13" w:rsidRPr="00A626CC" w14:paraId="6F19C62A" w14:textId="77777777" w:rsidTr="00674BAD">
        <w:trPr>
          <w:trHeight w:val="288"/>
        </w:trPr>
        <w:tc>
          <w:tcPr>
            <w:cnfStyle w:val="001000000000" w:firstRow="0" w:lastRow="0" w:firstColumn="1" w:lastColumn="0" w:oddVBand="0" w:evenVBand="0" w:oddHBand="0" w:evenHBand="0" w:firstRowFirstColumn="0" w:firstRowLastColumn="0" w:lastRowFirstColumn="0" w:lastRowLastColumn="0"/>
            <w:tcW w:w="1701" w:type="dxa"/>
            <w:hideMark/>
          </w:tcPr>
          <w:p w14:paraId="05CA478B" w14:textId="4FE79215" w:rsidR="00EB5C13" w:rsidRPr="00A626CC" w:rsidRDefault="00EB5C13" w:rsidP="00A626CC">
            <w:pPr>
              <w:spacing w:before="120"/>
              <w:ind w:left="113"/>
              <w:rPr>
                <w:rFonts w:ascii="Arial" w:hAnsi="Arial" w:cs="Arial"/>
                <w:color w:val="auto"/>
              </w:rPr>
            </w:pPr>
            <w:r w:rsidRPr="00A626CC">
              <w:rPr>
                <w:rFonts w:ascii="Arial" w:hAnsi="Arial" w:cs="Arial"/>
                <w:color w:val="auto"/>
              </w:rPr>
              <w:t>Other  </w:t>
            </w:r>
          </w:p>
        </w:tc>
        <w:tc>
          <w:tcPr>
            <w:tcW w:w="8080" w:type="dxa"/>
            <w:hideMark/>
          </w:tcPr>
          <w:p w14:paraId="3C276182"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ANU (2) </w:t>
            </w:r>
          </w:p>
          <w:p w14:paraId="180EC495" w14:textId="77777777" w:rsidR="00EB5C13" w:rsidRPr="00A626CC" w:rsidRDefault="00EB5C13" w:rsidP="00A626CC">
            <w:pPr>
              <w:pStyle w:val="ListBullet2"/>
              <w:cnfStyle w:val="000000000000" w:firstRow="0" w:lastRow="0" w:firstColumn="0" w:lastColumn="0" w:oddVBand="0" w:evenVBand="0" w:oddHBand="0" w:evenHBand="0" w:firstRowFirstColumn="0" w:firstRowLastColumn="0" w:lastRowFirstColumn="0" w:lastRowLastColumn="0"/>
            </w:pPr>
            <w:r w:rsidRPr="00A626CC">
              <w:t>Executive Officer, Approved Employers of Australia </w:t>
            </w:r>
          </w:p>
          <w:p w14:paraId="4DD4930A" w14:textId="6BA31CA0" w:rsidR="00D338B3" w:rsidRPr="00A626CC" w:rsidRDefault="00D338B3" w:rsidP="00A626CC">
            <w:pPr>
              <w:pStyle w:val="ListBullet2"/>
              <w:cnfStyle w:val="000000000000" w:firstRow="0" w:lastRow="0" w:firstColumn="0" w:lastColumn="0" w:oddVBand="0" w:evenVBand="0" w:oddHBand="0" w:evenHBand="0" w:firstRowFirstColumn="0" w:firstRowLastColumn="0" w:lastRowFirstColumn="0" w:lastRowLastColumn="0"/>
            </w:pPr>
            <w:r w:rsidRPr="00A626CC">
              <w:t>Labour mobility consultant</w:t>
            </w:r>
          </w:p>
        </w:tc>
      </w:tr>
    </w:tbl>
    <w:p w14:paraId="44B0AA97" w14:textId="1D4ACC09" w:rsidR="0083476F" w:rsidRPr="00E236BC" w:rsidRDefault="0083476F" w:rsidP="0074258F">
      <w:pPr>
        <w:pStyle w:val="ListBullet"/>
        <w:numPr>
          <w:ilvl w:val="0"/>
          <w:numId w:val="0"/>
        </w:numPr>
      </w:pPr>
    </w:p>
    <w:sectPr w:rsidR="0083476F" w:rsidRPr="00E236BC" w:rsidSect="00993E00">
      <w:headerReference w:type="default" r:id="rId33"/>
      <w:footerReference w:type="default" r:id="rId34"/>
      <w:pgSz w:w="11906" w:h="16838"/>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8B5D6" w14:textId="77777777" w:rsidR="00F11FC5" w:rsidRDefault="00F11FC5" w:rsidP="005C306E">
      <w:pPr>
        <w:spacing w:after="0" w:line="240" w:lineRule="auto"/>
      </w:pPr>
      <w:r>
        <w:separator/>
      </w:r>
    </w:p>
  </w:endnote>
  <w:endnote w:type="continuationSeparator" w:id="0">
    <w:p w14:paraId="4F7AF9BE" w14:textId="77777777" w:rsidR="00F11FC5" w:rsidRDefault="00F11FC5" w:rsidP="005C306E">
      <w:pPr>
        <w:spacing w:after="0" w:line="240" w:lineRule="auto"/>
      </w:pPr>
      <w:r>
        <w:continuationSeparator/>
      </w:r>
    </w:p>
  </w:endnote>
  <w:endnote w:type="continuationNotice" w:id="1">
    <w:p w14:paraId="13F2F8A2" w14:textId="77777777" w:rsidR="00F11FC5" w:rsidRDefault="00F11F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256003"/>
      <w:docPartObj>
        <w:docPartGallery w:val="Page Numbers (Bottom of Page)"/>
        <w:docPartUnique/>
      </w:docPartObj>
    </w:sdtPr>
    <w:sdtEndPr>
      <w:rPr>
        <w:noProof/>
      </w:rPr>
    </w:sdtEndPr>
    <w:sdtContent>
      <w:p w14:paraId="01BE2D25" w14:textId="72432195" w:rsidR="00D16525" w:rsidRDefault="00D165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86692D" w14:textId="4ABE4DDE" w:rsidR="0096564D" w:rsidRPr="0021733F" w:rsidRDefault="0096564D" w:rsidP="00217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832A" w14:textId="77777777" w:rsidR="00700903" w:rsidRPr="0021733F" w:rsidRDefault="00700903" w:rsidP="0021733F">
    <w:pPr>
      <w:pStyle w:val="Footer"/>
    </w:pPr>
    <w:r>
      <w:rPr>
        <w:noProof/>
      </w:rPr>
      <w:drawing>
        <wp:inline distT="0" distB="0" distL="0" distR="0" wp14:anchorId="5C6C95CF" wp14:editId="4CBBFED7">
          <wp:extent cx="1615440" cy="201295"/>
          <wp:effectExtent l="0" t="0" r="3810" b="825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01295"/>
                  </a:xfrm>
                  <a:prstGeom prst="rect">
                    <a:avLst/>
                  </a:prstGeom>
                  <a:noFill/>
                </pic:spPr>
              </pic:pic>
            </a:graphicData>
          </a:graphic>
        </wp:inline>
      </w:drawing>
    </w:r>
    <w:r>
      <w:ptab w:relativeTo="margin" w:alignment="right" w:leader="none"/>
    </w: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8519" w14:textId="77777777" w:rsidR="005919AB" w:rsidRPr="0021733F" w:rsidRDefault="005919AB" w:rsidP="0021733F">
    <w:pPr>
      <w:pStyle w:val="Footer"/>
    </w:pPr>
    <w:r>
      <w:rPr>
        <w:noProof/>
      </w:rPr>
      <w:drawing>
        <wp:inline distT="0" distB="0" distL="0" distR="0" wp14:anchorId="37B201D3" wp14:editId="42FCCB27">
          <wp:extent cx="1615440" cy="201295"/>
          <wp:effectExtent l="0" t="0" r="3810" b="8255"/>
          <wp:docPr id="150668886" name="Picture 150668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01295"/>
                  </a:xfrm>
                  <a:prstGeom prst="rect">
                    <a:avLst/>
                  </a:prstGeom>
                  <a:noFill/>
                </pic:spPr>
              </pic:pic>
            </a:graphicData>
          </a:graphic>
        </wp:inline>
      </w:drawing>
    </w:r>
    <w:r>
      <w:ptab w:relativeTo="margin" w:alignment="right" w:leader="none"/>
    </w:r>
    <w:r>
      <w:fldChar w:fldCharType="begin"/>
    </w:r>
    <w:r>
      <w:instrText xml:space="preserve"> PAGE  \* Arabic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C4879" w14:textId="77777777" w:rsidR="00F11FC5" w:rsidRDefault="00F11FC5" w:rsidP="005C306E">
      <w:pPr>
        <w:spacing w:after="0" w:line="240" w:lineRule="auto"/>
      </w:pPr>
      <w:r>
        <w:separator/>
      </w:r>
    </w:p>
  </w:footnote>
  <w:footnote w:type="continuationSeparator" w:id="0">
    <w:p w14:paraId="40E81BB4" w14:textId="77777777" w:rsidR="00F11FC5" w:rsidRDefault="00F11FC5" w:rsidP="005C306E">
      <w:pPr>
        <w:spacing w:after="0" w:line="240" w:lineRule="auto"/>
      </w:pPr>
      <w:r>
        <w:continuationSeparator/>
      </w:r>
    </w:p>
  </w:footnote>
  <w:footnote w:type="continuationNotice" w:id="1">
    <w:p w14:paraId="588D08CB" w14:textId="77777777" w:rsidR="00F11FC5" w:rsidRDefault="00F11FC5">
      <w:pPr>
        <w:spacing w:after="0" w:line="240" w:lineRule="auto"/>
      </w:pPr>
    </w:p>
  </w:footnote>
  <w:footnote w:id="2">
    <w:p w14:paraId="000B7378" w14:textId="354B03E9" w:rsidR="003102A4" w:rsidRPr="003102A4" w:rsidRDefault="003102A4" w:rsidP="003102A4">
      <w:pPr>
        <w:pStyle w:val="FootnoteText"/>
        <w:rPr>
          <w:rFonts w:cstheme="minorHAnsi"/>
          <w:lang w:val="en-US"/>
        </w:rPr>
      </w:pPr>
      <w:r w:rsidRPr="003102A4">
        <w:rPr>
          <w:rStyle w:val="FootnoteReference"/>
          <w:rFonts w:cstheme="minorHAnsi"/>
        </w:rPr>
        <w:footnoteRef/>
      </w:r>
      <w:r w:rsidRPr="003102A4">
        <w:rPr>
          <w:rFonts w:cstheme="minorHAnsi"/>
        </w:rPr>
        <w:t xml:space="preserve"> https://www.palmscheme.gov.au/</w:t>
      </w:r>
    </w:p>
  </w:footnote>
  <w:footnote w:id="3">
    <w:p w14:paraId="68C870EE" w14:textId="3B795F6E" w:rsidR="00B50B1E" w:rsidRDefault="00B50B1E">
      <w:pPr>
        <w:pStyle w:val="FootnoteText"/>
      </w:pPr>
      <w:r>
        <w:rPr>
          <w:rStyle w:val="FootnoteReference"/>
        </w:rPr>
        <w:footnoteRef/>
      </w:r>
      <w:r>
        <w:t xml:space="preserve"> </w:t>
      </w:r>
      <w:r w:rsidR="004D73C0">
        <w:t>S</w:t>
      </w:r>
      <w:r w:rsidR="00CA4870">
        <w:t xml:space="preserve">ubsequently </w:t>
      </w:r>
      <w:r w:rsidR="004D73C0">
        <w:t xml:space="preserve">the contract has been </w:t>
      </w:r>
      <w:r w:rsidR="00CA4870">
        <w:t>extended until 31 December 2024.</w:t>
      </w:r>
    </w:p>
  </w:footnote>
  <w:footnote w:id="4">
    <w:p w14:paraId="07D18C13" w14:textId="0032CF21" w:rsidR="003102A4" w:rsidRPr="003102A4" w:rsidRDefault="003102A4" w:rsidP="00990359">
      <w:pPr>
        <w:pStyle w:val="FootnoteText"/>
        <w:ind w:left="0" w:firstLine="0"/>
        <w:rPr>
          <w:lang w:val="en-US"/>
        </w:rPr>
      </w:pPr>
      <w:r>
        <w:rPr>
          <w:rStyle w:val="FootnoteReference"/>
        </w:rPr>
        <w:footnoteRef/>
      </w:r>
      <w:r>
        <w:t xml:space="preserve"> </w:t>
      </w:r>
      <w:r w:rsidR="00BA49EF" w:rsidRPr="00BA49EF">
        <w:t>Participating countries are Fiji, Kiribati, Nauru, Papua New Guinea, Samoa, Solomon Islands, Timor-Leste, Tonga,</w:t>
      </w:r>
      <w:r w:rsidR="00D3066A">
        <w:t xml:space="preserve"> </w:t>
      </w:r>
      <w:r w:rsidR="00BA49EF" w:rsidRPr="00BA49EF">
        <w:t>Tuvalu, and Vanuatu.</w:t>
      </w:r>
    </w:p>
  </w:footnote>
  <w:footnote w:id="5">
    <w:p w14:paraId="639592DA" w14:textId="77777777" w:rsidR="00F65E2B" w:rsidRPr="00F65E2B" w:rsidRDefault="00F65E2B" w:rsidP="00F65E2B">
      <w:pPr>
        <w:pStyle w:val="FootnoteText"/>
        <w:rPr>
          <w:lang w:val="en-NZ"/>
        </w:rPr>
      </w:pPr>
      <w:r w:rsidRPr="00F65E2B">
        <w:rPr>
          <w:rStyle w:val="FootnoteReference"/>
        </w:rPr>
        <w:footnoteRef/>
      </w:r>
      <w:r w:rsidRPr="00F65E2B">
        <w:t xml:space="preserve"> </w:t>
      </w:r>
      <w:r w:rsidRPr="00442F1F">
        <w:t>SWP also provided workers for the accommodation industry when it was demonstrated as seasonal (mostly WA).</w:t>
      </w:r>
    </w:p>
  </w:footnote>
  <w:footnote w:id="6">
    <w:p w14:paraId="54ACAE51" w14:textId="7F9B4C95" w:rsidR="009A6553" w:rsidRPr="00442F1F" w:rsidRDefault="009A6553">
      <w:pPr>
        <w:pStyle w:val="FootnoteText"/>
        <w:rPr>
          <w:lang w:val="en-US"/>
        </w:rPr>
      </w:pPr>
      <w:r w:rsidRPr="00F65E2B">
        <w:rPr>
          <w:rStyle w:val="FootnoteReference"/>
        </w:rPr>
        <w:footnoteRef/>
      </w:r>
      <w:r w:rsidRPr="00F65E2B">
        <w:t xml:space="preserve"> </w:t>
      </w:r>
      <w:r w:rsidRPr="00F65E2B">
        <w:rPr>
          <w:lang w:val="en-US"/>
        </w:rPr>
        <w:t xml:space="preserve">Note that </w:t>
      </w:r>
      <w:r w:rsidR="000E157B" w:rsidRPr="00F65E2B">
        <w:rPr>
          <w:lang w:val="en-US"/>
        </w:rPr>
        <w:t xml:space="preserve">earlier in </w:t>
      </w:r>
      <w:r w:rsidRPr="00F65E2B">
        <w:rPr>
          <w:lang w:val="en-US"/>
        </w:rPr>
        <w:t xml:space="preserve">the life of SWP, </w:t>
      </w:r>
      <w:r w:rsidR="000E157B" w:rsidRPr="00F65E2B">
        <w:rPr>
          <w:lang w:val="en-US"/>
        </w:rPr>
        <w:t>DESE’s predecessor departments had different names.</w:t>
      </w:r>
      <w:r w:rsidRPr="00F65E2B">
        <w:rPr>
          <w:lang w:val="en-US"/>
        </w:rPr>
        <w:t xml:space="preserve"> </w:t>
      </w:r>
    </w:p>
  </w:footnote>
  <w:footnote w:id="7">
    <w:p w14:paraId="0FA49B55" w14:textId="4BA6AFCD" w:rsidR="00195EA3" w:rsidRPr="009C4E60" w:rsidRDefault="00195EA3" w:rsidP="00195EA3">
      <w:pPr>
        <w:pStyle w:val="FootnoteText"/>
        <w:ind w:left="0" w:firstLine="0"/>
        <w:rPr>
          <w:lang w:val="en-NZ"/>
        </w:rPr>
      </w:pPr>
      <w:r w:rsidRPr="00F65E2B">
        <w:rPr>
          <w:rStyle w:val="FootnoteReference"/>
        </w:rPr>
        <w:footnoteRef/>
      </w:r>
      <w:r w:rsidRPr="00F65E2B">
        <w:t xml:space="preserve"> </w:t>
      </w:r>
      <w:r w:rsidRPr="00442F1F">
        <w:t>The Northern Australia Worker Pilot Program shaped much of PLF’s early engagement and welfare approach with workers, AEs, and acted as a bridging function between the start of the PLS and PLF.</w:t>
      </w:r>
    </w:p>
  </w:footnote>
  <w:footnote w:id="8">
    <w:p w14:paraId="6FCFBB84" w14:textId="61EF01C3" w:rsidR="00E8316F" w:rsidRPr="007B2124" w:rsidRDefault="00E8316F">
      <w:pPr>
        <w:pStyle w:val="FootnoteText"/>
        <w:rPr>
          <w:lang w:val="en-US"/>
        </w:rPr>
      </w:pPr>
      <w:r>
        <w:rPr>
          <w:rStyle w:val="FootnoteReference"/>
        </w:rPr>
        <w:footnoteRef/>
      </w:r>
      <w:r>
        <w:t xml:space="preserve"> </w:t>
      </w:r>
      <w:r w:rsidRPr="00E8316F">
        <w:t xml:space="preserve">Workers must return home for a period of at least six months before they may apply for another </w:t>
      </w:r>
      <w:r w:rsidR="007368E7">
        <w:t>PALM scheme</w:t>
      </w:r>
      <w:r w:rsidR="00061200">
        <w:t xml:space="preserve"> </w:t>
      </w:r>
      <w:r w:rsidRPr="00E8316F">
        <w:t>Visa.</w:t>
      </w:r>
    </w:p>
  </w:footnote>
  <w:footnote w:id="9">
    <w:p w14:paraId="5A09A18D" w14:textId="77777777" w:rsidR="00CF7477" w:rsidRPr="00F06538" w:rsidRDefault="00CF7477" w:rsidP="00CF7477">
      <w:pPr>
        <w:pStyle w:val="FootnoteText"/>
        <w:rPr>
          <w:lang w:val="en-NZ"/>
        </w:rPr>
      </w:pPr>
      <w:r w:rsidRPr="005E5017">
        <w:rPr>
          <w:rStyle w:val="FootnoteReference"/>
        </w:rPr>
        <w:footnoteRef/>
      </w:r>
      <w:r w:rsidRPr="005E5017">
        <w:t xml:space="preserve"> </w:t>
      </w:r>
      <w:r w:rsidRPr="00442F1F">
        <w:t>https://www.palmscheme.gov.au/</w:t>
      </w:r>
    </w:p>
  </w:footnote>
  <w:footnote w:id="10">
    <w:p w14:paraId="1C4B5F33" w14:textId="1E18D306" w:rsidR="00E8316F" w:rsidRPr="000851D0" w:rsidRDefault="00E8316F" w:rsidP="0052128E">
      <w:pPr>
        <w:pStyle w:val="FootnoteText"/>
        <w:ind w:left="0" w:firstLine="0"/>
        <w:rPr>
          <w:rFonts w:cstheme="minorHAnsi"/>
          <w:lang w:val="en-US"/>
        </w:rPr>
      </w:pPr>
      <w:r w:rsidRPr="00E8316F">
        <w:rPr>
          <w:rStyle w:val="FootnoteReference"/>
          <w:rFonts w:cstheme="minorHAnsi"/>
        </w:rPr>
        <w:footnoteRef/>
      </w:r>
      <w:r w:rsidRPr="00E8316F">
        <w:rPr>
          <w:rFonts w:cstheme="minorHAnsi"/>
        </w:rPr>
        <w:t xml:space="preserve"> In the eight-month period September 2020 - May 2021, over 6000 SWP and PLS workers were mobilised to Australia. Two sectors - agriculture and meat processing - dominated recruitment.</w:t>
      </w:r>
    </w:p>
  </w:footnote>
  <w:footnote w:id="11">
    <w:p w14:paraId="4688C617" w14:textId="66DC3A38" w:rsidR="001771D4" w:rsidRPr="00D17E01" w:rsidRDefault="001771D4" w:rsidP="001771D4">
      <w:pPr>
        <w:pStyle w:val="FootnoteText"/>
        <w:ind w:left="0" w:firstLine="0"/>
        <w:rPr>
          <w:lang w:val="en-NZ"/>
        </w:rPr>
      </w:pPr>
      <w:r>
        <w:rPr>
          <w:rStyle w:val="FootnoteReference"/>
        </w:rPr>
        <w:footnoteRef/>
      </w:r>
      <w:r>
        <w:t xml:space="preserve"> </w:t>
      </w:r>
      <w:r w:rsidRPr="00442F1F">
        <w:t xml:space="preserve">The mobilisations via chartered flights during </w:t>
      </w:r>
      <w:r w:rsidR="00335D7F">
        <w:t>s</w:t>
      </w:r>
      <w:r w:rsidRPr="00442F1F">
        <w:t xml:space="preserve">tate border closures involved PLF in a high level of coordination – with Industry, LSUs, and </w:t>
      </w:r>
      <w:r w:rsidR="00335D7F">
        <w:t>s</w:t>
      </w:r>
      <w:r w:rsidRPr="00442F1F">
        <w:t xml:space="preserve">tate </w:t>
      </w:r>
      <w:r w:rsidR="00335D7F">
        <w:t>g</w:t>
      </w:r>
      <w:r w:rsidRPr="00442F1F">
        <w:t xml:space="preserve">overnments (for border closure exemptions, State </w:t>
      </w:r>
      <w:r w:rsidR="00335D7F">
        <w:t>h</w:t>
      </w:r>
      <w:r w:rsidRPr="00442F1F">
        <w:t xml:space="preserve">ealth </w:t>
      </w:r>
      <w:r w:rsidR="00335D7F">
        <w:t>d</w:t>
      </w:r>
      <w:r w:rsidRPr="00442F1F">
        <w:t xml:space="preserve">epartment approval for every worker entering the country, quarantine accommodation, vaccine evidence etc).  </w:t>
      </w:r>
    </w:p>
  </w:footnote>
  <w:footnote w:id="12">
    <w:p w14:paraId="57F20A83" w14:textId="2FC6C744" w:rsidR="002331A2" w:rsidRPr="00606BE2" w:rsidRDefault="002331A2" w:rsidP="002331A2">
      <w:pPr>
        <w:pStyle w:val="FootnoteText"/>
        <w:ind w:left="0" w:firstLine="0"/>
        <w:rPr>
          <w:lang w:val="en-NZ"/>
        </w:rPr>
      </w:pPr>
      <w:r w:rsidRPr="00971408">
        <w:rPr>
          <w:rStyle w:val="FootnoteReference"/>
        </w:rPr>
        <w:footnoteRef/>
      </w:r>
      <w:r w:rsidRPr="00971408">
        <w:t xml:space="preserve"> </w:t>
      </w:r>
      <w:r w:rsidRPr="00442F1F">
        <w:t>It is important to note that following the first MOG (Jan 2022) DFAT was working towards not only consolidation of the two schemes (SWP and PLS) under DFAT's management, but also outsourcing domestic operations to PLF. DFAT would retain in-house capacity to oversight the PLF role but much of the work undertaken by DEWR in relation to SWP would be outsourced.  This process was well-progressed, and then a decision was made in the October 2022 budget to insource domestic operations which required DFAT to reverse this reform trajectory</w:t>
      </w:r>
      <w:r w:rsidRPr="00971408">
        <w:t>.</w:t>
      </w:r>
    </w:p>
  </w:footnote>
  <w:footnote w:id="13">
    <w:p w14:paraId="58553E01" w14:textId="59A829E8" w:rsidR="009C6212" w:rsidRPr="00442F1F" w:rsidRDefault="009C6212" w:rsidP="00442F1F">
      <w:pPr>
        <w:pStyle w:val="FootnoteText"/>
        <w:ind w:left="0" w:firstLine="0"/>
        <w:rPr>
          <w:lang w:val="en-US"/>
        </w:rPr>
      </w:pPr>
      <w:r>
        <w:rPr>
          <w:rStyle w:val="FootnoteReference"/>
        </w:rPr>
        <w:footnoteRef/>
      </w:r>
      <w:r>
        <w:t xml:space="preserve"> </w:t>
      </w:r>
      <w:r>
        <w:rPr>
          <w:lang w:val="en-US"/>
        </w:rPr>
        <w:t>Note that in keeping with DFAT's approach to investment evaluation</w:t>
      </w:r>
      <w:r w:rsidR="002E4819">
        <w:rPr>
          <w:lang w:val="en-US"/>
        </w:rPr>
        <w:t>s</w:t>
      </w:r>
      <w:r>
        <w:rPr>
          <w:lang w:val="en-US"/>
        </w:rPr>
        <w:t>, this</w:t>
      </w:r>
      <w:r w:rsidR="00FF4406">
        <w:rPr>
          <w:lang w:val="en-US"/>
        </w:rPr>
        <w:t xml:space="preserve"> evaluation </w:t>
      </w:r>
      <w:r w:rsidR="002E4819">
        <w:rPr>
          <w:lang w:val="en-US"/>
        </w:rPr>
        <w:t>does not assess PLF’s performance</w:t>
      </w:r>
      <w:r w:rsidR="00E41092">
        <w:rPr>
          <w:lang w:val="en-US"/>
        </w:rPr>
        <w:t xml:space="preserve"> against </w:t>
      </w:r>
      <w:r w:rsidR="00427478">
        <w:rPr>
          <w:lang w:val="en-US"/>
        </w:rPr>
        <w:t>contractual milestones</w:t>
      </w:r>
      <w:r w:rsidR="00E41092">
        <w:rPr>
          <w:lang w:val="en-US"/>
        </w:rPr>
        <w:t xml:space="preserve">. </w:t>
      </w:r>
      <w:r w:rsidR="00482FA9">
        <w:rPr>
          <w:lang w:val="en-US"/>
        </w:rPr>
        <w:t>DFAT has a separate and internal process for c</w:t>
      </w:r>
      <w:r w:rsidR="00427478">
        <w:rPr>
          <w:lang w:val="en-US"/>
        </w:rPr>
        <w:t>ontractor performance assessment</w:t>
      </w:r>
      <w:r w:rsidR="00482FA9">
        <w:rPr>
          <w:lang w:val="en-US"/>
        </w:rPr>
        <w:t xml:space="preserve"> which occurs annually.</w:t>
      </w:r>
      <w:r w:rsidR="00DA2184">
        <w:rPr>
          <w:lang w:val="en-US"/>
        </w:rPr>
        <w:t xml:space="preserve"> Neither </w:t>
      </w:r>
      <w:r w:rsidR="00DA2184">
        <w:rPr>
          <w:rFonts w:cstheme="minorHAnsi"/>
        </w:rPr>
        <w:t>does this evaluation attempt to comprehensively document the breadth of achievements and challenges encountered by PLF over the life of the contract—a task ordinarily undertaken as part of completion reporting requirements by the contractor.</w:t>
      </w:r>
      <w:r>
        <w:rPr>
          <w:lang w:val="en-US"/>
        </w:rPr>
        <w:t xml:space="preserve"> </w:t>
      </w:r>
    </w:p>
  </w:footnote>
  <w:footnote w:id="14">
    <w:p w14:paraId="4709D293" w14:textId="0FCA8001" w:rsidR="00E8316F" w:rsidRPr="00F10521" w:rsidRDefault="00E8316F">
      <w:pPr>
        <w:pStyle w:val="FootnoteText"/>
        <w:rPr>
          <w:lang w:val="en-US"/>
        </w:rPr>
      </w:pPr>
      <w:r>
        <w:rPr>
          <w:rStyle w:val="FootnoteReference"/>
        </w:rPr>
        <w:footnoteRef/>
      </w:r>
      <w:r>
        <w:t xml:space="preserve"> </w:t>
      </w:r>
      <w:r w:rsidRPr="00E8316F">
        <w:t>Patton, M.Q. (2008). Utilization-focused evaluation, 4th edition. Thousand Oaks, CA: Sage</w:t>
      </w:r>
    </w:p>
  </w:footnote>
  <w:footnote w:id="15">
    <w:p w14:paraId="1186BAD1" w14:textId="26C0541D" w:rsidR="00E8316F" w:rsidRPr="00F10521" w:rsidRDefault="00E8316F">
      <w:pPr>
        <w:pStyle w:val="FootnoteText"/>
        <w:rPr>
          <w:lang w:val="en-US"/>
        </w:rPr>
      </w:pPr>
      <w:r>
        <w:rPr>
          <w:rStyle w:val="FootnoteReference"/>
        </w:rPr>
        <w:footnoteRef/>
      </w:r>
      <w:r>
        <w:t xml:space="preserve"> </w:t>
      </w:r>
      <w:r w:rsidRPr="00E8316F">
        <w:t>https://www.dfat.gov.au/sites/default/files/dfat-design-monitoring-evaluation-learning-standards.pdf</w:t>
      </w:r>
    </w:p>
  </w:footnote>
  <w:footnote w:id="16">
    <w:p w14:paraId="571D7EB5" w14:textId="1A632CF4" w:rsidR="00E8316F" w:rsidRPr="0088213F" w:rsidRDefault="00E8316F">
      <w:pPr>
        <w:pStyle w:val="FootnoteText"/>
        <w:rPr>
          <w:lang w:val="en-US"/>
        </w:rPr>
      </w:pPr>
      <w:r>
        <w:rPr>
          <w:rStyle w:val="FootnoteReference"/>
        </w:rPr>
        <w:footnoteRef/>
      </w:r>
      <w:r>
        <w:t xml:space="preserve"> </w:t>
      </w:r>
      <w:r w:rsidR="00AE4225" w:rsidRPr="00E8316F">
        <w:t>E.g.,</w:t>
      </w:r>
      <w:r w:rsidRPr="00E8316F">
        <w:t xml:space="preserve"> https://www.aes.asn.au/images/AES_Code_of_Ethics_web.pdf?type=file</w:t>
      </w:r>
    </w:p>
  </w:footnote>
  <w:footnote w:id="17">
    <w:p w14:paraId="54AD3ABE" w14:textId="205482CE" w:rsidR="00477D85" w:rsidRDefault="00477D85">
      <w:pPr>
        <w:pStyle w:val="FootnoteText"/>
      </w:pPr>
      <w:r>
        <w:rPr>
          <w:rStyle w:val="FootnoteReference"/>
        </w:rPr>
        <w:footnoteRef/>
      </w:r>
      <w:r>
        <w:t xml:space="preserve"> </w:t>
      </w:r>
      <w:r w:rsidRPr="00477D85">
        <w:t>https://devpolicy.org/safety-and-wellbeing-of-palm-workers-room-for-improvement-20231116/</w:t>
      </w:r>
    </w:p>
  </w:footnote>
  <w:footnote w:id="18">
    <w:p w14:paraId="58234804" w14:textId="31CC03A3" w:rsidR="0088213F" w:rsidRPr="000851D0" w:rsidRDefault="0088213F" w:rsidP="0052128E">
      <w:pPr>
        <w:pStyle w:val="FootnoteText"/>
        <w:ind w:left="0" w:firstLine="0"/>
        <w:rPr>
          <w:lang w:val="en-US"/>
        </w:rPr>
      </w:pPr>
      <w:r>
        <w:rPr>
          <w:rStyle w:val="FootnoteReference"/>
        </w:rPr>
        <w:footnoteRef/>
      </w:r>
      <w:r>
        <w:t xml:space="preserve"> </w:t>
      </w:r>
      <w:r w:rsidRPr="0088213F">
        <w:t>The evaluation question which underpins this task can be interpreted from at least two perspectives: i) ‘coordination’, as in the coherent integration of specific services delivered by PLF in Australia with services delivered in labour sending countries; ii) ‘coordination’, as in the generalised management or oversight of all services delivered by PLF, whether in Australia or labour sending countries. The evaluation team took the latter interpretation because there are relatively few points when coordination—in the former sense—actually occurs between services in Australia and services in labour sending countries. These are limited to: i) management of critical incidents; ii) responding to employer-related issues raised by workers; iii) Assurance Team interventions in response to employer-worker issues identified in routine monitoring and incident management.</w:t>
      </w:r>
    </w:p>
  </w:footnote>
  <w:footnote w:id="19">
    <w:p w14:paraId="2FC82B43" w14:textId="77777777" w:rsidR="007020B0" w:rsidRPr="00D05AE0" w:rsidRDefault="007020B0" w:rsidP="007020B0">
      <w:pPr>
        <w:pStyle w:val="FootnoteText"/>
        <w:ind w:left="0" w:firstLine="0"/>
        <w:rPr>
          <w:lang w:val="en-US"/>
        </w:rPr>
      </w:pPr>
      <w:r>
        <w:rPr>
          <w:rStyle w:val="FootnoteReference"/>
        </w:rPr>
        <w:footnoteRef/>
      </w:r>
      <w:r>
        <w:t xml:space="preserve"> </w:t>
      </w:r>
      <w:r w:rsidRPr="0088213F">
        <w:t>In 2022, 21% of PLS AEs were labour hire companies who employed 84% of workers.</w:t>
      </w:r>
    </w:p>
  </w:footnote>
  <w:footnote w:id="20">
    <w:p w14:paraId="54654B33" w14:textId="2335196B" w:rsidR="008C6DBA" w:rsidRDefault="008C6DBA" w:rsidP="00AD5480">
      <w:pPr>
        <w:pStyle w:val="FootnoteText"/>
        <w:ind w:left="0" w:firstLine="0"/>
      </w:pPr>
      <w:r>
        <w:rPr>
          <w:rStyle w:val="FootnoteReference"/>
        </w:rPr>
        <w:footnoteRef/>
      </w:r>
      <w:r>
        <w:t xml:space="preserve"> </w:t>
      </w:r>
      <w:r w:rsidRPr="008C6DBA">
        <w:t>It also reflects pandemic-related circumstances - when Australian borders were only open to meatworks and agriculture sector workers, the percent of women in the scheme decreased sharply. The introduction of the aged care expansion pilots has seen women's representation increase and stabilise around 20%.</w:t>
      </w:r>
    </w:p>
  </w:footnote>
  <w:footnote w:id="21">
    <w:p w14:paraId="209C5877" w14:textId="77777777" w:rsidR="009019FF" w:rsidRPr="0088213F" w:rsidRDefault="009019FF" w:rsidP="009019FF">
      <w:pPr>
        <w:pStyle w:val="FootnoteText"/>
        <w:ind w:left="0" w:firstLine="0"/>
        <w:rPr>
          <w:lang w:val="en-US"/>
        </w:rPr>
      </w:pPr>
      <w:r>
        <w:rPr>
          <w:rStyle w:val="FootnoteReference"/>
        </w:rPr>
        <w:footnoteRef/>
      </w:r>
      <w:r>
        <w:t xml:space="preserve"> </w:t>
      </w:r>
      <w:r w:rsidRPr="0088213F">
        <w:t>Revised 6 April 2022.</w:t>
      </w:r>
    </w:p>
  </w:footnote>
  <w:footnote w:id="22">
    <w:p w14:paraId="28FA9144" w14:textId="77777777" w:rsidR="009019FF" w:rsidRPr="00EA37DB" w:rsidRDefault="009019FF" w:rsidP="009019FF">
      <w:pPr>
        <w:pStyle w:val="FootnoteText"/>
        <w:ind w:left="0" w:firstLine="0"/>
        <w:rPr>
          <w:lang w:val="en-NZ"/>
        </w:rPr>
      </w:pPr>
      <w:r>
        <w:rPr>
          <w:rStyle w:val="FootnoteReference"/>
        </w:rPr>
        <w:footnoteRef/>
      </w:r>
      <w:r>
        <w:t xml:space="preserve"> </w:t>
      </w:r>
      <w:r w:rsidRPr="00EA37DB">
        <w:t xml:space="preserve">In Fiji, the National Employment Centre delivers </w:t>
      </w:r>
      <w:r>
        <w:t xml:space="preserve">a </w:t>
      </w:r>
      <w:r w:rsidRPr="00EA37DB">
        <w:t>compulsory five-day PDB.</w:t>
      </w:r>
      <w:r>
        <w:t xml:space="preserve"> The I-Kiribati LSU outsources delivery of the PDB to the Kiribati Institute of Technology.</w:t>
      </w:r>
    </w:p>
  </w:footnote>
  <w:footnote w:id="23">
    <w:p w14:paraId="09C7200F" w14:textId="0FEAA8C8" w:rsidR="0088213F" w:rsidRPr="00D05AE0" w:rsidRDefault="0088213F" w:rsidP="0052128E">
      <w:pPr>
        <w:pStyle w:val="FootnoteText"/>
        <w:ind w:left="0" w:firstLine="0"/>
        <w:rPr>
          <w:lang w:val="en-US"/>
        </w:rPr>
      </w:pPr>
      <w:r>
        <w:rPr>
          <w:rStyle w:val="FootnoteReference"/>
        </w:rPr>
        <w:footnoteRef/>
      </w:r>
      <w:r>
        <w:t xml:space="preserve"> </w:t>
      </w:r>
      <w:r w:rsidRPr="0088213F">
        <w:t>The evaluation team was advised that in several cases, following participation in the expanded training, couples have elected to decline PALM scheme employment having more fully appreciated the risks.</w:t>
      </w:r>
    </w:p>
  </w:footnote>
  <w:footnote w:id="24">
    <w:p w14:paraId="38120D52" w14:textId="77777777" w:rsidR="002B1818" w:rsidRPr="003E7864" w:rsidRDefault="002B1818" w:rsidP="002B1818">
      <w:pPr>
        <w:pStyle w:val="FootnoteText"/>
        <w:rPr>
          <w:lang w:val="en-NZ"/>
        </w:rPr>
      </w:pPr>
      <w:r w:rsidRPr="00024677">
        <w:rPr>
          <w:rStyle w:val="FootnoteReference"/>
        </w:rPr>
        <w:footnoteRef/>
      </w:r>
      <w:r w:rsidRPr="00024677">
        <w:t xml:space="preserve"> </w:t>
      </w:r>
      <w:r w:rsidRPr="00442F1F">
        <w:rPr>
          <w:lang w:val="en-NZ"/>
        </w:rPr>
        <w:t>The e-learning platform is also targeted at Approved Employers via an AE portal.</w:t>
      </w:r>
    </w:p>
  </w:footnote>
  <w:footnote w:id="25">
    <w:p w14:paraId="2FA90F9A" w14:textId="489CA86F" w:rsidR="0088213F" w:rsidRPr="00857936" w:rsidRDefault="0088213F" w:rsidP="0052128E">
      <w:pPr>
        <w:pStyle w:val="FootnoteText"/>
        <w:ind w:left="0" w:firstLine="0"/>
        <w:rPr>
          <w:lang w:val="en-US"/>
        </w:rPr>
      </w:pPr>
      <w:r>
        <w:rPr>
          <w:rStyle w:val="FootnoteReference"/>
        </w:rPr>
        <w:footnoteRef/>
      </w:r>
      <w:r>
        <w:t xml:space="preserve"> </w:t>
      </w:r>
      <w:r w:rsidRPr="0088213F">
        <w:t>A commonly raised issue involves the spouse of workers demanding that the LSU (perceived as a proxy for the employer) repatriate a worker suspected of extramarital affairs. While it is not uncommon for an employer in sending countries to intervene in private matters, the constraints on LSU staff imposed by Australian employment law and privacy provisions are not necessarily understood by households, creating frustration with LSU staff.</w:t>
      </w:r>
    </w:p>
  </w:footnote>
  <w:footnote w:id="26">
    <w:p w14:paraId="3E6B68FE" w14:textId="77777777" w:rsidR="003231FA" w:rsidRPr="007E7197" w:rsidRDefault="003231FA" w:rsidP="003231FA">
      <w:pPr>
        <w:pStyle w:val="FootnoteText"/>
        <w:rPr>
          <w:lang w:val="en-NZ"/>
        </w:rPr>
      </w:pPr>
      <w:r>
        <w:rPr>
          <w:rStyle w:val="FootnoteReference"/>
        </w:rPr>
        <w:footnoteRef/>
      </w:r>
      <w:r>
        <w:t xml:space="preserve"> </w:t>
      </w:r>
      <w:r w:rsidRPr="00E421A8">
        <w:t>https://www.dfat.gov.au/publications/countries-and-regions/review-pacific-labour-facility-and-management-response</w:t>
      </w:r>
      <w:r>
        <w:t>.</w:t>
      </w:r>
    </w:p>
  </w:footnote>
  <w:footnote w:id="27">
    <w:p w14:paraId="39A7AC6B" w14:textId="77777777" w:rsidR="003231FA" w:rsidRPr="00921314" w:rsidRDefault="003231FA" w:rsidP="003231FA">
      <w:pPr>
        <w:pStyle w:val="FootnoteText"/>
        <w:rPr>
          <w:lang w:val="en-NZ"/>
        </w:rPr>
      </w:pPr>
      <w:r>
        <w:rPr>
          <w:rStyle w:val="FootnoteReference"/>
        </w:rPr>
        <w:footnoteRef/>
      </w:r>
      <w:r>
        <w:t xml:space="preserve"> </w:t>
      </w:r>
      <w:r w:rsidRPr="009961B3">
        <w:t>https://www.palmscheme.gov.au/resources/palm-scheme-approved-employer-deed-agreement</w:t>
      </w:r>
    </w:p>
  </w:footnote>
  <w:footnote w:id="28">
    <w:p w14:paraId="491C86FB" w14:textId="3D811901" w:rsidR="00DC6C36" w:rsidRDefault="00DC6C36" w:rsidP="00DD0AC0">
      <w:pPr>
        <w:pStyle w:val="FootnoteText"/>
        <w:ind w:left="0" w:firstLine="0"/>
      </w:pPr>
      <w:r>
        <w:rPr>
          <w:rStyle w:val="FootnoteReference"/>
        </w:rPr>
        <w:footnoteRef/>
      </w:r>
      <w:r>
        <w:t xml:space="preserve"> </w:t>
      </w:r>
      <w:r w:rsidR="008263C3">
        <w:t xml:space="preserve">The evaluation team assessed that Level 1 of the escalation process </w:t>
      </w:r>
      <w:r w:rsidR="006D60E4">
        <w:t>was not working as intended</w:t>
      </w:r>
      <w:r w:rsidR="000B7875">
        <w:t xml:space="preserve"> (or variable at best)</w:t>
      </w:r>
      <w:r w:rsidR="006D60E4">
        <w:t xml:space="preserve">, thereby </w:t>
      </w:r>
      <w:r w:rsidR="00DD0AC0">
        <w:t>potentially</w:t>
      </w:r>
      <w:r w:rsidR="006D60E4">
        <w:t xml:space="preserve"> additional pressure on Level 2</w:t>
      </w:r>
      <w:r w:rsidR="00B85E0A">
        <w:t xml:space="preserve">. Some interviewees postulated that this may be one factor </w:t>
      </w:r>
      <w:r w:rsidR="000B7875">
        <w:t xml:space="preserve">driving increased ‘worker disengagement’ </w:t>
      </w:r>
      <w:r w:rsidR="0099333A">
        <w:t>which grew from 14 in FY</w:t>
      </w:r>
      <w:r w:rsidR="00CC45D9">
        <w:t>2020-21 to 1002 in FY2022-23</w:t>
      </w:r>
      <w:r w:rsidR="00DD0AC0">
        <w:t>, a 70-fold increase.</w:t>
      </w:r>
      <w:r w:rsidR="00CC45D9">
        <w:t xml:space="preserve"> </w:t>
      </w:r>
    </w:p>
  </w:footnote>
  <w:footnote w:id="29">
    <w:p w14:paraId="4674E5E8" w14:textId="3AA0E508" w:rsidR="009B1401" w:rsidRPr="004E70C0" w:rsidRDefault="009B1401" w:rsidP="004E70C0">
      <w:pPr>
        <w:pStyle w:val="FootnoteText"/>
      </w:pPr>
      <w:r>
        <w:rPr>
          <w:rStyle w:val="FootnoteReference"/>
        </w:rPr>
        <w:footnoteRef/>
      </w:r>
      <w:r>
        <w:t xml:space="preserve"> </w:t>
      </w:r>
      <w:r w:rsidR="004E70C0">
        <w:t>Pacific Labour Mobility QTAG 2</w:t>
      </w:r>
      <w:r w:rsidR="004E70C0" w:rsidRPr="00442F1F">
        <w:rPr>
          <w:vertAlign w:val="superscript"/>
        </w:rPr>
        <w:t>nd</w:t>
      </w:r>
      <w:r w:rsidR="004E70C0">
        <w:t xml:space="preserve"> Annual Review</w:t>
      </w:r>
      <w:r w:rsidR="00A15D0C">
        <w:t xml:space="preserve">, Clear Horizon, </w:t>
      </w:r>
      <w:r w:rsidR="00BD616B">
        <w:t>June 2021</w:t>
      </w:r>
    </w:p>
  </w:footnote>
  <w:footnote w:id="30">
    <w:p w14:paraId="52DB7FC8" w14:textId="1313630C" w:rsidR="00233C1A" w:rsidRDefault="00233C1A" w:rsidP="00084358">
      <w:pPr>
        <w:pStyle w:val="FootnoteText"/>
        <w:ind w:left="0" w:firstLine="0"/>
      </w:pPr>
      <w:r>
        <w:rPr>
          <w:rStyle w:val="FootnoteReference"/>
        </w:rPr>
        <w:footnoteRef/>
      </w:r>
      <w:r>
        <w:t xml:space="preserve"> </w:t>
      </w:r>
      <w:r w:rsidRPr="00233C1A">
        <w:t>https://openresearch-repository.anu.edu.au/bitstream/1885/305641/1/Safety%20and%20Wellbeing_Kanan%20and%20Putt%20online%20small%20file%20NEW%20DOI.pdf</w:t>
      </w:r>
    </w:p>
  </w:footnote>
  <w:footnote w:id="31">
    <w:p w14:paraId="70764DFD" w14:textId="75CA2304" w:rsidR="00A20C6B" w:rsidRDefault="00A20C6B">
      <w:pPr>
        <w:pStyle w:val="FootnoteText"/>
      </w:pPr>
      <w:r>
        <w:rPr>
          <w:rStyle w:val="FootnoteReference"/>
        </w:rPr>
        <w:footnoteRef/>
      </w:r>
      <w:r>
        <w:t xml:space="preserve"> </w:t>
      </w:r>
      <w:r w:rsidR="00830C6A" w:rsidRPr="00830C6A">
        <w:t>https://devpolicy.org/safety-and-wellbeing-of-palm-workers-room-for-improvement-20231116/</w:t>
      </w:r>
    </w:p>
  </w:footnote>
  <w:footnote w:id="32">
    <w:p w14:paraId="77306C6C" w14:textId="39B5017F" w:rsidR="0068230A" w:rsidRDefault="0068230A" w:rsidP="00A16885">
      <w:pPr>
        <w:pStyle w:val="FootnoteText"/>
        <w:ind w:left="0" w:firstLine="0"/>
      </w:pPr>
      <w:r>
        <w:rPr>
          <w:rStyle w:val="FootnoteReference"/>
        </w:rPr>
        <w:footnoteRef/>
      </w:r>
      <w:r>
        <w:t xml:space="preserve"> </w:t>
      </w:r>
      <w:r w:rsidR="000957F4" w:rsidRPr="00666156">
        <w:rPr>
          <w:rFonts w:cstheme="minorHAnsi"/>
        </w:rPr>
        <w:t xml:space="preserve">Several </w:t>
      </w:r>
      <w:r w:rsidR="004F6071">
        <w:rPr>
          <w:rFonts w:cstheme="minorHAnsi"/>
        </w:rPr>
        <w:t xml:space="preserve">PTL </w:t>
      </w:r>
      <w:r w:rsidR="000957F4" w:rsidRPr="00666156">
        <w:rPr>
          <w:rFonts w:cstheme="minorHAnsi"/>
        </w:rPr>
        <w:t xml:space="preserve">High Commissions reported being inundated with worker welfare support requests—a responsibility they feel keenly. There </w:t>
      </w:r>
      <w:r w:rsidR="000957F4">
        <w:rPr>
          <w:rFonts w:cstheme="minorHAnsi"/>
        </w:rPr>
        <w:t>wa</w:t>
      </w:r>
      <w:r w:rsidR="000957F4" w:rsidRPr="00666156">
        <w:rPr>
          <w:rFonts w:cstheme="minorHAnsi"/>
        </w:rPr>
        <w:t>s frustration with the flow of worker welfare information from PLF to the diplomatic missions. One Head of Mission</w:t>
      </w:r>
      <w:r w:rsidR="000957F4">
        <w:rPr>
          <w:rFonts w:cstheme="minorHAnsi"/>
        </w:rPr>
        <w:t xml:space="preserve"> (HoM)</w:t>
      </w:r>
      <w:r w:rsidR="000957F4" w:rsidRPr="00666156">
        <w:rPr>
          <w:rFonts w:cstheme="minorHAnsi"/>
        </w:rPr>
        <w:t xml:space="preserve"> stated: “</w:t>
      </w:r>
      <w:r w:rsidR="000957F4" w:rsidRPr="00666156">
        <w:rPr>
          <w:rFonts w:cstheme="minorHAnsi"/>
          <w:i/>
          <w:iCs/>
        </w:rPr>
        <w:t>It’s a huge program for our Mission, taking up a huge amount of our time”</w:t>
      </w:r>
      <w:r w:rsidR="000957F4" w:rsidRPr="00666156">
        <w:rPr>
          <w:rFonts w:cstheme="minorHAnsi"/>
        </w:rPr>
        <w:t>. Another stated “</w:t>
      </w:r>
      <w:r w:rsidR="000957F4" w:rsidRPr="00666156">
        <w:rPr>
          <w:rFonts w:cstheme="minorHAnsi"/>
          <w:i/>
          <w:iCs/>
        </w:rPr>
        <w:t>I only learn about our worker repatriations from Facebook. There is a disconnect from the people running the program”</w:t>
      </w:r>
      <w:r w:rsidR="000957F4" w:rsidRPr="00666156">
        <w:rPr>
          <w:rFonts w:cstheme="minorHAnsi"/>
        </w:rPr>
        <w:t xml:space="preserve">. Another Head of Mission complained: </w:t>
      </w:r>
      <w:r w:rsidR="000957F4" w:rsidRPr="00666156">
        <w:rPr>
          <w:rFonts w:cstheme="minorHAnsi"/>
          <w:i/>
          <w:iCs/>
        </w:rPr>
        <w:t>“The welfare numbers are jumbled…the numbers are frustrating for me”</w:t>
      </w:r>
      <w:r w:rsidR="00627F4C">
        <w:rPr>
          <w:rFonts w:cstheme="minorHAnsi"/>
          <w:i/>
          <w:iCs/>
        </w:rPr>
        <w:t>.</w:t>
      </w:r>
    </w:p>
  </w:footnote>
  <w:footnote w:id="33">
    <w:p w14:paraId="7C6BAA78" w14:textId="70073143" w:rsidR="007D1BEA" w:rsidRDefault="007D1BEA" w:rsidP="00A16885">
      <w:pPr>
        <w:pStyle w:val="FootnoteText"/>
        <w:ind w:left="0" w:firstLine="0"/>
      </w:pPr>
      <w:r>
        <w:rPr>
          <w:rStyle w:val="FootnoteReference"/>
        </w:rPr>
        <w:footnoteRef/>
      </w:r>
      <w:r>
        <w:t xml:space="preserve"> </w:t>
      </w:r>
      <w:r w:rsidR="00A41259">
        <w:t xml:space="preserve">E.g. One diplomatic representative expressed concern that </w:t>
      </w:r>
      <w:r w:rsidR="004F6071">
        <w:t xml:space="preserve">existing </w:t>
      </w:r>
      <w:r w:rsidR="00A41259">
        <w:t xml:space="preserve">workers </w:t>
      </w:r>
      <w:r w:rsidR="00FD1D60">
        <w:t xml:space="preserve">are deployed to meet arriving workers at the airport, </w:t>
      </w:r>
      <w:r w:rsidR="00627F4C">
        <w:t xml:space="preserve">believing this </w:t>
      </w:r>
      <w:r w:rsidR="00FD1D60">
        <w:t>to be a role of PLF</w:t>
      </w:r>
      <w:r w:rsidR="00627F4C">
        <w:t xml:space="preserve">, and seemingly not understanding that </w:t>
      </w:r>
      <w:r w:rsidR="00D41D36">
        <w:t>the Deed obliges AEs</w:t>
      </w:r>
      <w:r w:rsidR="001930B0">
        <w:t xml:space="preserve"> (not PLF)</w:t>
      </w:r>
      <w:r w:rsidR="00D41D36">
        <w:t xml:space="preserve"> to arrange for arriving workers</w:t>
      </w:r>
      <w:r w:rsidR="00A000DA">
        <w:t xml:space="preserve"> </w:t>
      </w:r>
      <w:r w:rsidR="00D41D36">
        <w:t>to be met</w:t>
      </w:r>
      <w:r w:rsidR="00A000DA">
        <w:t xml:space="preserve"> by appropriate means.</w:t>
      </w:r>
    </w:p>
  </w:footnote>
  <w:footnote w:id="34">
    <w:p w14:paraId="4787F06F" w14:textId="77777777" w:rsidR="008931B8" w:rsidRPr="00FF726A" w:rsidRDefault="008931B8" w:rsidP="008931B8">
      <w:pPr>
        <w:pStyle w:val="FootnoteText"/>
        <w:rPr>
          <w:lang w:val="en-NZ"/>
        </w:rPr>
      </w:pPr>
      <w:r>
        <w:rPr>
          <w:rStyle w:val="FootnoteReference"/>
        </w:rPr>
        <w:footnoteRef/>
      </w:r>
      <w:r>
        <w:t xml:space="preserve"> </w:t>
      </w:r>
      <w:r w:rsidRPr="00442F1F">
        <w:t>There are diverse arrangements among sending countries for the employment and management of CLOs.</w:t>
      </w:r>
    </w:p>
  </w:footnote>
  <w:footnote w:id="35">
    <w:p w14:paraId="451FAC8A" w14:textId="77777777" w:rsidR="008931B8" w:rsidRPr="00857936" w:rsidRDefault="008931B8" w:rsidP="008931B8">
      <w:pPr>
        <w:pStyle w:val="FootnoteText"/>
        <w:ind w:left="0" w:firstLine="0"/>
        <w:rPr>
          <w:lang w:val="en-US"/>
        </w:rPr>
      </w:pPr>
      <w:r>
        <w:rPr>
          <w:rStyle w:val="FootnoteReference"/>
        </w:rPr>
        <w:footnoteRef/>
      </w:r>
      <w:r>
        <w:t xml:space="preserve"> </w:t>
      </w:r>
      <w:r w:rsidRPr="00D05AE0">
        <w:t>In Australia, media coverage of worker welfare issues has created reputational harm for the PALM scheme. In labour sending countries, worker welfare issues risk eroding the social license</w:t>
      </w:r>
      <w:r>
        <w:t xml:space="preserve"> </w:t>
      </w:r>
      <w:r w:rsidRPr="00442F1F">
        <w:t>for labour mobility</w:t>
      </w:r>
      <w:r w:rsidRPr="00D05AE0">
        <w:t>. More broadly, these issues risk compromising people-to-people links—which is one key rationale for the scheme.</w:t>
      </w:r>
    </w:p>
  </w:footnote>
  <w:footnote w:id="36">
    <w:p w14:paraId="501849D7" w14:textId="77777777" w:rsidR="002A3127" w:rsidRDefault="002A3127" w:rsidP="002A3127">
      <w:pPr>
        <w:pStyle w:val="FootnoteText"/>
        <w:ind w:left="0" w:firstLine="0"/>
      </w:pPr>
      <w:r>
        <w:rPr>
          <w:rStyle w:val="FootnoteReference"/>
        </w:rPr>
        <w:footnoteRef/>
      </w:r>
      <w:r>
        <w:t xml:space="preserve"> Doan, D., Dornan, M., Doyle, J. and Petrou, K. (2023). Migration and labor mobility from Pacific Island countries. Background paper for the World Development Report 2023: Migrants, refugees and societies. https://thedocs.worldbank.org/en/doc/511bd7fb799a3379242b5c151b2a14d5-0050062023/original/WDR-Pacific-Islands-case-study-FORMATTED.pdf</w:t>
      </w:r>
    </w:p>
    <w:p w14:paraId="4ED5A1F5" w14:textId="77777777" w:rsidR="002A3127" w:rsidRDefault="002A3127" w:rsidP="002A3127">
      <w:pPr>
        <w:pStyle w:val="FootnoteText"/>
      </w:pPr>
      <w:r>
        <w:t xml:space="preserve">Bedford, C. Bedford, R. and Nunns, H. (2020). RSE Impact Study: Pacific Stream Report. </w:t>
      </w:r>
    </w:p>
    <w:p w14:paraId="74B32092" w14:textId="77777777" w:rsidR="002A3127" w:rsidRPr="00857936" w:rsidRDefault="002A3127" w:rsidP="002A3127">
      <w:pPr>
        <w:pStyle w:val="FootnoteText"/>
        <w:rPr>
          <w:lang w:val="en-US"/>
        </w:rPr>
      </w:pPr>
      <w:r>
        <w:t>https://www.immigration.govt.nz/documents/statistics/rse-impact-study-pacific-stream-report.pdf</w:t>
      </w:r>
    </w:p>
  </w:footnote>
  <w:footnote w:id="37">
    <w:p w14:paraId="2BD6E522" w14:textId="0B9235DB" w:rsidR="002A3127" w:rsidRDefault="002A3127" w:rsidP="007636DA">
      <w:pPr>
        <w:pStyle w:val="FootnoteText"/>
        <w:ind w:left="0" w:firstLine="0"/>
      </w:pPr>
      <w:r>
        <w:rPr>
          <w:rStyle w:val="FootnoteReference"/>
        </w:rPr>
        <w:footnoteRef/>
      </w:r>
      <w:r w:rsidRPr="002A3127">
        <w:t>Research suggests that the majority of returning workers invest in house renovations or construction once immediate needs, such as food and schooling, have been met</w:t>
      </w:r>
      <w:r>
        <w:t>.</w:t>
      </w:r>
    </w:p>
  </w:footnote>
  <w:footnote w:id="38">
    <w:p w14:paraId="72833B38" w14:textId="04FE4971" w:rsidR="00857936" w:rsidRPr="00857936" w:rsidRDefault="00857936" w:rsidP="00AA6E3C">
      <w:pPr>
        <w:pStyle w:val="FootnoteText"/>
        <w:ind w:left="0" w:firstLine="0"/>
        <w:rPr>
          <w:lang w:val="en-US"/>
        </w:rPr>
      </w:pPr>
      <w:r>
        <w:rPr>
          <w:rStyle w:val="FootnoteReference"/>
        </w:rPr>
        <w:footnoteRef/>
      </w:r>
      <w:r>
        <w:t xml:space="preserve"> </w:t>
      </w:r>
      <w:r w:rsidRPr="00857936">
        <w:t>https://www.v-lab.org/</w:t>
      </w:r>
    </w:p>
  </w:footnote>
  <w:footnote w:id="39">
    <w:p w14:paraId="270546C9" w14:textId="40A38350" w:rsidR="00857936" w:rsidRPr="00262C03" w:rsidRDefault="00857936" w:rsidP="00AA6E3C">
      <w:pPr>
        <w:pStyle w:val="FootnoteText"/>
        <w:ind w:left="0" w:firstLine="0"/>
        <w:rPr>
          <w:lang w:val="en-US"/>
        </w:rPr>
      </w:pPr>
      <w:r>
        <w:rPr>
          <w:rStyle w:val="FootnoteReference"/>
        </w:rPr>
        <w:footnoteRef/>
      </w:r>
      <w:r>
        <w:t xml:space="preserve"> </w:t>
      </w:r>
      <w:r w:rsidRPr="00857936">
        <w:t>Two out of 100 workers surveyed in PDB expressed interest in business rather than building a house or expenditure. Three out of 100 pre-departure workers returned to engage with V-lab.</w:t>
      </w:r>
    </w:p>
  </w:footnote>
  <w:footnote w:id="40">
    <w:p w14:paraId="405C5F07" w14:textId="4653BB03" w:rsidR="00A269D5" w:rsidRDefault="00A269D5">
      <w:pPr>
        <w:pStyle w:val="FootnoteText"/>
      </w:pPr>
      <w:r>
        <w:rPr>
          <w:rStyle w:val="FootnoteReference"/>
        </w:rPr>
        <w:footnoteRef/>
      </w:r>
      <w:r>
        <w:t xml:space="preserve"> E.g. PHAMA</w:t>
      </w:r>
      <w:r w:rsidR="00954230">
        <w:t xml:space="preserve"> Plus</w:t>
      </w:r>
      <w:r>
        <w:t>, Pacific Connect.</w:t>
      </w:r>
    </w:p>
  </w:footnote>
  <w:footnote w:id="41">
    <w:p w14:paraId="05E63182" w14:textId="3AF8E99B" w:rsidR="002D6ADC" w:rsidRPr="00442F1F" w:rsidRDefault="002D6ADC" w:rsidP="0019482B">
      <w:pPr>
        <w:pStyle w:val="FootnoteText"/>
        <w:ind w:left="0" w:firstLine="0"/>
        <w:rPr>
          <w:lang w:val="en-US"/>
        </w:rPr>
      </w:pPr>
      <w:r>
        <w:rPr>
          <w:rStyle w:val="FootnoteReference"/>
        </w:rPr>
        <w:footnoteRef/>
      </w:r>
      <w:r>
        <w:t xml:space="preserve"> </w:t>
      </w:r>
      <w:r>
        <w:rPr>
          <w:lang w:val="en-US"/>
        </w:rPr>
        <w:t xml:space="preserve">N.B. </w:t>
      </w:r>
      <w:r w:rsidR="00F718DA">
        <w:rPr>
          <w:lang w:val="en-US"/>
        </w:rPr>
        <w:t>Sustainability</w:t>
      </w:r>
      <w:r>
        <w:rPr>
          <w:lang w:val="en-US"/>
        </w:rPr>
        <w:t xml:space="preserve"> is a </w:t>
      </w:r>
      <w:r w:rsidR="00BB7160">
        <w:rPr>
          <w:lang w:val="en-US"/>
        </w:rPr>
        <w:t>discrete criterion</w:t>
      </w:r>
      <w:r>
        <w:rPr>
          <w:lang w:val="en-US"/>
        </w:rPr>
        <w:t xml:space="preserve"> within DFAT’s FIMR Validation Matrix </w:t>
      </w:r>
      <w:r w:rsidR="00F718DA">
        <w:rPr>
          <w:lang w:val="en-US"/>
        </w:rPr>
        <w:t>comprising</w:t>
      </w:r>
      <w:r>
        <w:rPr>
          <w:lang w:val="en-US"/>
        </w:rPr>
        <w:t xml:space="preserve"> </w:t>
      </w:r>
      <w:r w:rsidR="007D35F9">
        <w:rPr>
          <w:lang w:val="en-US"/>
        </w:rPr>
        <w:t>5 sub-criteria. While the evaluation team was</w:t>
      </w:r>
      <w:r w:rsidR="00F718DA">
        <w:rPr>
          <w:lang w:val="en-US"/>
        </w:rPr>
        <w:t xml:space="preserve"> not</w:t>
      </w:r>
      <w:r w:rsidR="007D35F9">
        <w:rPr>
          <w:lang w:val="en-US"/>
        </w:rPr>
        <w:t xml:space="preserve"> explicitly tasked with </w:t>
      </w:r>
      <w:r w:rsidR="00F718DA">
        <w:rPr>
          <w:lang w:val="en-US"/>
        </w:rPr>
        <w:t xml:space="preserve">assessing </w:t>
      </w:r>
      <w:r w:rsidR="00BB7160">
        <w:rPr>
          <w:lang w:val="en-US"/>
        </w:rPr>
        <w:t xml:space="preserve">the </w:t>
      </w:r>
      <w:r w:rsidR="00F718DA">
        <w:rPr>
          <w:lang w:val="en-US"/>
        </w:rPr>
        <w:t>sustainability</w:t>
      </w:r>
      <w:r w:rsidR="00BB7160">
        <w:rPr>
          <w:lang w:val="en-US"/>
        </w:rPr>
        <w:t xml:space="preserve"> criterion</w:t>
      </w:r>
      <w:r w:rsidR="00E47B6B">
        <w:rPr>
          <w:lang w:val="en-US"/>
        </w:rPr>
        <w:t>, it is briefly reviewed here in recognition that</w:t>
      </w:r>
      <w:r w:rsidR="00BB7160">
        <w:rPr>
          <w:lang w:val="en-US"/>
        </w:rPr>
        <w:t xml:space="preserve"> in development practice, sustainability considerations are </w:t>
      </w:r>
      <w:r w:rsidR="00F074D3">
        <w:rPr>
          <w:lang w:val="en-US"/>
        </w:rPr>
        <w:t>fundamental in relation to outcome achievement.</w:t>
      </w:r>
    </w:p>
  </w:footnote>
  <w:footnote w:id="42">
    <w:p w14:paraId="26A92CDB" w14:textId="77777777" w:rsidR="00D03E6D" w:rsidRDefault="00D03E6D" w:rsidP="00D03E6D">
      <w:pPr>
        <w:pStyle w:val="FootnoteText"/>
      </w:pPr>
      <w:r>
        <w:rPr>
          <w:rStyle w:val="FootnoteReference"/>
        </w:rPr>
        <w:footnoteRef/>
      </w:r>
      <w:r>
        <w:t xml:space="preserve"> The Independent Review of the PLF was undertaken by Renee Leon.</w:t>
      </w:r>
    </w:p>
  </w:footnote>
  <w:footnote w:id="43">
    <w:p w14:paraId="7302E953" w14:textId="57572366" w:rsidR="00023F98" w:rsidRPr="00023F98" w:rsidRDefault="00023F98">
      <w:pPr>
        <w:pStyle w:val="FootnoteText"/>
        <w:rPr>
          <w:lang w:val="en-US"/>
        </w:rPr>
      </w:pPr>
      <w:r>
        <w:rPr>
          <w:rStyle w:val="FootnoteReference"/>
        </w:rPr>
        <w:footnoteRef/>
      </w:r>
      <w:r>
        <w:t xml:space="preserve"> </w:t>
      </w:r>
      <w:r w:rsidR="00505F91">
        <w:rPr>
          <w:lang w:val="en-US"/>
        </w:rPr>
        <w:t>According to PLF supplied data, 49% concern behavioral incidents, 36% heal</w:t>
      </w:r>
      <w:r w:rsidR="00B02A03">
        <w:rPr>
          <w:lang w:val="en-US"/>
        </w:rPr>
        <w:t>th</w:t>
      </w:r>
      <w:r w:rsidR="00505F91">
        <w:rPr>
          <w:lang w:val="en-US"/>
        </w:rPr>
        <w:t>-related, 13% employment-related.</w:t>
      </w:r>
    </w:p>
  </w:footnote>
  <w:footnote w:id="44">
    <w:p w14:paraId="432A8468" w14:textId="77777777" w:rsidR="00D03E6D" w:rsidRPr="00216CB4" w:rsidRDefault="00D03E6D" w:rsidP="00D03E6D">
      <w:pPr>
        <w:pStyle w:val="FootnoteText"/>
        <w:rPr>
          <w:lang w:val="en-NZ"/>
        </w:rPr>
      </w:pPr>
      <w:r>
        <w:rPr>
          <w:rStyle w:val="FootnoteReference"/>
        </w:rPr>
        <w:footnoteRef/>
      </w:r>
      <w:r>
        <w:t xml:space="preserve"> </w:t>
      </w:r>
      <w:r>
        <w:rPr>
          <w:lang w:val="en-NZ"/>
        </w:rPr>
        <w:t>To address issues of consent and pregnancy.</w:t>
      </w:r>
    </w:p>
  </w:footnote>
  <w:footnote w:id="45">
    <w:p w14:paraId="5126621F" w14:textId="77777777" w:rsidR="00D03E6D" w:rsidRPr="00216CB4" w:rsidRDefault="00D03E6D" w:rsidP="00D03E6D">
      <w:pPr>
        <w:pStyle w:val="FootnoteText"/>
        <w:rPr>
          <w:lang w:val="en-NZ"/>
        </w:rPr>
      </w:pPr>
      <w:r>
        <w:rPr>
          <w:rStyle w:val="FootnoteReference"/>
        </w:rPr>
        <w:footnoteRef/>
      </w:r>
      <w:r>
        <w:t xml:space="preserve"> </w:t>
      </w:r>
      <w:r>
        <w:rPr>
          <w:lang w:val="en-NZ"/>
        </w:rPr>
        <w:t>To address domestic and family violence, and gender-based violence among workers.</w:t>
      </w:r>
    </w:p>
  </w:footnote>
  <w:footnote w:id="46">
    <w:p w14:paraId="00C9480F" w14:textId="77777777" w:rsidR="00475085" w:rsidRDefault="00475085" w:rsidP="00475085">
      <w:pPr>
        <w:pStyle w:val="FootnoteText"/>
      </w:pPr>
      <w:r>
        <w:rPr>
          <w:rStyle w:val="FootnoteReference"/>
        </w:rPr>
        <w:footnoteRef/>
      </w:r>
      <w:r>
        <w:t xml:space="preserve"> Regardless, such critique is a key part of DFAT’s FIMR validation process.</w:t>
      </w:r>
    </w:p>
  </w:footnote>
  <w:footnote w:id="47">
    <w:p w14:paraId="777CF276" w14:textId="79C55983" w:rsidR="00D0724D" w:rsidRDefault="00D0724D" w:rsidP="003B6793">
      <w:pPr>
        <w:pStyle w:val="FootnoteText"/>
        <w:ind w:left="0" w:firstLine="0"/>
      </w:pPr>
      <w:r>
        <w:rPr>
          <w:rStyle w:val="FootnoteReference"/>
        </w:rPr>
        <w:footnoteRef/>
      </w:r>
      <w:r>
        <w:t xml:space="preserve"> </w:t>
      </w:r>
      <w:r>
        <w:rPr>
          <w:rFonts w:cstheme="minorHAnsi"/>
        </w:rPr>
        <w:t>Program theory is a technical speciality, and like other specialities</w:t>
      </w:r>
      <w:r w:rsidR="00032CBD">
        <w:rPr>
          <w:rFonts w:cstheme="minorHAnsi"/>
        </w:rPr>
        <w:t>,</w:t>
      </w:r>
      <w:r>
        <w:rPr>
          <w:rFonts w:cstheme="minorHAnsi"/>
        </w:rPr>
        <w:t xml:space="preserve"> has conventions and norms which through time and experience have become established as ways to optimise success and clarity. </w:t>
      </w:r>
      <w:r w:rsidR="003C00B8">
        <w:rPr>
          <w:rFonts w:cstheme="minorHAnsi"/>
        </w:rPr>
        <w:t>DFAT’s M&amp;E standards continue to evolve in line with these conventions and norms</w:t>
      </w:r>
      <w:r>
        <w:rPr>
          <w:rFonts w:cstheme="minorHAnsi"/>
        </w:rPr>
        <w:t>.</w:t>
      </w:r>
    </w:p>
  </w:footnote>
  <w:footnote w:id="48">
    <w:p w14:paraId="3821A1E7" w14:textId="3FD03078" w:rsidR="00857936" w:rsidRPr="00857936" w:rsidRDefault="00857936" w:rsidP="00AA6E3C">
      <w:pPr>
        <w:pStyle w:val="FootnoteText"/>
        <w:ind w:left="0" w:firstLine="0"/>
        <w:rPr>
          <w:rFonts w:cstheme="minorHAnsi"/>
        </w:rPr>
      </w:pPr>
      <w:r w:rsidRPr="00857936">
        <w:rPr>
          <w:rStyle w:val="FootnoteReference"/>
          <w:rFonts w:cstheme="minorHAnsi"/>
        </w:rPr>
        <w:footnoteRef/>
      </w:r>
      <w:r w:rsidRPr="00857936">
        <w:rPr>
          <w:rFonts w:cstheme="minorHAnsi"/>
        </w:rPr>
        <w:t xml:space="preserve"> </w:t>
      </w:r>
      <w:r w:rsidRPr="00857936">
        <w:rPr>
          <w:rFonts w:cstheme="minorHAnsi"/>
          <w:i/>
          <w:iCs/>
        </w:rPr>
        <w:t>Who</w:t>
      </w:r>
      <w:r w:rsidRPr="00857936">
        <w:rPr>
          <w:rFonts w:cstheme="minorHAnsi"/>
        </w:rPr>
        <w:t xml:space="preserve"> will be doing </w:t>
      </w:r>
      <w:r w:rsidRPr="00857936">
        <w:rPr>
          <w:rFonts w:cstheme="minorHAnsi"/>
          <w:i/>
          <w:iCs/>
        </w:rPr>
        <w:t>what</w:t>
      </w:r>
      <w:r w:rsidRPr="00857936">
        <w:rPr>
          <w:rFonts w:cstheme="minorHAnsi"/>
        </w:rPr>
        <w:t xml:space="preserve"> differently by the end-of-investment?</w:t>
      </w:r>
    </w:p>
  </w:footnote>
  <w:footnote w:id="49">
    <w:p w14:paraId="79143490" w14:textId="77777777" w:rsidR="00F239E1" w:rsidRDefault="00F239E1" w:rsidP="003B6793">
      <w:pPr>
        <w:pStyle w:val="FootnoteText"/>
        <w:ind w:left="0" w:firstLine="0"/>
      </w:pPr>
      <w:r>
        <w:rPr>
          <w:rStyle w:val="FootnoteReference"/>
        </w:rPr>
        <w:footnoteRef/>
      </w:r>
      <w:r>
        <w:t xml:space="preserve"> The evaluation team acknowledges that even technically sound EOPO statements may have become problematic due to the significant contextual and policy changes described elsewhere in this document, and in circumstances where it is challenging within DFAT to amend EOPOs during the life of a contract. The evaluation team also appreciates that the sentiments of the EOPOs were aligned with the original focus of the Australian Government notwithstanding the significant changes that later happened.</w:t>
      </w:r>
    </w:p>
  </w:footnote>
  <w:footnote w:id="50">
    <w:p w14:paraId="2AD2C8FB" w14:textId="176D3F37" w:rsidR="00B56994" w:rsidRDefault="00B56994">
      <w:pPr>
        <w:pStyle w:val="FootnoteText"/>
      </w:pPr>
      <w:r>
        <w:rPr>
          <w:rStyle w:val="FootnoteReference"/>
        </w:rPr>
        <w:footnoteRef/>
      </w:r>
      <w:r>
        <w:t xml:space="preserve"> </w:t>
      </w:r>
      <w:r w:rsidR="002A718D">
        <w:t>DFAT staff, DEWR staff, regional diplomats, contractor staff.</w:t>
      </w:r>
    </w:p>
  </w:footnote>
  <w:footnote w:id="51">
    <w:p w14:paraId="2F8209A8" w14:textId="4CC27F72" w:rsidR="00FE3329" w:rsidRPr="007B01D8" w:rsidRDefault="00FE3329" w:rsidP="00FE3329">
      <w:pPr>
        <w:pStyle w:val="FootnoteText"/>
        <w:ind w:left="0" w:firstLine="0"/>
        <w:rPr>
          <w:lang w:val="en-US"/>
        </w:rPr>
      </w:pPr>
      <w:r>
        <w:rPr>
          <w:rStyle w:val="FootnoteReference"/>
        </w:rPr>
        <w:footnoteRef/>
      </w:r>
      <w:r>
        <w:t xml:space="preserve"> </w:t>
      </w:r>
      <w:r w:rsidRPr="007B01D8">
        <w:t xml:space="preserve">N.B. It was always intended that the PALM </w:t>
      </w:r>
      <w:r w:rsidR="00243692">
        <w:t>s</w:t>
      </w:r>
      <w:r w:rsidRPr="007B01D8">
        <w:t>cheme would scale-up, but that this would happen incrementally rather than dramatically.</w:t>
      </w:r>
    </w:p>
  </w:footnote>
  <w:footnote w:id="52">
    <w:p w14:paraId="2AB936F8" w14:textId="77777777" w:rsidR="00FE3329" w:rsidRPr="007B01D8" w:rsidRDefault="00FE3329" w:rsidP="00FE3329">
      <w:pPr>
        <w:pStyle w:val="FootnoteText"/>
        <w:ind w:left="0" w:firstLine="0"/>
        <w:rPr>
          <w:lang w:val="en-US"/>
        </w:rPr>
      </w:pPr>
      <w:r>
        <w:rPr>
          <w:rStyle w:val="FootnoteReference"/>
        </w:rPr>
        <w:footnoteRef/>
      </w:r>
      <w:r>
        <w:t xml:space="preserve"> </w:t>
      </w:r>
      <w:r w:rsidRPr="007B01D8">
        <w:t>https://www.foreignminister.gov.au/minister/marise-payne/media-release/pacific-work-ready-numbers-double-ahead-australias-harvest-season</w:t>
      </w:r>
    </w:p>
  </w:footnote>
  <w:footnote w:id="53">
    <w:p w14:paraId="1035FC73" w14:textId="77777777" w:rsidR="0083082F" w:rsidRPr="004E4F67" w:rsidRDefault="0083082F" w:rsidP="0083082F">
      <w:pPr>
        <w:pStyle w:val="FootnoteText"/>
        <w:rPr>
          <w:lang w:val="en-NZ"/>
        </w:rPr>
      </w:pPr>
      <w:r w:rsidRPr="00945722">
        <w:rPr>
          <w:rStyle w:val="FootnoteReference"/>
        </w:rPr>
        <w:footnoteRef/>
      </w:r>
      <w:r w:rsidRPr="00945722">
        <w:t xml:space="preserve"> </w:t>
      </w:r>
      <w:r w:rsidRPr="00442F1F">
        <w:rPr>
          <w:lang w:val="en-NZ"/>
        </w:rPr>
        <w:t>Funding for these positions was secured in the Federal Budget 2023-24.</w:t>
      </w:r>
    </w:p>
  </w:footnote>
  <w:footnote w:id="54">
    <w:p w14:paraId="1387A053" w14:textId="77777777" w:rsidR="002F4B6A" w:rsidRPr="003E4A0A" w:rsidRDefault="002F4B6A" w:rsidP="002F4B6A">
      <w:pPr>
        <w:pStyle w:val="FootnoteText"/>
        <w:ind w:left="0" w:firstLine="0"/>
        <w:rPr>
          <w:lang w:val="en-NZ"/>
        </w:rPr>
      </w:pPr>
      <w:r>
        <w:rPr>
          <w:rStyle w:val="FootnoteReference"/>
        </w:rPr>
        <w:footnoteRef/>
      </w:r>
      <w:r>
        <w:t xml:space="preserve"> </w:t>
      </w:r>
      <w:r w:rsidRPr="003E4A0A">
        <w:t>A PLF staff member reported that in Timor-Leste, the LSU received over 55,000 applications within two weeks of opening a recruitment process.</w:t>
      </w:r>
    </w:p>
  </w:footnote>
  <w:footnote w:id="55">
    <w:p w14:paraId="551E3E3B" w14:textId="77777777" w:rsidR="002F4B6A" w:rsidRPr="007B01D8" w:rsidRDefault="002F4B6A" w:rsidP="002F4B6A">
      <w:pPr>
        <w:pStyle w:val="FootnoteText"/>
        <w:rPr>
          <w:lang w:val="en-US"/>
        </w:rPr>
      </w:pPr>
      <w:r>
        <w:rPr>
          <w:rStyle w:val="FootnoteReference"/>
        </w:rPr>
        <w:footnoteRef/>
      </w:r>
      <w:r>
        <w:t xml:space="preserve"> </w:t>
      </w:r>
      <w:r w:rsidRPr="007B01D8">
        <w:t>Reportedly, around 5% of Vanuatu GDP derives from labour mobility.</w:t>
      </w:r>
    </w:p>
  </w:footnote>
  <w:footnote w:id="56">
    <w:p w14:paraId="6F575181" w14:textId="64E97CE7" w:rsidR="004F0CC5" w:rsidRPr="004F0CC5" w:rsidRDefault="004F0CC5" w:rsidP="005C17BB">
      <w:pPr>
        <w:pStyle w:val="FootnoteText"/>
        <w:ind w:left="0" w:firstLine="0"/>
        <w:rPr>
          <w:lang w:val="en-US"/>
        </w:rPr>
      </w:pPr>
      <w:r>
        <w:rPr>
          <w:rStyle w:val="FootnoteReference"/>
        </w:rPr>
        <w:footnoteRef/>
      </w:r>
      <w:r>
        <w:t xml:space="preserve"> </w:t>
      </w:r>
      <w:r w:rsidR="007B01D8" w:rsidRPr="007B01D8">
        <w:t>https://projectmanagementacademy.net/resources/blog/improve-project-efficiency/#:~:text=What%20is%20Project%20Efficiency%3F,%2C%20cost%2C%20and%20schedule%20constraints.</w:t>
      </w:r>
    </w:p>
  </w:footnote>
  <w:footnote w:id="57">
    <w:p w14:paraId="6E440886" w14:textId="000E6033" w:rsidR="004F0CC5" w:rsidRPr="004F0CC5" w:rsidRDefault="004F0CC5">
      <w:pPr>
        <w:pStyle w:val="FootnoteText"/>
        <w:rPr>
          <w:lang w:val="en-US"/>
        </w:rPr>
      </w:pPr>
      <w:r>
        <w:rPr>
          <w:rStyle w:val="FootnoteReference"/>
        </w:rPr>
        <w:footnoteRef/>
      </w:r>
      <w:r>
        <w:t xml:space="preserve"> </w:t>
      </w:r>
      <w:r w:rsidR="00C70B8F" w:rsidRPr="00C70B8F">
        <w:t>https://www.dfat.gov.au/about-us/publications/international-development-programming-guide</w:t>
      </w:r>
    </w:p>
  </w:footnote>
  <w:footnote w:id="58">
    <w:p w14:paraId="3B5D6611" w14:textId="77777777" w:rsidR="00E40E1F" w:rsidRPr="00236CC1" w:rsidRDefault="00E40E1F" w:rsidP="008836F5">
      <w:pPr>
        <w:pStyle w:val="FootnoteText"/>
        <w:ind w:left="0" w:firstLine="0"/>
        <w:rPr>
          <w:lang w:val="en-US"/>
        </w:rPr>
      </w:pPr>
      <w:r>
        <w:rPr>
          <w:rStyle w:val="FootnoteReference"/>
        </w:rPr>
        <w:footnoteRef/>
      </w:r>
      <w:r>
        <w:t xml:space="preserve"> </w:t>
      </w:r>
      <w:r>
        <w:rPr>
          <w:lang w:val="en-US"/>
        </w:rPr>
        <w:t>The context of this comment reflected on the modality of a contracted facility rather than on the performance of PLF specifically.</w:t>
      </w:r>
    </w:p>
  </w:footnote>
  <w:footnote w:id="59">
    <w:p w14:paraId="7DE1DDA8" w14:textId="77777777" w:rsidR="00912C6C" w:rsidRPr="00C70B8F" w:rsidRDefault="00912C6C" w:rsidP="00912C6C">
      <w:pPr>
        <w:pStyle w:val="FootnoteText"/>
        <w:ind w:left="0" w:firstLine="0"/>
        <w:rPr>
          <w:rFonts w:cstheme="minorHAnsi"/>
          <w:lang w:val="en-US"/>
        </w:rPr>
      </w:pPr>
      <w:r w:rsidRPr="00C70B8F">
        <w:rPr>
          <w:rStyle w:val="FootnoteReference"/>
          <w:rFonts w:cstheme="minorHAnsi"/>
        </w:rPr>
        <w:footnoteRef/>
      </w:r>
      <w:r w:rsidRPr="00C70B8F">
        <w:rPr>
          <w:rFonts w:cstheme="minorHAnsi"/>
        </w:rPr>
        <w:t xml:space="preserve"> Pacific Engagement Managers, Program Managers and QLP Managers.</w:t>
      </w:r>
    </w:p>
  </w:footnote>
  <w:footnote w:id="60">
    <w:p w14:paraId="000D2E41" w14:textId="56D10CEE" w:rsidR="00C70B8F" w:rsidRPr="00C70B8F" w:rsidRDefault="00C70B8F" w:rsidP="00DF2151">
      <w:pPr>
        <w:pStyle w:val="FootnoteText"/>
        <w:ind w:left="0" w:firstLine="0"/>
        <w:rPr>
          <w:lang w:val="en-US"/>
        </w:rPr>
      </w:pPr>
      <w:r>
        <w:rPr>
          <w:rStyle w:val="FootnoteReference"/>
        </w:rPr>
        <w:footnoteRef/>
      </w:r>
      <w:r>
        <w:t xml:space="preserve"> </w:t>
      </w:r>
      <w:r w:rsidRPr="00C70B8F">
        <w:t>N.B. The evaluation team did not engage directly with New Zealand’s Ministry for Foreign Affairs (MFAT) to confirm perspectives on harmonisation and coordination.</w:t>
      </w:r>
    </w:p>
  </w:footnote>
  <w:footnote w:id="61">
    <w:p w14:paraId="74E462E0" w14:textId="36059CE7" w:rsidR="00C70B8F" w:rsidRPr="00C70B8F" w:rsidRDefault="00C70B8F" w:rsidP="00C70B8F">
      <w:pPr>
        <w:pStyle w:val="FootnoteText"/>
        <w:rPr>
          <w:rFonts w:cstheme="minorHAnsi"/>
          <w:lang w:val="en-US"/>
        </w:rPr>
      </w:pPr>
      <w:r w:rsidRPr="00C70B8F">
        <w:rPr>
          <w:rStyle w:val="FootnoteReference"/>
          <w:rFonts w:cstheme="minorHAnsi"/>
        </w:rPr>
        <w:footnoteRef/>
      </w:r>
      <w:r w:rsidRPr="00C70B8F">
        <w:rPr>
          <w:rFonts w:cstheme="minorHAnsi"/>
        </w:rPr>
        <w:t xml:space="preserve"> https://aptc.edu.au/</w:t>
      </w:r>
    </w:p>
  </w:footnote>
  <w:footnote w:id="62">
    <w:p w14:paraId="76B14447" w14:textId="77777777" w:rsidR="008A4B0D" w:rsidRPr="006875E9" w:rsidRDefault="008A4B0D" w:rsidP="008A4B0D">
      <w:pPr>
        <w:pStyle w:val="FootnoteText"/>
        <w:rPr>
          <w:lang w:val="en-NZ"/>
        </w:rPr>
      </w:pPr>
      <w:r>
        <w:rPr>
          <w:rStyle w:val="FootnoteReference"/>
        </w:rPr>
        <w:footnoteRef/>
      </w:r>
      <w:r>
        <w:t xml:space="preserve"> </w:t>
      </w:r>
      <w:r w:rsidRPr="00442F1F">
        <w:rPr>
          <w:lang w:val="en-NZ"/>
        </w:rPr>
        <w:t>LSU capacity self-assessment results 2023.</w:t>
      </w:r>
      <w:r w:rsidRPr="006875E9">
        <w:rPr>
          <w:lang w:val="en-NZ"/>
        </w:rPr>
        <w:t xml:space="preserve"> </w:t>
      </w:r>
    </w:p>
  </w:footnote>
  <w:footnote w:id="63">
    <w:p w14:paraId="3ECE40DF" w14:textId="77EC9E9A" w:rsidR="008A4B0D" w:rsidRPr="00B75E34" w:rsidRDefault="008A4B0D" w:rsidP="007636DA">
      <w:pPr>
        <w:pStyle w:val="FootnoteText"/>
        <w:ind w:left="0" w:firstLine="0"/>
        <w:rPr>
          <w:lang w:val="en-NZ"/>
        </w:rPr>
      </w:pPr>
      <w:r w:rsidRPr="00442F1F">
        <w:rPr>
          <w:rStyle w:val="FootnoteReference"/>
        </w:rPr>
        <w:footnoteRef/>
      </w:r>
      <w:r w:rsidRPr="00442F1F">
        <w:t xml:space="preserve"> LSU capacity self-assessments have occurred in 2019, 2021 and 2023. </w:t>
      </w:r>
      <w:r w:rsidRPr="00442F1F">
        <w:rPr>
          <w:lang w:val="en-NZ"/>
        </w:rPr>
        <w:t>The questionnaire covers LSU structure, leadership and resourcing; circular labour mobility policy and planning frameworks and stakeholder engagement; LSU operations; data and knowledge management; communications and outreach; and GEDSI.</w:t>
      </w:r>
    </w:p>
  </w:footnote>
  <w:footnote w:id="64">
    <w:p w14:paraId="2F43010A" w14:textId="2C2BC6D3" w:rsidR="00062B02" w:rsidRPr="00442F1F" w:rsidRDefault="00062B02" w:rsidP="00B24312">
      <w:pPr>
        <w:pStyle w:val="FootnoteText"/>
        <w:ind w:left="0" w:firstLine="0"/>
        <w:rPr>
          <w:lang w:val="en-US"/>
        </w:rPr>
      </w:pPr>
      <w:r>
        <w:rPr>
          <w:rStyle w:val="FootnoteReference"/>
        </w:rPr>
        <w:footnoteRef/>
      </w:r>
      <w:r>
        <w:t xml:space="preserve"> </w:t>
      </w:r>
      <w:r>
        <w:rPr>
          <w:lang w:val="en-US"/>
        </w:rPr>
        <w:t>N.B. the evaluation team also reviewed the findings of PLF’s bespoke LSU capacity self-assessments which have yielded valuable context</w:t>
      </w:r>
      <w:r w:rsidR="00B11523">
        <w:rPr>
          <w:lang w:val="en-US"/>
        </w:rPr>
        <w:t>-</w:t>
      </w:r>
      <w:r>
        <w:rPr>
          <w:lang w:val="en-US"/>
        </w:rPr>
        <w:t xml:space="preserve">specific insights. The </w:t>
      </w:r>
      <w:r w:rsidR="00567379">
        <w:rPr>
          <w:lang w:val="en-US"/>
        </w:rPr>
        <w:t xml:space="preserve">additional </w:t>
      </w:r>
      <w:r w:rsidR="00B24312">
        <w:rPr>
          <w:lang w:val="en-US"/>
        </w:rPr>
        <w:t>value</w:t>
      </w:r>
      <w:r w:rsidR="00567379">
        <w:rPr>
          <w:lang w:val="en-US"/>
        </w:rPr>
        <w:t xml:space="preserve"> of this generic institution</w:t>
      </w:r>
      <w:r w:rsidR="0080509F">
        <w:rPr>
          <w:lang w:val="en-US"/>
        </w:rPr>
        <w:t>al</w:t>
      </w:r>
      <w:r w:rsidR="00567379">
        <w:rPr>
          <w:lang w:val="en-US"/>
        </w:rPr>
        <w:t xml:space="preserve"> change framework enabled a broader interpretation of </w:t>
      </w:r>
      <w:r w:rsidR="00B11523">
        <w:rPr>
          <w:lang w:val="en-US"/>
        </w:rPr>
        <w:t>key challenges and achievements in relation to LSU capacity.</w:t>
      </w:r>
      <w:r w:rsidR="00F17B44">
        <w:rPr>
          <w:lang w:val="en-US"/>
        </w:rPr>
        <w:t xml:space="preserve"> There is value in both frameworks.</w:t>
      </w:r>
    </w:p>
  </w:footnote>
  <w:footnote w:id="65">
    <w:p w14:paraId="18C4E19C" w14:textId="77777777" w:rsidR="0078103C" w:rsidRPr="0078103C" w:rsidRDefault="0078103C" w:rsidP="0078103C">
      <w:pPr>
        <w:pStyle w:val="FootnoteText"/>
        <w:ind w:left="0" w:firstLine="0"/>
        <w:rPr>
          <w:lang w:val="en-NZ"/>
        </w:rPr>
      </w:pPr>
      <w:r>
        <w:rPr>
          <w:rStyle w:val="FootnoteReference"/>
        </w:rPr>
        <w:footnoteRef/>
      </w:r>
      <w:r>
        <w:t xml:space="preserve"> </w:t>
      </w:r>
      <w:hyperlink r:id="rId1" w:history="1">
        <w:r w:rsidRPr="00442F1F">
          <w:t>https://www.palmscheme.gov.au/resources/palm-scheme-approved-employer-deed-agreement</w:t>
        </w:r>
      </w:hyperlink>
      <w:r w:rsidRPr="00442F1F">
        <w:t>; https://www.palmscheme.gov.au/search?combine=Approved+Employer+Guidelines</w:t>
      </w:r>
    </w:p>
  </w:footnote>
  <w:footnote w:id="66">
    <w:p w14:paraId="540FC9CE" w14:textId="2F33DF3F" w:rsidR="0078103C" w:rsidRPr="00C70B8F" w:rsidRDefault="0078103C" w:rsidP="0078103C">
      <w:pPr>
        <w:pStyle w:val="FootnoteText"/>
        <w:ind w:left="0" w:firstLine="0"/>
        <w:rPr>
          <w:lang w:val="en-US"/>
        </w:rPr>
      </w:pPr>
      <w:r w:rsidRPr="0078103C">
        <w:rPr>
          <w:rStyle w:val="FootnoteReference"/>
        </w:rPr>
        <w:footnoteRef/>
      </w:r>
      <w:r w:rsidRPr="0078103C">
        <w:t xml:space="preserve"> </w:t>
      </w:r>
      <w:r w:rsidRPr="00442F1F">
        <w:t xml:space="preserve">Stakeholder interviews indicated significant industry concerns with changes to the PALM scheme </w:t>
      </w:r>
      <w:r w:rsidR="00CA690A">
        <w:t>d</w:t>
      </w:r>
      <w:r w:rsidRPr="00442F1F">
        <w:t xml:space="preserve">eed and </w:t>
      </w:r>
      <w:r w:rsidR="00CA690A">
        <w:t>g</w:t>
      </w:r>
      <w:r w:rsidRPr="00442F1F">
        <w:t>uidelines, particularly related to new minimum requirements for hours of work under the short-term scheme, which they argue will dampen demand for Pacific and Timor-Leste workers.</w:t>
      </w:r>
    </w:p>
  </w:footnote>
  <w:footnote w:id="67">
    <w:p w14:paraId="0E27DA6D" w14:textId="77777777" w:rsidR="00C45ABD" w:rsidRDefault="00C45ABD" w:rsidP="00C45ABD">
      <w:pPr>
        <w:pStyle w:val="FootnoteText"/>
      </w:pPr>
      <w:r>
        <w:rPr>
          <w:rStyle w:val="FootnoteReference"/>
        </w:rPr>
        <w:footnoteRef/>
      </w:r>
      <w:r>
        <w:t xml:space="preserve"> Not recruited until July 2019 (</w:t>
      </w:r>
      <w:r w:rsidRPr="00661DF8">
        <w:t>https://www.alineainternational.com/monitoring-evaluation-learning/</w:t>
      </w:r>
      <w:r>
        <w:t>).</w:t>
      </w:r>
    </w:p>
  </w:footnote>
  <w:footnote w:id="68">
    <w:p w14:paraId="29F33BE6" w14:textId="77777777" w:rsidR="00C45ABD" w:rsidRDefault="00C45ABD" w:rsidP="00C45ABD">
      <w:pPr>
        <w:pStyle w:val="FootnoteText"/>
      </w:pPr>
      <w:r>
        <w:rPr>
          <w:rStyle w:val="FootnoteReference"/>
        </w:rPr>
        <w:footnoteRef/>
      </w:r>
      <w:r>
        <w:t xml:space="preserve"> These staff are recruited from within the region, drawn from a range of MEL and social science backgrounds.</w:t>
      </w:r>
    </w:p>
  </w:footnote>
  <w:footnote w:id="69">
    <w:p w14:paraId="734DB826" w14:textId="42EBB998" w:rsidR="00C45ABD" w:rsidRDefault="00C45ABD" w:rsidP="007636DA">
      <w:pPr>
        <w:pStyle w:val="FootnoteText"/>
        <w:ind w:left="0" w:firstLine="0"/>
      </w:pPr>
      <w:r>
        <w:rPr>
          <w:rStyle w:val="FootnoteReference"/>
        </w:rPr>
        <w:footnoteRef/>
      </w:r>
      <w:r w:rsidR="00360F5C">
        <w:t xml:space="preserve"> </w:t>
      </w:r>
      <w:r>
        <w:t>This level of MEL investment is below international good practice, but consistent with comparable DFAT investments in recent years.</w:t>
      </w:r>
    </w:p>
  </w:footnote>
  <w:footnote w:id="70">
    <w:p w14:paraId="0C6A4F6F" w14:textId="28920ABD" w:rsidR="00240CFD" w:rsidRDefault="00240CFD" w:rsidP="00770799">
      <w:pPr>
        <w:pStyle w:val="FootnoteText"/>
        <w:ind w:left="0" w:firstLine="0"/>
      </w:pPr>
      <w:r>
        <w:rPr>
          <w:rStyle w:val="FootnoteReference"/>
        </w:rPr>
        <w:footnoteRef/>
      </w:r>
      <w:r>
        <w:t xml:space="preserve"> Key domains in which labour sending countries are evolving </w:t>
      </w:r>
      <w:r w:rsidR="00F34066">
        <w:t xml:space="preserve">their own perspectives and priorities include: </w:t>
      </w:r>
      <w:r w:rsidR="00F34066" w:rsidRPr="00666156">
        <w:rPr>
          <w:rFonts w:cstheme="minorHAnsi"/>
        </w:rPr>
        <w:t>focusing on short-term or longer-term deployments; lower or more highly skilled workers; numbers of workers sent; matters in relation to government revenue; policies to support investment and micro-enterprise by returning workers; strategic workforce development issues (especially in critical areas such as health and education)</w:t>
      </w:r>
      <w:r w:rsidR="00770799">
        <w:rPr>
          <w:rFonts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3775" w14:textId="77777777" w:rsidR="00700903" w:rsidRDefault="00700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405D" w14:textId="77777777" w:rsidR="005919AB" w:rsidRDefault="00591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3CAA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46EA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4007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45C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CC64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6281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3247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A0CB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3AF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BE3A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F5F80"/>
    <w:multiLevelType w:val="multilevel"/>
    <w:tmpl w:val="D542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511105"/>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12" w15:restartNumberingAfterBreak="0">
    <w:nsid w:val="02AD5B90"/>
    <w:multiLevelType w:val="multilevel"/>
    <w:tmpl w:val="BF72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7221D4"/>
    <w:multiLevelType w:val="multilevel"/>
    <w:tmpl w:val="8508201A"/>
    <w:styleLink w:val="BlockList"/>
    <w:lvl w:ilvl="0">
      <w:start w:val="1"/>
      <w:numFmt w:val="bullet"/>
      <w:pStyle w:val="Listblueblockbullet"/>
      <w:lvlText w:val=""/>
      <w:lvlJc w:val="left"/>
      <w:pPr>
        <w:ind w:left="357" w:hanging="357"/>
      </w:pPr>
      <w:rPr>
        <w:rFonts w:ascii="Symbol" w:hAnsi="Symbol" w:hint="default"/>
        <w:color w:val="CC6600" w:themeColor="accent1"/>
      </w:rPr>
    </w:lvl>
    <w:lvl w:ilvl="1">
      <w:start w:val="1"/>
      <w:numFmt w:val="bullet"/>
      <w:pStyle w:val="Listgreyblockbullet"/>
      <w:lvlText w:val=""/>
      <w:lvlJc w:val="left"/>
      <w:pPr>
        <w:ind w:left="357" w:hanging="357"/>
      </w:pPr>
      <w:rPr>
        <w:rFonts w:ascii="Symbol" w:hAnsi="Symbol" w:hint="default"/>
        <w:color w:val="CC6600" w:themeColor="accent1"/>
      </w:rPr>
    </w:lvl>
    <w:lvl w:ilvl="2">
      <w:start w:val="1"/>
      <w:numFmt w:val="bullet"/>
      <w:pStyle w:val="Listorangeblockbullet"/>
      <w:lvlText w:val=""/>
      <w:lvlJc w:val="left"/>
      <w:pPr>
        <w:ind w:left="357" w:hanging="357"/>
      </w:pPr>
      <w:rPr>
        <w:rFonts w:ascii="Symbol" w:hAnsi="Symbol" w:hint="default"/>
        <w:color w:val="CC6600" w:themeColor="accent1"/>
      </w:rPr>
    </w:lvl>
    <w:lvl w:ilvl="3">
      <w:start w:val="1"/>
      <w:numFmt w:val="bullet"/>
      <w:pStyle w:val="Listtealblockbullet"/>
      <w:lvlText w:val=""/>
      <w:lvlJc w:val="left"/>
      <w:pPr>
        <w:ind w:left="357" w:hanging="357"/>
      </w:pPr>
      <w:rPr>
        <w:rFonts w:ascii="Symbol" w:hAnsi="Symbol" w:hint="default"/>
        <w:color w:val="CC6600" w:themeColor="accent1"/>
      </w:rPr>
    </w:lvl>
    <w:lvl w:ilvl="4">
      <w:start w:val="1"/>
      <w:numFmt w:val="none"/>
      <w:suff w:val="nothing"/>
      <w:lvlText w:val=""/>
      <w:lvlJc w:val="left"/>
      <w:pPr>
        <w:ind w:left="-32767" w:firstLine="32767"/>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32767" w:firstLine="32767"/>
      </w:pPr>
      <w:rPr>
        <w:rFonts w:hint="default"/>
      </w:rPr>
    </w:lvl>
  </w:abstractNum>
  <w:abstractNum w:abstractNumId="14" w15:restartNumberingAfterBreak="0">
    <w:nsid w:val="09F76D22"/>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15" w15:restartNumberingAfterBreak="0">
    <w:nsid w:val="0A1749E4"/>
    <w:multiLevelType w:val="hybridMultilevel"/>
    <w:tmpl w:val="F7B6AA5A"/>
    <w:lvl w:ilvl="0" w:tplc="F2263F44">
      <w:start w:val="1"/>
      <w:numFmt w:val="bullet"/>
      <w:lvlText w:val=""/>
      <w:lvlJc w:val="left"/>
      <w:pPr>
        <w:ind w:left="1060" w:hanging="360"/>
      </w:pPr>
      <w:rPr>
        <w:rFonts w:ascii="Symbol" w:hAnsi="Symbol"/>
      </w:rPr>
    </w:lvl>
    <w:lvl w:ilvl="1" w:tplc="9AF4267C">
      <w:start w:val="1"/>
      <w:numFmt w:val="bullet"/>
      <w:lvlText w:val=""/>
      <w:lvlJc w:val="left"/>
      <w:pPr>
        <w:ind w:left="1060" w:hanging="360"/>
      </w:pPr>
      <w:rPr>
        <w:rFonts w:ascii="Symbol" w:hAnsi="Symbol"/>
      </w:rPr>
    </w:lvl>
    <w:lvl w:ilvl="2" w:tplc="AADADF64">
      <w:start w:val="1"/>
      <w:numFmt w:val="bullet"/>
      <w:lvlText w:val=""/>
      <w:lvlJc w:val="left"/>
      <w:pPr>
        <w:ind w:left="1060" w:hanging="360"/>
      </w:pPr>
      <w:rPr>
        <w:rFonts w:ascii="Symbol" w:hAnsi="Symbol"/>
      </w:rPr>
    </w:lvl>
    <w:lvl w:ilvl="3" w:tplc="7AE651AC">
      <w:start w:val="1"/>
      <w:numFmt w:val="bullet"/>
      <w:lvlText w:val=""/>
      <w:lvlJc w:val="left"/>
      <w:pPr>
        <w:ind w:left="1060" w:hanging="360"/>
      </w:pPr>
      <w:rPr>
        <w:rFonts w:ascii="Symbol" w:hAnsi="Symbol"/>
      </w:rPr>
    </w:lvl>
    <w:lvl w:ilvl="4" w:tplc="A0A6798E">
      <w:start w:val="1"/>
      <w:numFmt w:val="bullet"/>
      <w:lvlText w:val=""/>
      <w:lvlJc w:val="left"/>
      <w:pPr>
        <w:ind w:left="1060" w:hanging="360"/>
      </w:pPr>
      <w:rPr>
        <w:rFonts w:ascii="Symbol" w:hAnsi="Symbol"/>
      </w:rPr>
    </w:lvl>
    <w:lvl w:ilvl="5" w:tplc="B8AC1676">
      <w:start w:val="1"/>
      <w:numFmt w:val="bullet"/>
      <w:lvlText w:val=""/>
      <w:lvlJc w:val="left"/>
      <w:pPr>
        <w:ind w:left="1060" w:hanging="360"/>
      </w:pPr>
      <w:rPr>
        <w:rFonts w:ascii="Symbol" w:hAnsi="Symbol"/>
      </w:rPr>
    </w:lvl>
    <w:lvl w:ilvl="6" w:tplc="32BE10CE">
      <w:start w:val="1"/>
      <w:numFmt w:val="bullet"/>
      <w:lvlText w:val=""/>
      <w:lvlJc w:val="left"/>
      <w:pPr>
        <w:ind w:left="1060" w:hanging="360"/>
      </w:pPr>
      <w:rPr>
        <w:rFonts w:ascii="Symbol" w:hAnsi="Symbol"/>
      </w:rPr>
    </w:lvl>
    <w:lvl w:ilvl="7" w:tplc="FF90C16E">
      <w:start w:val="1"/>
      <w:numFmt w:val="bullet"/>
      <w:lvlText w:val=""/>
      <w:lvlJc w:val="left"/>
      <w:pPr>
        <w:ind w:left="1060" w:hanging="360"/>
      </w:pPr>
      <w:rPr>
        <w:rFonts w:ascii="Symbol" w:hAnsi="Symbol"/>
      </w:rPr>
    </w:lvl>
    <w:lvl w:ilvl="8" w:tplc="3AE84C52">
      <w:start w:val="1"/>
      <w:numFmt w:val="bullet"/>
      <w:lvlText w:val=""/>
      <w:lvlJc w:val="left"/>
      <w:pPr>
        <w:ind w:left="1060" w:hanging="360"/>
      </w:pPr>
      <w:rPr>
        <w:rFonts w:ascii="Symbol" w:hAnsi="Symbol"/>
      </w:rPr>
    </w:lvl>
  </w:abstractNum>
  <w:abstractNum w:abstractNumId="16" w15:restartNumberingAfterBreak="0">
    <w:nsid w:val="0AC97C0E"/>
    <w:multiLevelType w:val="multilevel"/>
    <w:tmpl w:val="F2DC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BE03FAE"/>
    <w:multiLevelType w:val="multilevel"/>
    <w:tmpl w:val="F51CEDDA"/>
    <w:styleLink w:val="111111"/>
    <w:lvl w:ilvl="0">
      <w:start w:val="1"/>
      <w:numFmt w:val="decimal"/>
      <w:pStyle w:val="Heading1"/>
      <w:suff w:val="space"/>
      <w:lvlText w:val="%1."/>
      <w:lvlJc w:val="left"/>
      <w:pPr>
        <w:ind w:left="0" w:firstLine="0"/>
      </w:pPr>
      <w:rPr>
        <w:rFonts w:hint="default"/>
        <w:b w:val="0"/>
        <w:i w:val="0"/>
      </w:rPr>
    </w:lvl>
    <w:lvl w:ilvl="1">
      <w:start w:val="1"/>
      <w:numFmt w:val="decimal"/>
      <w:pStyle w:val="Heading2"/>
      <w:suff w:val="space"/>
      <w:lvlText w:val="%1.%2."/>
      <w:lvlJc w:val="left"/>
      <w:pPr>
        <w:ind w:left="0" w:firstLine="0"/>
      </w:pPr>
      <w:rPr>
        <w:rFonts w:hint="default"/>
        <w:b w:val="0"/>
        <w:i w:val="0"/>
      </w:rPr>
    </w:lvl>
    <w:lvl w:ilvl="2">
      <w:start w:val="1"/>
      <w:numFmt w:val="decimal"/>
      <w:pStyle w:val="Heading3"/>
      <w:suff w:val="space"/>
      <w:lvlText w:val="%1.%2.%3."/>
      <w:lvlJc w:val="left"/>
      <w:pPr>
        <w:ind w:left="0" w:firstLine="0"/>
      </w:pPr>
      <w:rPr>
        <w:rFonts w:hint="default"/>
        <w:b w:val="0"/>
        <w:i w:val="0"/>
      </w:rPr>
    </w:lvl>
    <w:lvl w:ilvl="3">
      <w:start w:val="1"/>
      <w:numFmt w:val="decimal"/>
      <w:pStyle w:val="Heading4"/>
      <w:suff w:val="space"/>
      <w:lvlText w:val="%1.%2.%3.%4."/>
      <w:lvlJc w:val="left"/>
      <w:pPr>
        <w:ind w:left="0" w:firstLine="0"/>
      </w:pPr>
      <w:rPr>
        <w:rFonts w:hint="default"/>
        <w:b w:val="0"/>
        <w:i/>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i w:val="0"/>
      </w:rPr>
    </w:lvl>
    <w:lvl w:ilvl="6">
      <w:start w:val="1"/>
      <w:numFmt w:val="none"/>
      <w:suff w:val="nothing"/>
      <w:lvlText w:val=""/>
      <w:lvlJc w:val="left"/>
      <w:pPr>
        <w:ind w:left="0" w:firstLine="0"/>
      </w:pPr>
      <w:rPr>
        <w:rFonts w:hint="default"/>
        <w:b/>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0E4C275F"/>
    <w:multiLevelType w:val="hybridMultilevel"/>
    <w:tmpl w:val="213C712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0F293FBB"/>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20" w15:restartNumberingAfterBreak="0">
    <w:nsid w:val="10E56224"/>
    <w:multiLevelType w:val="hybridMultilevel"/>
    <w:tmpl w:val="7B969698"/>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12E03C44"/>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22" w15:restartNumberingAfterBreak="0">
    <w:nsid w:val="134A3388"/>
    <w:multiLevelType w:val="multilevel"/>
    <w:tmpl w:val="6B16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57A1070"/>
    <w:multiLevelType w:val="multilevel"/>
    <w:tmpl w:val="BA62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D06D9D"/>
    <w:multiLevelType w:val="multilevel"/>
    <w:tmpl w:val="B9CA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719545E"/>
    <w:multiLevelType w:val="multilevel"/>
    <w:tmpl w:val="DC9C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9440A1E"/>
    <w:multiLevelType w:val="multilevel"/>
    <w:tmpl w:val="3D24E422"/>
    <w:styleLink w:val="AppendixList"/>
    <w:lvl w:ilvl="0">
      <w:start w:val="1"/>
      <w:numFmt w:val="upperLetter"/>
      <w:pStyle w:val="Heading8"/>
      <w:suff w:val="space"/>
      <w:lvlText w:val="Appendix %1"/>
      <w:lvlJc w:val="left"/>
      <w:pPr>
        <w:ind w:left="0" w:firstLine="0"/>
      </w:pPr>
      <w:rPr>
        <w:rFonts w:hint="default"/>
        <w:b w:val="0"/>
        <w:i w:val="0"/>
      </w:rPr>
    </w:lvl>
    <w:lvl w:ilvl="1">
      <w:start w:val="1"/>
      <w:numFmt w:val="decimal"/>
      <w:pStyle w:val="Heading9"/>
      <w:suff w:val="space"/>
      <w:lvlText w:val="%1.%2"/>
      <w:lvlJc w:val="left"/>
      <w:pPr>
        <w:ind w:left="0" w:firstLine="0"/>
      </w:pPr>
      <w:rPr>
        <w:rFonts w:hint="default"/>
        <w:b w:val="0"/>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194C37F1"/>
    <w:multiLevelType w:val="multilevel"/>
    <w:tmpl w:val="8FD0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EDC1B6B"/>
    <w:multiLevelType w:val="multilevel"/>
    <w:tmpl w:val="421C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F4022E3"/>
    <w:multiLevelType w:val="hybridMultilevel"/>
    <w:tmpl w:val="474C942A"/>
    <w:lvl w:ilvl="0" w:tplc="B0D8C958">
      <w:start w:val="1"/>
      <w:numFmt w:val="bullet"/>
      <w:lvlText w:val=""/>
      <w:lvlJc w:val="left"/>
      <w:pPr>
        <w:ind w:left="360" w:hanging="360"/>
      </w:pPr>
      <w:rPr>
        <w:rFonts w:ascii="Symbol" w:hAnsi="Symbol" w:hint="default"/>
        <w:color w:val="EAE7E3"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FE559EC"/>
    <w:multiLevelType w:val="multilevel"/>
    <w:tmpl w:val="331C3342"/>
    <w:lvl w:ilvl="0">
      <w:start w:val="1"/>
      <w:numFmt w:val="decimal"/>
      <w:lvlText w:val="%1."/>
      <w:lvlJc w:val="left"/>
      <w:pPr>
        <w:ind w:left="644" w:hanging="360"/>
      </w:pPr>
      <w:rPr>
        <w:rFonts w:hint="default"/>
        <w:b w:val="0"/>
        <w:i w:val="0"/>
        <w:color w:val="CC6600" w:themeColor="accent1"/>
        <w:sz w:val="21"/>
      </w:rPr>
    </w:lvl>
    <w:lvl w:ilvl="1">
      <w:start w:val="1"/>
      <w:numFmt w:val="lowerLetter"/>
      <w:lvlText w:val="%2."/>
      <w:lvlJc w:val="left"/>
      <w:pPr>
        <w:ind w:left="851" w:hanging="567"/>
      </w:pPr>
      <w:rPr>
        <w:rFonts w:ascii="Arial" w:hAnsi="Arial" w:hint="default"/>
        <w:color w:val="0D8577" w:themeColor="accent5"/>
        <w:sz w:val="21"/>
      </w:rPr>
    </w:lvl>
    <w:lvl w:ilvl="2">
      <w:start w:val="1"/>
      <w:numFmt w:val="lowerRoman"/>
      <w:lvlText w:val="%3."/>
      <w:lvlJc w:val="left"/>
      <w:pPr>
        <w:ind w:left="1191" w:hanging="340"/>
      </w:pPr>
      <w:rPr>
        <w:rFonts w:ascii="Arial" w:hAnsi="Arial" w:hint="default"/>
        <w:b w:val="0"/>
        <w:i w:val="0"/>
        <w:color w:val="0D3E67" w:themeColor="accent3"/>
        <w:sz w:val="20"/>
      </w:rPr>
    </w:lvl>
    <w:lvl w:ilvl="3">
      <w:start w:val="1"/>
      <w:numFmt w:val="lowerRoman"/>
      <w:lvlText w:val="(%4)"/>
      <w:lvlJc w:val="left"/>
      <w:pPr>
        <w:ind w:left="1531" w:hanging="397"/>
      </w:pPr>
      <w:rPr>
        <w:rFonts w:ascii="Arial" w:hAnsi="Arial" w:hint="default"/>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2097C67"/>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32" w15:restartNumberingAfterBreak="0">
    <w:nsid w:val="25167D93"/>
    <w:multiLevelType w:val="multilevel"/>
    <w:tmpl w:val="AD7C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54A3953"/>
    <w:multiLevelType w:val="multilevel"/>
    <w:tmpl w:val="AA06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55721F4"/>
    <w:multiLevelType w:val="multilevel"/>
    <w:tmpl w:val="8184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558568B"/>
    <w:multiLevelType w:val="multilevel"/>
    <w:tmpl w:val="C3D8D7E0"/>
    <w:styleLink w:val="1ai"/>
    <w:lvl w:ilvl="0">
      <w:start w:val="1"/>
      <w:numFmt w:val="decimal"/>
      <w:pStyle w:val="ListNumber"/>
      <w:lvlText w:val="%1."/>
      <w:lvlJc w:val="left"/>
      <w:pPr>
        <w:ind w:left="360" w:hanging="360"/>
      </w:pPr>
      <w:rPr>
        <w:rFonts w:hint="default"/>
        <w:b w:val="0"/>
        <w:i w:val="0"/>
        <w:color w:val="CC6600" w:themeColor="accent1"/>
      </w:rPr>
    </w:lvl>
    <w:lvl w:ilvl="1">
      <w:start w:val="1"/>
      <w:numFmt w:val="lowerLetter"/>
      <w:pStyle w:val="ListNumber2"/>
      <w:lvlText w:val="%2."/>
      <w:lvlJc w:val="left"/>
      <w:pPr>
        <w:ind w:left="720" w:hanging="360"/>
      </w:pPr>
      <w:rPr>
        <w:rFonts w:hint="default"/>
        <w:b w:val="0"/>
        <w:i w:val="0"/>
        <w:color w:val="0D8577" w:themeColor="accent5"/>
      </w:rPr>
    </w:lvl>
    <w:lvl w:ilvl="2">
      <w:start w:val="1"/>
      <w:numFmt w:val="none"/>
      <w:suff w:val="nothing"/>
      <w:lvlText w:val=""/>
      <w:lvlJc w:val="left"/>
      <w:pPr>
        <w:ind w:left="0" w:firstLine="0"/>
      </w:pPr>
      <w:rPr>
        <w:rFonts w:hint="default"/>
        <w:b w:val="0"/>
        <w:i w:val="0"/>
      </w:rPr>
    </w:lvl>
    <w:lvl w:ilvl="3">
      <w:start w:val="1"/>
      <w:numFmt w:val="none"/>
      <w:suff w:val="nothing"/>
      <w:lvlText w:val=""/>
      <w:lvlJc w:val="left"/>
      <w:pPr>
        <w:ind w:left="0" w:firstLine="0"/>
      </w:pPr>
      <w:rPr>
        <w:rFonts w:hint="default"/>
        <w:b w:val="0"/>
        <w:i w:val="0"/>
      </w:rPr>
    </w:lvl>
    <w:lvl w:ilvl="4">
      <w:start w:val="1"/>
      <w:numFmt w:val="none"/>
      <w:suff w:val="nothing"/>
      <w:lvlText w:val=""/>
      <w:lvlJc w:val="left"/>
      <w:pPr>
        <w:ind w:left="0" w:firstLine="0"/>
      </w:pPr>
      <w:rPr>
        <w:rFonts w:hint="default"/>
        <w:b w:val="0"/>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25601583"/>
    <w:multiLevelType w:val="multilevel"/>
    <w:tmpl w:val="DD8C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77E4BD5"/>
    <w:multiLevelType w:val="hybridMultilevel"/>
    <w:tmpl w:val="C54C903C"/>
    <w:lvl w:ilvl="0" w:tplc="950ED0B6">
      <w:start w:val="1"/>
      <w:numFmt w:val="bullet"/>
      <w:lvlText w:val=""/>
      <w:lvlJc w:val="left"/>
      <w:pPr>
        <w:ind w:left="360" w:hanging="360"/>
      </w:pPr>
      <w:rPr>
        <w:rFonts w:ascii="Symbol" w:hAnsi="Symbol" w:hint="default"/>
        <w:color w:val="CC6600"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BC5533E"/>
    <w:multiLevelType w:val="multilevel"/>
    <w:tmpl w:val="4BFA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BD6473"/>
    <w:multiLevelType w:val="hybridMultilevel"/>
    <w:tmpl w:val="FFFFFFFF"/>
    <w:lvl w:ilvl="0" w:tplc="7BC4702C">
      <w:start w:val="1"/>
      <w:numFmt w:val="decimal"/>
      <w:lvlText w:val="%1."/>
      <w:lvlJc w:val="left"/>
      <w:pPr>
        <w:ind w:left="720" w:hanging="360"/>
      </w:pPr>
    </w:lvl>
    <w:lvl w:ilvl="1" w:tplc="BF663314">
      <w:start w:val="1"/>
      <w:numFmt w:val="decimal"/>
      <w:lvlText w:val="%2)"/>
      <w:lvlJc w:val="left"/>
      <w:pPr>
        <w:ind w:left="1440" w:hanging="360"/>
      </w:pPr>
    </w:lvl>
    <w:lvl w:ilvl="2" w:tplc="06E837D8">
      <w:start w:val="1"/>
      <w:numFmt w:val="lowerRoman"/>
      <w:lvlText w:val="%3."/>
      <w:lvlJc w:val="right"/>
      <w:pPr>
        <w:ind w:left="2160" w:hanging="180"/>
      </w:pPr>
    </w:lvl>
    <w:lvl w:ilvl="3" w:tplc="CC741D9C">
      <w:start w:val="1"/>
      <w:numFmt w:val="decimal"/>
      <w:lvlText w:val="%4."/>
      <w:lvlJc w:val="left"/>
      <w:pPr>
        <w:ind w:left="2880" w:hanging="360"/>
      </w:pPr>
    </w:lvl>
    <w:lvl w:ilvl="4" w:tplc="4AD07ECC">
      <w:start w:val="1"/>
      <w:numFmt w:val="lowerLetter"/>
      <w:lvlText w:val="%5."/>
      <w:lvlJc w:val="left"/>
      <w:pPr>
        <w:ind w:left="3600" w:hanging="360"/>
      </w:pPr>
    </w:lvl>
    <w:lvl w:ilvl="5" w:tplc="B6706B5E">
      <w:start w:val="1"/>
      <w:numFmt w:val="lowerRoman"/>
      <w:lvlText w:val="%6."/>
      <w:lvlJc w:val="right"/>
      <w:pPr>
        <w:ind w:left="4320" w:hanging="180"/>
      </w:pPr>
    </w:lvl>
    <w:lvl w:ilvl="6" w:tplc="86F25722">
      <w:start w:val="1"/>
      <w:numFmt w:val="decimal"/>
      <w:lvlText w:val="%7."/>
      <w:lvlJc w:val="left"/>
      <w:pPr>
        <w:ind w:left="5040" w:hanging="360"/>
      </w:pPr>
    </w:lvl>
    <w:lvl w:ilvl="7" w:tplc="2682B02A">
      <w:start w:val="1"/>
      <w:numFmt w:val="lowerLetter"/>
      <w:lvlText w:val="%8."/>
      <w:lvlJc w:val="left"/>
      <w:pPr>
        <w:ind w:left="5760" w:hanging="360"/>
      </w:pPr>
    </w:lvl>
    <w:lvl w:ilvl="8" w:tplc="B364B0C4">
      <w:start w:val="1"/>
      <w:numFmt w:val="lowerRoman"/>
      <w:lvlText w:val="%9."/>
      <w:lvlJc w:val="right"/>
      <w:pPr>
        <w:ind w:left="6480" w:hanging="180"/>
      </w:pPr>
    </w:lvl>
  </w:abstractNum>
  <w:abstractNum w:abstractNumId="40" w15:restartNumberingAfterBreak="0">
    <w:nsid w:val="2D7F134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2DEF6C0C"/>
    <w:multiLevelType w:val="multilevel"/>
    <w:tmpl w:val="9A28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0DA4DC0"/>
    <w:multiLevelType w:val="hybridMultilevel"/>
    <w:tmpl w:val="E8826192"/>
    <w:lvl w:ilvl="0" w:tplc="8A08F9E0">
      <w:start w:val="1"/>
      <w:numFmt w:val="bullet"/>
      <w:lvlText w:val=""/>
      <w:lvlJc w:val="left"/>
      <w:pPr>
        <w:ind w:left="1420" w:hanging="360"/>
      </w:pPr>
      <w:rPr>
        <w:rFonts w:ascii="Symbol" w:hAnsi="Symbol"/>
      </w:rPr>
    </w:lvl>
    <w:lvl w:ilvl="1" w:tplc="BF20C0BA">
      <w:start w:val="1"/>
      <w:numFmt w:val="bullet"/>
      <w:lvlText w:val=""/>
      <w:lvlJc w:val="left"/>
      <w:pPr>
        <w:ind w:left="1420" w:hanging="360"/>
      </w:pPr>
      <w:rPr>
        <w:rFonts w:ascii="Symbol" w:hAnsi="Symbol"/>
      </w:rPr>
    </w:lvl>
    <w:lvl w:ilvl="2" w:tplc="2062A16C">
      <w:start w:val="1"/>
      <w:numFmt w:val="bullet"/>
      <w:lvlText w:val=""/>
      <w:lvlJc w:val="left"/>
      <w:pPr>
        <w:ind w:left="1420" w:hanging="360"/>
      </w:pPr>
      <w:rPr>
        <w:rFonts w:ascii="Symbol" w:hAnsi="Symbol"/>
      </w:rPr>
    </w:lvl>
    <w:lvl w:ilvl="3" w:tplc="15D258D8">
      <w:start w:val="1"/>
      <w:numFmt w:val="bullet"/>
      <w:lvlText w:val=""/>
      <w:lvlJc w:val="left"/>
      <w:pPr>
        <w:ind w:left="1420" w:hanging="360"/>
      </w:pPr>
      <w:rPr>
        <w:rFonts w:ascii="Symbol" w:hAnsi="Symbol"/>
      </w:rPr>
    </w:lvl>
    <w:lvl w:ilvl="4" w:tplc="E9DAEACA">
      <w:start w:val="1"/>
      <w:numFmt w:val="bullet"/>
      <w:lvlText w:val=""/>
      <w:lvlJc w:val="left"/>
      <w:pPr>
        <w:ind w:left="1420" w:hanging="360"/>
      </w:pPr>
      <w:rPr>
        <w:rFonts w:ascii="Symbol" w:hAnsi="Symbol"/>
      </w:rPr>
    </w:lvl>
    <w:lvl w:ilvl="5" w:tplc="0AE0B2B6">
      <w:start w:val="1"/>
      <w:numFmt w:val="bullet"/>
      <w:lvlText w:val=""/>
      <w:lvlJc w:val="left"/>
      <w:pPr>
        <w:ind w:left="1420" w:hanging="360"/>
      </w:pPr>
      <w:rPr>
        <w:rFonts w:ascii="Symbol" w:hAnsi="Symbol"/>
      </w:rPr>
    </w:lvl>
    <w:lvl w:ilvl="6" w:tplc="91CEF898">
      <w:start w:val="1"/>
      <w:numFmt w:val="bullet"/>
      <w:lvlText w:val=""/>
      <w:lvlJc w:val="left"/>
      <w:pPr>
        <w:ind w:left="1420" w:hanging="360"/>
      </w:pPr>
      <w:rPr>
        <w:rFonts w:ascii="Symbol" w:hAnsi="Symbol"/>
      </w:rPr>
    </w:lvl>
    <w:lvl w:ilvl="7" w:tplc="7B1A1806">
      <w:start w:val="1"/>
      <w:numFmt w:val="bullet"/>
      <w:lvlText w:val=""/>
      <w:lvlJc w:val="left"/>
      <w:pPr>
        <w:ind w:left="1420" w:hanging="360"/>
      </w:pPr>
      <w:rPr>
        <w:rFonts w:ascii="Symbol" w:hAnsi="Symbol"/>
      </w:rPr>
    </w:lvl>
    <w:lvl w:ilvl="8" w:tplc="1F4E6168">
      <w:start w:val="1"/>
      <w:numFmt w:val="bullet"/>
      <w:lvlText w:val=""/>
      <w:lvlJc w:val="left"/>
      <w:pPr>
        <w:ind w:left="1420" w:hanging="360"/>
      </w:pPr>
      <w:rPr>
        <w:rFonts w:ascii="Symbol" w:hAnsi="Symbol"/>
      </w:rPr>
    </w:lvl>
  </w:abstractNum>
  <w:abstractNum w:abstractNumId="43" w15:restartNumberingAfterBreak="0">
    <w:nsid w:val="334474EF"/>
    <w:multiLevelType w:val="multilevel"/>
    <w:tmpl w:val="A5B6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38A68A0"/>
    <w:multiLevelType w:val="multilevel"/>
    <w:tmpl w:val="8F204052"/>
    <w:lvl w:ilvl="0">
      <w:start w:val="1"/>
      <w:numFmt w:val="bullet"/>
      <w:lvlText w:val=""/>
      <w:lvlJc w:val="left"/>
      <w:pPr>
        <w:ind w:left="360" w:hanging="360"/>
      </w:pPr>
      <w:rPr>
        <w:rFonts w:ascii="Symbol" w:hAnsi="Symbol" w:hint="default"/>
        <w:b w:val="0"/>
        <w:i w:val="0"/>
        <w:color w:val="CC6600" w:themeColor="accent1"/>
        <w:sz w:val="21"/>
      </w:rPr>
    </w:lvl>
    <w:lvl w:ilvl="1">
      <w:start w:val="1"/>
      <w:numFmt w:val="lowerLetter"/>
      <w:lvlText w:val="%2."/>
      <w:lvlJc w:val="left"/>
      <w:pPr>
        <w:ind w:left="567" w:hanging="567"/>
      </w:pPr>
      <w:rPr>
        <w:rFonts w:ascii="Arial" w:hAnsi="Arial" w:cs="Times New Roman" w:hint="default"/>
        <w:color w:val="0D8577" w:themeColor="accent5"/>
        <w:sz w:val="21"/>
      </w:rPr>
    </w:lvl>
    <w:lvl w:ilvl="2">
      <w:start w:val="1"/>
      <w:numFmt w:val="lowerRoman"/>
      <w:lvlText w:val="%3."/>
      <w:lvlJc w:val="left"/>
      <w:pPr>
        <w:ind w:left="907" w:hanging="340"/>
      </w:pPr>
      <w:rPr>
        <w:rFonts w:ascii="Arial" w:hAnsi="Arial" w:cs="Times New Roman" w:hint="default"/>
        <w:b w:val="0"/>
        <w:i w:val="0"/>
        <w:color w:val="0D3E67" w:themeColor="accent3"/>
        <w:sz w:val="20"/>
      </w:rPr>
    </w:lvl>
    <w:lvl w:ilvl="3">
      <w:start w:val="1"/>
      <w:numFmt w:val="lowerRoman"/>
      <w:lvlText w:val="(%4)"/>
      <w:lvlJc w:val="left"/>
      <w:pPr>
        <w:ind w:left="1247" w:hanging="397"/>
      </w:pPr>
      <w:rPr>
        <w:rFonts w:ascii="Arial" w:hAnsi="Arial" w:cs="Times New Roman" w:hint="default"/>
        <w:color w:val="auto"/>
        <w:sz w:val="20"/>
      </w:rPr>
    </w:lvl>
    <w:lvl w:ilvl="4">
      <w:start w:val="1"/>
      <w:numFmt w:val="lowerLetter"/>
      <w:lvlText w:val="(%5)"/>
      <w:lvlJc w:val="left"/>
      <w:pPr>
        <w:ind w:left="1516" w:hanging="360"/>
      </w:pPr>
    </w:lvl>
    <w:lvl w:ilvl="5">
      <w:start w:val="1"/>
      <w:numFmt w:val="lowerRoman"/>
      <w:lvlText w:val="(%6)"/>
      <w:lvlJc w:val="lef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left"/>
      <w:pPr>
        <w:ind w:left="2956" w:hanging="360"/>
      </w:pPr>
    </w:lvl>
  </w:abstractNum>
  <w:abstractNum w:abstractNumId="45" w15:restartNumberingAfterBreak="0">
    <w:nsid w:val="34F9606D"/>
    <w:multiLevelType w:val="hybridMultilevel"/>
    <w:tmpl w:val="FCEC9420"/>
    <w:lvl w:ilvl="0" w:tplc="3108703A">
      <w:start w:val="1"/>
      <w:numFmt w:val="bullet"/>
      <w:lvlText w:val=""/>
      <w:lvlJc w:val="left"/>
      <w:pPr>
        <w:ind w:left="1060" w:hanging="360"/>
      </w:pPr>
      <w:rPr>
        <w:rFonts w:ascii="Symbol" w:hAnsi="Symbol"/>
      </w:rPr>
    </w:lvl>
    <w:lvl w:ilvl="1" w:tplc="F7A2A73E">
      <w:start w:val="1"/>
      <w:numFmt w:val="bullet"/>
      <w:lvlText w:val=""/>
      <w:lvlJc w:val="left"/>
      <w:pPr>
        <w:ind w:left="1060" w:hanging="360"/>
      </w:pPr>
      <w:rPr>
        <w:rFonts w:ascii="Symbol" w:hAnsi="Symbol"/>
      </w:rPr>
    </w:lvl>
    <w:lvl w:ilvl="2" w:tplc="9E523A9E">
      <w:start w:val="1"/>
      <w:numFmt w:val="bullet"/>
      <w:lvlText w:val=""/>
      <w:lvlJc w:val="left"/>
      <w:pPr>
        <w:ind w:left="1060" w:hanging="360"/>
      </w:pPr>
      <w:rPr>
        <w:rFonts w:ascii="Symbol" w:hAnsi="Symbol"/>
      </w:rPr>
    </w:lvl>
    <w:lvl w:ilvl="3" w:tplc="11DC68E2">
      <w:start w:val="1"/>
      <w:numFmt w:val="bullet"/>
      <w:lvlText w:val=""/>
      <w:lvlJc w:val="left"/>
      <w:pPr>
        <w:ind w:left="1060" w:hanging="360"/>
      </w:pPr>
      <w:rPr>
        <w:rFonts w:ascii="Symbol" w:hAnsi="Symbol"/>
      </w:rPr>
    </w:lvl>
    <w:lvl w:ilvl="4" w:tplc="10FC0D86">
      <w:start w:val="1"/>
      <w:numFmt w:val="bullet"/>
      <w:lvlText w:val=""/>
      <w:lvlJc w:val="left"/>
      <w:pPr>
        <w:ind w:left="1060" w:hanging="360"/>
      </w:pPr>
      <w:rPr>
        <w:rFonts w:ascii="Symbol" w:hAnsi="Symbol"/>
      </w:rPr>
    </w:lvl>
    <w:lvl w:ilvl="5" w:tplc="3E34D1E2">
      <w:start w:val="1"/>
      <w:numFmt w:val="bullet"/>
      <w:lvlText w:val=""/>
      <w:lvlJc w:val="left"/>
      <w:pPr>
        <w:ind w:left="1060" w:hanging="360"/>
      </w:pPr>
      <w:rPr>
        <w:rFonts w:ascii="Symbol" w:hAnsi="Symbol"/>
      </w:rPr>
    </w:lvl>
    <w:lvl w:ilvl="6" w:tplc="5C1E71AA">
      <w:start w:val="1"/>
      <w:numFmt w:val="bullet"/>
      <w:lvlText w:val=""/>
      <w:lvlJc w:val="left"/>
      <w:pPr>
        <w:ind w:left="1060" w:hanging="360"/>
      </w:pPr>
      <w:rPr>
        <w:rFonts w:ascii="Symbol" w:hAnsi="Symbol"/>
      </w:rPr>
    </w:lvl>
    <w:lvl w:ilvl="7" w:tplc="278CA3C6">
      <w:start w:val="1"/>
      <w:numFmt w:val="bullet"/>
      <w:lvlText w:val=""/>
      <w:lvlJc w:val="left"/>
      <w:pPr>
        <w:ind w:left="1060" w:hanging="360"/>
      </w:pPr>
      <w:rPr>
        <w:rFonts w:ascii="Symbol" w:hAnsi="Symbol"/>
      </w:rPr>
    </w:lvl>
    <w:lvl w:ilvl="8" w:tplc="9058FF52">
      <w:start w:val="1"/>
      <w:numFmt w:val="bullet"/>
      <w:lvlText w:val=""/>
      <w:lvlJc w:val="left"/>
      <w:pPr>
        <w:ind w:left="1060" w:hanging="360"/>
      </w:pPr>
      <w:rPr>
        <w:rFonts w:ascii="Symbol" w:hAnsi="Symbol"/>
      </w:rPr>
    </w:lvl>
  </w:abstractNum>
  <w:abstractNum w:abstractNumId="46" w15:restartNumberingAfterBreak="0">
    <w:nsid w:val="353451E3"/>
    <w:multiLevelType w:val="multilevel"/>
    <w:tmpl w:val="5A3629FA"/>
    <w:lvl w:ilvl="0">
      <w:start w:val="1"/>
      <w:numFmt w:val="none"/>
      <w:suff w:val="nothing"/>
      <w:lvlText w:val="%1"/>
      <w:lvlJc w:val="left"/>
      <w:pPr>
        <w:ind w:left="0" w:firstLine="0"/>
      </w:pPr>
      <w:rPr>
        <w:rFonts w:hint="default"/>
      </w:rPr>
    </w:lvl>
    <w:lvl w:ilvl="1">
      <w:start w:val="1"/>
      <w:numFmt w:val="decimal"/>
      <w:lvlText w:val="%2."/>
      <w:lvlJc w:val="left"/>
      <w:pPr>
        <w:ind w:left="357" w:hanging="357"/>
      </w:pPr>
      <w:rPr>
        <w:rFonts w:hint="default"/>
      </w:rPr>
    </w:lvl>
    <w:lvl w:ilvl="2">
      <w:start w:val="1"/>
      <w:numFmt w:val="lowerLetter"/>
      <w:lvlText w:val="%3."/>
      <w:lvlJc w:val="left"/>
      <w:pPr>
        <w:ind w:left="720" w:hanging="363"/>
      </w:pPr>
      <w:rPr>
        <w:rFonts w:hint="default"/>
      </w:rPr>
    </w:lvl>
    <w:lvl w:ilvl="3">
      <w:start w:val="1"/>
      <w:numFmt w:val="lowerRoman"/>
      <w:lvlText w:val="%4."/>
      <w:lvlJc w:val="left"/>
      <w:pPr>
        <w:ind w:left="1077" w:hanging="357"/>
      </w:pPr>
      <w:rPr>
        <w:rFonts w:hint="default"/>
      </w:rPr>
    </w:lvl>
    <w:lvl w:ilvl="4">
      <w:start w:val="1"/>
      <w:numFmt w:val="upperLetter"/>
      <w:lvlText w:val="%5."/>
      <w:lvlJc w:val="left"/>
      <w:pPr>
        <w:ind w:left="1440" w:hanging="363"/>
      </w:pPr>
      <w:rPr>
        <w:rFonts w:hint="default"/>
      </w:rPr>
    </w:lvl>
    <w:lvl w:ilvl="5">
      <w:start w:val="1"/>
      <w:numFmt w:val="upperRoman"/>
      <w:lvlText w:val="%6."/>
      <w:lvlJc w:val="left"/>
      <w:pPr>
        <w:ind w:left="1797" w:hanging="35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369A7007"/>
    <w:multiLevelType w:val="multilevel"/>
    <w:tmpl w:val="02AC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6A80CE6"/>
    <w:multiLevelType w:val="hybridMultilevel"/>
    <w:tmpl w:val="2FEA9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CA41282"/>
    <w:multiLevelType w:val="multilevel"/>
    <w:tmpl w:val="79C017E6"/>
    <w:styleLink w:val="BulletList"/>
    <w:lvl w:ilvl="0">
      <w:start w:val="1"/>
      <w:numFmt w:val="bullet"/>
      <w:pStyle w:val="ListBullet"/>
      <w:lvlText w:val=""/>
      <w:lvlJc w:val="left"/>
      <w:pPr>
        <w:tabs>
          <w:tab w:val="num" w:pos="360"/>
        </w:tabs>
        <w:ind w:left="360" w:hanging="360"/>
      </w:pPr>
      <w:rPr>
        <w:rFonts w:ascii="Symbol" w:hAnsi="Symbol" w:hint="default"/>
        <w:color w:val="CC6600" w:themeColor="accent1"/>
      </w:rPr>
    </w:lvl>
    <w:lvl w:ilvl="1">
      <w:start w:val="1"/>
      <w:numFmt w:val="bullet"/>
      <w:pStyle w:val="ListBullet2"/>
      <w:lvlText w:val=""/>
      <w:lvlJc w:val="left"/>
      <w:pPr>
        <w:ind w:left="720" w:hanging="363"/>
      </w:pPr>
      <w:rPr>
        <w:rFonts w:ascii="Symbol" w:hAnsi="Symbol" w:hint="default"/>
        <w:color w:val="0D8577" w:themeColor="accent5"/>
      </w:rPr>
    </w:lvl>
    <w:lvl w:ilvl="2">
      <w:start w:val="1"/>
      <w:numFmt w:val="bullet"/>
      <w:pStyle w:val="ListBullet3"/>
      <w:lvlText w:val=""/>
      <w:lvlJc w:val="left"/>
      <w:pPr>
        <w:ind w:left="1077" w:hanging="357"/>
      </w:pPr>
      <w:rPr>
        <w:rFonts w:ascii="Symbol" w:hAnsi="Symbol" w:hint="default"/>
        <w:color w:val="0D3E67" w:themeColor="accent3"/>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CB52AEA"/>
    <w:multiLevelType w:val="multilevel"/>
    <w:tmpl w:val="2A1C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D7D1836"/>
    <w:multiLevelType w:val="multilevel"/>
    <w:tmpl w:val="EFE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1910C99"/>
    <w:multiLevelType w:val="hybridMultilevel"/>
    <w:tmpl w:val="F6B2C3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42196D27"/>
    <w:multiLevelType w:val="hybridMultilevel"/>
    <w:tmpl w:val="191457C8"/>
    <w:lvl w:ilvl="0" w:tplc="E6108E50">
      <w:start w:val="1"/>
      <w:numFmt w:val="decimal"/>
      <w:lvlText w:val="%1."/>
      <w:lvlJc w:val="left"/>
      <w:pPr>
        <w:ind w:left="360" w:hanging="360"/>
      </w:pPr>
      <w:rPr>
        <w:rFonts w:cstheme="minorHAnsi" w:hint="default"/>
        <w:color w:val="0D3E67" w:themeColor="hyperlink"/>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44483AE0"/>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55" w15:restartNumberingAfterBreak="0">
    <w:nsid w:val="448C6580"/>
    <w:multiLevelType w:val="multilevel"/>
    <w:tmpl w:val="331C3342"/>
    <w:lvl w:ilvl="0">
      <w:start w:val="1"/>
      <w:numFmt w:val="decimal"/>
      <w:lvlText w:val="%1."/>
      <w:lvlJc w:val="left"/>
      <w:pPr>
        <w:ind w:left="360" w:hanging="360"/>
      </w:pPr>
      <w:rPr>
        <w:b w:val="0"/>
        <w:i w:val="0"/>
        <w:color w:val="CC6600" w:themeColor="accent1"/>
        <w:sz w:val="21"/>
      </w:rPr>
    </w:lvl>
    <w:lvl w:ilvl="1">
      <w:start w:val="1"/>
      <w:numFmt w:val="lowerLetter"/>
      <w:lvlText w:val="%2."/>
      <w:lvlJc w:val="left"/>
      <w:pPr>
        <w:ind w:left="567" w:hanging="567"/>
      </w:pPr>
      <w:rPr>
        <w:rFonts w:ascii="Arial" w:hAnsi="Arial" w:cs="Times New Roman" w:hint="default"/>
        <w:color w:val="0D8577" w:themeColor="accent5"/>
        <w:sz w:val="21"/>
      </w:rPr>
    </w:lvl>
    <w:lvl w:ilvl="2">
      <w:start w:val="1"/>
      <w:numFmt w:val="lowerRoman"/>
      <w:lvlText w:val="%3."/>
      <w:lvlJc w:val="left"/>
      <w:pPr>
        <w:ind w:left="907" w:hanging="340"/>
      </w:pPr>
      <w:rPr>
        <w:rFonts w:ascii="Arial" w:hAnsi="Arial" w:cs="Times New Roman" w:hint="default"/>
        <w:b w:val="0"/>
        <w:i w:val="0"/>
        <w:color w:val="0D3E67" w:themeColor="accent3"/>
        <w:sz w:val="20"/>
      </w:rPr>
    </w:lvl>
    <w:lvl w:ilvl="3">
      <w:start w:val="1"/>
      <w:numFmt w:val="lowerRoman"/>
      <w:lvlText w:val="(%4)"/>
      <w:lvlJc w:val="left"/>
      <w:pPr>
        <w:ind w:left="1247" w:hanging="397"/>
      </w:pPr>
      <w:rPr>
        <w:rFonts w:ascii="Arial" w:hAnsi="Arial" w:cs="Times New Roman" w:hint="default"/>
        <w:color w:val="auto"/>
        <w:sz w:val="20"/>
      </w:rPr>
    </w:lvl>
    <w:lvl w:ilvl="4">
      <w:start w:val="1"/>
      <w:numFmt w:val="lowerLetter"/>
      <w:lvlText w:val="(%5)"/>
      <w:lvlJc w:val="left"/>
      <w:pPr>
        <w:ind w:left="1516" w:hanging="360"/>
      </w:pPr>
    </w:lvl>
    <w:lvl w:ilvl="5">
      <w:start w:val="1"/>
      <w:numFmt w:val="lowerRoman"/>
      <w:lvlText w:val="(%6)"/>
      <w:lvlJc w:val="lef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left"/>
      <w:pPr>
        <w:ind w:left="2956" w:hanging="360"/>
      </w:pPr>
    </w:lvl>
  </w:abstractNum>
  <w:abstractNum w:abstractNumId="56" w15:restartNumberingAfterBreak="0">
    <w:nsid w:val="44C33FAE"/>
    <w:multiLevelType w:val="multilevel"/>
    <w:tmpl w:val="6682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6364F08"/>
    <w:multiLevelType w:val="multilevel"/>
    <w:tmpl w:val="6290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81C2074"/>
    <w:multiLevelType w:val="hybridMultilevel"/>
    <w:tmpl w:val="1A6CE40A"/>
    <w:lvl w:ilvl="0" w:tplc="CAD03DE6">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8245B30"/>
    <w:multiLevelType w:val="multilevel"/>
    <w:tmpl w:val="F86A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8313144"/>
    <w:multiLevelType w:val="multilevel"/>
    <w:tmpl w:val="6624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98C3B00"/>
    <w:multiLevelType w:val="multilevel"/>
    <w:tmpl w:val="5218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BE8EFEE"/>
    <w:multiLevelType w:val="hybridMultilevel"/>
    <w:tmpl w:val="FFFFFFFF"/>
    <w:lvl w:ilvl="0" w:tplc="8CB803F6">
      <w:start w:val="1"/>
      <w:numFmt w:val="decimal"/>
      <w:lvlText w:val="%1)"/>
      <w:lvlJc w:val="left"/>
      <w:pPr>
        <w:ind w:left="720" w:hanging="360"/>
      </w:pPr>
    </w:lvl>
    <w:lvl w:ilvl="1" w:tplc="5088F080">
      <w:start w:val="1"/>
      <w:numFmt w:val="lowerLetter"/>
      <w:lvlText w:val="%2."/>
      <w:lvlJc w:val="left"/>
      <w:pPr>
        <w:ind w:left="1440" w:hanging="360"/>
      </w:pPr>
    </w:lvl>
    <w:lvl w:ilvl="2" w:tplc="F8124CA6">
      <w:start w:val="1"/>
      <w:numFmt w:val="lowerRoman"/>
      <w:lvlText w:val="%3."/>
      <w:lvlJc w:val="right"/>
      <w:pPr>
        <w:ind w:left="2160" w:hanging="180"/>
      </w:pPr>
    </w:lvl>
    <w:lvl w:ilvl="3" w:tplc="14AC62A8">
      <w:start w:val="1"/>
      <w:numFmt w:val="decimal"/>
      <w:lvlText w:val="%4."/>
      <w:lvlJc w:val="left"/>
      <w:pPr>
        <w:ind w:left="2880" w:hanging="360"/>
      </w:pPr>
    </w:lvl>
    <w:lvl w:ilvl="4" w:tplc="4BF0C478">
      <w:start w:val="1"/>
      <w:numFmt w:val="lowerLetter"/>
      <w:lvlText w:val="%5."/>
      <w:lvlJc w:val="left"/>
      <w:pPr>
        <w:ind w:left="3600" w:hanging="360"/>
      </w:pPr>
    </w:lvl>
    <w:lvl w:ilvl="5" w:tplc="B3823912">
      <w:start w:val="1"/>
      <w:numFmt w:val="lowerRoman"/>
      <w:lvlText w:val="%6."/>
      <w:lvlJc w:val="right"/>
      <w:pPr>
        <w:ind w:left="4320" w:hanging="180"/>
      </w:pPr>
    </w:lvl>
    <w:lvl w:ilvl="6" w:tplc="EE720DB6">
      <w:start w:val="1"/>
      <w:numFmt w:val="decimal"/>
      <w:lvlText w:val="%7."/>
      <w:lvlJc w:val="left"/>
      <w:pPr>
        <w:ind w:left="5040" w:hanging="360"/>
      </w:pPr>
    </w:lvl>
    <w:lvl w:ilvl="7" w:tplc="7C80BD82">
      <w:start w:val="1"/>
      <w:numFmt w:val="lowerLetter"/>
      <w:lvlText w:val="%8."/>
      <w:lvlJc w:val="left"/>
      <w:pPr>
        <w:ind w:left="5760" w:hanging="360"/>
      </w:pPr>
    </w:lvl>
    <w:lvl w:ilvl="8" w:tplc="C5D6553C">
      <w:start w:val="1"/>
      <w:numFmt w:val="lowerRoman"/>
      <w:lvlText w:val="%9."/>
      <w:lvlJc w:val="right"/>
      <w:pPr>
        <w:ind w:left="6480" w:hanging="180"/>
      </w:pPr>
    </w:lvl>
  </w:abstractNum>
  <w:abstractNum w:abstractNumId="63" w15:restartNumberingAfterBreak="0">
    <w:nsid w:val="4EDB728F"/>
    <w:multiLevelType w:val="hybridMultilevel"/>
    <w:tmpl w:val="ECA61B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F8C06B0"/>
    <w:multiLevelType w:val="hybridMultilevel"/>
    <w:tmpl w:val="76A2888C"/>
    <w:lvl w:ilvl="0" w:tplc="0AC4857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4FB05AC0"/>
    <w:multiLevelType w:val="hybridMultilevel"/>
    <w:tmpl w:val="97A2CA6E"/>
    <w:lvl w:ilvl="0" w:tplc="6D0CE662">
      <w:start w:val="1"/>
      <w:numFmt w:val="bullet"/>
      <w:lvlText w:val=""/>
      <w:lvlJc w:val="left"/>
      <w:pPr>
        <w:ind w:left="1420" w:hanging="360"/>
      </w:pPr>
      <w:rPr>
        <w:rFonts w:ascii="Symbol" w:hAnsi="Symbol"/>
      </w:rPr>
    </w:lvl>
    <w:lvl w:ilvl="1" w:tplc="DA8E064E">
      <w:start w:val="1"/>
      <w:numFmt w:val="bullet"/>
      <w:lvlText w:val=""/>
      <w:lvlJc w:val="left"/>
      <w:pPr>
        <w:ind w:left="1420" w:hanging="360"/>
      </w:pPr>
      <w:rPr>
        <w:rFonts w:ascii="Symbol" w:hAnsi="Symbol"/>
      </w:rPr>
    </w:lvl>
    <w:lvl w:ilvl="2" w:tplc="22BAB722">
      <w:start w:val="1"/>
      <w:numFmt w:val="bullet"/>
      <w:lvlText w:val=""/>
      <w:lvlJc w:val="left"/>
      <w:pPr>
        <w:ind w:left="1420" w:hanging="360"/>
      </w:pPr>
      <w:rPr>
        <w:rFonts w:ascii="Symbol" w:hAnsi="Symbol"/>
      </w:rPr>
    </w:lvl>
    <w:lvl w:ilvl="3" w:tplc="359CFB7A">
      <w:start w:val="1"/>
      <w:numFmt w:val="bullet"/>
      <w:lvlText w:val=""/>
      <w:lvlJc w:val="left"/>
      <w:pPr>
        <w:ind w:left="1420" w:hanging="360"/>
      </w:pPr>
      <w:rPr>
        <w:rFonts w:ascii="Symbol" w:hAnsi="Symbol"/>
      </w:rPr>
    </w:lvl>
    <w:lvl w:ilvl="4" w:tplc="3418DBD6">
      <w:start w:val="1"/>
      <w:numFmt w:val="bullet"/>
      <w:lvlText w:val=""/>
      <w:lvlJc w:val="left"/>
      <w:pPr>
        <w:ind w:left="1420" w:hanging="360"/>
      </w:pPr>
      <w:rPr>
        <w:rFonts w:ascii="Symbol" w:hAnsi="Symbol"/>
      </w:rPr>
    </w:lvl>
    <w:lvl w:ilvl="5" w:tplc="3F04C91C">
      <w:start w:val="1"/>
      <w:numFmt w:val="bullet"/>
      <w:lvlText w:val=""/>
      <w:lvlJc w:val="left"/>
      <w:pPr>
        <w:ind w:left="1420" w:hanging="360"/>
      </w:pPr>
      <w:rPr>
        <w:rFonts w:ascii="Symbol" w:hAnsi="Symbol"/>
      </w:rPr>
    </w:lvl>
    <w:lvl w:ilvl="6" w:tplc="AB5ECC7C">
      <w:start w:val="1"/>
      <w:numFmt w:val="bullet"/>
      <w:lvlText w:val=""/>
      <w:lvlJc w:val="left"/>
      <w:pPr>
        <w:ind w:left="1420" w:hanging="360"/>
      </w:pPr>
      <w:rPr>
        <w:rFonts w:ascii="Symbol" w:hAnsi="Symbol"/>
      </w:rPr>
    </w:lvl>
    <w:lvl w:ilvl="7" w:tplc="27924FA2">
      <w:start w:val="1"/>
      <w:numFmt w:val="bullet"/>
      <w:lvlText w:val=""/>
      <w:lvlJc w:val="left"/>
      <w:pPr>
        <w:ind w:left="1420" w:hanging="360"/>
      </w:pPr>
      <w:rPr>
        <w:rFonts w:ascii="Symbol" w:hAnsi="Symbol"/>
      </w:rPr>
    </w:lvl>
    <w:lvl w:ilvl="8" w:tplc="86669694">
      <w:start w:val="1"/>
      <w:numFmt w:val="bullet"/>
      <w:lvlText w:val=""/>
      <w:lvlJc w:val="left"/>
      <w:pPr>
        <w:ind w:left="1420" w:hanging="360"/>
      </w:pPr>
      <w:rPr>
        <w:rFonts w:ascii="Symbol" w:hAnsi="Symbol"/>
      </w:rPr>
    </w:lvl>
  </w:abstractNum>
  <w:abstractNum w:abstractNumId="66" w15:restartNumberingAfterBreak="0">
    <w:nsid w:val="52F11C2F"/>
    <w:multiLevelType w:val="hybridMultilevel"/>
    <w:tmpl w:val="FAE01F68"/>
    <w:lvl w:ilvl="0" w:tplc="301E400E">
      <w:start w:val="1"/>
      <w:numFmt w:val="bullet"/>
      <w:lvlText w:val=""/>
      <w:lvlJc w:val="left"/>
      <w:pPr>
        <w:ind w:left="1584" w:hanging="360"/>
      </w:pPr>
      <w:rPr>
        <w:rFonts w:ascii="Symbol" w:hAnsi="Symbol" w:hint="default"/>
        <w:color w:val="0D3E67" w:themeColor="accent3"/>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67" w15:restartNumberingAfterBreak="0">
    <w:nsid w:val="551D2D6B"/>
    <w:multiLevelType w:val="hybridMultilevel"/>
    <w:tmpl w:val="FFFFFFFF"/>
    <w:lvl w:ilvl="0" w:tplc="32182A54">
      <w:start w:val="1"/>
      <w:numFmt w:val="decimal"/>
      <w:lvlText w:val="%1."/>
      <w:lvlJc w:val="left"/>
      <w:pPr>
        <w:ind w:left="360" w:hanging="360"/>
      </w:pPr>
    </w:lvl>
    <w:lvl w:ilvl="1" w:tplc="5E9CF104">
      <w:start w:val="1"/>
      <w:numFmt w:val="lowerLetter"/>
      <w:lvlText w:val="%2."/>
      <w:lvlJc w:val="left"/>
      <w:pPr>
        <w:ind w:left="720" w:hanging="360"/>
      </w:pPr>
    </w:lvl>
    <w:lvl w:ilvl="2" w:tplc="B0AC4BB4">
      <w:start w:val="1"/>
      <w:numFmt w:val="lowerRoman"/>
      <w:lvlText w:val="%3."/>
      <w:lvlJc w:val="right"/>
      <w:pPr>
        <w:ind w:left="0" w:hanging="180"/>
      </w:pPr>
    </w:lvl>
    <w:lvl w:ilvl="3" w:tplc="99302F20">
      <w:start w:val="1"/>
      <w:numFmt w:val="decimal"/>
      <w:lvlText w:val="%4."/>
      <w:lvlJc w:val="left"/>
      <w:pPr>
        <w:ind w:left="0" w:hanging="360"/>
      </w:pPr>
    </w:lvl>
    <w:lvl w:ilvl="4" w:tplc="3DCE6D6E">
      <w:start w:val="1"/>
      <w:numFmt w:val="lowerLetter"/>
      <w:lvlText w:val="%5."/>
      <w:lvlJc w:val="left"/>
      <w:pPr>
        <w:ind w:left="0" w:hanging="360"/>
      </w:pPr>
    </w:lvl>
    <w:lvl w:ilvl="5" w:tplc="7BDC11EC">
      <w:start w:val="1"/>
      <w:numFmt w:val="lowerRoman"/>
      <w:lvlText w:val="%6."/>
      <w:lvlJc w:val="right"/>
      <w:pPr>
        <w:ind w:left="0" w:hanging="180"/>
      </w:pPr>
    </w:lvl>
    <w:lvl w:ilvl="6" w:tplc="0C1A9A7A">
      <w:start w:val="1"/>
      <w:numFmt w:val="decimal"/>
      <w:lvlText w:val="%7."/>
      <w:lvlJc w:val="left"/>
      <w:pPr>
        <w:ind w:left="0" w:hanging="360"/>
      </w:pPr>
    </w:lvl>
    <w:lvl w:ilvl="7" w:tplc="E0AA6910">
      <w:start w:val="1"/>
      <w:numFmt w:val="lowerLetter"/>
      <w:lvlText w:val="%8."/>
      <w:lvlJc w:val="left"/>
      <w:pPr>
        <w:ind w:left="0" w:hanging="360"/>
      </w:pPr>
    </w:lvl>
    <w:lvl w:ilvl="8" w:tplc="029EC198">
      <w:start w:val="1"/>
      <w:numFmt w:val="lowerRoman"/>
      <w:lvlText w:val="%9."/>
      <w:lvlJc w:val="right"/>
      <w:pPr>
        <w:ind w:left="0" w:hanging="180"/>
      </w:pPr>
    </w:lvl>
  </w:abstractNum>
  <w:abstractNum w:abstractNumId="68" w15:restartNumberingAfterBreak="0">
    <w:nsid w:val="57563C05"/>
    <w:multiLevelType w:val="multilevel"/>
    <w:tmpl w:val="8278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7907463"/>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70" w15:restartNumberingAfterBreak="0">
    <w:nsid w:val="57A51C6D"/>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71" w15:restartNumberingAfterBreak="0">
    <w:nsid w:val="59D75EF6"/>
    <w:multiLevelType w:val="multilevel"/>
    <w:tmpl w:val="B806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A9E3347"/>
    <w:multiLevelType w:val="multilevel"/>
    <w:tmpl w:val="DCC4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AE31184"/>
    <w:multiLevelType w:val="multilevel"/>
    <w:tmpl w:val="7290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DD740A4"/>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75" w15:restartNumberingAfterBreak="0">
    <w:nsid w:val="5E8301D8"/>
    <w:multiLevelType w:val="hybridMultilevel"/>
    <w:tmpl w:val="CFB4D24C"/>
    <w:lvl w:ilvl="0" w:tplc="256AE058">
      <w:start w:val="1"/>
      <w:numFmt w:val="bullet"/>
      <w:lvlText w:val=""/>
      <w:lvlJc w:val="left"/>
      <w:pPr>
        <w:ind w:left="1060" w:hanging="360"/>
      </w:pPr>
      <w:rPr>
        <w:rFonts w:ascii="Symbol" w:hAnsi="Symbol"/>
      </w:rPr>
    </w:lvl>
    <w:lvl w:ilvl="1" w:tplc="32B48CD2">
      <w:start w:val="1"/>
      <w:numFmt w:val="bullet"/>
      <w:lvlText w:val=""/>
      <w:lvlJc w:val="left"/>
      <w:pPr>
        <w:ind w:left="1060" w:hanging="360"/>
      </w:pPr>
      <w:rPr>
        <w:rFonts w:ascii="Symbol" w:hAnsi="Symbol"/>
      </w:rPr>
    </w:lvl>
    <w:lvl w:ilvl="2" w:tplc="B9DEE9B6">
      <w:start w:val="1"/>
      <w:numFmt w:val="bullet"/>
      <w:lvlText w:val=""/>
      <w:lvlJc w:val="left"/>
      <w:pPr>
        <w:ind w:left="1060" w:hanging="360"/>
      </w:pPr>
      <w:rPr>
        <w:rFonts w:ascii="Symbol" w:hAnsi="Symbol"/>
      </w:rPr>
    </w:lvl>
    <w:lvl w:ilvl="3" w:tplc="72909DCA">
      <w:start w:val="1"/>
      <w:numFmt w:val="bullet"/>
      <w:lvlText w:val=""/>
      <w:lvlJc w:val="left"/>
      <w:pPr>
        <w:ind w:left="1060" w:hanging="360"/>
      </w:pPr>
      <w:rPr>
        <w:rFonts w:ascii="Symbol" w:hAnsi="Symbol"/>
      </w:rPr>
    </w:lvl>
    <w:lvl w:ilvl="4" w:tplc="FBB4BB04">
      <w:start w:val="1"/>
      <w:numFmt w:val="bullet"/>
      <w:lvlText w:val=""/>
      <w:lvlJc w:val="left"/>
      <w:pPr>
        <w:ind w:left="1060" w:hanging="360"/>
      </w:pPr>
      <w:rPr>
        <w:rFonts w:ascii="Symbol" w:hAnsi="Symbol"/>
      </w:rPr>
    </w:lvl>
    <w:lvl w:ilvl="5" w:tplc="08D05B52">
      <w:start w:val="1"/>
      <w:numFmt w:val="bullet"/>
      <w:lvlText w:val=""/>
      <w:lvlJc w:val="left"/>
      <w:pPr>
        <w:ind w:left="1060" w:hanging="360"/>
      </w:pPr>
      <w:rPr>
        <w:rFonts w:ascii="Symbol" w:hAnsi="Symbol"/>
      </w:rPr>
    </w:lvl>
    <w:lvl w:ilvl="6" w:tplc="AC0CF7DA">
      <w:start w:val="1"/>
      <w:numFmt w:val="bullet"/>
      <w:lvlText w:val=""/>
      <w:lvlJc w:val="left"/>
      <w:pPr>
        <w:ind w:left="1060" w:hanging="360"/>
      </w:pPr>
      <w:rPr>
        <w:rFonts w:ascii="Symbol" w:hAnsi="Symbol"/>
      </w:rPr>
    </w:lvl>
    <w:lvl w:ilvl="7" w:tplc="333CFA5A">
      <w:start w:val="1"/>
      <w:numFmt w:val="bullet"/>
      <w:lvlText w:val=""/>
      <w:lvlJc w:val="left"/>
      <w:pPr>
        <w:ind w:left="1060" w:hanging="360"/>
      </w:pPr>
      <w:rPr>
        <w:rFonts w:ascii="Symbol" w:hAnsi="Symbol"/>
      </w:rPr>
    </w:lvl>
    <w:lvl w:ilvl="8" w:tplc="E152C2F2">
      <w:start w:val="1"/>
      <w:numFmt w:val="bullet"/>
      <w:lvlText w:val=""/>
      <w:lvlJc w:val="left"/>
      <w:pPr>
        <w:ind w:left="1060" w:hanging="360"/>
      </w:pPr>
      <w:rPr>
        <w:rFonts w:ascii="Symbol" w:hAnsi="Symbol"/>
      </w:rPr>
    </w:lvl>
  </w:abstractNum>
  <w:abstractNum w:abstractNumId="76" w15:restartNumberingAfterBreak="0">
    <w:nsid w:val="612F1461"/>
    <w:multiLevelType w:val="multilevel"/>
    <w:tmpl w:val="0FDA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2EB259B"/>
    <w:multiLevelType w:val="multilevel"/>
    <w:tmpl w:val="B7CE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36F66E4"/>
    <w:multiLevelType w:val="multilevel"/>
    <w:tmpl w:val="187C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9291488"/>
    <w:multiLevelType w:val="multilevel"/>
    <w:tmpl w:val="331C3342"/>
    <w:lvl w:ilvl="0">
      <w:start w:val="1"/>
      <w:numFmt w:val="decimal"/>
      <w:lvlText w:val="%1."/>
      <w:lvlJc w:val="left"/>
      <w:pPr>
        <w:ind w:left="644" w:hanging="360"/>
      </w:pPr>
      <w:rPr>
        <w:rFonts w:hint="default"/>
        <w:b w:val="0"/>
        <w:i w:val="0"/>
        <w:color w:val="CC6600" w:themeColor="accent1"/>
        <w:sz w:val="21"/>
      </w:rPr>
    </w:lvl>
    <w:lvl w:ilvl="1">
      <w:start w:val="1"/>
      <w:numFmt w:val="lowerLetter"/>
      <w:lvlText w:val="%2."/>
      <w:lvlJc w:val="left"/>
      <w:pPr>
        <w:ind w:left="851" w:hanging="567"/>
      </w:pPr>
      <w:rPr>
        <w:rFonts w:ascii="Arial" w:hAnsi="Arial" w:hint="default"/>
        <w:color w:val="0D8577" w:themeColor="accent5"/>
        <w:sz w:val="21"/>
      </w:rPr>
    </w:lvl>
    <w:lvl w:ilvl="2">
      <w:start w:val="1"/>
      <w:numFmt w:val="lowerRoman"/>
      <w:lvlText w:val="%3."/>
      <w:lvlJc w:val="left"/>
      <w:pPr>
        <w:ind w:left="1191" w:hanging="340"/>
      </w:pPr>
      <w:rPr>
        <w:rFonts w:ascii="Arial" w:hAnsi="Arial" w:hint="default"/>
        <w:b w:val="0"/>
        <w:i w:val="0"/>
        <w:color w:val="0D3E67" w:themeColor="accent3"/>
        <w:sz w:val="20"/>
      </w:rPr>
    </w:lvl>
    <w:lvl w:ilvl="3">
      <w:start w:val="1"/>
      <w:numFmt w:val="lowerRoman"/>
      <w:lvlText w:val="(%4)"/>
      <w:lvlJc w:val="left"/>
      <w:pPr>
        <w:ind w:left="1531" w:hanging="397"/>
      </w:pPr>
      <w:rPr>
        <w:rFonts w:ascii="Arial" w:hAnsi="Arial" w:hint="default"/>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9FB035D"/>
    <w:multiLevelType w:val="multilevel"/>
    <w:tmpl w:val="8C6A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A825B16"/>
    <w:multiLevelType w:val="multilevel"/>
    <w:tmpl w:val="F16C849A"/>
    <w:styleLink w:val="TableList"/>
    <w:lvl w:ilvl="0">
      <w:start w:val="1"/>
      <w:numFmt w:val="decimal"/>
      <w:pStyle w:val="ListContinue"/>
      <w:lvlText w:val="%1."/>
      <w:lvlJc w:val="left"/>
      <w:pPr>
        <w:ind w:left="284" w:hanging="284"/>
      </w:pPr>
      <w:rPr>
        <w:rFonts w:hint="default"/>
        <w:b w:val="0"/>
        <w:i w:val="0"/>
      </w:rPr>
    </w:lvl>
    <w:lvl w:ilvl="1">
      <w:start w:val="1"/>
      <w:numFmt w:val="lowerLetter"/>
      <w:pStyle w:val="ListContinue2"/>
      <w:lvlText w:val="%2."/>
      <w:lvlJc w:val="left"/>
      <w:pPr>
        <w:ind w:left="568" w:hanging="284"/>
      </w:pPr>
      <w:rPr>
        <w:rFonts w:hint="default"/>
        <w:b w:val="0"/>
        <w:i w:val="0"/>
      </w:rPr>
    </w:lvl>
    <w:lvl w:ilvl="2">
      <w:start w:val="1"/>
      <w:numFmt w:val="lowerRoman"/>
      <w:pStyle w:val="ListContinue3"/>
      <w:lvlText w:val="%3."/>
      <w:lvlJc w:val="left"/>
      <w:pPr>
        <w:ind w:left="852" w:hanging="284"/>
      </w:pPr>
      <w:rPr>
        <w:rFonts w:hint="default"/>
        <w:b w:val="0"/>
        <w:i w:val="0"/>
      </w:rPr>
    </w:lvl>
    <w:lvl w:ilvl="3">
      <w:start w:val="1"/>
      <w:numFmt w:val="upperLetter"/>
      <w:pStyle w:val="ListContinue4"/>
      <w:lvlText w:val="%4."/>
      <w:lvlJc w:val="left"/>
      <w:pPr>
        <w:ind w:left="1136" w:hanging="284"/>
      </w:pPr>
      <w:rPr>
        <w:rFonts w:hint="default"/>
        <w:b w:val="0"/>
        <w:i w:val="0"/>
      </w:rPr>
    </w:lvl>
    <w:lvl w:ilvl="4">
      <w:start w:val="1"/>
      <w:numFmt w:val="decimal"/>
      <w:pStyle w:val="ListContinue5"/>
      <w:lvlText w:val="(%5)"/>
      <w:lvlJc w:val="left"/>
      <w:pPr>
        <w:ind w:left="1420" w:hanging="284"/>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6BD7673A"/>
    <w:multiLevelType w:val="multilevel"/>
    <w:tmpl w:val="C0AE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C7179B1"/>
    <w:multiLevelType w:val="multilevel"/>
    <w:tmpl w:val="A6CA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D3444C3"/>
    <w:multiLevelType w:val="multilevel"/>
    <w:tmpl w:val="C84238D2"/>
    <w:lvl w:ilvl="0">
      <w:start w:val="1"/>
      <w:numFmt w:val="bullet"/>
      <w:lvlText w:val=""/>
      <w:lvlJc w:val="left"/>
      <w:pPr>
        <w:ind w:left="1151" w:hanging="360"/>
      </w:pPr>
      <w:rPr>
        <w:rFonts w:ascii="Symbol" w:hAnsi="Symbol" w:hint="default"/>
        <w:color w:val="0D8577" w:themeColor="accent5"/>
      </w:rPr>
    </w:lvl>
    <w:lvl w:ilvl="1">
      <w:start w:val="1"/>
      <w:numFmt w:val="bullet"/>
      <w:lvlText w:val=""/>
      <w:lvlJc w:val="left"/>
      <w:pPr>
        <w:ind w:left="1871" w:hanging="360"/>
      </w:pPr>
      <w:rPr>
        <w:rFonts w:ascii="Symbol" w:hAnsi="Symbol" w:hint="default"/>
        <w:color w:val="0D3E67" w:themeColor="accent3"/>
      </w:rPr>
    </w:lvl>
    <w:lvl w:ilvl="2">
      <w:start w:val="1"/>
      <w:numFmt w:val="bullet"/>
      <w:lvlText w:val=""/>
      <w:lvlJc w:val="left"/>
      <w:pPr>
        <w:ind w:left="2591" w:hanging="360"/>
      </w:pPr>
      <w:rPr>
        <w:rFonts w:ascii="Wingdings" w:hAnsi="Wingdings" w:hint="default"/>
      </w:rPr>
    </w:lvl>
    <w:lvl w:ilvl="3">
      <w:start w:val="1"/>
      <w:numFmt w:val="bullet"/>
      <w:lvlText w:val=""/>
      <w:lvlJc w:val="left"/>
      <w:pPr>
        <w:ind w:left="3311" w:hanging="360"/>
      </w:pPr>
      <w:rPr>
        <w:rFonts w:ascii="Symbol" w:hAnsi="Symbol" w:hint="default"/>
      </w:rPr>
    </w:lvl>
    <w:lvl w:ilvl="4">
      <w:start w:val="1"/>
      <w:numFmt w:val="bullet"/>
      <w:lvlText w:val="o"/>
      <w:lvlJc w:val="left"/>
      <w:pPr>
        <w:ind w:left="4031" w:hanging="360"/>
      </w:pPr>
      <w:rPr>
        <w:rFonts w:ascii="Courier New" w:hAnsi="Courier New" w:cs="Courier New" w:hint="default"/>
      </w:rPr>
    </w:lvl>
    <w:lvl w:ilvl="5">
      <w:start w:val="1"/>
      <w:numFmt w:val="bullet"/>
      <w:lvlText w:val=""/>
      <w:lvlJc w:val="left"/>
      <w:pPr>
        <w:ind w:left="4751" w:hanging="360"/>
      </w:pPr>
      <w:rPr>
        <w:rFonts w:ascii="Wingdings" w:hAnsi="Wingdings" w:hint="default"/>
      </w:rPr>
    </w:lvl>
    <w:lvl w:ilvl="6">
      <w:start w:val="1"/>
      <w:numFmt w:val="bullet"/>
      <w:lvlText w:val=""/>
      <w:lvlJc w:val="left"/>
      <w:pPr>
        <w:ind w:left="5471" w:hanging="360"/>
      </w:pPr>
      <w:rPr>
        <w:rFonts w:ascii="Symbol" w:hAnsi="Symbol" w:hint="default"/>
      </w:rPr>
    </w:lvl>
    <w:lvl w:ilvl="7">
      <w:start w:val="1"/>
      <w:numFmt w:val="bullet"/>
      <w:lvlText w:val="o"/>
      <w:lvlJc w:val="left"/>
      <w:pPr>
        <w:ind w:left="6191" w:hanging="360"/>
      </w:pPr>
      <w:rPr>
        <w:rFonts w:ascii="Courier New" w:hAnsi="Courier New" w:cs="Courier New" w:hint="default"/>
      </w:rPr>
    </w:lvl>
    <w:lvl w:ilvl="8">
      <w:start w:val="1"/>
      <w:numFmt w:val="bullet"/>
      <w:lvlText w:val=""/>
      <w:lvlJc w:val="left"/>
      <w:pPr>
        <w:ind w:left="6911" w:hanging="360"/>
      </w:pPr>
      <w:rPr>
        <w:rFonts w:ascii="Wingdings" w:hAnsi="Wingdings" w:hint="default"/>
      </w:rPr>
    </w:lvl>
  </w:abstractNum>
  <w:abstractNum w:abstractNumId="85" w15:restartNumberingAfterBreak="0">
    <w:nsid w:val="6FAF505E"/>
    <w:multiLevelType w:val="hybridMultilevel"/>
    <w:tmpl w:val="29563C14"/>
    <w:lvl w:ilvl="0" w:tplc="547ECD1A">
      <w:start w:val="1"/>
      <w:numFmt w:val="bullet"/>
      <w:lvlText w:val=""/>
      <w:lvlJc w:val="left"/>
      <w:pPr>
        <w:ind w:left="720" w:hanging="360"/>
      </w:pPr>
      <w:rPr>
        <w:rFonts w:ascii="Symbol" w:hAnsi="Symbol" w:hint="default"/>
        <w:color w:val="EAE7E3"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FD055F5"/>
    <w:multiLevelType w:val="hybridMultilevel"/>
    <w:tmpl w:val="CA5CBC38"/>
    <w:lvl w:ilvl="0" w:tplc="DD06DE16">
      <w:start w:val="1"/>
      <w:numFmt w:val="bullet"/>
      <w:lvlText w:val=""/>
      <w:lvlJc w:val="left"/>
      <w:pPr>
        <w:ind w:left="720" w:hanging="360"/>
      </w:pPr>
      <w:rPr>
        <w:rFonts w:ascii="Symbol" w:hAnsi="Symbol" w:hint="default"/>
        <w:color w:val="CC660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1760C65"/>
    <w:multiLevelType w:val="multilevel"/>
    <w:tmpl w:val="5DEC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1AB02CA"/>
    <w:multiLevelType w:val="hybridMultilevel"/>
    <w:tmpl w:val="497442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15:restartNumberingAfterBreak="0">
    <w:nsid w:val="72671CED"/>
    <w:multiLevelType w:val="multilevel"/>
    <w:tmpl w:val="F1E2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3380A99"/>
    <w:multiLevelType w:val="multilevel"/>
    <w:tmpl w:val="739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5DF47D9"/>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92" w15:restartNumberingAfterBreak="0">
    <w:nsid w:val="76526BCF"/>
    <w:multiLevelType w:val="hybridMultilevel"/>
    <w:tmpl w:val="2B6E6B12"/>
    <w:lvl w:ilvl="0" w:tplc="CCDEF8D4">
      <w:start w:val="1"/>
      <w:numFmt w:val="bullet"/>
      <w:lvlText w:val=""/>
      <w:lvlJc w:val="left"/>
      <w:pPr>
        <w:ind w:left="720" w:hanging="360"/>
      </w:pPr>
      <w:rPr>
        <w:rFonts w:ascii="Symbol" w:hAnsi="Symbol" w:hint="default"/>
        <w:color w:val="EAE7E3"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D8076B1"/>
    <w:multiLevelType w:val="multilevel"/>
    <w:tmpl w:val="20ACA974"/>
    <w:lvl w:ilvl="0">
      <w:start w:val="2"/>
      <w:numFmt w:val="decimal"/>
      <w:lvlText w:val="%1."/>
      <w:lvlJc w:val="left"/>
      <w:pPr>
        <w:ind w:left="360" w:hanging="360"/>
      </w:pPr>
      <w:rPr>
        <w:rFonts w:hint="default"/>
        <w:b w:val="0"/>
        <w:i w:val="0"/>
        <w:color w:val="CC6600" w:themeColor="accent1"/>
        <w:sz w:val="21"/>
      </w:rPr>
    </w:lvl>
    <w:lvl w:ilvl="1">
      <w:start w:val="1"/>
      <w:numFmt w:val="lowerLetter"/>
      <w:lvlText w:val="%2."/>
      <w:lvlJc w:val="left"/>
      <w:pPr>
        <w:ind w:left="567" w:hanging="567"/>
      </w:pPr>
      <w:rPr>
        <w:rFonts w:ascii="Arial" w:hAnsi="Arial" w:cs="Times New Roman" w:hint="default"/>
        <w:color w:val="0D8577" w:themeColor="accent5"/>
        <w:sz w:val="21"/>
      </w:rPr>
    </w:lvl>
    <w:lvl w:ilvl="2">
      <w:start w:val="1"/>
      <w:numFmt w:val="lowerRoman"/>
      <w:lvlText w:val="%3."/>
      <w:lvlJc w:val="left"/>
      <w:pPr>
        <w:ind w:left="907" w:hanging="340"/>
      </w:pPr>
      <w:rPr>
        <w:rFonts w:ascii="Arial" w:hAnsi="Arial" w:cs="Times New Roman" w:hint="default"/>
        <w:b w:val="0"/>
        <w:i w:val="0"/>
        <w:color w:val="0D3E67" w:themeColor="accent3"/>
        <w:sz w:val="20"/>
      </w:rPr>
    </w:lvl>
    <w:lvl w:ilvl="3">
      <w:start w:val="1"/>
      <w:numFmt w:val="lowerRoman"/>
      <w:lvlText w:val="(%4)"/>
      <w:lvlJc w:val="left"/>
      <w:pPr>
        <w:ind w:left="1247" w:hanging="397"/>
      </w:pPr>
      <w:rPr>
        <w:rFonts w:ascii="Arial" w:hAnsi="Arial" w:cs="Times New Roman" w:hint="default"/>
        <w:color w:val="auto"/>
        <w:sz w:val="20"/>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94" w15:restartNumberingAfterBreak="0">
    <w:nsid w:val="7EE20124"/>
    <w:multiLevelType w:val="multilevel"/>
    <w:tmpl w:val="F53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9811790">
    <w:abstractNumId w:val="67"/>
  </w:num>
  <w:num w:numId="2" w16cid:durableId="978614563">
    <w:abstractNumId w:val="49"/>
  </w:num>
  <w:num w:numId="3" w16cid:durableId="1983802372">
    <w:abstractNumId w:val="17"/>
  </w:num>
  <w:num w:numId="4" w16cid:durableId="1491017973">
    <w:abstractNumId w:val="35"/>
  </w:num>
  <w:num w:numId="5" w16cid:durableId="1309238202">
    <w:abstractNumId w:val="81"/>
  </w:num>
  <w:num w:numId="6" w16cid:durableId="231552194">
    <w:abstractNumId w:val="40"/>
  </w:num>
  <w:num w:numId="7" w16cid:durableId="1271157502">
    <w:abstractNumId w:val="49"/>
  </w:num>
  <w:num w:numId="8" w16cid:durableId="1462069794">
    <w:abstractNumId w:val="35"/>
  </w:num>
  <w:num w:numId="9" w16cid:durableId="169568903">
    <w:abstractNumId w:val="13"/>
  </w:num>
  <w:num w:numId="10" w16cid:durableId="414590034">
    <w:abstractNumId w:val="26"/>
    <w:lvlOverride w:ilvl="0">
      <w:lvl w:ilvl="0">
        <w:start w:val="1"/>
        <w:numFmt w:val="upperLetter"/>
        <w:pStyle w:val="Heading8"/>
        <w:suff w:val="space"/>
        <w:lvlText w:val="Appendix %1"/>
        <w:lvlJc w:val="left"/>
        <w:pPr>
          <w:ind w:left="0" w:firstLine="0"/>
        </w:pPr>
        <w:rPr>
          <w:rFonts w:hint="default"/>
          <w:b w:val="0"/>
          <w:i w:val="0"/>
        </w:rPr>
      </w:lvl>
    </w:lvlOverride>
  </w:num>
  <w:num w:numId="11" w16cid:durableId="358623805">
    <w:abstractNumId w:val="83"/>
  </w:num>
  <w:num w:numId="12" w16cid:durableId="1305549947">
    <w:abstractNumId w:val="90"/>
  </w:num>
  <w:num w:numId="13" w16cid:durableId="853224061">
    <w:abstractNumId w:val="72"/>
  </w:num>
  <w:num w:numId="14" w16cid:durableId="314838400">
    <w:abstractNumId w:val="68"/>
  </w:num>
  <w:num w:numId="15" w16cid:durableId="1204247073">
    <w:abstractNumId w:val="57"/>
  </w:num>
  <w:num w:numId="16" w16cid:durableId="2069834719">
    <w:abstractNumId w:val="71"/>
  </w:num>
  <w:num w:numId="17" w16cid:durableId="1041251177">
    <w:abstractNumId w:val="80"/>
  </w:num>
  <w:num w:numId="18" w16cid:durableId="460656906">
    <w:abstractNumId w:val="27"/>
  </w:num>
  <w:num w:numId="19" w16cid:durableId="1179659731">
    <w:abstractNumId w:val="56"/>
  </w:num>
  <w:num w:numId="20" w16cid:durableId="2013609072">
    <w:abstractNumId w:val="50"/>
  </w:num>
  <w:num w:numId="21" w16cid:durableId="32921451">
    <w:abstractNumId w:val="53"/>
  </w:num>
  <w:num w:numId="22" w16cid:durableId="639650895">
    <w:abstractNumId w:val="17"/>
  </w:num>
  <w:num w:numId="23" w16cid:durableId="1065757518">
    <w:abstractNumId w:val="64"/>
  </w:num>
  <w:num w:numId="24" w16cid:durableId="1980914916">
    <w:abstractNumId w:val="14"/>
  </w:num>
  <w:num w:numId="25" w16cid:durableId="1151482541">
    <w:abstractNumId w:val="30"/>
  </w:num>
  <w:num w:numId="26" w16cid:durableId="8960852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83745706">
    <w:abstractNumId w:val="44"/>
  </w:num>
  <w:num w:numId="28" w16cid:durableId="1128742666">
    <w:abstractNumId w:val="88"/>
  </w:num>
  <w:num w:numId="29" w16cid:durableId="20449411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33854185">
    <w:abstractNumId w:val="52"/>
  </w:num>
  <w:num w:numId="31" w16cid:durableId="914170604">
    <w:abstractNumId w:val="55"/>
  </w:num>
  <w:num w:numId="32" w16cid:durableId="801315133">
    <w:abstractNumId w:val="93"/>
  </w:num>
  <w:num w:numId="33" w16cid:durableId="1067147271">
    <w:abstractNumId w:val="35"/>
  </w:num>
  <w:num w:numId="34" w16cid:durableId="17900780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05815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48660011">
    <w:abstractNumId w:val="35"/>
  </w:num>
  <w:num w:numId="37" w16cid:durableId="537552711">
    <w:abstractNumId w:val="65"/>
  </w:num>
  <w:num w:numId="38" w16cid:durableId="554465620">
    <w:abstractNumId w:val="42"/>
  </w:num>
  <w:num w:numId="39" w16cid:durableId="549195357">
    <w:abstractNumId w:val="75"/>
  </w:num>
  <w:num w:numId="40" w16cid:durableId="977761791">
    <w:abstractNumId w:val="45"/>
  </w:num>
  <w:num w:numId="41" w16cid:durableId="900100679">
    <w:abstractNumId w:val="15"/>
  </w:num>
  <w:num w:numId="42" w16cid:durableId="359749507">
    <w:abstractNumId w:val="9"/>
  </w:num>
  <w:num w:numId="43" w16cid:durableId="1092627246">
    <w:abstractNumId w:val="48"/>
  </w:num>
  <w:num w:numId="44" w16cid:durableId="960647503">
    <w:abstractNumId w:val="7"/>
  </w:num>
  <w:num w:numId="45" w16cid:durableId="1456868448">
    <w:abstractNumId w:val="63"/>
  </w:num>
  <w:num w:numId="46" w16cid:durableId="149448493">
    <w:abstractNumId w:val="8"/>
  </w:num>
  <w:num w:numId="47" w16cid:durableId="1797135878">
    <w:abstractNumId w:val="8"/>
  </w:num>
  <w:num w:numId="48" w16cid:durableId="1236164444">
    <w:abstractNumId w:val="20"/>
  </w:num>
  <w:num w:numId="49" w16cid:durableId="442653151">
    <w:abstractNumId w:val="18"/>
  </w:num>
  <w:num w:numId="50" w16cid:durableId="51933390">
    <w:abstractNumId w:val="62"/>
  </w:num>
  <w:num w:numId="51" w16cid:durableId="1303577503">
    <w:abstractNumId w:val="39"/>
  </w:num>
  <w:num w:numId="52" w16cid:durableId="2125616846">
    <w:abstractNumId w:val="6"/>
  </w:num>
  <w:num w:numId="53" w16cid:durableId="254556602">
    <w:abstractNumId w:val="5"/>
  </w:num>
  <w:num w:numId="54" w16cid:durableId="1827044897">
    <w:abstractNumId w:val="4"/>
  </w:num>
  <w:num w:numId="55" w16cid:durableId="44254566">
    <w:abstractNumId w:val="3"/>
  </w:num>
  <w:num w:numId="56" w16cid:durableId="1180118113">
    <w:abstractNumId w:val="2"/>
  </w:num>
  <w:num w:numId="57" w16cid:durableId="129907979">
    <w:abstractNumId w:val="1"/>
  </w:num>
  <w:num w:numId="58" w16cid:durableId="1728411465">
    <w:abstractNumId w:val="0"/>
  </w:num>
  <w:num w:numId="59" w16cid:durableId="7647645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28256318">
    <w:abstractNumId w:val="46"/>
  </w:num>
  <w:num w:numId="61" w16cid:durableId="1137602911">
    <w:abstractNumId w:val="26"/>
    <w:lvlOverride w:ilvl="0">
      <w:lvl w:ilvl="0">
        <w:start w:val="1"/>
        <w:numFmt w:val="upperLetter"/>
        <w:pStyle w:val="Heading8"/>
        <w:suff w:val="nothing"/>
        <w:lvlText w:val="Appendix %1"/>
        <w:lvlJc w:val="left"/>
        <w:pPr>
          <w:ind w:left="0" w:firstLine="0"/>
        </w:pPr>
      </w:lvl>
    </w:lvlOverride>
  </w:num>
  <w:num w:numId="62" w16cid:durableId="471290588">
    <w:abstractNumId w:val="92"/>
  </w:num>
  <w:num w:numId="63" w16cid:durableId="1877815903">
    <w:abstractNumId w:val="29"/>
  </w:num>
  <w:num w:numId="64" w16cid:durableId="2138402992">
    <w:abstractNumId w:val="85"/>
  </w:num>
  <w:num w:numId="65" w16cid:durableId="14352491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677518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442151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2984208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94876932">
    <w:abstractNumId w:val="37"/>
  </w:num>
  <w:num w:numId="70" w16cid:durableId="376204780">
    <w:abstractNumId w:val="86"/>
  </w:num>
  <w:num w:numId="71" w16cid:durableId="1233924973">
    <w:abstractNumId w:val="79"/>
  </w:num>
  <w:num w:numId="72" w16cid:durableId="537083753">
    <w:abstractNumId w:val="84"/>
  </w:num>
  <w:num w:numId="73" w16cid:durableId="1459763727">
    <w:abstractNumId w:val="66"/>
  </w:num>
  <w:num w:numId="74" w16cid:durableId="12416465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825530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822216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400353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391492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23466304">
    <w:abstractNumId w:val="13"/>
  </w:num>
  <w:num w:numId="80" w16cid:durableId="921707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605760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298040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227982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391980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287915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754282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9730224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1128210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813167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350974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679640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382247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754360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11621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2826103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3829473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8699969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379441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803369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4865509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300148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604423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354944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2501961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574617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716680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8324040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9754048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038110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339659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0535756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8196157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951134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119684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271378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656662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0044281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6248221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430304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061183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4719448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7343082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73122420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735138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888911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669889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2128849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5289530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3057431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1421126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1659031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175999456">
    <w:abstractNumId w:val="19"/>
  </w:num>
  <w:num w:numId="133" w16cid:durableId="1846944870">
    <w:abstractNumId w:val="21"/>
  </w:num>
  <w:num w:numId="134" w16cid:durableId="1157068456">
    <w:abstractNumId w:val="69"/>
  </w:num>
  <w:num w:numId="135" w16cid:durableId="844976932">
    <w:abstractNumId w:val="70"/>
  </w:num>
  <w:num w:numId="136" w16cid:durableId="1450122003">
    <w:abstractNumId w:val="74"/>
  </w:num>
  <w:num w:numId="137" w16cid:durableId="2133790853">
    <w:abstractNumId w:val="91"/>
  </w:num>
  <w:num w:numId="138" w16cid:durableId="1272979824">
    <w:abstractNumId w:val="11"/>
  </w:num>
  <w:num w:numId="139" w16cid:durableId="1747266297">
    <w:abstractNumId w:val="54"/>
  </w:num>
  <w:num w:numId="140" w16cid:durableId="157960033">
    <w:abstractNumId w:val="31"/>
  </w:num>
  <w:num w:numId="141" w16cid:durableId="14604962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6083926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469206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7924077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3459093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6482472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1029433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9359396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83568923">
    <w:abstractNumId w:val="82"/>
  </w:num>
  <w:num w:numId="150" w16cid:durableId="1744642166">
    <w:abstractNumId w:val="24"/>
  </w:num>
  <w:num w:numId="151" w16cid:durableId="611936965">
    <w:abstractNumId w:val="33"/>
  </w:num>
  <w:num w:numId="152" w16cid:durableId="651326291">
    <w:abstractNumId w:val="94"/>
  </w:num>
  <w:num w:numId="153" w16cid:durableId="2103329404">
    <w:abstractNumId w:val="23"/>
  </w:num>
  <w:num w:numId="154" w16cid:durableId="1883128311">
    <w:abstractNumId w:val="41"/>
  </w:num>
  <w:num w:numId="155" w16cid:durableId="595677055">
    <w:abstractNumId w:val="43"/>
  </w:num>
  <w:num w:numId="156" w16cid:durableId="964846372">
    <w:abstractNumId w:val="76"/>
  </w:num>
  <w:num w:numId="157" w16cid:durableId="1428648781">
    <w:abstractNumId w:val="59"/>
  </w:num>
  <w:num w:numId="158" w16cid:durableId="380444859">
    <w:abstractNumId w:val="78"/>
  </w:num>
  <w:num w:numId="159" w16cid:durableId="1932086516">
    <w:abstractNumId w:val="32"/>
  </w:num>
  <w:num w:numId="160" w16cid:durableId="1677221873">
    <w:abstractNumId w:val="25"/>
  </w:num>
  <w:num w:numId="161" w16cid:durableId="293604994">
    <w:abstractNumId w:val="22"/>
  </w:num>
  <w:num w:numId="162" w16cid:durableId="1509949711">
    <w:abstractNumId w:val="28"/>
  </w:num>
  <w:num w:numId="163" w16cid:durableId="1707828432">
    <w:abstractNumId w:val="34"/>
  </w:num>
  <w:num w:numId="164" w16cid:durableId="1729844113">
    <w:abstractNumId w:val="51"/>
  </w:num>
  <w:num w:numId="165" w16cid:durableId="1098714645">
    <w:abstractNumId w:val="36"/>
  </w:num>
  <w:num w:numId="166" w16cid:durableId="2133284443">
    <w:abstractNumId w:val="60"/>
  </w:num>
  <w:num w:numId="167" w16cid:durableId="1512141640">
    <w:abstractNumId w:val="38"/>
  </w:num>
  <w:num w:numId="168" w16cid:durableId="347024573">
    <w:abstractNumId w:val="16"/>
  </w:num>
  <w:num w:numId="169" w16cid:durableId="1128205042">
    <w:abstractNumId w:val="73"/>
  </w:num>
  <w:num w:numId="170" w16cid:durableId="230388072">
    <w:abstractNumId w:val="61"/>
  </w:num>
  <w:num w:numId="171" w16cid:durableId="651180307">
    <w:abstractNumId w:val="87"/>
  </w:num>
  <w:num w:numId="172" w16cid:durableId="396170861">
    <w:abstractNumId w:val="77"/>
  </w:num>
  <w:num w:numId="173" w16cid:durableId="687289247">
    <w:abstractNumId w:val="12"/>
  </w:num>
  <w:num w:numId="174" w16cid:durableId="1248348003">
    <w:abstractNumId w:val="89"/>
  </w:num>
  <w:num w:numId="175" w16cid:durableId="658117889">
    <w:abstractNumId w:val="47"/>
  </w:num>
  <w:num w:numId="176" w16cid:durableId="548879632">
    <w:abstractNumId w:val="10"/>
  </w:num>
  <w:num w:numId="177" w16cid:durableId="4285461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2046909897">
    <w:abstractNumId w:val="26"/>
  </w:num>
  <w:num w:numId="179" w16cid:durableId="1582375346">
    <w:abstractNumId w:val="58"/>
  </w:num>
  <w:num w:numId="180" w16cid:durableId="1734115161">
    <w:abstractNumId w:val="26"/>
    <w:lvlOverride w:ilvl="0">
      <w:lvl w:ilvl="0">
        <w:start w:val="1"/>
        <w:numFmt w:val="upperLetter"/>
        <w:pStyle w:val="Heading8"/>
        <w:suff w:val="space"/>
        <w:lvlText w:val="Appendix %1"/>
        <w:lvlJc w:val="left"/>
        <w:pPr>
          <w:ind w:left="0" w:firstLine="0"/>
        </w:pPr>
        <w:rPr>
          <w:rFonts w:hint="default"/>
          <w:b w:val="0"/>
          <w:i w:val="0"/>
        </w:rPr>
      </w:lvl>
    </w:lvlOverride>
  </w:num>
  <w:num w:numId="181" w16cid:durableId="1379092381">
    <w:abstractNumId w:val="9"/>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False"/>
  </w:docVars>
  <w:rsids>
    <w:rsidRoot w:val="001A7943"/>
    <w:rsid w:val="0000077E"/>
    <w:rsid w:val="00000F4C"/>
    <w:rsid w:val="0000277A"/>
    <w:rsid w:val="00003E47"/>
    <w:rsid w:val="00004740"/>
    <w:rsid w:val="00005F95"/>
    <w:rsid w:val="000066E5"/>
    <w:rsid w:val="000069D1"/>
    <w:rsid w:val="00006B98"/>
    <w:rsid w:val="0000730B"/>
    <w:rsid w:val="00007AD5"/>
    <w:rsid w:val="00007B2B"/>
    <w:rsid w:val="00007F7F"/>
    <w:rsid w:val="000101F3"/>
    <w:rsid w:val="00011C6B"/>
    <w:rsid w:val="00012A0F"/>
    <w:rsid w:val="00013855"/>
    <w:rsid w:val="00013D4D"/>
    <w:rsid w:val="000217A1"/>
    <w:rsid w:val="00021917"/>
    <w:rsid w:val="00022676"/>
    <w:rsid w:val="000228CC"/>
    <w:rsid w:val="00022A04"/>
    <w:rsid w:val="00022FE1"/>
    <w:rsid w:val="00023878"/>
    <w:rsid w:val="00023F98"/>
    <w:rsid w:val="000244B5"/>
    <w:rsid w:val="00024677"/>
    <w:rsid w:val="000275E8"/>
    <w:rsid w:val="00027736"/>
    <w:rsid w:val="00030556"/>
    <w:rsid w:val="00030642"/>
    <w:rsid w:val="000316AD"/>
    <w:rsid w:val="0003170F"/>
    <w:rsid w:val="00031B4F"/>
    <w:rsid w:val="00032CBD"/>
    <w:rsid w:val="00032FE7"/>
    <w:rsid w:val="00034B0A"/>
    <w:rsid w:val="00035BD3"/>
    <w:rsid w:val="00035F39"/>
    <w:rsid w:val="0003648E"/>
    <w:rsid w:val="000374EF"/>
    <w:rsid w:val="00040396"/>
    <w:rsid w:val="000404B0"/>
    <w:rsid w:val="00041776"/>
    <w:rsid w:val="00041A6B"/>
    <w:rsid w:val="00043026"/>
    <w:rsid w:val="00043752"/>
    <w:rsid w:val="00043E45"/>
    <w:rsid w:val="00044977"/>
    <w:rsid w:val="00044AD7"/>
    <w:rsid w:val="000459EF"/>
    <w:rsid w:val="00046B8F"/>
    <w:rsid w:val="00046C70"/>
    <w:rsid w:val="00050C90"/>
    <w:rsid w:val="00050CED"/>
    <w:rsid w:val="00050EA6"/>
    <w:rsid w:val="00051D53"/>
    <w:rsid w:val="00052900"/>
    <w:rsid w:val="00052A90"/>
    <w:rsid w:val="00053C9E"/>
    <w:rsid w:val="0005427C"/>
    <w:rsid w:val="00054596"/>
    <w:rsid w:val="00054876"/>
    <w:rsid w:val="00055BD4"/>
    <w:rsid w:val="00056AA2"/>
    <w:rsid w:val="00056B84"/>
    <w:rsid w:val="00057816"/>
    <w:rsid w:val="00057D01"/>
    <w:rsid w:val="00057F16"/>
    <w:rsid w:val="00061200"/>
    <w:rsid w:val="00061FB1"/>
    <w:rsid w:val="00062B02"/>
    <w:rsid w:val="00063462"/>
    <w:rsid w:val="00065A77"/>
    <w:rsid w:val="00066314"/>
    <w:rsid w:val="000701F3"/>
    <w:rsid w:val="00072122"/>
    <w:rsid w:val="0007334C"/>
    <w:rsid w:val="00073525"/>
    <w:rsid w:val="00073765"/>
    <w:rsid w:val="00074ED6"/>
    <w:rsid w:val="00080333"/>
    <w:rsid w:val="00082940"/>
    <w:rsid w:val="00083F7F"/>
    <w:rsid w:val="000840DE"/>
    <w:rsid w:val="00084358"/>
    <w:rsid w:val="00084A38"/>
    <w:rsid w:val="00085080"/>
    <w:rsid w:val="0008511F"/>
    <w:rsid w:val="000851D0"/>
    <w:rsid w:val="00085A31"/>
    <w:rsid w:val="00085D7E"/>
    <w:rsid w:val="00090147"/>
    <w:rsid w:val="00090655"/>
    <w:rsid w:val="00090AAF"/>
    <w:rsid w:val="00091683"/>
    <w:rsid w:val="00092BA7"/>
    <w:rsid w:val="000932BD"/>
    <w:rsid w:val="000949F3"/>
    <w:rsid w:val="000957F4"/>
    <w:rsid w:val="000973D6"/>
    <w:rsid w:val="000975BB"/>
    <w:rsid w:val="00097662"/>
    <w:rsid w:val="000A08BE"/>
    <w:rsid w:val="000A106A"/>
    <w:rsid w:val="000A2F76"/>
    <w:rsid w:val="000A32B3"/>
    <w:rsid w:val="000A6254"/>
    <w:rsid w:val="000A6488"/>
    <w:rsid w:val="000A7857"/>
    <w:rsid w:val="000B0F43"/>
    <w:rsid w:val="000B332B"/>
    <w:rsid w:val="000B3631"/>
    <w:rsid w:val="000B4994"/>
    <w:rsid w:val="000B5C6B"/>
    <w:rsid w:val="000B68E8"/>
    <w:rsid w:val="000B7875"/>
    <w:rsid w:val="000B7D77"/>
    <w:rsid w:val="000C2D94"/>
    <w:rsid w:val="000C60BC"/>
    <w:rsid w:val="000D2BCB"/>
    <w:rsid w:val="000D5696"/>
    <w:rsid w:val="000D676B"/>
    <w:rsid w:val="000D759F"/>
    <w:rsid w:val="000D7C60"/>
    <w:rsid w:val="000E157B"/>
    <w:rsid w:val="000E175D"/>
    <w:rsid w:val="000E1978"/>
    <w:rsid w:val="000E1CD7"/>
    <w:rsid w:val="000E3110"/>
    <w:rsid w:val="000E324E"/>
    <w:rsid w:val="000E3621"/>
    <w:rsid w:val="000E3C2A"/>
    <w:rsid w:val="000E3F93"/>
    <w:rsid w:val="000E45C5"/>
    <w:rsid w:val="000E507B"/>
    <w:rsid w:val="000E633A"/>
    <w:rsid w:val="000E79AD"/>
    <w:rsid w:val="000F017A"/>
    <w:rsid w:val="000F02EA"/>
    <w:rsid w:val="000F107A"/>
    <w:rsid w:val="000F41F7"/>
    <w:rsid w:val="000F4728"/>
    <w:rsid w:val="000F5E9E"/>
    <w:rsid w:val="000F5F85"/>
    <w:rsid w:val="000F64EF"/>
    <w:rsid w:val="000F6B2D"/>
    <w:rsid w:val="000F7632"/>
    <w:rsid w:val="000F7DE6"/>
    <w:rsid w:val="001009FD"/>
    <w:rsid w:val="00101A0F"/>
    <w:rsid w:val="001027BB"/>
    <w:rsid w:val="00104C49"/>
    <w:rsid w:val="001060C4"/>
    <w:rsid w:val="0010612A"/>
    <w:rsid w:val="0011000E"/>
    <w:rsid w:val="00111A6E"/>
    <w:rsid w:val="00111B35"/>
    <w:rsid w:val="00117AF1"/>
    <w:rsid w:val="00117AF4"/>
    <w:rsid w:val="00122010"/>
    <w:rsid w:val="00122F10"/>
    <w:rsid w:val="00122F7C"/>
    <w:rsid w:val="00123AF6"/>
    <w:rsid w:val="00123BD3"/>
    <w:rsid w:val="00126079"/>
    <w:rsid w:val="00126C83"/>
    <w:rsid w:val="00127E15"/>
    <w:rsid w:val="0013285E"/>
    <w:rsid w:val="001331F5"/>
    <w:rsid w:val="00133416"/>
    <w:rsid w:val="0013357F"/>
    <w:rsid w:val="0013402D"/>
    <w:rsid w:val="00135AA0"/>
    <w:rsid w:val="001367AE"/>
    <w:rsid w:val="00137F11"/>
    <w:rsid w:val="001406B1"/>
    <w:rsid w:val="00140BAB"/>
    <w:rsid w:val="001412BA"/>
    <w:rsid w:val="00142C6D"/>
    <w:rsid w:val="00142FE6"/>
    <w:rsid w:val="0014390F"/>
    <w:rsid w:val="001439BA"/>
    <w:rsid w:val="00144A41"/>
    <w:rsid w:val="00145A29"/>
    <w:rsid w:val="00146732"/>
    <w:rsid w:val="00146A3C"/>
    <w:rsid w:val="00146A7A"/>
    <w:rsid w:val="001477FF"/>
    <w:rsid w:val="001505FC"/>
    <w:rsid w:val="00150678"/>
    <w:rsid w:val="00150B3A"/>
    <w:rsid w:val="0015204B"/>
    <w:rsid w:val="001523FD"/>
    <w:rsid w:val="00153FE0"/>
    <w:rsid w:val="0015448C"/>
    <w:rsid w:val="00154874"/>
    <w:rsid w:val="00155A85"/>
    <w:rsid w:val="0015779C"/>
    <w:rsid w:val="00163639"/>
    <w:rsid w:val="001648B0"/>
    <w:rsid w:val="00165624"/>
    <w:rsid w:val="0016625B"/>
    <w:rsid w:val="00166496"/>
    <w:rsid w:val="0016706C"/>
    <w:rsid w:val="00167146"/>
    <w:rsid w:val="00167E91"/>
    <w:rsid w:val="00172D0F"/>
    <w:rsid w:val="0017651E"/>
    <w:rsid w:val="00176779"/>
    <w:rsid w:val="00176809"/>
    <w:rsid w:val="00176FAD"/>
    <w:rsid w:val="001771D4"/>
    <w:rsid w:val="0017795C"/>
    <w:rsid w:val="001803C9"/>
    <w:rsid w:val="001841FA"/>
    <w:rsid w:val="0018431C"/>
    <w:rsid w:val="001859F4"/>
    <w:rsid w:val="001900F0"/>
    <w:rsid w:val="00190D17"/>
    <w:rsid w:val="00190DFC"/>
    <w:rsid w:val="0019136F"/>
    <w:rsid w:val="001921B5"/>
    <w:rsid w:val="001930B0"/>
    <w:rsid w:val="00193980"/>
    <w:rsid w:val="00193DE9"/>
    <w:rsid w:val="0019482B"/>
    <w:rsid w:val="00194BBF"/>
    <w:rsid w:val="00194C5E"/>
    <w:rsid w:val="00194E07"/>
    <w:rsid w:val="00195EA3"/>
    <w:rsid w:val="00197232"/>
    <w:rsid w:val="001A015F"/>
    <w:rsid w:val="001A06E3"/>
    <w:rsid w:val="001A119D"/>
    <w:rsid w:val="001A13DA"/>
    <w:rsid w:val="001A30A0"/>
    <w:rsid w:val="001A4BBA"/>
    <w:rsid w:val="001A59DE"/>
    <w:rsid w:val="001A6727"/>
    <w:rsid w:val="001A6EBF"/>
    <w:rsid w:val="001A6FE2"/>
    <w:rsid w:val="001A790C"/>
    <w:rsid w:val="001A7943"/>
    <w:rsid w:val="001A7AC0"/>
    <w:rsid w:val="001A7F56"/>
    <w:rsid w:val="001B02EB"/>
    <w:rsid w:val="001B2486"/>
    <w:rsid w:val="001B3C4E"/>
    <w:rsid w:val="001B4E1D"/>
    <w:rsid w:val="001B5566"/>
    <w:rsid w:val="001C1B62"/>
    <w:rsid w:val="001C3E20"/>
    <w:rsid w:val="001C3EC5"/>
    <w:rsid w:val="001C5909"/>
    <w:rsid w:val="001C59C2"/>
    <w:rsid w:val="001C656C"/>
    <w:rsid w:val="001C6816"/>
    <w:rsid w:val="001C6B31"/>
    <w:rsid w:val="001C7212"/>
    <w:rsid w:val="001D0DA7"/>
    <w:rsid w:val="001D1340"/>
    <w:rsid w:val="001D1E85"/>
    <w:rsid w:val="001D2672"/>
    <w:rsid w:val="001D3C48"/>
    <w:rsid w:val="001D605F"/>
    <w:rsid w:val="001D71CA"/>
    <w:rsid w:val="001D74E4"/>
    <w:rsid w:val="001E040F"/>
    <w:rsid w:val="001E05B4"/>
    <w:rsid w:val="001E1A94"/>
    <w:rsid w:val="001E3A70"/>
    <w:rsid w:val="001E509E"/>
    <w:rsid w:val="001E59EA"/>
    <w:rsid w:val="001E5F2F"/>
    <w:rsid w:val="001E74C9"/>
    <w:rsid w:val="001E74D3"/>
    <w:rsid w:val="001E7B6A"/>
    <w:rsid w:val="001F002F"/>
    <w:rsid w:val="001F1F49"/>
    <w:rsid w:val="001F4019"/>
    <w:rsid w:val="001F4FAD"/>
    <w:rsid w:val="001F574B"/>
    <w:rsid w:val="001F6480"/>
    <w:rsid w:val="001F6F84"/>
    <w:rsid w:val="001F7285"/>
    <w:rsid w:val="001F7BFB"/>
    <w:rsid w:val="00200C96"/>
    <w:rsid w:val="002012FD"/>
    <w:rsid w:val="00205EC5"/>
    <w:rsid w:val="00205F6A"/>
    <w:rsid w:val="002063E3"/>
    <w:rsid w:val="00212F6C"/>
    <w:rsid w:val="0021581D"/>
    <w:rsid w:val="00215B1C"/>
    <w:rsid w:val="00215DEF"/>
    <w:rsid w:val="0021733F"/>
    <w:rsid w:val="00217A82"/>
    <w:rsid w:val="002212CE"/>
    <w:rsid w:val="0022145B"/>
    <w:rsid w:val="00221A57"/>
    <w:rsid w:val="00222A4C"/>
    <w:rsid w:val="0022389A"/>
    <w:rsid w:val="00224232"/>
    <w:rsid w:val="00224319"/>
    <w:rsid w:val="002253B0"/>
    <w:rsid w:val="00225864"/>
    <w:rsid w:val="00226E55"/>
    <w:rsid w:val="002305EF"/>
    <w:rsid w:val="00230A10"/>
    <w:rsid w:val="00230C46"/>
    <w:rsid w:val="00231549"/>
    <w:rsid w:val="00231A52"/>
    <w:rsid w:val="00231CC2"/>
    <w:rsid w:val="002331A2"/>
    <w:rsid w:val="00233C1A"/>
    <w:rsid w:val="00234749"/>
    <w:rsid w:val="002347BD"/>
    <w:rsid w:val="00235B7B"/>
    <w:rsid w:val="002407AE"/>
    <w:rsid w:val="00240ABC"/>
    <w:rsid w:val="00240CFD"/>
    <w:rsid w:val="00241653"/>
    <w:rsid w:val="0024189A"/>
    <w:rsid w:val="00241B44"/>
    <w:rsid w:val="00241C1D"/>
    <w:rsid w:val="002420D4"/>
    <w:rsid w:val="002421DA"/>
    <w:rsid w:val="00243692"/>
    <w:rsid w:val="00243D21"/>
    <w:rsid w:val="00243D88"/>
    <w:rsid w:val="002444BA"/>
    <w:rsid w:val="00250B93"/>
    <w:rsid w:val="00251173"/>
    <w:rsid w:val="00251190"/>
    <w:rsid w:val="0025176A"/>
    <w:rsid w:val="002524E8"/>
    <w:rsid w:val="00253EE3"/>
    <w:rsid w:val="0025403E"/>
    <w:rsid w:val="00254757"/>
    <w:rsid w:val="002547FB"/>
    <w:rsid w:val="00254F7C"/>
    <w:rsid w:val="00256341"/>
    <w:rsid w:val="00257305"/>
    <w:rsid w:val="00257CFD"/>
    <w:rsid w:val="00261D7B"/>
    <w:rsid w:val="00261DEF"/>
    <w:rsid w:val="00262031"/>
    <w:rsid w:val="00262C03"/>
    <w:rsid w:val="002642D7"/>
    <w:rsid w:val="00265CD8"/>
    <w:rsid w:val="00265E3E"/>
    <w:rsid w:val="00265F25"/>
    <w:rsid w:val="00266E6D"/>
    <w:rsid w:val="002673E6"/>
    <w:rsid w:val="0026754E"/>
    <w:rsid w:val="00267E8A"/>
    <w:rsid w:val="00270634"/>
    <w:rsid w:val="00270F4F"/>
    <w:rsid w:val="00272583"/>
    <w:rsid w:val="00272DFA"/>
    <w:rsid w:val="002743B3"/>
    <w:rsid w:val="00275EA9"/>
    <w:rsid w:val="0027646E"/>
    <w:rsid w:val="0027687D"/>
    <w:rsid w:val="0027763D"/>
    <w:rsid w:val="002777B2"/>
    <w:rsid w:val="00277A07"/>
    <w:rsid w:val="00277C1C"/>
    <w:rsid w:val="00280A1C"/>
    <w:rsid w:val="002841C2"/>
    <w:rsid w:val="00284999"/>
    <w:rsid w:val="002904B0"/>
    <w:rsid w:val="002908D7"/>
    <w:rsid w:val="00291D0A"/>
    <w:rsid w:val="00292ABB"/>
    <w:rsid w:val="00292D74"/>
    <w:rsid w:val="00292F01"/>
    <w:rsid w:val="002964C5"/>
    <w:rsid w:val="00296B5B"/>
    <w:rsid w:val="00296EFD"/>
    <w:rsid w:val="002A05D0"/>
    <w:rsid w:val="002A2004"/>
    <w:rsid w:val="002A3127"/>
    <w:rsid w:val="002A572A"/>
    <w:rsid w:val="002A6A5C"/>
    <w:rsid w:val="002A6B99"/>
    <w:rsid w:val="002A6F86"/>
    <w:rsid w:val="002A718D"/>
    <w:rsid w:val="002B06B8"/>
    <w:rsid w:val="002B0C9E"/>
    <w:rsid w:val="002B1818"/>
    <w:rsid w:val="002B1A0F"/>
    <w:rsid w:val="002B1A29"/>
    <w:rsid w:val="002B1AB2"/>
    <w:rsid w:val="002B205A"/>
    <w:rsid w:val="002B29F4"/>
    <w:rsid w:val="002B30B9"/>
    <w:rsid w:val="002B3BC0"/>
    <w:rsid w:val="002B4F09"/>
    <w:rsid w:val="002B51E7"/>
    <w:rsid w:val="002B60F0"/>
    <w:rsid w:val="002B6494"/>
    <w:rsid w:val="002C256D"/>
    <w:rsid w:val="002C752E"/>
    <w:rsid w:val="002C797D"/>
    <w:rsid w:val="002D0370"/>
    <w:rsid w:val="002D10AD"/>
    <w:rsid w:val="002D1DDF"/>
    <w:rsid w:val="002D2A17"/>
    <w:rsid w:val="002D31B6"/>
    <w:rsid w:val="002D3BE8"/>
    <w:rsid w:val="002D4144"/>
    <w:rsid w:val="002D41AD"/>
    <w:rsid w:val="002D5113"/>
    <w:rsid w:val="002D5213"/>
    <w:rsid w:val="002D5958"/>
    <w:rsid w:val="002D5E48"/>
    <w:rsid w:val="002D6381"/>
    <w:rsid w:val="002D6ADC"/>
    <w:rsid w:val="002D7082"/>
    <w:rsid w:val="002D79DA"/>
    <w:rsid w:val="002D7DAE"/>
    <w:rsid w:val="002D7DF6"/>
    <w:rsid w:val="002E0F7B"/>
    <w:rsid w:val="002E1A3A"/>
    <w:rsid w:val="002E24B2"/>
    <w:rsid w:val="002E3965"/>
    <w:rsid w:val="002E4819"/>
    <w:rsid w:val="002E532B"/>
    <w:rsid w:val="002E598A"/>
    <w:rsid w:val="002E61E7"/>
    <w:rsid w:val="002F03FE"/>
    <w:rsid w:val="002F0886"/>
    <w:rsid w:val="002F308F"/>
    <w:rsid w:val="002F3375"/>
    <w:rsid w:val="002F4B6A"/>
    <w:rsid w:val="002F6838"/>
    <w:rsid w:val="002F6943"/>
    <w:rsid w:val="002F70EC"/>
    <w:rsid w:val="002F730E"/>
    <w:rsid w:val="0030023B"/>
    <w:rsid w:val="003033AE"/>
    <w:rsid w:val="00305698"/>
    <w:rsid w:val="00306F84"/>
    <w:rsid w:val="00307AAD"/>
    <w:rsid w:val="003102A4"/>
    <w:rsid w:val="003106FC"/>
    <w:rsid w:val="00312291"/>
    <w:rsid w:val="00313CD0"/>
    <w:rsid w:val="00314952"/>
    <w:rsid w:val="00314A79"/>
    <w:rsid w:val="0031536E"/>
    <w:rsid w:val="003157C9"/>
    <w:rsid w:val="00315954"/>
    <w:rsid w:val="0031621E"/>
    <w:rsid w:val="003176DC"/>
    <w:rsid w:val="0031773F"/>
    <w:rsid w:val="0032174F"/>
    <w:rsid w:val="00322B4D"/>
    <w:rsid w:val="00322D40"/>
    <w:rsid w:val="003231FA"/>
    <w:rsid w:val="00324640"/>
    <w:rsid w:val="00325621"/>
    <w:rsid w:val="0032691C"/>
    <w:rsid w:val="00327F62"/>
    <w:rsid w:val="003302A8"/>
    <w:rsid w:val="00330891"/>
    <w:rsid w:val="00330B1A"/>
    <w:rsid w:val="00332DA2"/>
    <w:rsid w:val="00335D7F"/>
    <w:rsid w:val="003364F7"/>
    <w:rsid w:val="00340053"/>
    <w:rsid w:val="003423D2"/>
    <w:rsid w:val="003424ED"/>
    <w:rsid w:val="003427BC"/>
    <w:rsid w:val="0034484D"/>
    <w:rsid w:val="00346CCE"/>
    <w:rsid w:val="003473CD"/>
    <w:rsid w:val="003478E6"/>
    <w:rsid w:val="003509FB"/>
    <w:rsid w:val="00351C25"/>
    <w:rsid w:val="00352BD4"/>
    <w:rsid w:val="003531D3"/>
    <w:rsid w:val="003534B4"/>
    <w:rsid w:val="00353C38"/>
    <w:rsid w:val="00353E5D"/>
    <w:rsid w:val="00354900"/>
    <w:rsid w:val="003551D3"/>
    <w:rsid w:val="00356BE7"/>
    <w:rsid w:val="003570C6"/>
    <w:rsid w:val="00357C3A"/>
    <w:rsid w:val="00360222"/>
    <w:rsid w:val="00360F5C"/>
    <w:rsid w:val="00361A3F"/>
    <w:rsid w:val="0036229D"/>
    <w:rsid w:val="00362AB1"/>
    <w:rsid w:val="00362F24"/>
    <w:rsid w:val="003630EB"/>
    <w:rsid w:val="003638F4"/>
    <w:rsid w:val="003640D1"/>
    <w:rsid w:val="00366CEA"/>
    <w:rsid w:val="00367195"/>
    <w:rsid w:val="00367D0B"/>
    <w:rsid w:val="00367F06"/>
    <w:rsid w:val="003702A4"/>
    <w:rsid w:val="00370515"/>
    <w:rsid w:val="003719E4"/>
    <w:rsid w:val="00371B2F"/>
    <w:rsid w:val="00371EE5"/>
    <w:rsid w:val="003737D6"/>
    <w:rsid w:val="003747DA"/>
    <w:rsid w:val="00374806"/>
    <w:rsid w:val="0037788F"/>
    <w:rsid w:val="00377922"/>
    <w:rsid w:val="003779DD"/>
    <w:rsid w:val="0038292A"/>
    <w:rsid w:val="00382EB4"/>
    <w:rsid w:val="003841EE"/>
    <w:rsid w:val="003848F1"/>
    <w:rsid w:val="00386352"/>
    <w:rsid w:val="0038657C"/>
    <w:rsid w:val="0038773C"/>
    <w:rsid w:val="00390FC0"/>
    <w:rsid w:val="00392812"/>
    <w:rsid w:val="00392AEA"/>
    <w:rsid w:val="003930D9"/>
    <w:rsid w:val="003931F7"/>
    <w:rsid w:val="00393FC9"/>
    <w:rsid w:val="00395589"/>
    <w:rsid w:val="00396E02"/>
    <w:rsid w:val="003970FC"/>
    <w:rsid w:val="0039784B"/>
    <w:rsid w:val="00397977"/>
    <w:rsid w:val="003A1160"/>
    <w:rsid w:val="003A4F5F"/>
    <w:rsid w:val="003A573B"/>
    <w:rsid w:val="003A6385"/>
    <w:rsid w:val="003A6DC4"/>
    <w:rsid w:val="003A6FAA"/>
    <w:rsid w:val="003A7847"/>
    <w:rsid w:val="003B04AD"/>
    <w:rsid w:val="003B0ADD"/>
    <w:rsid w:val="003B1E1F"/>
    <w:rsid w:val="003B3131"/>
    <w:rsid w:val="003B33E0"/>
    <w:rsid w:val="003B51D1"/>
    <w:rsid w:val="003B53DE"/>
    <w:rsid w:val="003B56E2"/>
    <w:rsid w:val="003B5AE2"/>
    <w:rsid w:val="003B5B26"/>
    <w:rsid w:val="003B6793"/>
    <w:rsid w:val="003B6EB7"/>
    <w:rsid w:val="003B7C27"/>
    <w:rsid w:val="003B7D80"/>
    <w:rsid w:val="003B7EF5"/>
    <w:rsid w:val="003C00B8"/>
    <w:rsid w:val="003C0AED"/>
    <w:rsid w:val="003C1A33"/>
    <w:rsid w:val="003C2269"/>
    <w:rsid w:val="003C2AD1"/>
    <w:rsid w:val="003C34E0"/>
    <w:rsid w:val="003C4A19"/>
    <w:rsid w:val="003C501B"/>
    <w:rsid w:val="003C5D88"/>
    <w:rsid w:val="003C5F91"/>
    <w:rsid w:val="003C6823"/>
    <w:rsid w:val="003C69E9"/>
    <w:rsid w:val="003D1048"/>
    <w:rsid w:val="003D137E"/>
    <w:rsid w:val="003D2EAE"/>
    <w:rsid w:val="003D2EE6"/>
    <w:rsid w:val="003D3D48"/>
    <w:rsid w:val="003D4430"/>
    <w:rsid w:val="003D468C"/>
    <w:rsid w:val="003D4EF1"/>
    <w:rsid w:val="003D56AE"/>
    <w:rsid w:val="003D587F"/>
    <w:rsid w:val="003D7F9A"/>
    <w:rsid w:val="003E0194"/>
    <w:rsid w:val="003E12DE"/>
    <w:rsid w:val="003E17F4"/>
    <w:rsid w:val="003E29AA"/>
    <w:rsid w:val="003E2D22"/>
    <w:rsid w:val="003E48CB"/>
    <w:rsid w:val="003E4AFB"/>
    <w:rsid w:val="003E4B06"/>
    <w:rsid w:val="003E4B2B"/>
    <w:rsid w:val="003E537C"/>
    <w:rsid w:val="003F110A"/>
    <w:rsid w:val="003F1B0A"/>
    <w:rsid w:val="003F2694"/>
    <w:rsid w:val="003F31C5"/>
    <w:rsid w:val="003F4762"/>
    <w:rsid w:val="003F54F4"/>
    <w:rsid w:val="003F736B"/>
    <w:rsid w:val="003F7788"/>
    <w:rsid w:val="004019F5"/>
    <w:rsid w:val="00403411"/>
    <w:rsid w:val="00403821"/>
    <w:rsid w:val="00404EDB"/>
    <w:rsid w:val="004054F2"/>
    <w:rsid w:val="0040589A"/>
    <w:rsid w:val="00405BAB"/>
    <w:rsid w:val="0040607E"/>
    <w:rsid w:val="004070DC"/>
    <w:rsid w:val="00413E2D"/>
    <w:rsid w:val="00413FA2"/>
    <w:rsid w:val="00414BED"/>
    <w:rsid w:val="0041505A"/>
    <w:rsid w:val="00416D40"/>
    <w:rsid w:val="0041748E"/>
    <w:rsid w:val="0041779F"/>
    <w:rsid w:val="00417C13"/>
    <w:rsid w:val="00420A12"/>
    <w:rsid w:val="00423061"/>
    <w:rsid w:val="00424C12"/>
    <w:rsid w:val="004262C3"/>
    <w:rsid w:val="00426C85"/>
    <w:rsid w:val="00427478"/>
    <w:rsid w:val="00427FBA"/>
    <w:rsid w:val="004306CF"/>
    <w:rsid w:val="00433163"/>
    <w:rsid w:val="0043444C"/>
    <w:rsid w:val="00434F3D"/>
    <w:rsid w:val="00434FDA"/>
    <w:rsid w:val="00435E9B"/>
    <w:rsid w:val="004366F1"/>
    <w:rsid w:val="00437345"/>
    <w:rsid w:val="00437F73"/>
    <w:rsid w:val="00437FCE"/>
    <w:rsid w:val="00440DBD"/>
    <w:rsid w:val="00442F1F"/>
    <w:rsid w:val="00443BB7"/>
    <w:rsid w:val="00447E44"/>
    <w:rsid w:val="00450A1F"/>
    <w:rsid w:val="004530E2"/>
    <w:rsid w:val="00453966"/>
    <w:rsid w:val="00454D7C"/>
    <w:rsid w:val="00461E57"/>
    <w:rsid w:val="004620B3"/>
    <w:rsid w:val="00462718"/>
    <w:rsid w:val="00462C04"/>
    <w:rsid w:val="00463275"/>
    <w:rsid w:val="0046400E"/>
    <w:rsid w:val="0046401A"/>
    <w:rsid w:val="0046475E"/>
    <w:rsid w:val="00466338"/>
    <w:rsid w:val="004707F2"/>
    <w:rsid w:val="00473115"/>
    <w:rsid w:val="00473ABD"/>
    <w:rsid w:val="00474B70"/>
    <w:rsid w:val="00475085"/>
    <w:rsid w:val="00475BE4"/>
    <w:rsid w:val="00476A95"/>
    <w:rsid w:val="00476F70"/>
    <w:rsid w:val="00477414"/>
    <w:rsid w:val="00477D85"/>
    <w:rsid w:val="0048146D"/>
    <w:rsid w:val="00481945"/>
    <w:rsid w:val="00482FA9"/>
    <w:rsid w:val="00483689"/>
    <w:rsid w:val="00483CD5"/>
    <w:rsid w:val="0048449E"/>
    <w:rsid w:val="004848CC"/>
    <w:rsid w:val="00484B5A"/>
    <w:rsid w:val="00485A35"/>
    <w:rsid w:val="00486917"/>
    <w:rsid w:val="0048730C"/>
    <w:rsid w:val="00487C75"/>
    <w:rsid w:val="00490D79"/>
    <w:rsid w:val="004924E2"/>
    <w:rsid w:val="0049261B"/>
    <w:rsid w:val="0049425D"/>
    <w:rsid w:val="004960C8"/>
    <w:rsid w:val="004964E5"/>
    <w:rsid w:val="00496A1E"/>
    <w:rsid w:val="00496EA6"/>
    <w:rsid w:val="004A05B8"/>
    <w:rsid w:val="004A0651"/>
    <w:rsid w:val="004A31BA"/>
    <w:rsid w:val="004A4B7A"/>
    <w:rsid w:val="004A4DA7"/>
    <w:rsid w:val="004A7C11"/>
    <w:rsid w:val="004B1DFC"/>
    <w:rsid w:val="004B3DEB"/>
    <w:rsid w:val="004B4A37"/>
    <w:rsid w:val="004B58AC"/>
    <w:rsid w:val="004B642B"/>
    <w:rsid w:val="004C0B5B"/>
    <w:rsid w:val="004C28B6"/>
    <w:rsid w:val="004C312E"/>
    <w:rsid w:val="004C382A"/>
    <w:rsid w:val="004C4598"/>
    <w:rsid w:val="004C56DC"/>
    <w:rsid w:val="004C61B1"/>
    <w:rsid w:val="004C6EC4"/>
    <w:rsid w:val="004D0864"/>
    <w:rsid w:val="004D10E8"/>
    <w:rsid w:val="004D1A8D"/>
    <w:rsid w:val="004D23D7"/>
    <w:rsid w:val="004D2941"/>
    <w:rsid w:val="004D3DC8"/>
    <w:rsid w:val="004D5A69"/>
    <w:rsid w:val="004D61A4"/>
    <w:rsid w:val="004D73C0"/>
    <w:rsid w:val="004D74CD"/>
    <w:rsid w:val="004E094E"/>
    <w:rsid w:val="004E1AD6"/>
    <w:rsid w:val="004E2571"/>
    <w:rsid w:val="004E2F50"/>
    <w:rsid w:val="004E441B"/>
    <w:rsid w:val="004E5BBE"/>
    <w:rsid w:val="004E5E02"/>
    <w:rsid w:val="004E6555"/>
    <w:rsid w:val="004E70C0"/>
    <w:rsid w:val="004F0CC5"/>
    <w:rsid w:val="004F21BD"/>
    <w:rsid w:val="004F2B8C"/>
    <w:rsid w:val="004F3D3F"/>
    <w:rsid w:val="004F3F83"/>
    <w:rsid w:val="004F48E6"/>
    <w:rsid w:val="004F4D0B"/>
    <w:rsid w:val="004F51A6"/>
    <w:rsid w:val="004F54AF"/>
    <w:rsid w:val="004F6071"/>
    <w:rsid w:val="004F68F0"/>
    <w:rsid w:val="004F79DA"/>
    <w:rsid w:val="004F7BF6"/>
    <w:rsid w:val="00501563"/>
    <w:rsid w:val="00503848"/>
    <w:rsid w:val="00504211"/>
    <w:rsid w:val="00504692"/>
    <w:rsid w:val="00504CD7"/>
    <w:rsid w:val="0050542C"/>
    <w:rsid w:val="00505F91"/>
    <w:rsid w:val="005065FC"/>
    <w:rsid w:val="00506CD9"/>
    <w:rsid w:val="0051010C"/>
    <w:rsid w:val="00511419"/>
    <w:rsid w:val="005120EA"/>
    <w:rsid w:val="005130BA"/>
    <w:rsid w:val="005141AD"/>
    <w:rsid w:val="0051613A"/>
    <w:rsid w:val="00517850"/>
    <w:rsid w:val="00520312"/>
    <w:rsid w:val="005209F0"/>
    <w:rsid w:val="0052128E"/>
    <w:rsid w:val="00521623"/>
    <w:rsid w:val="0052317F"/>
    <w:rsid w:val="005236F2"/>
    <w:rsid w:val="00523EBD"/>
    <w:rsid w:val="00524EE9"/>
    <w:rsid w:val="00525187"/>
    <w:rsid w:val="00525D76"/>
    <w:rsid w:val="005267EA"/>
    <w:rsid w:val="00526B40"/>
    <w:rsid w:val="00526FEC"/>
    <w:rsid w:val="005279B6"/>
    <w:rsid w:val="00530B2E"/>
    <w:rsid w:val="0053153C"/>
    <w:rsid w:val="00531733"/>
    <w:rsid w:val="0053174F"/>
    <w:rsid w:val="005320FA"/>
    <w:rsid w:val="00533113"/>
    <w:rsid w:val="00534937"/>
    <w:rsid w:val="0053633A"/>
    <w:rsid w:val="00536DE1"/>
    <w:rsid w:val="00536E5C"/>
    <w:rsid w:val="00537C08"/>
    <w:rsid w:val="00540ACF"/>
    <w:rsid w:val="00541E15"/>
    <w:rsid w:val="00542483"/>
    <w:rsid w:val="00543AD9"/>
    <w:rsid w:val="0054416A"/>
    <w:rsid w:val="00546C45"/>
    <w:rsid w:val="00546D2C"/>
    <w:rsid w:val="00546D86"/>
    <w:rsid w:val="005470A7"/>
    <w:rsid w:val="00550833"/>
    <w:rsid w:val="00551423"/>
    <w:rsid w:val="00552796"/>
    <w:rsid w:val="00552817"/>
    <w:rsid w:val="005534B8"/>
    <w:rsid w:val="0055492F"/>
    <w:rsid w:val="005555FB"/>
    <w:rsid w:val="00556D18"/>
    <w:rsid w:val="00556D92"/>
    <w:rsid w:val="005600C3"/>
    <w:rsid w:val="0056071A"/>
    <w:rsid w:val="005618C6"/>
    <w:rsid w:val="00561A55"/>
    <w:rsid w:val="00562047"/>
    <w:rsid w:val="0056256D"/>
    <w:rsid w:val="00562668"/>
    <w:rsid w:val="00563B80"/>
    <w:rsid w:val="00563C1B"/>
    <w:rsid w:val="005659D2"/>
    <w:rsid w:val="00565A8E"/>
    <w:rsid w:val="005669E4"/>
    <w:rsid w:val="00566B6D"/>
    <w:rsid w:val="00567379"/>
    <w:rsid w:val="005673F6"/>
    <w:rsid w:val="00567558"/>
    <w:rsid w:val="00570F77"/>
    <w:rsid w:val="00571E38"/>
    <w:rsid w:val="00572C18"/>
    <w:rsid w:val="00572EA8"/>
    <w:rsid w:val="00573C86"/>
    <w:rsid w:val="005754D9"/>
    <w:rsid w:val="005761C3"/>
    <w:rsid w:val="00576327"/>
    <w:rsid w:val="00576A83"/>
    <w:rsid w:val="00577038"/>
    <w:rsid w:val="00577B5A"/>
    <w:rsid w:val="00580D0B"/>
    <w:rsid w:val="0058137D"/>
    <w:rsid w:val="00582FBF"/>
    <w:rsid w:val="00583765"/>
    <w:rsid w:val="00584185"/>
    <w:rsid w:val="005845EA"/>
    <w:rsid w:val="005859EA"/>
    <w:rsid w:val="00585B11"/>
    <w:rsid w:val="00585EB6"/>
    <w:rsid w:val="005861C7"/>
    <w:rsid w:val="0058653A"/>
    <w:rsid w:val="00587048"/>
    <w:rsid w:val="005878CC"/>
    <w:rsid w:val="00587C73"/>
    <w:rsid w:val="005919AB"/>
    <w:rsid w:val="0059354C"/>
    <w:rsid w:val="0059390D"/>
    <w:rsid w:val="00593E42"/>
    <w:rsid w:val="00594A5F"/>
    <w:rsid w:val="00594BF7"/>
    <w:rsid w:val="00595D99"/>
    <w:rsid w:val="005A02B5"/>
    <w:rsid w:val="005A1573"/>
    <w:rsid w:val="005A1D47"/>
    <w:rsid w:val="005A2338"/>
    <w:rsid w:val="005A2615"/>
    <w:rsid w:val="005A6D7E"/>
    <w:rsid w:val="005A75C4"/>
    <w:rsid w:val="005B01B8"/>
    <w:rsid w:val="005B200C"/>
    <w:rsid w:val="005B2718"/>
    <w:rsid w:val="005B363F"/>
    <w:rsid w:val="005B3FAC"/>
    <w:rsid w:val="005B4C6F"/>
    <w:rsid w:val="005B5644"/>
    <w:rsid w:val="005B6877"/>
    <w:rsid w:val="005B6F69"/>
    <w:rsid w:val="005B728D"/>
    <w:rsid w:val="005C0AA7"/>
    <w:rsid w:val="005C0B96"/>
    <w:rsid w:val="005C17BB"/>
    <w:rsid w:val="005C306E"/>
    <w:rsid w:val="005C37EE"/>
    <w:rsid w:val="005C42BB"/>
    <w:rsid w:val="005C43F2"/>
    <w:rsid w:val="005C577F"/>
    <w:rsid w:val="005C62FD"/>
    <w:rsid w:val="005C6DC7"/>
    <w:rsid w:val="005C6EE4"/>
    <w:rsid w:val="005D0008"/>
    <w:rsid w:val="005D09B5"/>
    <w:rsid w:val="005D1AA7"/>
    <w:rsid w:val="005D1F49"/>
    <w:rsid w:val="005D2D2D"/>
    <w:rsid w:val="005D429E"/>
    <w:rsid w:val="005D44CA"/>
    <w:rsid w:val="005D62C3"/>
    <w:rsid w:val="005D6C58"/>
    <w:rsid w:val="005D74A7"/>
    <w:rsid w:val="005D7670"/>
    <w:rsid w:val="005D7C24"/>
    <w:rsid w:val="005D7EC3"/>
    <w:rsid w:val="005E082D"/>
    <w:rsid w:val="005E09AC"/>
    <w:rsid w:val="005E1B2C"/>
    <w:rsid w:val="005E1B5B"/>
    <w:rsid w:val="005E1D9E"/>
    <w:rsid w:val="005E2254"/>
    <w:rsid w:val="005E483C"/>
    <w:rsid w:val="005E48E4"/>
    <w:rsid w:val="005E5017"/>
    <w:rsid w:val="005E5D4B"/>
    <w:rsid w:val="005E6854"/>
    <w:rsid w:val="005F05B9"/>
    <w:rsid w:val="005F1308"/>
    <w:rsid w:val="005F1364"/>
    <w:rsid w:val="005F1AE5"/>
    <w:rsid w:val="005F1D9B"/>
    <w:rsid w:val="005F27FF"/>
    <w:rsid w:val="005F2D48"/>
    <w:rsid w:val="005F2D5C"/>
    <w:rsid w:val="005F3391"/>
    <w:rsid w:val="005F4B3B"/>
    <w:rsid w:val="005F6BB2"/>
    <w:rsid w:val="00600E0D"/>
    <w:rsid w:val="0060102B"/>
    <w:rsid w:val="00601EBA"/>
    <w:rsid w:val="006028D2"/>
    <w:rsid w:val="00603635"/>
    <w:rsid w:val="00603D93"/>
    <w:rsid w:val="00605450"/>
    <w:rsid w:val="00605CBF"/>
    <w:rsid w:val="00607360"/>
    <w:rsid w:val="00610741"/>
    <w:rsid w:val="0061122D"/>
    <w:rsid w:val="00611673"/>
    <w:rsid w:val="006125AA"/>
    <w:rsid w:val="0061295E"/>
    <w:rsid w:val="006144CB"/>
    <w:rsid w:val="006173FD"/>
    <w:rsid w:val="006224D5"/>
    <w:rsid w:val="00622DCE"/>
    <w:rsid w:val="006230C5"/>
    <w:rsid w:val="0062325E"/>
    <w:rsid w:val="00623898"/>
    <w:rsid w:val="00623E5B"/>
    <w:rsid w:val="00624C37"/>
    <w:rsid w:val="00626E78"/>
    <w:rsid w:val="00627343"/>
    <w:rsid w:val="00627AE5"/>
    <w:rsid w:val="00627F4C"/>
    <w:rsid w:val="00630411"/>
    <w:rsid w:val="006319EB"/>
    <w:rsid w:val="0063445F"/>
    <w:rsid w:val="006365B2"/>
    <w:rsid w:val="0063717C"/>
    <w:rsid w:val="00640EFE"/>
    <w:rsid w:val="0064197B"/>
    <w:rsid w:val="00642DA3"/>
    <w:rsid w:val="006435B2"/>
    <w:rsid w:val="00647418"/>
    <w:rsid w:val="006479E3"/>
    <w:rsid w:val="00647A53"/>
    <w:rsid w:val="00650858"/>
    <w:rsid w:val="00655DE2"/>
    <w:rsid w:val="00656C9E"/>
    <w:rsid w:val="006575FD"/>
    <w:rsid w:val="006601EA"/>
    <w:rsid w:val="0066035F"/>
    <w:rsid w:val="0066143A"/>
    <w:rsid w:val="0066335A"/>
    <w:rsid w:val="00663C55"/>
    <w:rsid w:val="00663C64"/>
    <w:rsid w:val="00664ECB"/>
    <w:rsid w:val="00665384"/>
    <w:rsid w:val="00666156"/>
    <w:rsid w:val="00667FB6"/>
    <w:rsid w:val="00670F6F"/>
    <w:rsid w:val="00671026"/>
    <w:rsid w:val="00671099"/>
    <w:rsid w:val="006714DC"/>
    <w:rsid w:val="0067167E"/>
    <w:rsid w:val="0067182B"/>
    <w:rsid w:val="00671922"/>
    <w:rsid w:val="00672B56"/>
    <w:rsid w:val="006733DE"/>
    <w:rsid w:val="00673545"/>
    <w:rsid w:val="00673B01"/>
    <w:rsid w:val="00674BAD"/>
    <w:rsid w:val="00675023"/>
    <w:rsid w:val="0068010B"/>
    <w:rsid w:val="0068096C"/>
    <w:rsid w:val="00681375"/>
    <w:rsid w:val="0068230A"/>
    <w:rsid w:val="006824D4"/>
    <w:rsid w:val="00682CA4"/>
    <w:rsid w:val="006846FD"/>
    <w:rsid w:val="00684B3E"/>
    <w:rsid w:val="00685327"/>
    <w:rsid w:val="006859F6"/>
    <w:rsid w:val="0068627D"/>
    <w:rsid w:val="00686B28"/>
    <w:rsid w:val="006875E9"/>
    <w:rsid w:val="006878DC"/>
    <w:rsid w:val="00690D14"/>
    <w:rsid w:val="00690DFC"/>
    <w:rsid w:val="00692D20"/>
    <w:rsid w:val="00694524"/>
    <w:rsid w:val="00696A10"/>
    <w:rsid w:val="00697A05"/>
    <w:rsid w:val="006A0450"/>
    <w:rsid w:val="006A0719"/>
    <w:rsid w:val="006A0CF1"/>
    <w:rsid w:val="006A160B"/>
    <w:rsid w:val="006A18A6"/>
    <w:rsid w:val="006A2155"/>
    <w:rsid w:val="006A2188"/>
    <w:rsid w:val="006A3367"/>
    <w:rsid w:val="006A3D36"/>
    <w:rsid w:val="006A456D"/>
    <w:rsid w:val="006A46A3"/>
    <w:rsid w:val="006A47A1"/>
    <w:rsid w:val="006A537C"/>
    <w:rsid w:val="006A6D01"/>
    <w:rsid w:val="006A73D3"/>
    <w:rsid w:val="006A74A9"/>
    <w:rsid w:val="006B1AE1"/>
    <w:rsid w:val="006B1B67"/>
    <w:rsid w:val="006B2815"/>
    <w:rsid w:val="006B2C61"/>
    <w:rsid w:val="006B35B3"/>
    <w:rsid w:val="006B395F"/>
    <w:rsid w:val="006B4951"/>
    <w:rsid w:val="006B4AC3"/>
    <w:rsid w:val="006B53DD"/>
    <w:rsid w:val="006B6D99"/>
    <w:rsid w:val="006B6F0D"/>
    <w:rsid w:val="006B7B88"/>
    <w:rsid w:val="006B7BB6"/>
    <w:rsid w:val="006B7C0B"/>
    <w:rsid w:val="006B7EE2"/>
    <w:rsid w:val="006C1E4F"/>
    <w:rsid w:val="006C1EFD"/>
    <w:rsid w:val="006C3727"/>
    <w:rsid w:val="006C44C2"/>
    <w:rsid w:val="006C49A4"/>
    <w:rsid w:val="006C4F6A"/>
    <w:rsid w:val="006C5ACF"/>
    <w:rsid w:val="006C6FBA"/>
    <w:rsid w:val="006C726E"/>
    <w:rsid w:val="006C7EE7"/>
    <w:rsid w:val="006D0051"/>
    <w:rsid w:val="006D07D7"/>
    <w:rsid w:val="006D0D1F"/>
    <w:rsid w:val="006D1412"/>
    <w:rsid w:val="006D1740"/>
    <w:rsid w:val="006D1A0B"/>
    <w:rsid w:val="006D219C"/>
    <w:rsid w:val="006D2372"/>
    <w:rsid w:val="006D3FBB"/>
    <w:rsid w:val="006D48DE"/>
    <w:rsid w:val="006D4CC3"/>
    <w:rsid w:val="006D521B"/>
    <w:rsid w:val="006D5AA2"/>
    <w:rsid w:val="006D5BD5"/>
    <w:rsid w:val="006D60E4"/>
    <w:rsid w:val="006D61F9"/>
    <w:rsid w:val="006D65D1"/>
    <w:rsid w:val="006E16F5"/>
    <w:rsid w:val="006E1CE0"/>
    <w:rsid w:val="006E2039"/>
    <w:rsid w:val="006E21F8"/>
    <w:rsid w:val="006E2FF0"/>
    <w:rsid w:val="006E3E37"/>
    <w:rsid w:val="006E49A5"/>
    <w:rsid w:val="006E586B"/>
    <w:rsid w:val="006F4D41"/>
    <w:rsid w:val="006F4FAB"/>
    <w:rsid w:val="006F66F8"/>
    <w:rsid w:val="006F686A"/>
    <w:rsid w:val="006F70C3"/>
    <w:rsid w:val="006F7F02"/>
    <w:rsid w:val="006F7F2B"/>
    <w:rsid w:val="00700063"/>
    <w:rsid w:val="00700315"/>
    <w:rsid w:val="00700903"/>
    <w:rsid w:val="007013B2"/>
    <w:rsid w:val="0070190F"/>
    <w:rsid w:val="00701F75"/>
    <w:rsid w:val="007020B0"/>
    <w:rsid w:val="00702365"/>
    <w:rsid w:val="00704223"/>
    <w:rsid w:val="00704743"/>
    <w:rsid w:val="00704771"/>
    <w:rsid w:val="00704F2E"/>
    <w:rsid w:val="00705FF4"/>
    <w:rsid w:val="00706245"/>
    <w:rsid w:val="0070657B"/>
    <w:rsid w:val="00706712"/>
    <w:rsid w:val="00706AFE"/>
    <w:rsid w:val="0071248C"/>
    <w:rsid w:val="00713C21"/>
    <w:rsid w:val="00714011"/>
    <w:rsid w:val="00717065"/>
    <w:rsid w:val="00717CC9"/>
    <w:rsid w:val="00721729"/>
    <w:rsid w:val="00722B97"/>
    <w:rsid w:val="00722BDD"/>
    <w:rsid w:val="007250E2"/>
    <w:rsid w:val="0072567F"/>
    <w:rsid w:val="00725DFE"/>
    <w:rsid w:val="007264F1"/>
    <w:rsid w:val="00727862"/>
    <w:rsid w:val="00730E4C"/>
    <w:rsid w:val="00731ABA"/>
    <w:rsid w:val="00733139"/>
    <w:rsid w:val="007341A3"/>
    <w:rsid w:val="00735111"/>
    <w:rsid w:val="00735AC9"/>
    <w:rsid w:val="007368E7"/>
    <w:rsid w:val="00737351"/>
    <w:rsid w:val="00737842"/>
    <w:rsid w:val="00737E25"/>
    <w:rsid w:val="007400D3"/>
    <w:rsid w:val="007401DC"/>
    <w:rsid w:val="007404F8"/>
    <w:rsid w:val="007412EF"/>
    <w:rsid w:val="0074258F"/>
    <w:rsid w:val="00743254"/>
    <w:rsid w:val="00745573"/>
    <w:rsid w:val="00745DE0"/>
    <w:rsid w:val="00747BC0"/>
    <w:rsid w:val="0075030C"/>
    <w:rsid w:val="00750AAC"/>
    <w:rsid w:val="00753549"/>
    <w:rsid w:val="00753963"/>
    <w:rsid w:val="00753EFC"/>
    <w:rsid w:val="00755D0D"/>
    <w:rsid w:val="00755FE7"/>
    <w:rsid w:val="00756339"/>
    <w:rsid w:val="007574A6"/>
    <w:rsid w:val="00757540"/>
    <w:rsid w:val="00760888"/>
    <w:rsid w:val="00760D24"/>
    <w:rsid w:val="00761842"/>
    <w:rsid w:val="00761A98"/>
    <w:rsid w:val="00762022"/>
    <w:rsid w:val="0076283D"/>
    <w:rsid w:val="007636DA"/>
    <w:rsid w:val="00764910"/>
    <w:rsid w:val="00764E27"/>
    <w:rsid w:val="00765A8E"/>
    <w:rsid w:val="00766E4E"/>
    <w:rsid w:val="0077004B"/>
    <w:rsid w:val="00770287"/>
    <w:rsid w:val="0077036F"/>
    <w:rsid w:val="00770799"/>
    <w:rsid w:val="00771955"/>
    <w:rsid w:val="0077284E"/>
    <w:rsid w:val="00772949"/>
    <w:rsid w:val="00772AB9"/>
    <w:rsid w:val="00772B29"/>
    <w:rsid w:val="00772FB3"/>
    <w:rsid w:val="0077326B"/>
    <w:rsid w:val="00774843"/>
    <w:rsid w:val="007778BF"/>
    <w:rsid w:val="007804B4"/>
    <w:rsid w:val="00780FCF"/>
    <w:rsid w:val="0078103C"/>
    <w:rsid w:val="0078137B"/>
    <w:rsid w:val="00781A8E"/>
    <w:rsid w:val="00781D57"/>
    <w:rsid w:val="0078223B"/>
    <w:rsid w:val="00783C32"/>
    <w:rsid w:val="00784B60"/>
    <w:rsid w:val="0078568B"/>
    <w:rsid w:val="00785EFB"/>
    <w:rsid w:val="00786FAF"/>
    <w:rsid w:val="007876BF"/>
    <w:rsid w:val="00790082"/>
    <w:rsid w:val="007906A3"/>
    <w:rsid w:val="00792CBE"/>
    <w:rsid w:val="00793AD3"/>
    <w:rsid w:val="00794350"/>
    <w:rsid w:val="00795BE8"/>
    <w:rsid w:val="00795FDC"/>
    <w:rsid w:val="00797588"/>
    <w:rsid w:val="00797589"/>
    <w:rsid w:val="007978D5"/>
    <w:rsid w:val="00797E02"/>
    <w:rsid w:val="007A055C"/>
    <w:rsid w:val="007A113B"/>
    <w:rsid w:val="007A1940"/>
    <w:rsid w:val="007A438C"/>
    <w:rsid w:val="007A4BB5"/>
    <w:rsid w:val="007A5AED"/>
    <w:rsid w:val="007A5E69"/>
    <w:rsid w:val="007A5F9D"/>
    <w:rsid w:val="007A7CB9"/>
    <w:rsid w:val="007A7E97"/>
    <w:rsid w:val="007B006A"/>
    <w:rsid w:val="007B01D8"/>
    <w:rsid w:val="007B1488"/>
    <w:rsid w:val="007B2124"/>
    <w:rsid w:val="007B2523"/>
    <w:rsid w:val="007B2F4A"/>
    <w:rsid w:val="007B582B"/>
    <w:rsid w:val="007B61D1"/>
    <w:rsid w:val="007B68E5"/>
    <w:rsid w:val="007B715F"/>
    <w:rsid w:val="007B7633"/>
    <w:rsid w:val="007C0CF3"/>
    <w:rsid w:val="007C0DD9"/>
    <w:rsid w:val="007C10C5"/>
    <w:rsid w:val="007C1188"/>
    <w:rsid w:val="007C11C7"/>
    <w:rsid w:val="007C1E96"/>
    <w:rsid w:val="007C412E"/>
    <w:rsid w:val="007C4B4E"/>
    <w:rsid w:val="007C4DCA"/>
    <w:rsid w:val="007C590D"/>
    <w:rsid w:val="007C6727"/>
    <w:rsid w:val="007C6775"/>
    <w:rsid w:val="007D1411"/>
    <w:rsid w:val="007D1696"/>
    <w:rsid w:val="007D1BEA"/>
    <w:rsid w:val="007D25DD"/>
    <w:rsid w:val="007D35B4"/>
    <w:rsid w:val="007D35F9"/>
    <w:rsid w:val="007D4316"/>
    <w:rsid w:val="007D4A85"/>
    <w:rsid w:val="007D4ACE"/>
    <w:rsid w:val="007D52C7"/>
    <w:rsid w:val="007D57A8"/>
    <w:rsid w:val="007D6986"/>
    <w:rsid w:val="007D734C"/>
    <w:rsid w:val="007E02FB"/>
    <w:rsid w:val="007E091E"/>
    <w:rsid w:val="007E0A70"/>
    <w:rsid w:val="007E1F98"/>
    <w:rsid w:val="007E3645"/>
    <w:rsid w:val="007E3CFD"/>
    <w:rsid w:val="007F0A71"/>
    <w:rsid w:val="007F59D4"/>
    <w:rsid w:val="007F5C7E"/>
    <w:rsid w:val="007F730B"/>
    <w:rsid w:val="007F75F5"/>
    <w:rsid w:val="00802036"/>
    <w:rsid w:val="008021F1"/>
    <w:rsid w:val="00802815"/>
    <w:rsid w:val="00803494"/>
    <w:rsid w:val="00804B73"/>
    <w:rsid w:val="00804E04"/>
    <w:rsid w:val="0080509F"/>
    <w:rsid w:val="00805C49"/>
    <w:rsid w:val="0080631C"/>
    <w:rsid w:val="00806F0C"/>
    <w:rsid w:val="008073AB"/>
    <w:rsid w:val="00807FCC"/>
    <w:rsid w:val="00815001"/>
    <w:rsid w:val="00815F50"/>
    <w:rsid w:val="00816258"/>
    <w:rsid w:val="0081627A"/>
    <w:rsid w:val="008165C6"/>
    <w:rsid w:val="00821734"/>
    <w:rsid w:val="008226C4"/>
    <w:rsid w:val="0082538C"/>
    <w:rsid w:val="00826229"/>
    <w:rsid w:val="008263C3"/>
    <w:rsid w:val="0082649E"/>
    <w:rsid w:val="00827131"/>
    <w:rsid w:val="008300FB"/>
    <w:rsid w:val="0083082F"/>
    <w:rsid w:val="00830C6A"/>
    <w:rsid w:val="00832CD1"/>
    <w:rsid w:val="008337FD"/>
    <w:rsid w:val="00833F28"/>
    <w:rsid w:val="0083476F"/>
    <w:rsid w:val="008359F8"/>
    <w:rsid w:val="00837801"/>
    <w:rsid w:val="00837D14"/>
    <w:rsid w:val="00837E56"/>
    <w:rsid w:val="008417CD"/>
    <w:rsid w:val="0084223C"/>
    <w:rsid w:val="008428F0"/>
    <w:rsid w:val="00842D6A"/>
    <w:rsid w:val="0084302C"/>
    <w:rsid w:val="0084591A"/>
    <w:rsid w:val="00845EB5"/>
    <w:rsid w:val="008470C3"/>
    <w:rsid w:val="008474F9"/>
    <w:rsid w:val="00847918"/>
    <w:rsid w:val="008504DB"/>
    <w:rsid w:val="008512D8"/>
    <w:rsid w:val="00853638"/>
    <w:rsid w:val="00854144"/>
    <w:rsid w:val="00855301"/>
    <w:rsid w:val="00856877"/>
    <w:rsid w:val="00856AF7"/>
    <w:rsid w:val="00856C4B"/>
    <w:rsid w:val="008577DD"/>
    <w:rsid w:val="00857936"/>
    <w:rsid w:val="008604BF"/>
    <w:rsid w:val="00860521"/>
    <w:rsid w:val="00860576"/>
    <w:rsid w:val="00860F3C"/>
    <w:rsid w:val="00862EBE"/>
    <w:rsid w:val="0086386E"/>
    <w:rsid w:val="00863F86"/>
    <w:rsid w:val="008642F5"/>
    <w:rsid w:val="00864C7D"/>
    <w:rsid w:val="00866871"/>
    <w:rsid w:val="00870B26"/>
    <w:rsid w:val="00870F64"/>
    <w:rsid w:val="00871457"/>
    <w:rsid w:val="008715B8"/>
    <w:rsid w:val="008715C0"/>
    <w:rsid w:val="00871659"/>
    <w:rsid w:val="00871780"/>
    <w:rsid w:val="00871A4F"/>
    <w:rsid w:val="00871C98"/>
    <w:rsid w:val="008737B5"/>
    <w:rsid w:val="008739CD"/>
    <w:rsid w:val="0087589E"/>
    <w:rsid w:val="00875AED"/>
    <w:rsid w:val="00876377"/>
    <w:rsid w:val="0088027A"/>
    <w:rsid w:val="008808A8"/>
    <w:rsid w:val="00881019"/>
    <w:rsid w:val="0088213F"/>
    <w:rsid w:val="008821F2"/>
    <w:rsid w:val="008836F5"/>
    <w:rsid w:val="00885F45"/>
    <w:rsid w:val="00890232"/>
    <w:rsid w:val="00890A80"/>
    <w:rsid w:val="00891859"/>
    <w:rsid w:val="00892018"/>
    <w:rsid w:val="008931B8"/>
    <w:rsid w:val="008949A3"/>
    <w:rsid w:val="00895031"/>
    <w:rsid w:val="00895CC2"/>
    <w:rsid w:val="00897715"/>
    <w:rsid w:val="00897CA0"/>
    <w:rsid w:val="008A00D8"/>
    <w:rsid w:val="008A0268"/>
    <w:rsid w:val="008A0EF7"/>
    <w:rsid w:val="008A2864"/>
    <w:rsid w:val="008A2949"/>
    <w:rsid w:val="008A2D81"/>
    <w:rsid w:val="008A2E3A"/>
    <w:rsid w:val="008A3714"/>
    <w:rsid w:val="008A4B0D"/>
    <w:rsid w:val="008A50DE"/>
    <w:rsid w:val="008A525E"/>
    <w:rsid w:val="008A5E88"/>
    <w:rsid w:val="008A728A"/>
    <w:rsid w:val="008A7C68"/>
    <w:rsid w:val="008B0CC2"/>
    <w:rsid w:val="008B1D82"/>
    <w:rsid w:val="008B2197"/>
    <w:rsid w:val="008B2321"/>
    <w:rsid w:val="008B31E6"/>
    <w:rsid w:val="008B344C"/>
    <w:rsid w:val="008B4BE0"/>
    <w:rsid w:val="008B67F7"/>
    <w:rsid w:val="008B7F27"/>
    <w:rsid w:val="008C0321"/>
    <w:rsid w:val="008C096D"/>
    <w:rsid w:val="008C0E4B"/>
    <w:rsid w:val="008C1902"/>
    <w:rsid w:val="008C29D5"/>
    <w:rsid w:val="008C5A2A"/>
    <w:rsid w:val="008C5DE5"/>
    <w:rsid w:val="008C6DBA"/>
    <w:rsid w:val="008C6EFD"/>
    <w:rsid w:val="008C737C"/>
    <w:rsid w:val="008C753C"/>
    <w:rsid w:val="008D039E"/>
    <w:rsid w:val="008D0A33"/>
    <w:rsid w:val="008D0BC8"/>
    <w:rsid w:val="008D1FD4"/>
    <w:rsid w:val="008D348D"/>
    <w:rsid w:val="008D4EB4"/>
    <w:rsid w:val="008D764C"/>
    <w:rsid w:val="008D794A"/>
    <w:rsid w:val="008D7D2A"/>
    <w:rsid w:val="008E0BBF"/>
    <w:rsid w:val="008E1FBD"/>
    <w:rsid w:val="008E2AB0"/>
    <w:rsid w:val="008E31F6"/>
    <w:rsid w:val="008E3686"/>
    <w:rsid w:val="008E53C9"/>
    <w:rsid w:val="008E54DF"/>
    <w:rsid w:val="008E58E8"/>
    <w:rsid w:val="008E5E35"/>
    <w:rsid w:val="008E7503"/>
    <w:rsid w:val="008F0CF5"/>
    <w:rsid w:val="008F1801"/>
    <w:rsid w:val="008F2664"/>
    <w:rsid w:val="008F2827"/>
    <w:rsid w:val="008F2BF6"/>
    <w:rsid w:val="008F39C4"/>
    <w:rsid w:val="008F40F6"/>
    <w:rsid w:val="008F5CAA"/>
    <w:rsid w:val="008F63E9"/>
    <w:rsid w:val="008F7224"/>
    <w:rsid w:val="008F7BFF"/>
    <w:rsid w:val="008F7FB6"/>
    <w:rsid w:val="008F7FD5"/>
    <w:rsid w:val="00901826"/>
    <w:rsid w:val="009019FF"/>
    <w:rsid w:val="00901C4E"/>
    <w:rsid w:val="00901E8A"/>
    <w:rsid w:val="00903368"/>
    <w:rsid w:val="009038D1"/>
    <w:rsid w:val="009054DC"/>
    <w:rsid w:val="009066D6"/>
    <w:rsid w:val="00910186"/>
    <w:rsid w:val="00912C6C"/>
    <w:rsid w:val="00913524"/>
    <w:rsid w:val="00914910"/>
    <w:rsid w:val="0091532F"/>
    <w:rsid w:val="009164D2"/>
    <w:rsid w:val="009165B6"/>
    <w:rsid w:val="00917510"/>
    <w:rsid w:val="0092021F"/>
    <w:rsid w:val="009228AC"/>
    <w:rsid w:val="00922DF3"/>
    <w:rsid w:val="00923575"/>
    <w:rsid w:val="00924EB5"/>
    <w:rsid w:val="0092520A"/>
    <w:rsid w:val="00925E50"/>
    <w:rsid w:val="0092604C"/>
    <w:rsid w:val="0092786C"/>
    <w:rsid w:val="009304CB"/>
    <w:rsid w:val="00930DD4"/>
    <w:rsid w:val="00932EE4"/>
    <w:rsid w:val="0093389B"/>
    <w:rsid w:val="0093428E"/>
    <w:rsid w:val="009342CA"/>
    <w:rsid w:val="00934F9E"/>
    <w:rsid w:val="0093501E"/>
    <w:rsid w:val="009402C0"/>
    <w:rsid w:val="00941B50"/>
    <w:rsid w:val="009423BE"/>
    <w:rsid w:val="00943EF9"/>
    <w:rsid w:val="00944390"/>
    <w:rsid w:val="00945722"/>
    <w:rsid w:val="009473AF"/>
    <w:rsid w:val="0094780B"/>
    <w:rsid w:val="00950579"/>
    <w:rsid w:val="009523D9"/>
    <w:rsid w:val="00953667"/>
    <w:rsid w:val="00953727"/>
    <w:rsid w:val="009537B8"/>
    <w:rsid w:val="00953922"/>
    <w:rsid w:val="00954230"/>
    <w:rsid w:val="00955CE4"/>
    <w:rsid w:val="0095705E"/>
    <w:rsid w:val="009608ED"/>
    <w:rsid w:val="0096182B"/>
    <w:rsid w:val="009618FF"/>
    <w:rsid w:val="00963625"/>
    <w:rsid w:val="00963786"/>
    <w:rsid w:val="00964323"/>
    <w:rsid w:val="009644DB"/>
    <w:rsid w:val="00964CD9"/>
    <w:rsid w:val="0096564D"/>
    <w:rsid w:val="00965D3A"/>
    <w:rsid w:val="00965D70"/>
    <w:rsid w:val="009668BF"/>
    <w:rsid w:val="009704ED"/>
    <w:rsid w:val="009712B6"/>
    <w:rsid w:val="00971408"/>
    <w:rsid w:val="00971F5E"/>
    <w:rsid w:val="0097216D"/>
    <w:rsid w:val="0097550D"/>
    <w:rsid w:val="00976374"/>
    <w:rsid w:val="00977E1B"/>
    <w:rsid w:val="0098102E"/>
    <w:rsid w:val="00981664"/>
    <w:rsid w:val="0098371B"/>
    <w:rsid w:val="00983BBB"/>
    <w:rsid w:val="009872A4"/>
    <w:rsid w:val="00987D5D"/>
    <w:rsid w:val="0099032E"/>
    <w:rsid w:val="00990359"/>
    <w:rsid w:val="00991325"/>
    <w:rsid w:val="00991A35"/>
    <w:rsid w:val="00992550"/>
    <w:rsid w:val="009928BE"/>
    <w:rsid w:val="0099333A"/>
    <w:rsid w:val="00993E00"/>
    <w:rsid w:val="0099433F"/>
    <w:rsid w:val="009952DE"/>
    <w:rsid w:val="00996563"/>
    <w:rsid w:val="0099659A"/>
    <w:rsid w:val="00996E4F"/>
    <w:rsid w:val="009A0AB1"/>
    <w:rsid w:val="009A0EB9"/>
    <w:rsid w:val="009A1091"/>
    <w:rsid w:val="009A2212"/>
    <w:rsid w:val="009A374A"/>
    <w:rsid w:val="009A5077"/>
    <w:rsid w:val="009A5FE9"/>
    <w:rsid w:val="009A62D1"/>
    <w:rsid w:val="009A650D"/>
    <w:rsid w:val="009A6553"/>
    <w:rsid w:val="009A6FC2"/>
    <w:rsid w:val="009A702E"/>
    <w:rsid w:val="009B0A8D"/>
    <w:rsid w:val="009B103A"/>
    <w:rsid w:val="009B1401"/>
    <w:rsid w:val="009B27FD"/>
    <w:rsid w:val="009B3941"/>
    <w:rsid w:val="009B4E6F"/>
    <w:rsid w:val="009B66C6"/>
    <w:rsid w:val="009B68E8"/>
    <w:rsid w:val="009B6A01"/>
    <w:rsid w:val="009B6DF9"/>
    <w:rsid w:val="009C0766"/>
    <w:rsid w:val="009C0DB0"/>
    <w:rsid w:val="009C469D"/>
    <w:rsid w:val="009C5C0B"/>
    <w:rsid w:val="009C61DE"/>
    <w:rsid w:val="009C6212"/>
    <w:rsid w:val="009C666A"/>
    <w:rsid w:val="009D039C"/>
    <w:rsid w:val="009D2763"/>
    <w:rsid w:val="009D2CEB"/>
    <w:rsid w:val="009D37C6"/>
    <w:rsid w:val="009D3A25"/>
    <w:rsid w:val="009D4C90"/>
    <w:rsid w:val="009D543E"/>
    <w:rsid w:val="009D60E4"/>
    <w:rsid w:val="009D6354"/>
    <w:rsid w:val="009D7E37"/>
    <w:rsid w:val="009E31A3"/>
    <w:rsid w:val="009E328D"/>
    <w:rsid w:val="009E3DC6"/>
    <w:rsid w:val="009E5687"/>
    <w:rsid w:val="009E6FB1"/>
    <w:rsid w:val="009F1EAE"/>
    <w:rsid w:val="009F215E"/>
    <w:rsid w:val="009F2923"/>
    <w:rsid w:val="009F4C19"/>
    <w:rsid w:val="009F4DB2"/>
    <w:rsid w:val="009F54B2"/>
    <w:rsid w:val="009F5F0D"/>
    <w:rsid w:val="00A000DA"/>
    <w:rsid w:val="00A00240"/>
    <w:rsid w:val="00A00545"/>
    <w:rsid w:val="00A00604"/>
    <w:rsid w:val="00A006C3"/>
    <w:rsid w:val="00A00BDC"/>
    <w:rsid w:val="00A00C03"/>
    <w:rsid w:val="00A02185"/>
    <w:rsid w:val="00A027D5"/>
    <w:rsid w:val="00A04DDA"/>
    <w:rsid w:val="00A06A56"/>
    <w:rsid w:val="00A06A79"/>
    <w:rsid w:val="00A07404"/>
    <w:rsid w:val="00A0780A"/>
    <w:rsid w:val="00A07AEE"/>
    <w:rsid w:val="00A07EF0"/>
    <w:rsid w:val="00A10082"/>
    <w:rsid w:val="00A11398"/>
    <w:rsid w:val="00A121A0"/>
    <w:rsid w:val="00A1306E"/>
    <w:rsid w:val="00A137C5"/>
    <w:rsid w:val="00A14CC7"/>
    <w:rsid w:val="00A155A1"/>
    <w:rsid w:val="00A15D0C"/>
    <w:rsid w:val="00A16885"/>
    <w:rsid w:val="00A20645"/>
    <w:rsid w:val="00A20C6B"/>
    <w:rsid w:val="00A2109A"/>
    <w:rsid w:val="00A2212C"/>
    <w:rsid w:val="00A22130"/>
    <w:rsid w:val="00A25BB4"/>
    <w:rsid w:val="00A264A8"/>
    <w:rsid w:val="00A269D5"/>
    <w:rsid w:val="00A2740A"/>
    <w:rsid w:val="00A277EF"/>
    <w:rsid w:val="00A30BE3"/>
    <w:rsid w:val="00A31566"/>
    <w:rsid w:val="00A32FCC"/>
    <w:rsid w:val="00A33AD7"/>
    <w:rsid w:val="00A34275"/>
    <w:rsid w:val="00A344EF"/>
    <w:rsid w:val="00A37890"/>
    <w:rsid w:val="00A401D4"/>
    <w:rsid w:val="00A41259"/>
    <w:rsid w:val="00A4467B"/>
    <w:rsid w:val="00A456F8"/>
    <w:rsid w:val="00A45A0B"/>
    <w:rsid w:val="00A462A7"/>
    <w:rsid w:val="00A46E0A"/>
    <w:rsid w:val="00A47AE4"/>
    <w:rsid w:val="00A521C9"/>
    <w:rsid w:val="00A52404"/>
    <w:rsid w:val="00A55849"/>
    <w:rsid w:val="00A55AB9"/>
    <w:rsid w:val="00A55D88"/>
    <w:rsid w:val="00A55EEA"/>
    <w:rsid w:val="00A571D4"/>
    <w:rsid w:val="00A5771E"/>
    <w:rsid w:val="00A57B46"/>
    <w:rsid w:val="00A57D6F"/>
    <w:rsid w:val="00A60303"/>
    <w:rsid w:val="00A6127B"/>
    <w:rsid w:val="00A621EB"/>
    <w:rsid w:val="00A624FC"/>
    <w:rsid w:val="00A626CC"/>
    <w:rsid w:val="00A63D13"/>
    <w:rsid w:val="00A63E41"/>
    <w:rsid w:val="00A64707"/>
    <w:rsid w:val="00A666E3"/>
    <w:rsid w:val="00A6740E"/>
    <w:rsid w:val="00A700EA"/>
    <w:rsid w:val="00A73510"/>
    <w:rsid w:val="00A77867"/>
    <w:rsid w:val="00A77F75"/>
    <w:rsid w:val="00A810AD"/>
    <w:rsid w:val="00A8126B"/>
    <w:rsid w:val="00A818A3"/>
    <w:rsid w:val="00A81D75"/>
    <w:rsid w:val="00A83BBC"/>
    <w:rsid w:val="00A83E50"/>
    <w:rsid w:val="00A84269"/>
    <w:rsid w:val="00A84B01"/>
    <w:rsid w:val="00A85757"/>
    <w:rsid w:val="00A85CCA"/>
    <w:rsid w:val="00A86357"/>
    <w:rsid w:val="00A865EA"/>
    <w:rsid w:val="00A876C8"/>
    <w:rsid w:val="00A87B59"/>
    <w:rsid w:val="00A90C5A"/>
    <w:rsid w:val="00A92F78"/>
    <w:rsid w:val="00A935A6"/>
    <w:rsid w:val="00A937C6"/>
    <w:rsid w:val="00A9551F"/>
    <w:rsid w:val="00A958C3"/>
    <w:rsid w:val="00A95AAB"/>
    <w:rsid w:val="00A96E03"/>
    <w:rsid w:val="00A976FF"/>
    <w:rsid w:val="00AA01F8"/>
    <w:rsid w:val="00AA0315"/>
    <w:rsid w:val="00AA277B"/>
    <w:rsid w:val="00AA2ADD"/>
    <w:rsid w:val="00AA37F7"/>
    <w:rsid w:val="00AA6216"/>
    <w:rsid w:val="00AA6E3C"/>
    <w:rsid w:val="00AB31F0"/>
    <w:rsid w:val="00AB3CC3"/>
    <w:rsid w:val="00AB3DF4"/>
    <w:rsid w:val="00AB4E5A"/>
    <w:rsid w:val="00AB5F35"/>
    <w:rsid w:val="00AB6E21"/>
    <w:rsid w:val="00AB7E68"/>
    <w:rsid w:val="00AC069A"/>
    <w:rsid w:val="00AC2E08"/>
    <w:rsid w:val="00AC2FAC"/>
    <w:rsid w:val="00AC4F5D"/>
    <w:rsid w:val="00AC60E2"/>
    <w:rsid w:val="00AC6878"/>
    <w:rsid w:val="00AC6D18"/>
    <w:rsid w:val="00AD1DAC"/>
    <w:rsid w:val="00AD1F3B"/>
    <w:rsid w:val="00AD257C"/>
    <w:rsid w:val="00AD3E16"/>
    <w:rsid w:val="00AD4A16"/>
    <w:rsid w:val="00AD5480"/>
    <w:rsid w:val="00AD63CD"/>
    <w:rsid w:val="00AD63E9"/>
    <w:rsid w:val="00AD6FE1"/>
    <w:rsid w:val="00AD722D"/>
    <w:rsid w:val="00AD72C9"/>
    <w:rsid w:val="00AD76BD"/>
    <w:rsid w:val="00AE0235"/>
    <w:rsid w:val="00AE0997"/>
    <w:rsid w:val="00AE184D"/>
    <w:rsid w:val="00AE1EE2"/>
    <w:rsid w:val="00AE246E"/>
    <w:rsid w:val="00AE3221"/>
    <w:rsid w:val="00AE4225"/>
    <w:rsid w:val="00AE4D89"/>
    <w:rsid w:val="00AE4EC8"/>
    <w:rsid w:val="00AE4F06"/>
    <w:rsid w:val="00AE50D3"/>
    <w:rsid w:val="00AE5CC9"/>
    <w:rsid w:val="00AE617F"/>
    <w:rsid w:val="00AE7227"/>
    <w:rsid w:val="00AF114C"/>
    <w:rsid w:val="00AF13AF"/>
    <w:rsid w:val="00AF155E"/>
    <w:rsid w:val="00AF158A"/>
    <w:rsid w:val="00AF5801"/>
    <w:rsid w:val="00AF5B56"/>
    <w:rsid w:val="00AF7F3B"/>
    <w:rsid w:val="00B0067F"/>
    <w:rsid w:val="00B00D3B"/>
    <w:rsid w:val="00B00D42"/>
    <w:rsid w:val="00B01024"/>
    <w:rsid w:val="00B0211F"/>
    <w:rsid w:val="00B02459"/>
    <w:rsid w:val="00B02A03"/>
    <w:rsid w:val="00B03FFA"/>
    <w:rsid w:val="00B049A1"/>
    <w:rsid w:val="00B04AE2"/>
    <w:rsid w:val="00B053F5"/>
    <w:rsid w:val="00B10291"/>
    <w:rsid w:val="00B10CFF"/>
    <w:rsid w:val="00B1121E"/>
    <w:rsid w:val="00B11523"/>
    <w:rsid w:val="00B11890"/>
    <w:rsid w:val="00B11898"/>
    <w:rsid w:val="00B11FF0"/>
    <w:rsid w:val="00B12F01"/>
    <w:rsid w:val="00B1315F"/>
    <w:rsid w:val="00B15B70"/>
    <w:rsid w:val="00B16105"/>
    <w:rsid w:val="00B16C2D"/>
    <w:rsid w:val="00B17F06"/>
    <w:rsid w:val="00B202F0"/>
    <w:rsid w:val="00B20A94"/>
    <w:rsid w:val="00B21698"/>
    <w:rsid w:val="00B23CB4"/>
    <w:rsid w:val="00B24312"/>
    <w:rsid w:val="00B269F8"/>
    <w:rsid w:val="00B30ADD"/>
    <w:rsid w:val="00B32601"/>
    <w:rsid w:val="00B32DDA"/>
    <w:rsid w:val="00B32DF7"/>
    <w:rsid w:val="00B32EB5"/>
    <w:rsid w:val="00B3497D"/>
    <w:rsid w:val="00B37052"/>
    <w:rsid w:val="00B37161"/>
    <w:rsid w:val="00B37FC4"/>
    <w:rsid w:val="00B40C82"/>
    <w:rsid w:val="00B4344E"/>
    <w:rsid w:val="00B4457E"/>
    <w:rsid w:val="00B4571A"/>
    <w:rsid w:val="00B45E22"/>
    <w:rsid w:val="00B468ED"/>
    <w:rsid w:val="00B46B54"/>
    <w:rsid w:val="00B47239"/>
    <w:rsid w:val="00B47AFF"/>
    <w:rsid w:val="00B50B1E"/>
    <w:rsid w:val="00B510A6"/>
    <w:rsid w:val="00B51164"/>
    <w:rsid w:val="00B51DA8"/>
    <w:rsid w:val="00B5335E"/>
    <w:rsid w:val="00B5353F"/>
    <w:rsid w:val="00B538CF"/>
    <w:rsid w:val="00B53BB4"/>
    <w:rsid w:val="00B546D1"/>
    <w:rsid w:val="00B5689B"/>
    <w:rsid w:val="00B56994"/>
    <w:rsid w:val="00B57B97"/>
    <w:rsid w:val="00B57FDE"/>
    <w:rsid w:val="00B605C8"/>
    <w:rsid w:val="00B605F0"/>
    <w:rsid w:val="00B60AF8"/>
    <w:rsid w:val="00B61034"/>
    <w:rsid w:val="00B6186B"/>
    <w:rsid w:val="00B62146"/>
    <w:rsid w:val="00B62BA1"/>
    <w:rsid w:val="00B62C88"/>
    <w:rsid w:val="00B62F48"/>
    <w:rsid w:val="00B64588"/>
    <w:rsid w:val="00B647AB"/>
    <w:rsid w:val="00B674CE"/>
    <w:rsid w:val="00B714A9"/>
    <w:rsid w:val="00B71F9B"/>
    <w:rsid w:val="00B72314"/>
    <w:rsid w:val="00B7268D"/>
    <w:rsid w:val="00B733B3"/>
    <w:rsid w:val="00B73716"/>
    <w:rsid w:val="00B743C3"/>
    <w:rsid w:val="00B75755"/>
    <w:rsid w:val="00B76EF1"/>
    <w:rsid w:val="00B770B0"/>
    <w:rsid w:val="00B772FA"/>
    <w:rsid w:val="00B77FEB"/>
    <w:rsid w:val="00B80696"/>
    <w:rsid w:val="00B81318"/>
    <w:rsid w:val="00B81F18"/>
    <w:rsid w:val="00B8216E"/>
    <w:rsid w:val="00B833A6"/>
    <w:rsid w:val="00B84B3B"/>
    <w:rsid w:val="00B85E0A"/>
    <w:rsid w:val="00B872AE"/>
    <w:rsid w:val="00B87804"/>
    <w:rsid w:val="00B87C98"/>
    <w:rsid w:val="00B9042B"/>
    <w:rsid w:val="00B906CE"/>
    <w:rsid w:val="00B9140F"/>
    <w:rsid w:val="00B91F2F"/>
    <w:rsid w:val="00B92686"/>
    <w:rsid w:val="00B92D8B"/>
    <w:rsid w:val="00B947A6"/>
    <w:rsid w:val="00B95039"/>
    <w:rsid w:val="00B955A5"/>
    <w:rsid w:val="00B956B6"/>
    <w:rsid w:val="00B974CD"/>
    <w:rsid w:val="00BA21EE"/>
    <w:rsid w:val="00BA27F9"/>
    <w:rsid w:val="00BA30E9"/>
    <w:rsid w:val="00BA381B"/>
    <w:rsid w:val="00BA4301"/>
    <w:rsid w:val="00BA49EF"/>
    <w:rsid w:val="00BA56A3"/>
    <w:rsid w:val="00BA5952"/>
    <w:rsid w:val="00BA69F6"/>
    <w:rsid w:val="00BA6BA3"/>
    <w:rsid w:val="00BA6C02"/>
    <w:rsid w:val="00BA73CF"/>
    <w:rsid w:val="00BA7D36"/>
    <w:rsid w:val="00BB1CC2"/>
    <w:rsid w:val="00BB1EC3"/>
    <w:rsid w:val="00BB2733"/>
    <w:rsid w:val="00BB50BA"/>
    <w:rsid w:val="00BB7160"/>
    <w:rsid w:val="00BC13D5"/>
    <w:rsid w:val="00BC25BD"/>
    <w:rsid w:val="00BC2921"/>
    <w:rsid w:val="00BC31E7"/>
    <w:rsid w:val="00BC3438"/>
    <w:rsid w:val="00BD0788"/>
    <w:rsid w:val="00BD0D31"/>
    <w:rsid w:val="00BD1585"/>
    <w:rsid w:val="00BD17B3"/>
    <w:rsid w:val="00BD2626"/>
    <w:rsid w:val="00BD31C5"/>
    <w:rsid w:val="00BD5417"/>
    <w:rsid w:val="00BD5E9C"/>
    <w:rsid w:val="00BD616B"/>
    <w:rsid w:val="00BD6667"/>
    <w:rsid w:val="00BD6FAF"/>
    <w:rsid w:val="00BE0D01"/>
    <w:rsid w:val="00BE43AD"/>
    <w:rsid w:val="00BE4C83"/>
    <w:rsid w:val="00BE61DB"/>
    <w:rsid w:val="00BE62F4"/>
    <w:rsid w:val="00BE6A07"/>
    <w:rsid w:val="00BE72E7"/>
    <w:rsid w:val="00BF0BB4"/>
    <w:rsid w:val="00BF4202"/>
    <w:rsid w:val="00BF4FC0"/>
    <w:rsid w:val="00BF641E"/>
    <w:rsid w:val="00BF6BC6"/>
    <w:rsid w:val="00BF6CB9"/>
    <w:rsid w:val="00BF7118"/>
    <w:rsid w:val="00BF79AB"/>
    <w:rsid w:val="00BF79D4"/>
    <w:rsid w:val="00BF7AB0"/>
    <w:rsid w:val="00C02B8B"/>
    <w:rsid w:val="00C02C47"/>
    <w:rsid w:val="00C02E9F"/>
    <w:rsid w:val="00C03407"/>
    <w:rsid w:val="00C04813"/>
    <w:rsid w:val="00C04911"/>
    <w:rsid w:val="00C0641E"/>
    <w:rsid w:val="00C06E94"/>
    <w:rsid w:val="00C07BCF"/>
    <w:rsid w:val="00C11A05"/>
    <w:rsid w:val="00C11A48"/>
    <w:rsid w:val="00C11B9B"/>
    <w:rsid w:val="00C12BED"/>
    <w:rsid w:val="00C13D40"/>
    <w:rsid w:val="00C144AA"/>
    <w:rsid w:val="00C14BCD"/>
    <w:rsid w:val="00C15ECB"/>
    <w:rsid w:val="00C17650"/>
    <w:rsid w:val="00C20CE2"/>
    <w:rsid w:val="00C21582"/>
    <w:rsid w:val="00C21F96"/>
    <w:rsid w:val="00C226DA"/>
    <w:rsid w:val="00C23A4B"/>
    <w:rsid w:val="00C23A95"/>
    <w:rsid w:val="00C242B0"/>
    <w:rsid w:val="00C25807"/>
    <w:rsid w:val="00C25C6A"/>
    <w:rsid w:val="00C26285"/>
    <w:rsid w:val="00C262E7"/>
    <w:rsid w:val="00C263CB"/>
    <w:rsid w:val="00C264E0"/>
    <w:rsid w:val="00C26833"/>
    <w:rsid w:val="00C26F03"/>
    <w:rsid w:val="00C271D5"/>
    <w:rsid w:val="00C27B79"/>
    <w:rsid w:val="00C30533"/>
    <w:rsid w:val="00C3088B"/>
    <w:rsid w:val="00C317A5"/>
    <w:rsid w:val="00C3186A"/>
    <w:rsid w:val="00C32DB8"/>
    <w:rsid w:val="00C340ED"/>
    <w:rsid w:val="00C34518"/>
    <w:rsid w:val="00C3576C"/>
    <w:rsid w:val="00C36306"/>
    <w:rsid w:val="00C3777A"/>
    <w:rsid w:val="00C37F5C"/>
    <w:rsid w:val="00C403C3"/>
    <w:rsid w:val="00C43760"/>
    <w:rsid w:val="00C45436"/>
    <w:rsid w:val="00C45ABD"/>
    <w:rsid w:val="00C466E6"/>
    <w:rsid w:val="00C46D6F"/>
    <w:rsid w:val="00C4706E"/>
    <w:rsid w:val="00C4712D"/>
    <w:rsid w:val="00C47A49"/>
    <w:rsid w:val="00C47A99"/>
    <w:rsid w:val="00C50586"/>
    <w:rsid w:val="00C506E0"/>
    <w:rsid w:val="00C53474"/>
    <w:rsid w:val="00C56785"/>
    <w:rsid w:val="00C57B3E"/>
    <w:rsid w:val="00C611E6"/>
    <w:rsid w:val="00C614C1"/>
    <w:rsid w:val="00C61A9C"/>
    <w:rsid w:val="00C61C5A"/>
    <w:rsid w:val="00C62A43"/>
    <w:rsid w:val="00C6386E"/>
    <w:rsid w:val="00C64410"/>
    <w:rsid w:val="00C6522A"/>
    <w:rsid w:val="00C676BA"/>
    <w:rsid w:val="00C70B8F"/>
    <w:rsid w:val="00C71A2C"/>
    <w:rsid w:val="00C72CE1"/>
    <w:rsid w:val="00C73982"/>
    <w:rsid w:val="00C73E0F"/>
    <w:rsid w:val="00C73FE1"/>
    <w:rsid w:val="00C74718"/>
    <w:rsid w:val="00C756FC"/>
    <w:rsid w:val="00C7636B"/>
    <w:rsid w:val="00C7728F"/>
    <w:rsid w:val="00C77494"/>
    <w:rsid w:val="00C77BF4"/>
    <w:rsid w:val="00C800F8"/>
    <w:rsid w:val="00C829DF"/>
    <w:rsid w:val="00C82DDC"/>
    <w:rsid w:val="00C86D42"/>
    <w:rsid w:val="00C876A9"/>
    <w:rsid w:val="00C87F42"/>
    <w:rsid w:val="00C90571"/>
    <w:rsid w:val="00C913B0"/>
    <w:rsid w:val="00C9165A"/>
    <w:rsid w:val="00C92145"/>
    <w:rsid w:val="00C92B97"/>
    <w:rsid w:val="00C93050"/>
    <w:rsid w:val="00C93B86"/>
    <w:rsid w:val="00C948D7"/>
    <w:rsid w:val="00C9520D"/>
    <w:rsid w:val="00C95E77"/>
    <w:rsid w:val="00C96410"/>
    <w:rsid w:val="00C971E5"/>
    <w:rsid w:val="00C97764"/>
    <w:rsid w:val="00C97854"/>
    <w:rsid w:val="00CA0AED"/>
    <w:rsid w:val="00CA2A19"/>
    <w:rsid w:val="00CA2A8A"/>
    <w:rsid w:val="00CA3018"/>
    <w:rsid w:val="00CA3041"/>
    <w:rsid w:val="00CA30D6"/>
    <w:rsid w:val="00CA3DC4"/>
    <w:rsid w:val="00CA4870"/>
    <w:rsid w:val="00CA690A"/>
    <w:rsid w:val="00CA69DF"/>
    <w:rsid w:val="00CA6EEB"/>
    <w:rsid w:val="00CB1570"/>
    <w:rsid w:val="00CB183D"/>
    <w:rsid w:val="00CB1DBB"/>
    <w:rsid w:val="00CB326A"/>
    <w:rsid w:val="00CB3802"/>
    <w:rsid w:val="00CC05B1"/>
    <w:rsid w:val="00CC0BD1"/>
    <w:rsid w:val="00CC0F9B"/>
    <w:rsid w:val="00CC22BC"/>
    <w:rsid w:val="00CC42C6"/>
    <w:rsid w:val="00CC45D9"/>
    <w:rsid w:val="00CC66FC"/>
    <w:rsid w:val="00CC7391"/>
    <w:rsid w:val="00CC7CDE"/>
    <w:rsid w:val="00CD15FD"/>
    <w:rsid w:val="00CD2CB6"/>
    <w:rsid w:val="00CD359E"/>
    <w:rsid w:val="00CD406D"/>
    <w:rsid w:val="00CD456E"/>
    <w:rsid w:val="00CD5536"/>
    <w:rsid w:val="00CD589B"/>
    <w:rsid w:val="00CD6894"/>
    <w:rsid w:val="00CD75FA"/>
    <w:rsid w:val="00CE19B6"/>
    <w:rsid w:val="00CE3BEF"/>
    <w:rsid w:val="00CE5B58"/>
    <w:rsid w:val="00CE5F16"/>
    <w:rsid w:val="00CE7747"/>
    <w:rsid w:val="00CF7477"/>
    <w:rsid w:val="00CF7EBC"/>
    <w:rsid w:val="00D00209"/>
    <w:rsid w:val="00D01014"/>
    <w:rsid w:val="00D01FD4"/>
    <w:rsid w:val="00D02747"/>
    <w:rsid w:val="00D0339F"/>
    <w:rsid w:val="00D03455"/>
    <w:rsid w:val="00D034D2"/>
    <w:rsid w:val="00D03E6D"/>
    <w:rsid w:val="00D05AE0"/>
    <w:rsid w:val="00D0724D"/>
    <w:rsid w:val="00D11BB0"/>
    <w:rsid w:val="00D11DDC"/>
    <w:rsid w:val="00D1349D"/>
    <w:rsid w:val="00D1425E"/>
    <w:rsid w:val="00D14C5B"/>
    <w:rsid w:val="00D16525"/>
    <w:rsid w:val="00D174E2"/>
    <w:rsid w:val="00D204B1"/>
    <w:rsid w:val="00D2050F"/>
    <w:rsid w:val="00D20AF3"/>
    <w:rsid w:val="00D2157A"/>
    <w:rsid w:val="00D22B85"/>
    <w:rsid w:val="00D2472C"/>
    <w:rsid w:val="00D24C07"/>
    <w:rsid w:val="00D24D1E"/>
    <w:rsid w:val="00D267BA"/>
    <w:rsid w:val="00D26ED8"/>
    <w:rsid w:val="00D27A8C"/>
    <w:rsid w:val="00D3066A"/>
    <w:rsid w:val="00D30737"/>
    <w:rsid w:val="00D30A88"/>
    <w:rsid w:val="00D3211A"/>
    <w:rsid w:val="00D330D1"/>
    <w:rsid w:val="00D331D5"/>
    <w:rsid w:val="00D338B3"/>
    <w:rsid w:val="00D3610C"/>
    <w:rsid w:val="00D36A5B"/>
    <w:rsid w:val="00D40F05"/>
    <w:rsid w:val="00D41D36"/>
    <w:rsid w:val="00D4409E"/>
    <w:rsid w:val="00D4441F"/>
    <w:rsid w:val="00D44893"/>
    <w:rsid w:val="00D46D39"/>
    <w:rsid w:val="00D471F8"/>
    <w:rsid w:val="00D47DAB"/>
    <w:rsid w:val="00D509CB"/>
    <w:rsid w:val="00D509E0"/>
    <w:rsid w:val="00D50BAA"/>
    <w:rsid w:val="00D51420"/>
    <w:rsid w:val="00D515FD"/>
    <w:rsid w:val="00D516EE"/>
    <w:rsid w:val="00D51763"/>
    <w:rsid w:val="00D517EC"/>
    <w:rsid w:val="00D5241C"/>
    <w:rsid w:val="00D55355"/>
    <w:rsid w:val="00D55B4E"/>
    <w:rsid w:val="00D56725"/>
    <w:rsid w:val="00D574A6"/>
    <w:rsid w:val="00D57E83"/>
    <w:rsid w:val="00D60897"/>
    <w:rsid w:val="00D60BD6"/>
    <w:rsid w:val="00D60FE3"/>
    <w:rsid w:val="00D610DD"/>
    <w:rsid w:val="00D625D6"/>
    <w:rsid w:val="00D62A79"/>
    <w:rsid w:val="00D642A2"/>
    <w:rsid w:val="00D644B2"/>
    <w:rsid w:val="00D660F8"/>
    <w:rsid w:val="00D66446"/>
    <w:rsid w:val="00D67B06"/>
    <w:rsid w:val="00D70737"/>
    <w:rsid w:val="00D735CD"/>
    <w:rsid w:val="00D73695"/>
    <w:rsid w:val="00D73F43"/>
    <w:rsid w:val="00D7781D"/>
    <w:rsid w:val="00D8264D"/>
    <w:rsid w:val="00D83A2B"/>
    <w:rsid w:val="00D83A87"/>
    <w:rsid w:val="00D83CE8"/>
    <w:rsid w:val="00D840EB"/>
    <w:rsid w:val="00D85925"/>
    <w:rsid w:val="00D869F6"/>
    <w:rsid w:val="00D8744A"/>
    <w:rsid w:val="00D92937"/>
    <w:rsid w:val="00D93666"/>
    <w:rsid w:val="00D94E83"/>
    <w:rsid w:val="00D96721"/>
    <w:rsid w:val="00D970A9"/>
    <w:rsid w:val="00DA1326"/>
    <w:rsid w:val="00DA19BF"/>
    <w:rsid w:val="00DA2062"/>
    <w:rsid w:val="00DA209E"/>
    <w:rsid w:val="00DA2184"/>
    <w:rsid w:val="00DA5433"/>
    <w:rsid w:val="00DA624A"/>
    <w:rsid w:val="00DA7B4B"/>
    <w:rsid w:val="00DB07C7"/>
    <w:rsid w:val="00DB1663"/>
    <w:rsid w:val="00DB2F0E"/>
    <w:rsid w:val="00DB30A0"/>
    <w:rsid w:val="00DB4413"/>
    <w:rsid w:val="00DB5C74"/>
    <w:rsid w:val="00DB6028"/>
    <w:rsid w:val="00DB60AD"/>
    <w:rsid w:val="00DB7D97"/>
    <w:rsid w:val="00DC2452"/>
    <w:rsid w:val="00DC2C40"/>
    <w:rsid w:val="00DC2D29"/>
    <w:rsid w:val="00DC3BB7"/>
    <w:rsid w:val="00DC48C1"/>
    <w:rsid w:val="00DC5E57"/>
    <w:rsid w:val="00DC66A4"/>
    <w:rsid w:val="00DC6C36"/>
    <w:rsid w:val="00DC6CB7"/>
    <w:rsid w:val="00DC7397"/>
    <w:rsid w:val="00DD0AC0"/>
    <w:rsid w:val="00DD1A24"/>
    <w:rsid w:val="00DD1A97"/>
    <w:rsid w:val="00DD3242"/>
    <w:rsid w:val="00DD56DF"/>
    <w:rsid w:val="00DD7142"/>
    <w:rsid w:val="00DD7882"/>
    <w:rsid w:val="00DE020C"/>
    <w:rsid w:val="00DE07F1"/>
    <w:rsid w:val="00DE1BA0"/>
    <w:rsid w:val="00DE367E"/>
    <w:rsid w:val="00DE54AD"/>
    <w:rsid w:val="00DE5B1E"/>
    <w:rsid w:val="00DE6350"/>
    <w:rsid w:val="00DE7A91"/>
    <w:rsid w:val="00DF06DD"/>
    <w:rsid w:val="00DF0F00"/>
    <w:rsid w:val="00DF19BE"/>
    <w:rsid w:val="00DF2151"/>
    <w:rsid w:val="00DF233A"/>
    <w:rsid w:val="00DF2953"/>
    <w:rsid w:val="00DF2ACA"/>
    <w:rsid w:val="00DF442C"/>
    <w:rsid w:val="00DF56FC"/>
    <w:rsid w:val="00DF6169"/>
    <w:rsid w:val="00DF7EFC"/>
    <w:rsid w:val="00E00116"/>
    <w:rsid w:val="00E00497"/>
    <w:rsid w:val="00E019CA"/>
    <w:rsid w:val="00E04614"/>
    <w:rsid w:val="00E04D3E"/>
    <w:rsid w:val="00E05536"/>
    <w:rsid w:val="00E078C0"/>
    <w:rsid w:val="00E07C9D"/>
    <w:rsid w:val="00E100F1"/>
    <w:rsid w:val="00E10B7E"/>
    <w:rsid w:val="00E1156F"/>
    <w:rsid w:val="00E123FA"/>
    <w:rsid w:val="00E12522"/>
    <w:rsid w:val="00E1287A"/>
    <w:rsid w:val="00E132C0"/>
    <w:rsid w:val="00E14123"/>
    <w:rsid w:val="00E14BDB"/>
    <w:rsid w:val="00E154A9"/>
    <w:rsid w:val="00E15AF0"/>
    <w:rsid w:val="00E1770D"/>
    <w:rsid w:val="00E203B1"/>
    <w:rsid w:val="00E2217E"/>
    <w:rsid w:val="00E22EBC"/>
    <w:rsid w:val="00E236BC"/>
    <w:rsid w:val="00E237C9"/>
    <w:rsid w:val="00E23F39"/>
    <w:rsid w:val="00E26419"/>
    <w:rsid w:val="00E268D5"/>
    <w:rsid w:val="00E2747C"/>
    <w:rsid w:val="00E303E4"/>
    <w:rsid w:val="00E310EE"/>
    <w:rsid w:val="00E3180C"/>
    <w:rsid w:val="00E31B71"/>
    <w:rsid w:val="00E34ACB"/>
    <w:rsid w:val="00E358F4"/>
    <w:rsid w:val="00E3787E"/>
    <w:rsid w:val="00E379A0"/>
    <w:rsid w:val="00E40A38"/>
    <w:rsid w:val="00E40E1F"/>
    <w:rsid w:val="00E41092"/>
    <w:rsid w:val="00E41097"/>
    <w:rsid w:val="00E437DB"/>
    <w:rsid w:val="00E44D0D"/>
    <w:rsid w:val="00E45064"/>
    <w:rsid w:val="00E457CF"/>
    <w:rsid w:val="00E45C0A"/>
    <w:rsid w:val="00E46061"/>
    <w:rsid w:val="00E4667A"/>
    <w:rsid w:val="00E471AA"/>
    <w:rsid w:val="00E47B6B"/>
    <w:rsid w:val="00E505C1"/>
    <w:rsid w:val="00E52373"/>
    <w:rsid w:val="00E530F7"/>
    <w:rsid w:val="00E553A9"/>
    <w:rsid w:val="00E55654"/>
    <w:rsid w:val="00E558F3"/>
    <w:rsid w:val="00E55B23"/>
    <w:rsid w:val="00E57306"/>
    <w:rsid w:val="00E61CBF"/>
    <w:rsid w:val="00E61CDE"/>
    <w:rsid w:val="00E625D0"/>
    <w:rsid w:val="00E62A78"/>
    <w:rsid w:val="00E6379A"/>
    <w:rsid w:val="00E63876"/>
    <w:rsid w:val="00E64377"/>
    <w:rsid w:val="00E64B8B"/>
    <w:rsid w:val="00E64DD5"/>
    <w:rsid w:val="00E65D43"/>
    <w:rsid w:val="00E70BCC"/>
    <w:rsid w:val="00E71930"/>
    <w:rsid w:val="00E7205C"/>
    <w:rsid w:val="00E7210A"/>
    <w:rsid w:val="00E72161"/>
    <w:rsid w:val="00E746FA"/>
    <w:rsid w:val="00E75036"/>
    <w:rsid w:val="00E7518B"/>
    <w:rsid w:val="00E758AE"/>
    <w:rsid w:val="00E76733"/>
    <w:rsid w:val="00E77428"/>
    <w:rsid w:val="00E8048B"/>
    <w:rsid w:val="00E80791"/>
    <w:rsid w:val="00E8278C"/>
    <w:rsid w:val="00E83024"/>
    <w:rsid w:val="00E8316F"/>
    <w:rsid w:val="00E839EF"/>
    <w:rsid w:val="00E83AF4"/>
    <w:rsid w:val="00E83B06"/>
    <w:rsid w:val="00E8480A"/>
    <w:rsid w:val="00E85641"/>
    <w:rsid w:val="00E861CC"/>
    <w:rsid w:val="00E86F03"/>
    <w:rsid w:val="00E90470"/>
    <w:rsid w:val="00E92275"/>
    <w:rsid w:val="00E92822"/>
    <w:rsid w:val="00E96447"/>
    <w:rsid w:val="00E97DF1"/>
    <w:rsid w:val="00EA09C8"/>
    <w:rsid w:val="00EA4F07"/>
    <w:rsid w:val="00EA5708"/>
    <w:rsid w:val="00EA5A1D"/>
    <w:rsid w:val="00EA78D7"/>
    <w:rsid w:val="00EB25DA"/>
    <w:rsid w:val="00EB3C00"/>
    <w:rsid w:val="00EB3E12"/>
    <w:rsid w:val="00EB43C0"/>
    <w:rsid w:val="00EB5227"/>
    <w:rsid w:val="00EB53BA"/>
    <w:rsid w:val="00EB55FA"/>
    <w:rsid w:val="00EB5C13"/>
    <w:rsid w:val="00EB7501"/>
    <w:rsid w:val="00EC0309"/>
    <w:rsid w:val="00EC0650"/>
    <w:rsid w:val="00EC0E0B"/>
    <w:rsid w:val="00EC113F"/>
    <w:rsid w:val="00EC2A17"/>
    <w:rsid w:val="00EC4709"/>
    <w:rsid w:val="00EC54DB"/>
    <w:rsid w:val="00EC5B3A"/>
    <w:rsid w:val="00EC7E1A"/>
    <w:rsid w:val="00ED040D"/>
    <w:rsid w:val="00ED1859"/>
    <w:rsid w:val="00ED3BBE"/>
    <w:rsid w:val="00ED6598"/>
    <w:rsid w:val="00ED7F0F"/>
    <w:rsid w:val="00EE01E8"/>
    <w:rsid w:val="00EE0B35"/>
    <w:rsid w:val="00EE1A20"/>
    <w:rsid w:val="00EE3AF7"/>
    <w:rsid w:val="00EE44A3"/>
    <w:rsid w:val="00EE56C4"/>
    <w:rsid w:val="00EE5D43"/>
    <w:rsid w:val="00EE6BBB"/>
    <w:rsid w:val="00EE7845"/>
    <w:rsid w:val="00EF0CF1"/>
    <w:rsid w:val="00EF1443"/>
    <w:rsid w:val="00EF1625"/>
    <w:rsid w:val="00EF3FCE"/>
    <w:rsid w:val="00EF497B"/>
    <w:rsid w:val="00EF5582"/>
    <w:rsid w:val="00EF55BE"/>
    <w:rsid w:val="00EF7018"/>
    <w:rsid w:val="00EF7B40"/>
    <w:rsid w:val="00F005B5"/>
    <w:rsid w:val="00F00899"/>
    <w:rsid w:val="00F00DB9"/>
    <w:rsid w:val="00F01ADD"/>
    <w:rsid w:val="00F023A5"/>
    <w:rsid w:val="00F024BF"/>
    <w:rsid w:val="00F03137"/>
    <w:rsid w:val="00F03745"/>
    <w:rsid w:val="00F03D76"/>
    <w:rsid w:val="00F03F93"/>
    <w:rsid w:val="00F06789"/>
    <w:rsid w:val="00F074D3"/>
    <w:rsid w:val="00F076EB"/>
    <w:rsid w:val="00F07B85"/>
    <w:rsid w:val="00F10521"/>
    <w:rsid w:val="00F10F5A"/>
    <w:rsid w:val="00F11B4D"/>
    <w:rsid w:val="00F11B57"/>
    <w:rsid w:val="00F11FC5"/>
    <w:rsid w:val="00F128A5"/>
    <w:rsid w:val="00F1412B"/>
    <w:rsid w:val="00F172A1"/>
    <w:rsid w:val="00F1740A"/>
    <w:rsid w:val="00F176CD"/>
    <w:rsid w:val="00F17B44"/>
    <w:rsid w:val="00F2044E"/>
    <w:rsid w:val="00F2195B"/>
    <w:rsid w:val="00F239E1"/>
    <w:rsid w:val="00F24A83"/>
    <w:rsid w:val="00F26846"/>
    <w:rsid w:val="00F2710D"/>
    <w:rsid w:val="00F277A6"/>
    <w:rsid w:val="00F27AC3"/>
    <w:rsid w:val="00F30B9B"/>
    <w:rsid w:val="00F33858"/>
    <w:rsid w:val="00F33B0D"/>
    <w:rsid w:val="00F34066"/>
    <w:rsid w:val="00F35F7D"/>
    <w:rsid w:val="00F361A8"/>
    <w:rsid w:val="00F36341"/>
    <w:rsid w:val="00F36B64"/>
    <w:rsid w:val="00F37227"/>
    <w:rsid w:val="00F37380"/>
    <w:rsid w:val="00F374AA"/>
    <w:rsid w:val="00F37BAD"/>
    <w:rsid w:val="00F400CF"/>
    <w:rsid w:val="00F404A1"/>
    <w:rsid w:val="00F40C57"/>
    <w:rsid w:val="00F41054"/>
    <w:rsid w:val="00F4159B"/>
    <w:rsid w:val="00F418B7"/>
    <w:rsid w:val="00F41D28"/>
    <w:rsid w:val="00F44014"/>
    <w:rsid w:val="00F449E1"/>
    <w:rsid w:val="00F4605B"/>
    <w:rsid w:val="00F4735E"/>
    <w:rsid w:val="00F47371"/>
    <w:rsid w:val="00F473A0"/>
    <w:rsid w:val="00F5228C"/>
    <w:rsid w:val="00F5382C"/>
    <w:rsid w:val="00F56208"/>
    <w:rsid w:val="00F56797"/>
    <w:rsid w:val="00F5735B"/>
    <w:rsid w:val="00F5799D"/>
    <w:rsid w:val="00F6130B"/>
    <w:rsid w:val="00F61C91"/>
    <w:rsid w:val="00F64666"/>
    <w:rsid w:val="00F64964"/>
    <w:rsid w:val="00F64D01"/>
    <w:rsid w:val="00F65E2B"/>
    <w:rsid w:val="00F67043"/>
    <w:rsid w:val="00F67942"/>
    <w:rsid w:val="00F703C0"/>
    <w:rsid w:val="00F708D8"/>
    <w:rsid w:val="00F710D1"/>
    <w:rsid w:val="00F71626"/>
    <w:rsid w:val="00F718DA"/>
    <w:rsid w:val="00F72A69"/>
    <w:rsid w:val="00F72F2A"/>
    <w:rsid w:val="00F7354F"/>
    <w:rsid w:val="00F73626"/>
    <w:rsid w:val="00F74125"/>
    <w:rsid w:val="00F74244"/>
    <w:rsid w:val="00F742DD"/>
    <w:rsid w:val="00F745AD"/>
    <w:rsid w:val="00F74CE1"/>
    <w:rsid w:val="00F74E31"/>
    <w:rsid w:val="00F75A5B"/>
    <w:rsid w:val="00F77243"/>
    <w:rsid w:val="00F773AB"/>
    <w:rsid w:val="00F8070B"/>
    <w:rsid w:val="00F81067"/>
    <w:rsid w:val="00F81BCA"/>
    <w:rsid w:val="00F820AE"/>
    <w:rsid w:val="00F83950"/>
    <w:rsid w:val="00F83CCD"/>
    <w:rsid w:val="00F83DCA"/>
    <w:rsid w:val="00F85145"/>
    <w:rsid w:val="00F903A4"/>
    <w:rsid w:val="00F904F2"/>
    <w:rsid w:val="00F90BC5"/>
    <w:rsid w:val="00F91666"/>
    <w:rsid w:val="00F91BF5"/>
    <w:rsid w:val="00F92867"/>
    <w:rsid w:val="00F92DF8"/>
    <w:rsid w:val="00F92EF3"/>
    <w:rsid w:val="00F9377B"/>
    <w:rsid w:val="00F939FC"/>
    <w:rsid w:val="00F93CC8"/>
    <w:rsid w:val="00F94801"/>
    <w:rsid w:val="00F958D9"/>
    <w:rsid w:val="00F969E2"/>
    <w:rsid w:val="00FA016B"/>
    <w:rsid w:val="00FA2503"/>
    <w:rsid w:val="00FA3652"/>
    <w:rsid w:val="00FA3739"/>
    <w:rsid w:val="00FA40A5"/>
    <w:rsid w:val="00FA47E9"/>
    <w:rsid w:val="00FA6D37"/>
    <w:rsid w:val="00FA713F"/>
    <w:rsid w:val="00FA7C5D"/>
    <w:rsid w:val="00FA7DA9"/>
    <w:rsid w:val="00FA7FBF"/>
    <w:rsid w:val="00FB1633"/>
    <w:rsid w:val="00FB2BFD"/>
    <w:rsid w:val="00FB2E85"/>
    <w:rsid w:val="00FB3D79"/>
    <w:rsid w:val="00FB5034"/>
    <w:rsid w:val="00FB54EA"/>
    <w:rsid w:val="00FB7F7C"/>
    <w:rsid w:val="00FC0D1D"/>
    <w:rsid w:val="00FC1D04"/>
    <w:rsid w:val="00FC2B37"/>
    <w:rsid w:val="00FC2FB5"/>
    <w:rsid w:val="00FC2FD7"/>
    <w:rsid w:val="00FC3279"/>
    <w:rsid w:val="00FC40DA"/>
    <w:rsid w:val="00FC436A"/>
    <w:rsid w:val="00FC5B75"/>
    <w:rsid w:val="00FC7182"/>
    <w:rsid w:val="00FD1B80"/>
    <w:rsid w:val="00FD1D60"/>
    <w:rsid w:val="00FD2025"/>
    <w:rsid w:val="00FD51C7"/>
    <w:rsid w:val="00FD6317"/>
    <w:rsid w:val="00FD66B2"/>
    <w:rsid w:val="00FE0A81"/>
    <w:rsid w:val="00FE183A"/>
    <w:rsid w:val="00FE214C"/>
    <w:rsid w:val="00FE3329"/>
    <w:rsid w:val="00FE4190"/>
    <w:rsid w:val="00FE4B8D"/>
    <w:rsid w:val="00FE4D9F"/>
    <w:rsid w:val="00FE7112"/>
    <w:rsid w:val="00FE7747"/>
    <w:rsid w:val="00FE7FA4"/>
    <w:rsid w:val="00FF018C"/>
    <w:rsid w:val="00FF1389"/>
    <w:rsid w:val="00FF2F26"/>
    <w:rsid w:val="00FF4406"/>
    <w:rsid w:val="00FF48B8"/>
    <w:rsid w:val="00FF597D"/>
    <w:rsid w:val="00FF6897"/>
    <w:rsid w:val="00FF6AC2"/>
    <w:rsid w:val="00FF7829"/>
    <w:rsid w:val="083ABB65"/>
    <w:rsid w:val="0FD375AB"/>
    <w:rsid w:val="15FFAE6F"/>
    <w:rsid w:val="1A176372"/>
    <w:rsid w:val="37BDF1EC"/>
    <w:rsid w:val="38AEE9B8"/>
    <w:rsid w:val="3AF55A96"/>
    <w:rsid w:val="3BEFDB24"/>
    <w:rsid w:val="49706D3E"/>
    <w:rsid w:val="52793A0D"/>
    <w:rsid w:val="542C2E7B"/>
    <w:rsid w:val="570B125A"/>
    <w:rsid w:val="5D1A3BD0"/>
    <w:rsid w:val="64C51F67"/>
    <w:rsid w:val="6A6B7B75"/>
    <w:rsid w:val="6D932F54"/>
    <w:rsid w:val="716A4F13"/>
    <w:rsid w:val="7EEF893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01F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22222" w:themeColor="text1"/>
        <w:sz w:val="21"/>
        <w:szCs w:val="22"/>
        <w:lang w:val="en-AU" w:eastAsia="en-US" w:bidi="ar-SA"/>
      </w:rPr>
    </w:rPrDefault>
    <w:pPrDefault>
      <w:pPr>
        <w:spacing w:after="21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qFormat="1"/>
    <w:lsdException w:name="annotation text" w:semiHidden="1"/>
    <w:lsdException w:name="header" w:locked="0" w:uiPriority="44"/>
    <w:lsdException w:name="footer" w:locked="0" w:uiPriority="44"/>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17" w:qFormat="1"/>
    <w:lsdException w:name="List Number" w:locked="0" w:uiPriority="17" w:qFormat="1"/>
    <w:lsdException w:name="List 2" w:locked="0" w:semiHidden="1"/>
    <w:lsdException w:name="List 3" w:locked="0" w:semiHidden="1"/>
    <w:lsdException w:name="List 4" w:locked="0" w:semiHidden="1"/>
    <w:lsdException w:name="List 5" w:locked="0" w:semiHidden="1"/>
    <w:lsdException w:name="List Bullet 2" w:locked="0" w:uiPriority="17" w:qFormat="1"/>
    <w:lsdException w:name="List Bullet 3" w:locked="0" w:uiPriority="17" w:qFormat="1"/>
    <w:lsdException w:name="List Bullet 4" w:locked="0" w:uiPriority="17"/>
    <w:lsdException w:name="List Bullet 5" w:locked="0" w:uiPriority="17"/>
    <w:lsdException w:name="List Number 2" w:locked="0" w:uiPriority="17" w:qFormat="1"/>
    <w:lsdException w:name="List Number 3" w:locked="0" w:uiPriority="17"/>
    <w:lsdException w:name="List Number 4" w:locked="0" w:uiPriority="17"/>
    <w:lsdException w:name="List Number 5" w:locked="0" w:uiPriority="17"/>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uiPriority="17"/>
    <w:lsdException w:name="List Continue 2" w:locked="0" w:uiPriority="17"/>
    <w:lsdException w:name="List Continue 3" w:locked="0" w:uiPriority="17"/>
    <w:lsdException w:name="List Continue 4" w:locked="0" w:uiPriority="17"/>
    <w:lsdException w:name="List Continue 5" w:locked="0" w:uiPriority="17"/>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8"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D0339F"/>
  </w:style>
  <w:style w:type="paragraph" w:styleId="Heading1">
    <w:name w:val="heading 1"/>
    <w:basedOn w:val="Normal"/>
    <w:next w:val="Normal"/>
    <w:link w:val="Heading1Char"/>
    <w:uiPriority w:val="9"/>
    <w:qFormat/>
    <w:rsid w:val="00D0339F"/>
    <w:pPr>
      <w:keepNext/>
      <w:keepLines/>
      <w:pageBreakBefore/>
      <w:numPr>
        <w:numId w:val="3"/>
      </w:numPr>
      <w:pBdr>
        <w:top w:val="single" w:sz="8" w:space="10" w:color="CC6600" w:themeColor="accent1"/>
      </w:pBdr>
      <w:spacing w:after="360"/>
      <w:outlineLvl w:val="0"/>
    </w:pPr>
    <w:rPr>
      <w:rFonts w:asciiTheme="majorHAnsi" w:eastAsiaTheme="majorEastAsia" w:hAnsiTheme="majorHAnsi" w:cstheme="majorBidi"/>
      <w:caps/>
      <w:sz w:val="40"/>
      <w:szCs w:val="32"/>
    </w:rPr>
  </w:style>
  <w:style w:type="paragraph" w:styleId="Heading2">
    <w:name w:val="heading 2"/>
    <w:basedOn w:val="Normal"/>
    <w:next w:val="Normal"/>
    <w:link w:val="Heading2Char"/>
    <w:uiPriority w:val="9"/>
    <w:qFormat/>
    <w:rsid w:val="00D0339F"/>
    <w:pPr>
      <w:keepNext/>
      <w:keepLines/>
      <w:numPr>
        <w:ilvl w:val="1"/>
        <w:numId w:val="3"/>
      </w:numPr>
      <w:spacing w:before="240" w:after="120"/>
      <w:outlineLvl w:val="1"/>
    </w:pPr>
    <w:rPr>
      <w:rFonts w:asciiTheme="majorHAnsi" w:eastAsiaTheme="majorEastAsia" w:hAnsiTheme="majorHAnsi" w:cstheme="majorBidi"/>
      <w:color w:val="0D3E67" w:themeColor="accent3"/>
      <w:sz w:val="32"/>
      <w:szCs w:val="26"/>
    </w:rPr>
  </w:style>
  <w:style w:type="paragraph" w:styleId="Heading3">
    <w:name w:val="heading 3"/>
    <w:basedOn w:val="Normal"/>
    <w:next w:val="Normal"/>
    <w:link w:val="Heading3Char"/>
    <w:uiPriority w:val="9"/>
    <w:qFormat/>
    <w:rsid w:val="00D0339F"/>
    <w:pPr>
      <w:keepNext/>
      <w:keepLines/>
      <w:numPr>
        <w:ilvl w:val="2"/>
        <w:numId w:val="3"/>
      </w:numPr>
      <w:spacing w:before="240" w:after="120"/>
      <w:outlineLvl w:val="2"/>
    </w:pPr>
    <w:rPr>
      <w:rFonts w:asciiTheme="majorHAnsi" w:eastAsiaTheme="majorEastAsia" w:hAnsiTheme="majorHAnsi" w:cstheme="majorBidi"/>
      <w:sz w:val="28"/>
      <w:szCs w:val="24"/>
    </w:rPr>
  </w:style>
  <w:style w:type="paragraph" w:styleId="Heading4">
    <w:name w:val="heading 4"/>
    <w:basedOn w:val="Normal"/>
    <w:next w:val="Normal"/>
    <w:link w:val="Heading4Char"/>
    <w:uiPriority w:val="9"/>
    <w:qFormat/>
    <w:rsid w:val="00D0339F"/>
    <w:pPr>
      <w:keepNext/>
      <w:keepLines/>
      <w:numPr>
        <w:ilvl w:val="3"/>
        <w:numId w:val="3"/>
      </w:numPr>
      <w:spacing w:before="240"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D0339F"/>
    <w:pPr>
      <w:keepNext/>
      <w:keepLines/>
      <w:spacing w:before="240" w:after="60" w:line="240" w:lineRule="auto"/>
      <w:outlineLvl w:val="4"/>
    </w:pPr>
    <w:rPr>
      <w:rFonts w:asciiTheme="majorHAnsi" w:eastAsiaTheme="majorEastAsia" w:hAnsiTheme="majorHAnsi" w:cstheme="majorBidi"/>
      <w:color w:val="CC6600" w:themeColor="accent1"/>
    </w:rPr>
  </w:style>
  <w:style w:type="paragraph" w:styleId="Heading6">
    <w:name w:val="heading 6"/>
    <w:basedOn w:val="Normal"/>
    <w:next w:val="Normal"/>
    <w:link w:val="Heading6Char"/>
    <w:uiPriority w:val="9"/>
    <w:semiHidden/>
    <w:qFormat/>
    <w:rsid w:val="00D0339F"/>
    <w:pPr>
      <w:keepNext/>
      <w:keepLines/>
      <w:spacing w:before="240" w:after="60" w:line="240" w:lineRule="auto"/>
      <w:outlineLvl w:val="5"/>
    </w:pPr>
    <w:rPr>
      <w:rFonts w:asciiTheme="majorHAnsi" w:eastAsiaTheme="majorEastAsia" w:hAnsiTheme="majorHAnsi" w:cstheme="majorBidi"/>
      <w:color w:val="CC6600" w:themeColor="accent1"/>
    </w:rPr>
  </w:style>
  <w:style w:type="paragraph" w:styleId="Heading7">
    <w:name w:val="heading 7"/>
    <w:basedOn w:val="Normal"/>
    <w:next w:val="Normal"/>
    <w:link w:val="Heading7Char"/>
    <w:uiPriority w:val="9"/>
    <w:semiHidden/>
    <w:qFormat/>
    <w:rsid w:val="00D0339F"/>
    <w:pPr>
      <w:keepNext/>
      <w:keepLines/>
      <w:spacing w:before="240" w:after="60" w:line="240" w:lineRule="auto"/>
      <w:outlineLvl w:val="6"/>
    </w:pPr>
    <w:rPr>
      <w:rFonts w:asciiTheme="majorHAnsi" w:eastAsiaTheme="majorEastAsia" w:hAnsiTheme="majorHAnsi" w:cstheme="majorBidi"/>
      <w:i/>
      <w:iCs/>
      <w:color w:val="CC6600" w:themeColor="accent1"/>
    </w:rPr>
  </w:style>
  <w:style w:type="paragraph" w:styleId="Heading8">
    <w:name w:val="heading 8"/>
    <w:basedOn w:val="Normal"/>
    <w:next w:val="Normal"/>
    <w:link w:val="Heading8Char"/>
    <w:uiPriority w:val="12"/>
    <w:qFormat/>
    <w:rsid w:val="00D0339F"/>
    <w:pPr>
      <w:keepNext/>
      <w:keepLines/>
      <w:pageBreakBefore/>
      <w:numPr>
        <w:numId w:val="10"/>
      </w:numPr>
      <w:pBdr>
        <w:top w:val="single" w:sz="8" w:space="10" w:color="EAE7E3" w:themeColor="background2"/>
      </w:pBdr>
      <w:spacing w:before="240" w:after="120"/>
      <w:outlineLvl w:val="7"/>
    </w:pPr>
    <w:rPr>
      <w:rFonts w:asciiTheme="majorHAnsi" w:eastAsiaTheme="majorEastAsia" w:hAnsiTheme="majorHAnsi" w:cstheme="majorBidi"/>
      <w:caps/>
      <w:sz w:val="40"/>
      <w:szCs w:val="21"/>
    </w:rPr>
  </w:style>
  <w:style w:type="paragraph" w:styleId="Heading9">
    <w:name w:val="heading 9"/>
    <w:basedOn w:val="Normal"/>
    <w:next w:val="Normal"/>
    <w:link w:val="Heading9Char"/>
    <w:uiPriority w:val="12"/>
    <w:qFormat/>
    <w:rsid w:val="00D0339F"/>
    <w:pPr>
      <w:keepNext/>
      <w:keepLines/>
      <w:numPr>
        <w:ilvl w:val="1"/>
        <w:numId w:val="10"/>
      </w:numPr>
      <w:spacing w:before="240" w:line="240" w:lineRule="auto"/>
      <w:outlineLvl w:val="8"/>
    </w:pPr>
    <w:rPr>
      <w:rFonts w:asciiTheme="majorHAnsi" w:eastAsiaTheme="majorEastAsia" w:hAnsiTheme="majorHAnsi" w:cstheme="majorBidi"/>
      <w:iCs/>
      <w:color w:val="0D3E67" w:themeColor="accent3"/>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339F"/>
    <w:pPr>
      <w:spacing w:after="0"/>
    </w:pPr>
  </w:style>
  <w:style w:type="character" w:customStyle="1" w:styleId="Heading1Char">
    <w:name w:val="Heading 1 Char"/>
    <w:basedOn w:val="DefaultParagraphFont"/>
    <w:link w:val="Heading1"/>
    <w:uiPriority w:val="9"/>
    <w:rsid w:val="00D0339F"/>
    <w:rPr>
      <w:rFonts w:asciiTheme="majorHAnsi" w:eastAsiaTheme="majorEastAsia" w:hAnsiTheme="majorHAnsi" w:cstheme="majorBidi"/>
      <w:caps/>
      <w:sz w:val="40"/>
      <w:szCs w:val="32"/>
    </w:rPr>
  </w:style>
  <w:style w:type="character" w:customStyle="1" w:styleId="Heading2Char">
    <w:name w:val="Heading 2 Char"/>
    <w:basedOn w:val="DefaultParagraphFont"/>
    <w:link w:val="Heading2"/>
    <w:uiPriority w:val="9"/>
    <w:rsid w:val="00D0339F"/>
    <w:rPr>
      <w:rFonts w:asciiTheme="majorHAnsi" w:eastAsiaTheme="majorEastAsia" w:hAnsiTheme="majorHAnsi" w:cstheme="majorBidi"/>
      <w:color w:val="0D3E67" w:themeColor="accent3"/>
      <w:sz w:val="32"/>
      <w:szCs w:val="26"/>
    </w:rPr>
  </w:style>
  <w:style w:type="character" w:customStyle="1" w:styleId="Heading3Char">
    <w:name w:val="Heading 3 Char"/>
    <w:basedOn w:val="DefaultParagraphFont"/>
    <w:link w:val="Heading3"/>
    <w:uiPriority w:val="9"/>
    <w:rsid w:val="00D0339F"/>
    <w:rPr>
      <w:rFonts w:asciiTheme="majorHAnsi" w:eastAsiaTheme="majorEastAsia" w:hAnsiTheme="majorHAnsi" w:cstheme="majorBidi"/>
      <w:sz w:val="28"/>
      <w:szCs w:val="24"/>
    </w:rPr>
  </w:style>
  <w:style w:type="character" w:customStyle="1" w:styleId="Heading4Char">
    <w:name w:val="Heading 4 Char"/>
    <w:basedOn w:val="DefaultParagraphFont"/>
    <w:link w:val="Heading4"/>
    <w:uiPriority w:val="9"/>
    <w:rsid w:val="00D0339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D0339F"/>
    <w:rPr>
      <w:rFonts w:asciiTheme="majorHAnsi" w:eastAsiaTheme="majorEastAsia" w:hAnsiTheme="majorHAnsi" w:cstheme="majorBidi"/>
      <w:color w:val="CC6600" w:themeColor="accent1"/>
    </w:rPr>
  </w:style>
  <w:style w:type="character" w:customStyle="1" w:styleId="Heading6Char">
    <w:name w:val="Heading 6 Char"/>
    <w:basedOn w:val="DefaultParagraphFont"/>
    <w:link w:val="Heading6"/>
    <w:uiPriority w:val="9"/>
    <w:semiHidden/>
    <w:rsid w:val="00D0339F"/>
    <w:rPr>
      <w:rFonts w:asciiTheme="majorHAnsi" w:eastAsiaTheme="majorEastAsia" w:hAnsiTheme="majorHAnsi" w:cstheme="majorBidi"/>
      <w:color w:val="CC6600" w:themeColor="accent1"/>
    </w:rPr>
  </w:style>
  <w:style w:type="character" w:customStyle="1" w:styleId="Heading7Char">
    <w:name w:val="Heading 7 Char"/>
    <w:basedOn w:val="DefaultParagraphFont"/>
    <w:link w:val="Heading7"/>
    <w:uiPriority w:val="9"/>
    <w:semiHidden/>
    <w:rsid w:val="00D0339F"/>
    <w:rPr>
      <w:rFonts w:asciiTheme="majorHAnsi" w:eastAsiaTheme="majorEastAsia" w:hAnsiTheme="majorHAnsi" w:cstheme="majorBidi"/>
      <w:i/>
      <w:iCs/>
      <w:color w:val="CC6600" w:themeColor="accent1"/>
    </w:rPr>
  </w:style>
  <w:style w:type="character" w:customStyle="1" w:styleId="Heading8Char">
    <w:name w:val="Heading 8 Char"/>
    <w:basedOn w:val="DefaultParagraphFont"/>
    <w:link w:val="Heading8"/>
    <w:uiPriority w:val="12"/>
    <w:rsid w:val="00D0339F"/>
    <w:rPr>
      <w:rFonts w:asciiTheme="majorHAnsi" w:eastAsiaTheme="majorEastAsia" w:hAnsiTheme="majorHAnsi" w:cstheme="majorBidi"/>
      <w:caps/>
      <w:sz w:val="40"/>
      <w:szCs w:val="21"/>
    </w:rPr>
  </w:style>
  <w:style w:type="character" w:customStyle="1" w:styleId="Heading9Char">
    <w:name w:val="Heading 9 Char"/>
    <w:basedOn w:val="DefaultParagraphFont"/>
    <w:link w:val="Heading9"/>
    <w:uiPriority w:val="12"/>
    <w:rsid w:val="00D0339F"/>
    <w:rPr>
      <w:rFonts w:asciiTheme="majorHAnsi" w:eastAsiaTheme="majorEastAsia" w:hAnsiTheme="majorHAnsi" w:cstheme="majorBidi"/>
      <w:iCs/>
      <w:color w:val="0D3E67" w:themeColor="accent3"/>
      <w:sz w:val="28"/>
      <w:szCs w:val="21"/>
    </w:rPr>
  </w:style>
  <w:style w:type="paragraph" w:styleId="ListBullet">
    <w:name w:val="List Bullet"/>
    <w:basedOn w:val="Normal"/>
    <w:uiPriority w:val="17"/>
    <w:qFormat/>
    <w:rsid w:val="00D0339F"/>
    <w:pPr>
      <w:numPr>
        <w:numId w:val="77"/>
      </w:numPr>
      <w:spacing w:after="120"/>
      <w:contextualSpacing/>
    </w:pPr>
  </w:style>
  <w:style w:type="numbering" w:customStyle="1" w:styleId="BulletList">
    <w:name w:val="Bullet List"/>
    <w:uiPriority w:val="99"/>
    <w:rsid w:val="00D0339F"/>
    <w:pPr>
      <w:numPr>
        <w:numId w:val="2"/>
      </w:numPr>
    </w:pPr>
  </w:style>
  <w:style w:type="paragraph" w:styleId="ListParagraph">
    <w:name w:val="List Paragraph"/>
    <w:basedOn w:val="Normal"/>
    <w:link w:val="ListParagraphChar"/>
    <w:uiPriority w:val="18"/>
    <w:qFormat/>
    <w:rsid w:val="00D0339F"/>
    <w:pPr>
      <w:spacing w:after="120"/>
      <w:ind w:left="357"/>
      <w:contextualSpacing/>
    </w:pPr>
  </w:style>
  <w:style w:type="paragraph" w:styleId="ListBullet2">
    <w:name w:val="List Bullet 2"/>
    <w:basedOn w:val="Normal"/>
    <w:uiPriority w:val="17"/>
    <w:qFormat/>
    <w:rsid w:val="00D0339F"/>
    <w:pPr>
      <w:numPr>
        <w:ilvl w:val="1"/>
        <w:numId w:val="77"/>
      </w:numPr>
      <w:spacing w:after="120"/>
      <w:contextualSpacing/>
    </w:pPr>
  </w:style>
  <w:style w:type="paragraph" w:styleId="ListBullet4">
    <w:name w:val="List Bullet 4"/>
    <w:basedOn w:val="Normal"/>
    <w:uiPriority w:val="17"/>
    <w:semiHidden/>
    <w:rsid w:val="00D0339F"/>
    <w:pPr>
      <w:spacing w:after="120"/>
      <w:contextualSpacing/>
    </w:pPr>
  </w:style>
  <w:style w:type="paragraph" w:styleId="FootnoteText">
    <w:name w:val="footnote text"/>
    <w:basedOn w:val="Normal"/>
    <w:link w:val="FootnoteTextChar"/>
    <w:uiPriority w:val="99"/>
    <w:rsid w:val="00D0339F"/>
    <w:pPr>
      <w:tabs>
        <w:tab w:val="left" w:pos="357"/>
      </w:tabs>
      <w:spacing w:after="0" w:line="240" w:lineRule="auto"/>
      <w:ind w:left="357" w:hanging="357"/>
    </w:pPr>
    <w:rPr>
      <w:sz w:val="18"/>
      <w:szCs w:val="20"/>
    </w:rPr>
  </w:style>
  <w:style w:type="paragraph" w:styleId="ListBullet5">
    <w:name w:val="List Bullet 5"/>
    <w:basedOn w:val="Normal"/>
    <w:uiPriority w:val="17"/>
    <w:semiHidden/>
    <w:rsid w:val="00D0339F"/>
    <w:pPr>
      <w:spacing w:after="120"/>
      <w:contextualSpacing/>
    </w:pPr>
  </w:style>
  <w:style w:type="numbering" w:styleId="111111">
    <w:name w:val="Outline List 2"/>
    <w:basedOn w:val="NoList"/>
    <w:uiPriority w:val="99"/>
    <w:semiHidden/>
    <w:unhideWhenUsed/>
    <w:rsid w:val="00D0339F"/>
    <w:pPr>
      <w:numPr>
        <w:numId w:val="3"/>
      </w:numPr>
    </w:pPr>
  </w:style>
  <w:style w:type="numbering" w:styleId="1ai">
    <w:name w:val="Outline List 1"/>
    <w:basedOn w:val="NoList"/>
    <w:uiPriority w:val="99"/>
    <w:semiHidden/>
    <w:unhideWhenUsed/>
    <w:rsid w:val="00D0339F"/>
    <w:pPr>
      <w:numPr>
        <w:numId w:val="4"/>
      </w:numPr>
    </w:pPr>
  </w:style>
  <w:style w:type="paragraph" w:styleId="ListNumber">
    <w:name w:val="List Number"/>
    <w:basedOn w:val="Normal"/>
    <w:uiPriority w:val="17"/>
    <w:qFormat/>
    <w:rsid w:val="00D0339F"/>
    <w:pPr>
      <w:numPr>
        <w:numId w:val="8"/>
      </w:numPr>
      <w:spacing w:after="120"/>
    </w:pPr>
  </w:style>
  <w:style w:type="paragraph" w:styleId="ListNumber2">
    <w:name w:val="List Number 2"/>
    <w:basedOn w:val="Normal"/>
    <w:uiPriority w:val="17"/>
    <w:qFormat/>
    <w:rsid w:val="00D0339F"/>
    <w:pPr>
      <w:numPr>
        <w:ilvl w:val="1"/>
        <w:numId w:val="8"/>
      </w:numPr>
      <w:spacing w:after="120"/>
      <w:contextualSpacing/>
    </w:pPr>
  </w:style>
  <w:style w:type="paragraph" w:styleId="ListNumber3">
    <w:name w:val="List Number 3"/>
    <w:basedOn w:val="Normal"/>
    <w:uiPriority w:val="17"/>
    <w:semiHidden/>
    <w:rsid w:val="00D0339F"/>
    <w:pPr>
      <w:spacing w:after="120"/>
      <w:contextualSpacing/>
    </w:pPr>
  </w:style>
  <w:style w:type="paragraph" w:styleId="ListNumber4">
    <w:name w:val="List Number 4"/>
    <w:basedOn w:val="Normal"/>
    <w:uiPriority w:val="17"/>
    <w:semiHidden/>
    <w:rsid w:val="00D0339F"/>
    <w:pPr>
      <w:spacing w:after="120"/>
      <w:contextualSpacing/>
    </w:pPr>
  </w:style>
  <w:style w:type="paragraph" w:styleId="ListNumber5">
    <w:name w:val="List Number 5"/>
    <w:basedOn w:val="Normal"/>
    <w:uiPriority w:val="17"/>
    <w:semiHidden/>
    <w:rsid w:val="00D0339F"/>
    <w:pPr>
      <w:spacing w:after="120"/>
      <w:contextualSpacing/>
    </w:pPr>
  </w:style>
  <w:style w:type="character" w:customStyle="1" w:styleId="FootnoteTextChar">
    <w:name w:val="Footnote Text Char"/>
    <w:basedOn w:val="DefaultParagraphFont"/>
    <w:link w:val="FootnoteText"/>
    <w:uiPriority w:val="99"/>
    <w:rsid w:val="00D0339F"/>
    <w:rPr>
      <w:sz w:val="18"/>
      <w:szCs w:val="20"/>
    </w:rPr>
  </w:style>
  <w:style w:type="character" w:styleId="FootnoteReference">
    <w:name w:val="footnote reference"/>
    <w:basedOn w:val="DefaultParagraphFont"/>
    <w:uiPriority w:val="99"/>
    <w:semiHidden/>
    <w:rsid w:val="00D0339F"/>
    <w:rPr>
      <w:vertAlign w:val="superscript"/>
    </w:rPr>
  </w:style>
  <w:style w:type="paragraph" w:styleId="Caption">
    <w:name w:val="caption"/>
    <w:basedOn w:val="Normal"/>
    <w:next w:val="Normal"/>
    <w:uiPriority w:val="21"/>
    <w:qFormat/>
    <w:rsid w:val="00D0339F"/>
    <w:pPr>
      <w:spacing w:before="240" w:after="60" w:line="240" w:lineRule="auto"/>
    </w:pPr>
    <w:rPr>
      <w:b/>
      <w:iCs/>
      <w:sz w:val="18"/>
      <w:szCs w:val="18"/>
    </w:rPr>
  </w:style>
  <w:style w:type="paragraph" w:styleId="NoteHeading">
    <w:name w:val="Note Heading"/>
    <w:basedOn w:val="Normal"/>
    <w:next w:val="Normal"/>
    <w:link w:val="NoteHeadingChar"/>
    <w:uiPriority w:val="20"/>
    <w:semiHidden/>
    <w:rsid w:val="00D0339F"/>
    <w:pPr>
      <w:spacing w:before="60" w:after="240" w:line="240" w:lineRule="auto"/>
    </w:pPr>
    <w:rPr>
      <w:sz w:val="18"/>
    </w:rPr>
  </w:style>
  <w:style w:type="character" w:customStyle="1" w:styleId="NoteHeadingChar">
    <w:name w:val="Note Heading Char"/>
    <w:basedOn w:val="DefaultParagraphFont"/>
    <w:link w:val="NoteHeading"/>
    <w:uiPriority w:val="20"/>
    <w:semiHidden/>
    <w:rsid w:val="00D0339F"/>
    <w:rPr>
      <w:sz w:val="18"/>
    </w:rPr>
  </w:style>
  <w:style w:type="paragraph" w:styleId="IntenseQuote">
    <w:name w:val="Intense Quote"/>
    <w:basedOn w:val="Normal"/>
    <w:next w:val="Normal"/>
    <w:link w:val="IntenseQuoteChar"/>
    <w:uiPriority w:val="30"/>
    <w:semiHidden/>
    <w:rsid w:val="00D0339F"/>
    <w:pPr>
      <w:spacing w:before="240" w:after="240"/>
    </w:pPr>
    <w:rPr>
      <w:b/>
      <w:iCs/>
      <w:color w:val="CC6600" w:themeColor="accent1"/>
      <w:sz w:val="26"/>
    </w:rPr>
  </w:style>
  <w:style w:type="character" w:customStyle="1" w:styleId="IntenseQuoteChar">
    <w:name w:val="Intense Quote Char"/>
    <w:basedOn w:val="DefaultParagraphFont"/>
    <w:link w:val="IntenseQuote"/>
    <w:uiPriority w:val="30"/>
    <w:semiHidden/>
    <w:rsid w:val="00D0339F"/>
    <w:rPr>
      <w:b/>
      <w:iCs/>
      <w:color w:val="CC6600" w:themeColor="accent1"/>
      <w:sz w:val="26"/>
    </w:rPr>
  </w:style>
  <w:style w:type="paragraph" w:styleId="Salutation">
    <w:name w:val="Salutation"/>
    <w:basedOn w:val="Normal"/>
    <w:next w:val="Normal"/>
    <w:link w:val="SalutationChar"/>
    <w:uiPriority w:val="34"/>
    <w:semiHidden/>
    <w:rsid w:val="00D0339F"/>
    <w:pPr>
      <w:spacing w:before="700"/>
    </w:pPr>
  </w:style>
  <w:style w:type="character" w:customStyle="1" w:styleId="SalutationChar">
    <w:name w:val="Salutation Char"/>
    <w:basedOn w:val="DefaultParagraphFont"/>
    <w:link w:val="Salutation"/>
    <w:uiPriority w:val="34"/>
    <w:semiHidden/>
    <w:rsid w:val="00D0339F"/>
  </w:style>
  <w:style w:type="paragraph" w:styleId="Signature">
    <w:name w:val="Signature"/>
    <w:basedOn w:val="Normal"/>
    <w:link w:val="SignatureChar"/>
    <w:uiPriority w:val="34"/>
    <w:semiHidden/>
    <w:rsid w:val="00D0339F"/>
    <w:pPr>
      <w:contextualSpacing/>
    </w:pPr>
  </w:style>
  <w:style w:type="character" w:customStyle="1" w:styleId="SignatureChar">
    <w:name w:val="Signature Char"/>
    <w:basedOn w:val="DefaultParagraphFont"/>
    <w:link w:val="Signature"/>
    <w:uiPriority w:val="34"/>
    <w:semiHidden/>
    <w:rsid w:val="00D0339F"/>
  </w:style>
  <w:style w:type="paragraph" w:styleId="Date">
    <w:name w:val="Date"/>
    <w:basedOn w:val="Title"/>
    <w:next w:val="Normal"/>
    <w:link w:val="DateChar"/>
    <w:uiPriority w:val="34"/>
    <w:rsid w:val="00D0339F"/>
    <w:pPr>
      <w:spacing w:after="210" w:line="276" w:lineRule="auto"/>
    </w:pPr>
    <w:rPr>
      <w:rFonts w:asciiTheme="minorHAnsi" w:hAnsiTheme="minorHAnsi"/>
      <w:caps w:val="0"/>
      <w:color w:val="222222" w:themeColor="text1"/>
      <w:sz w:val="28"/>
    </w:rPr>
  </w:style>
  <w:style w:type="character" w:customStyle="1" w:styleId="DateChar">
    <w:name w:val="Date Char"/>
    <w:basedOn w:val="DefaultParagraphFont"/>
    <w:link w:val="Date"/>
    <w:uiPriority w:val="34"/>
    <w:rsid w:val="00D0339F"/>
    <w:rPr>
      <w:rFonts w:eastAsiaTheme="majorEastAsia" w:cstheme="majorBidi"/>
      <w:kern w:val="28"/>
      <w:sz w:val="28"/>
      <w:szCs w:val="56"/>
      <w:shd w:val="clear" w:color="auto" w:fill="FFFFFF" w:themeFill="background1"/>
    </w:rPr>
  </w:style>
  <w:style w:type="paragraph" w:styleId="EnvelopeAddress">
    <w:name w:val="envelope address"/>
    <w:basedOn w:val="Normal"/>
    <w:uiPriority w:val="34"/>
    <w:semiHidden/>
    <w:rsid w:val="00D0339F"/>
    <w:pPr>
      <w:spacing w:after="0" w:line="240" w:lineRule="auto"/>
      <w:contextualSpacing/>
    </w:pPr>
    <w:rPr>
      <w:rFonts w:eastAsiaTheme="majorEastAsia" w:cstheme="majorBidi"/>
      <w:szCs w:val="24"/>
    </w:rPr>
  </w:style>
  <w:style w:type="paragraph" w:styleId="Title">
    <w:name w:val="Title"/>
    <w:basedOn w:val="Normal"/>
    <w:next w:val="Normal"/>
    <w:link w:val="TitleChar"/>
    <w:uiPriority w:val="38"/>
    <w:rsid w:val="00D0339F"/>
    <w:pPr>
      <w:pBdr>
        <w:top w:val="single" w:sz="2" w:space="20" w:color="FFFFFF" w:themeColor="background1"/>
        <w:left w:val="single" w:sz="2" w:space="20" w:color="FFFFFF" w:themeColor="background1"/>
        <w:bottom w:val="single" w:sz="2" w:space="20" w:color="FFFFFF" w:themeColor="background1"/>
        <w:right w:val="single" w:sz="2" w:space="20" w:color="FFFFFF" w:themeColor="background1"/>
      </w:pBdr>
      <w:shd w:val="clear" w:color="auto" w:fill="FFFFFF" w:themeFill="background1"/>
      <w:spacing w:after="240" w:line="240" w:lineRule="auto"/>
      <w:ind w:left="709" w:right="4077"/>
      <w:contextualSpacing/>
    </w:pPr>
    <w:rPr>
      <w:rFonts w:asciiTheme="majorHAnsi" w:eastAsiaTheme="majorEastAsia" w:hAnsiTheme="majorHAnsi" w:cstheme="majorBidi"/>
      <w:caps/>
      <w:color w:val="0D8577" w:themeColor="accent5"/>
      <w:kern w:val="28"/>
      <w:sz w:val="52"/>
      <w:szCs w:val="56"/>
    </w:rPr>
  </w:style>
  <w:style w:type="character" w:customStyle="1" w:styleId="TitleChar">
    <w:name w:val="Title Char"/>
    <w:basedOn w:val="DefaultParagraphFont"/>
    <w:link w:val="Title"/>
    <w:uiPriority w:val="38"/>
    <w:rsid w:val="00D0339F"/>
    <w:rPr>
      <w:rFonts w:asciiTheme="majorHAnsi" w:eastAsiaTheme="majorEastAsia" w:hAnsiTheme="majorHAnsi" w:cstheme="majorBidi"/>
      <w:caps/>
      <w:color w:val="0D8577" w:themeColor="accent5"/>
      <w:kern w:val="28"/>
      <w:sz w:val="52"/>
      <w:szCs w:val="56"/>
      <w:shd w:val="clear" w:color="auto" w:fill="FFFFFF" w:themeFill="background1"/>
    </w:rPr>
  </w:style>
  <w:style w:type="paragraph" w:customStyle="1" w:styleId="CoverSubtitle">
    <w:name w:val="Cover Subtitle"/>
    <w:basedOn w:val="Title"/>
    <w:next w:val="Normal"/>
    <w:uiPriority w:val="36"/>
    <w:rsid w:val="00D0339F"/>
    <w:pPr>
      <w:spacing w:after="160" w:line="276" w:lineRule="auto"/>
    </w:pPr>
    <w:rPr>
      <w:caps w:val="0"/>
      <w:color w:val="222222" w:themeColor="text1"/>
      <w:sz w:val="36"/>
    </w:rPr>
  </w:style>
  <w:style w:type="paragraph" w:styleId="Subtitle">
    <w:name w:val="Subtitle"/>
    <w:basedOn w:val="Title"/>
    <w:next w:val="Normal"/>
    <w:link w:val="SubtitleChar"/>
    <w:uiPriority w:val="38"/>
    <w:semiHidden/>
    <w:qFormat/>
    <w:rsid w:val="00D0339F"/>
    <w:pPr>
      <w:numPr>
        <w:ilvl w:val="1"/>
      </w:numPr>
      <w:ind w:left="709"/>
    </w:pPr>
    <w:rPr>
      <w:rFonts w:asciiTheme="minorHAnsi" w:eastAsiaTheme="minorEastAsia" w:hAnsiTheme="minorHAnsi"/>
      <w:b/>
      <w:color w:val="CC6600" w:themeColor="accent1"/>
      <w:kern w:val="0"/>
      <w:sz w:val="22"/>
      <w:szCs w:val="22"/>
    </w:rPr>
  </w:style>
  <w:style w:type="character" w:customStyle="1" w:styleId="SubtitleChar">
    <w:name w:val="Subtitle Char"/>
    <w:basedOn w:val="DefaultParagraphFont"/>
    <w:link w:val="Subtitle"/>
    <w:uiPriority w:val="38"/>
    <w:semiHidden/>
    <w:rsid w:val="00D0339F"/>
    <w:rPr>
      <w:rFonts w:eastAsiaTheme="minorEastAsia" w:cstheme="majorBidi"/>
      <w:b/>
      <w:caps/>
      <w:color w:val="CC6600" w:themeColor="accent1"/>
      <w:sz w:val="22"/>
      <w:shd w:val="clear" w:color="auto" w:fill="FFFFFF" w:themeFill="background1"/>
    </w:rPr>
  </w:style>
  <w:style w:type="table" w:styleId="TableGrid">
    <w:name w:val="Table Grid"/>
    <w:basedOn w:val="TableNormal"/>
    <w:uiPriority w:val="59"/>
    <w:rsid w:val="00D0339F"/>
    <w:pPr>
      <w:spacing w:before="60" w:after="60" w:line="240" w:lineRule="auto"/>
    </w:pPr>
    <w:rPr>
      <w:sz w:val="20"/>
    </w:rPr>
    <w:tblPr>
      <w:tblStyleRowBandSize w:val="1"/>
      <w:tblStyleColBandSize w:val="1"/>
      <w:tblBorders>
        <w:top w:val="single" w:sz="4" w:space="0" w:color="CBC3BB" w:themeColor="text2"/>
        <w:bottom w:val="single" w:sz="4" w:space="0" w:color="CBC3BB" w:themeColor="text2"/>
        <w:insideH w:val="single" w:sz="4" w:space="0" w:color="CBC3BB" w:themeColor="text2"/>
        <w:insideV w:val="single" w:sz="4" w:space="0" w:color="CBC3BB" w:themeColor="text2"/>
      </w:tblBorders>
    </w:tblPr>
    <w:tcPr>
      <w:shd w:val="clear" w:color="auto" w:fill="FFFFFF" w:themeFill="background1"/>
    </w:tcPr>
    <w:tblStylePr w:type="firstRow">
      <w:rPr>
        <w:b/>
        <w:color w:val="FFFFFF" w:themeColor="background1"/>
        <w:sz w:val="21"/>
      </w:rPr>
      <w:tblPr/>
      <w:tcPr>
        <w:tcBorders>
          <w:top w:val="nil"/>
          <w:left w:val="nil"/>
          <w:bottom w:val="nil"/>
          <w:right w:val="nil"/>
          <w:insideH w:val="nil"/>
          <w:insideV w:val="single" w:sz="4" w:space="0" w:color="CBC3BB" w:themeColor="text2"/>
          <w:tl2br w:val="nil"/>
          <w:tr2bl w:val="nil"/>
        </w:tcBorders>
        <w:shd w:val="clear" w:color="auto" w:fill="0D3E67" w:themeFill="accent3"/>
      </w:tcPr>
    </w:tblStylePr>
    <w:tblStylePr w:type="lastRow">
      <w:rPr>
        <w:b w:val="0"/>
      </w:rPr>
    </w:tblStylePr>
    <w:tblStylePr w:type="firstCol">
      <w:rPr>
        <w:b/>
        <w:color w:val="0D3E67" w:themeColor="accent3"/>
      </w:rPr>
      <w:tblPr/>
      <w:tcPr>
        <w:shd w:val="clear" w:color="auto" w:fill="FFFFFF" w:themeFill="background1"/>
      </w:tcPr>
    </w:tblStylePr>
    <w:tblStylePr w:type="lastCol">
      <w:pPr>
        <w:jc w:val="left"/>
      </w:pPr>
    </w:tblStylePr>
  </w:style>
  <w:style w:type="character" w:styleId="PlaceholderText">
    <w:name w:val="Placeholder Text"/>
    <w:basedOn w:val="DefaultParagraphFont"/>
    <w:uiPriority w:val="99"/>
    <w:rsid w:val="00D0339F"/>
    <w:rPr>
      <w:color w:val="0D8577" w:themeColor="accent5"/>
    </w:rPr>
  </w:style>
  <w:style w:type="table" w:customStyle="1" w:styleId="TableHidden">
    <w:name w:val="Table Hidden"/>
    <w:basedOn w:val="TableNormal"/>
    <w:uiPriority w:val="99"/>
    <w:rsid w:val="00D0339F"/>
    <w:tblPr>
      <w:tblCellMar>
        <w:left w:w="0" w:type="dxa"/>
        <w:right w:w="0" w:type="dxa"/>
      </w:tblCellMar>
    </w:tblPr>
  </w:style>
  <w:style w:type="numbering" w:customStyle="1" w:styleId="AppendixList">
    <w:name w:val="Appendix List"/>
    <w:uiPriority w:val="99"/>
    <w:rsid w:val="00D0339F"/>
    <w:pPr>
      <w:numPr>
        <w:numId w:val="178"/>
      </w:numPr>
    </w:pPr>
  </w:style>
  <w:style w:type="paragraph" w:styleId="Quote">
    <w:name w:val="Quote"/>
    <w:basedOn w:val="Normal"/>
    <w:next w:val="Normal"/>
    <w:link w:val="QuoteChar"/>
    <w:uiPriority w:val="20"/>
    <w:qFormat/>
    <w:rsid w:val="00D0339F"/>
    <w:pPr>
      <w:pBdr>
        <w:top w:val="single" w:sz="4" w:space="5" w:color="CBC3BB" w:themeColor="text2"/>
        <w:bottom w:val="single" w:sz="4" w:space="5" w:color="CBC3BB" w:themeColor="text2"/>
      </w:pBdr>
      <w:spacing w:before="240"/>
      <w:ind w:left="567"/>
    </w:pPr>
    <w:rPr>
      <w:i/>
      <w:iCs/>
    </w:rPr>
  </w:style>
  <w:style w:type="character" w:customStyle="1" w:styleId="QuoteChar">
    <w:name w:val="Quote Char"/>
    <w:basedOn w:val="DefaultParagraphFont"/>
    <w:link w:val="Quote"/>
    <w:uiPriority w:val="20"/>
    <w:rsid w:val="00D0339F"/>
    <w:rPr>
      <w:i/>
      <w:iCs/>
    </w:rPr>
  </w:style>
  <w:style w:type="table" w:customStyle="1" w:styleId="TableGridwithOptions">
    <w:name w:val="Table Grid with Options"/>
    <w:basedOn w:val="TableGrid"/>
    <w:uiPriority w:val="99"/>
    <w:rsid w:val="00D0339F"/>
    <w:tblPr/>
    <w:tcPr>
      <w:shd w:val="clear" w:color="auto" w:fill="FFFFFF" w:themeFill="background1"/>
    </w:tcPr>
    <w:tblStylePr w:type="firstRow">
      <w:rPr>
        <w:b/>
        <w:color w:val="FFFFFF" w:themeColor="background1"/>
        <w:sz w:val="21"/>
      </w:rPr>
      <w:tblPr/>
      <w:tcPr>
        <w:tcBorders>
          <w:top w:val="nil"/>
          <w:left w:val="nil"/>
          <w:bottom w:val="nil"/>
          <w:right w:val="nil"/>
          <w:insideH w:val="nil"/>
          <w:insideV w:val="single" w:sz="4" w:space="0" w:color="CBC3BB" w:themeColor="text2"/>
          <w:tl2br w:val="nil"/>
          <w:tr2bl w:val="nil"/>
        </w:tcBorders>
        <w:shd w:val="clear" w:color="auto" w:fill="0D3E67" w:themeFill="accent3"/>
      </w:tcPr>
    </w:tblStylePr>
    <w:tblStylePr w:type="lastRow">
      <w:rPr>
        <w:b/>
      </w:rPr>
      <w:tblPr/>
      <w:tcPr>
        <w:tcBorders>
          <w:top w:val="single" w:sz="4" w:space="0" w:color="CBC3BB" w:themeColor="text2"/>
          <w:left w:val="nil"/>
          <w:bottom w:val="single" w:sz="4" w:space="0" w:color="CBC3BB" w:themeColor="text2"/>
          <w:right w:val="nil"/>
          <w:insideH w:val="nil"/>
          <w:insideV w:val="single" w:sz="4" w:space="0" w:color="CBC3BB" w:themeColor="text2"/>
          <w:tl2br w:val="nil"/>
          <w:tr2bl w:val="nil"/>
        </w:tcBorders>
      </w:tcPr>
    </w:tblStylePr>
    <w:tblStylePr w:type="firstCol">
      <w:rPr>
        <w:b/>
        <w:color w:val="FFFFFF" w:themeColor="background1"/>
      </w:rPr>
      <w:tblPr/>
      <w:tcPr>
        <w:tcBorders>
          <w:top w:val="nil"/>
          <w:left w:val="nil"/>
          <w:bottom w:val="nil"/>
          <w:right w:val="nil"/>
          <w:insideH w:val="nil"/>
          <w:insideV w:val="nil"/>
          <w:tl2br w:val="nil"/>
          <w:tr2bl w:val="nil"/>
        </w:tcBorders>
        <w:shd w:val="clear" w:color="auto" w:fill="0D3E67" w:themeFill="accent3"/>
      </w:tcPr>
    </w:tblStylePr>
    <w:tblStylePr w:type="lastCol">
      <w:pPr>
        <w:jc w:val="right"/>
      </w:pPr>
      <w:rPr>
        <w:b/>
      </w:rPr>
    </w:tblStylePr>
    <w:tblStylePr w:type="band1Horz">
      <w:tblPr/>
      <w:tcPr>
        <w:tcBorders>
          <w:top w:val="single" w:sz="4" w:space="0" w:color="CBC3BB" w:themeColor="text2"/>
          <w:left w:val="nil"/>
          <w:bottom w:val="single" w:sz="4" w:space="0" w:color="CBC3BB" w:themeColor="text2"/>
          <w:right w:val="nil"/>
          <w:insideH w:val="nil"/>
          <w:insideV w:val="single" w:sz="4" w:space="0" w:color="CBC3BB" w:themeColor="text2"/>
          <w:tl2br w:val="nil"/>
          <w:tr2bl w:val="nil"/>
        </w:tcBorders>
        <w:shd w:val="clear" w:color="auto" w:fill="FFFFFF" w:themeFill="background1"/>
      </w:tcPr>
    </w:tblStylePr>
    <w:tblStylePr w:type="band2Horz">
      <w:tblPr/>
      <w:tcPr>
        <w:tcBorders>
          <w:top w:val="single" w:sz="4" w:space="0" w:color="CBC3BB" w:themeColor="text2"/>
          <w:left w:val="nil"/>
          <w:bottom w:val="single" w:sz="4" w:space="0" w:color="CBC3BB" w:themeColor="text2"/>
          <w:right w:val="nil"/>
          <w:insideH w:val="single" w:sz="4" w:space="0" w:color="auto"/>
          <w:insideV w:val="single" w:sz="4" w:space="0" w:color="CBC3BB" w:themeColor="text2"/>
          <w:tl2br w:val="nil"/>
          <w:tr2bl w:val="nil"/>
        </w:tcBorders>
        <w:shd w:val="clear" w:color="auto" w:fill="EAE7E3" w:themeFill="background2"/>
      </w:tcPr>
    </w:tblStylePr>
  </w:style>
  <w:style w:type="paragraph" w:styleId="TOCHeading">
    <w:name w:val="TOC Heading"/>
    <w:basedOn w:val="Heading1"/>
    <w:next w:val="Normal"/>
    <w:uiPriority w:val="39"/>
    <w:rsid w:val="00D0339F"/>
    <w:pPr>
      <w:pageBreakBefore w:val="0"/>
      <w:numPr>
        <w:numId w:val="0"/>
      </w:numPr>
      <w:spacing w:line="259" w:lineRule="auto"/>
      <w:outlineLvl w:val="9"/>
    </w:pPr>
  </w:style>
  <w:style w:type="paragraph" w:styleId="TOC1">
    <w:name w:val="toc 1"/>
    <w:basedOn w:val="Normal"/>
    <w:next w:val="Normal"/>
    <w:autoRedefine/>
    <w:uiPriority w:val="39"/>
    <w:rsid w:val="00D0339F"/>
    <w:pPr>
      <w:tabs>
        <w:tab w:val="right" w:leader="dot" w:pos="9742"/>
      </w:tabs>
      <w:spacing w:after="240"/>
    </w:pPr>
    <w:rPr>
      <w:rFonts w:asciiTheme="majorHAnsi" w:hAnsiTheme="majorHAnsi"/>
      <w:caps/>
      <w:sz w:val="24"/>
    </w:rPr>
  </w:style>
  <w:style w:type="paragraph" w:styleId="TOC2">
    <w:name w:val="toc 2"/>
    <w:basedOn w:val="Normal"/>
    <w:next w:val="Normal"/>
    <w:autoRedefine/>
    <w:uiPriority w:val="39"/>
    <w:rsid w:val="00D0339F"/>
    <w:pPr>
      <w:spacing w:after="240"/>
      <w:ind w:left="357"/>
    </w:pPr>
    <w:rPr>
      <w:rFonts w:asciiTheme="majorHAnsi" w:hAnsiTheme="majorHAnsi"/>
      <w:sz w:val="22"/>
    </w:rPr>
  </w:style>
  <w:style w:type="character" w:styleId="Hyperlink">
    <w:name w:val="Hyperlink"/>
    <w:basedOn w:val="DefaultParagraphFont"/>
    <w:uiPriority w:val="99"/>
    <w:unhideWhenUsed/>
    <w:rsid w:val="00D0339F"/>
    <w:rPr>
      <w:color w:val="0D3E67" w:themeColor="hyperlink"/>
      <w:u w:val="single"/>
    </w:rPr>
  </w:style>
  <w:style w:type="paragraph" w:customStyle="1" w:styleId="Heading1nonumber">
    <w:name w:val="Heading 1 no number"/>
    <w:basedOn w:val="Heading1"/>
    <w:next w:val="Normal"/>
    <w:link w:val="Heading1nonumberChar"/>
    <w:uiPriority w:val="9"/>
    <w:qFormat/>
    <w:rsid w:val="00D0339F"/>
    <w:pPr>
      <w:numPr>
        <w:numId w:val="0"/>
      </w:numPr>
    </w:pPr>
  </w:style>
  <w:style w:type="paragraph" w:customStyle="1" w:styleId="Heading3nonumber">
    <w:name w:val="Heading 3 no number"/>
    <w:basedOn w:val="Heading3"/>
    <w:next w:val="Normal"/>
    <w:link w:val="Heading3nonumberChar"/>
    <w:uiPriority w:val="9"/>
    <w:qFormat/>
    <w:rsid w:val="00D0339F"/>
    <w:pPr>
      <w:numPr>
        <w:ilvl w:val="0"/>
        <w:numId w:val="0"/>
      </w:numPr>
    </w:pPr>
  </w:style>
  <w:style w:type="paragraph" w:customStyle="1" w:styleId="Heading2nonumber">
    <w:name w:val="Heading 2 no number"/>
    <w:basedOn w:val="Heading2"/>
    <w:next w:val="Normal"/>
    <w:link w:val="Heading2nonumberChar"/>
    <w:uiPriority w:val="9"/>
    <w:qFormat/>
    <w:rsid w:val="00D0339F"/>
    <w:pPr>
      <w:numPr>
        <w:ilvl w:val="0"/>
        <w:numId w:val="0"/>
      </w:numPr>
    </w:pPr>
  </w:style>
  <w:style w:type="character" w:customStyle="1" w:styleId="Heading2nonumberChar">
    <w:name w:val="Heading 2 no number Char"/>
    <w:basedOn w:val="Heading2Char"/>
    <w:link w:val="Heading2nonumber"/>
    <w:uiPriority w:val="9"/>
    <w:rsid w:val="00D0339F"/>
    <w:rPr>
      <w:rFonts w:asciiTheme="majorHAnsi" w:eastAsiaTheme="majorEastAsia" w:hAnsiTheme="majorHAnsi" w:cstheme="majorBidi"/>
      <w:color w:val="0D3E67" w:themeColor="accent3"/>
      <w:sz w:val="32"/>
      <w:szCs w:val="26"/>
    </w:rPr>
  </w:style>
  <w:style w:type="paragraph" w:customStyle="1" w:styleId="Heading4nonumber">
    <w:name w:val="Heading 4 no number"/>
    <w:basedOn w:val="Heading4"/>
    <w:next w:val="Normal"/>
    <w:link w:val="Heading4nonumberChar"/>
    <w:uiPriority w:val="9"/>
    <w:qFormat/>
    <w:rsid w:val="00D0339F"/>
    <w:pPr>
      <w:numPr>
        <w:ilvl w:val="0"/>
        <w:numId w:val="0"/>
      </w:numPr>
    </w:pPr>
  </w:style>
  <w:style w:type="paragraph" w:customStyle="1" w:styleId="Introduction">
    <w:name w:val="Introduction"/>
    <w:basedOn w:val="IntenseQuote"/>
    <w:next w:val="Normal"/>
    <w:uiPriority w:val="10"/>
    <w:semiHidden/>
    <w:rsid w:val="00D0339F"/>
  </w:style>
  <w:style w:type="paragraph" w:styleId="Header">
    <w:name w:val="header"/>
    <w:basedOn w:val="Normal"/>
    <w:link w:val="HeaderChar"/>
    <w:uiPriority w:val="44"/>
    <w:rsid w:val="00D0339F"/>
    <w:pPr>
      <w:tabs>
        <w:tab w:val="center" w:pos="4513"/>
        <w:tab w:val="right" w:pos="9026"/>
      </w:tabs>
      <w:spacing w:after="0" w:line="240" w:lineRule="auto"/>
    </w:pPr>
  </w:style>
  <w:style w:type="character" w:customStyle="1" w:styleId="HeaderChar">
    <w:name w:val="Header Char"/>
    <w:basedOn w:val="DefaultParagraphFont"/>
    <w:link w:val="Header"/>
    <w:uiPriority w:val="44"/>
    <w:rsid w:val="00D0339F"/>
  </w:style>
  <w:style w:type="paragraph" w:styleId="Footer">
    <w:name w:val="footer"/>
    <w:basedOn w:val="Normal"/>
    <w:link w:val="FooterChar"/>
    <w:uiPriority w:val="44"/>
    <w:rsid w:val="00D0339F"/>
    <w:pPr>
      <w:tabs>
        <w:tab w:val="center" w:pos="4513"/>
        <w:tab w:val="right" w:pos="9026"/>
      </w:tabs>
      <w:spacing w:after="0" w:line="240" w:lineRule="auto"/>
    </w:pPr>
  </w:style>
  <w:style w:type="character" w:customStyle="1" w:styleId="FooterChar">
    <w:name w:val="Footer Char"/>
    <w:basedOn w:val="DefaultParagraphFont"/>
    <w:link w:val="Footer"/>
    <w:uiPriority w:val="44"/>
    <w:rsid w:val="00D0339F"/>
  </w:style>
  <w:style w:type="paragraph" w:customStyle="1" w:styleId="Subheading">
    <w:name w:val="Subheading"/>
    <w:basedOn w:val="Normal"/>
    <w:next w:val="Normal"/>
    <w:uiPriority w:val="9"/>
    <w:qFormat/>
    <w:rsid w:val="00D0339F"/>
    <w:pPr>
      <w:keepNext/>
      <w:spacing w:before="240" w:after="120"/>
    </w:pPr>
    <w:rPr>
      <w:rFonts w:asciiTheme="majorHAnsi" w:hAnsiTheme="majorHAnsi"/>
      <w:color w:val="0D3E67" w:themeColor="accent3"/>
      <w:sz w:val="32"/>
    </w:rPr>
  </w:style>
  <w:style w:type="numbering" w:customStyle="1" w:styleId="TableList">
    <w:name w:val="Table List"/>
    <w:basedOn w:val="NoList"/>
    <w:uiPriority w:val="99"/>
    <w:rsid w:val="00D0339F"/>
    <w:pPr>
      <w:numPr>
        <w:numId w:val="5"/>
      </w:numPr>
    </w:pPr>
  </w:style>
  <w:style w:type="paragraph" w:styleId="ListContinue">
    <w:name w:val="List Continue"/>
    <w:basedOn w:val="Normal"/>
    <w:uiPriority w:val="17"/>
    <w:semiHidden/>
    <w:rsid w:val="00D0339F"/>
    <w:pPr>
      <w:numPr>
        <w:numId w:val="5"/>
      </w:numPr>
      <w:spacing w:before="60" w:after="60"/>
    </w:pPr>
  </w:style>
  <w:style w:type="paragraph" w:styleId="ListContinue2">
    <w:name w:val="List Continue 2"/>
    <w:basedOn w:val="Normal"/>
    <w:uiPriority w:val="17"/>
    <w:semiHidden/>
    <w:rsid w:val="00D0339F"/>
    <w:pPr>
      <w:numPr>
        <w:ilvl w:val="1"/>
        <w:numId w:val="5"/>
      </w:numPr>
      <w:spacing w:before="60" w:after="60"/>
    </w:pPr>
  </w:style>
  <w:style w:type="paragraph" w:styleId="ListContinue3">
    <w:name w:val="List Continue 3"/>
    <w:basedOn w:val="Normal"/>
    <w:uiPriority w:val="17"/>
    <w:semiHidden/>
    <w:rsid w:val="00D0339F"/>
    <w:pPr>
      <w:numPr>
        <w:ilvl w:val="2"/>
        <w:numId w:val="5"/>
      </w:numPr>
      <w:spacing w:before="60" w:after="60"/>
    </w:pPr>
  </w:style>
  <w:style w:type="paragraph" w:styleId="ListContinue4">
    <w:name w:val="List Continue 4"/>
    <w:basedOn w:val="Normal"/>
    <w:uiPriority w:val="17"/>
    <w:semiHidden/>
    <w:rsid w:val="00D0339F"/>
    <w:pPr>
      <w:numPr>
        <w:ilvl w:val="3"/>
        <w:numId w:val="5"/>
      </w:numPr>
      <w:spacing w:before="60" w:after="60"/>
    </w:pPr>
  </w:style>
  <w:style w:type="paragraph" w:styleId="ListContinue5">
    <w:name w:val="List Continue 5"/>
    <w:basedOn w:val="Normal"/>
    <w:uiPriority w:val="17"/>
    <w:semiHidden/>
    <w:rsid w:val="00D0339F"/>
    <w:pPr>
      <w:numPr>
        <w:ilvl w:val="4"/>
        <w:numId w:val="5"/>
      </w:numPr>
      <w:spacing w:before="60" w:after="60"/>
    </w:pPr>
  </w:style>
  <w:style w:type="paragraph" w:styleId="ListBullet3">
    <w:name w:val="List Bullet 3"/>
    <w:basedOn w:val="Normal"/>
    <w:uiPriority w:val="17"/>
    <w:qFormat/>
    <w:rsid w:val="00D0339F"/>
    <w:pPr>
      <w:numPr>
        <w:ilvl w:val="2"/>
        <w:numId w:val="77"/>
      </w:numPr>
      <w:spacing w:after="120"/>
      <w:contextualSpacing/>
    </w:pPr>
  </w:style>
  <w:style w:type="paragraph" w:styleId="TOC3">
    <w:name w:val="toc 3"/>
    <w:basedOn w:val="Normal"/>
    <w:next w:val="Normal"/>
    <w:autoRedefine/>
    <w:uiPriority w:val="39"/>
    <w:semiHidden/>
    <w:rsid w:val="00D0339F"/>
    <w:pPr>
      <w:spacing w:after="100"/>
      <w:ind w:left="440"/>
    </w:pPr>
  </w:style>
  <w:style w:type="paragraph" w:styleId="TOC4">
    <w:name w:val="toc 4"/>
    <w:basedOn w:val="Normal"/>
    <w:next w:val="Normal"/>
    <w:autoRedefine/>
    <w:uiPriority w:val="39"/>
    <w:semiHidden/>
    <w:rsid w:val="00D0339F"/>
    <w:pPr>
      <w:spacing w:after="100"/>
      <w:ind w:left="660"/>
    </w:pPr>
  </w:style>
  <w:style w:type="paragraph" w:customStyle="1" w:styleId="Orangeblocktext">
    <w:name w:val="Orange block text"/>
    <w:basedOn w:val="Normal"/>
    <w:link w:val="OrangeblocktextChar"/>
    <w:uiPriority w:val="19"/>
    <w:qFormat/>
    <w:rsid w:val="00D0339F"/>
    <w:pPr>
      <w:pBdr>
        <w:top w:val="single" w:sz="4" w:space="5" w:color="FCE2CC" w:themeColor="accent2"/>
        <w:left w:val="single" w:sz="36" w:space="5" w:color="CC6600" w:themeColor="accent1"/>
        <w:bottom w:val="single" w:sz="4" w:space="5" w:color="FCE2CC" w:themeColor="accent2"/>
        <w:right w:val="single" w:sz="36" w:space="5" w:color="FCE2CC" w:themeColor="accent2"/>
      </w:pBdr>
      <w:shd w:val="clear" w:color="auto" w:fill="FCE2CC" w:themeFill="accent2"/>
    </w:pPr>
  </w:style>
  <w:style w:type="paragraph" w:customStyle="1" w:styleId="Orangeblockheading">
    <w:name w:val="Orange block heading"/>
    <w:basedOn w:val="Normal"/>
    <w:next w:val="Orangeblocktext"/>
    <w:link w:val="OrangeblockheadingChar"/>
    <w:uiPriority w:val="19"/>
    <w:qFormat/>
    <w:rsid w:val="00D0339F"/>
    <w:pPr>
      <w:keepNext/>
      <w:pBdr>
        <w:top w:val="single" w:sz="4" w:space="5" w:color="FCE2CC" w:themeColor="accent2"/>
        <w:left w:val="single" w:sz="36" w:space="5" w:color="CC6600" w:themeColor="accent1"/>
        <w:bottom w:val="single" w:sz="4" w:space="5" w:color="FCE2CC" w:themeColor="accent2"/>
        <w:right w:val="single" w:sz="36" w:space="5" w:color="FCE2CC" w:themeColor="accent2"/>
      </w:pBdr>
      <w:shd w:val="clear" w:color="auto" w:fill="FCE2CC" w:themeFill="accent2"/>
    </w:pPr>
    <w:rPr>
      <w:rFonts w:asciiTheme="majorHAnsi" w:hAnsiTheme="majorHAnsi"/>
      <w:sz w:val="28"/>
    </w:rPr>
  </w:style>
  <w:style w:type="paragraph" w:customStyle="1" w:styleId="Listorangeblockbullet">
    <w:name w:val="List orange block bullet"/>
    <w:basedOn w:val="Orangeblocktext"/>
    <w:uiPriority w:val="19"/>
    <w:qFormat/>
    <w:rsid w:val="00D0339F"/>
    <w:pPr>
      <w:numPr>
        <w:ilvl w:val="2"/>
        <w:numId w:val="79"/>
      </w:numPr>
      <w:tabs>
        <w:tab w:val="left" w:pos="357"/>
      </w:tabs>
    </w:pPr>
  </w:style>
  <w:style w:type="paragraph" w:customStyle="1" w:styleId="Tealblocktext">
    <w:name w:val="Teal block text"/>
    <w:basedOn w:val="Orangeblocktext"/>
    <w:link w:val="TealblocktextChar"/>
    <w:uiPriority w:val="19"/>
    <w:qFormat/>
    <w:rsid w:val="00D0339F"/>
    <w:p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Tealblockheading">
    <w:name w:val="Teal block heading"/>
    <w:basedOn w:val="Orangeblockheading"/>
    <w:next w:val="Tealblocktext"/>
    <w:link w:val="TealblockheadingChar"/>
    <w:uiPriority w:val="19"/>
    <w:qFormat/>
    <w:rsid w:val="00D0339F"/>
    <w:p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Listtealblockbullet">
    <w:name w:val="List teal block bullet"/>
    <w:basedOn w:val="Listorangeblockbullet"/>
    <w:uiPriority w:val="19"/>
    <w:qFormat/>
    <w:rsid w:val="00D0339F"/>
    <w:pPr>
      <w:numPr>
        <w:ilvl w:val="3"/>
      </w:num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Greyblocktext">
    <w:name w:val="Grey block text"/>
    <w:basedOn w:val="Orangeblocktext"/>
    <w:uiPriority w:val="19"/>
    <w:qFormat/>
    <w:rsid w:val="00D0339F"/>
    <w:p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Greyblockheading">
    <w:name w:val="Grey block heading"/>
    <w:basedOn w:val="Orangeblockheading"/>
    <w:next w:val="Greyblocktext"/>
    <w:uiPriority w:val="19"/>
    <w:qFormat/>
    <w:rsid w:val="00D0339F"/>
    <w:p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Listgreyblockbullet">
    <w:name w:val="List grey block bullet"/>
    <w:basedOn w:val="Listorangeblockbullet"/>
    <w:uiPriority w:val="19"/>
    <w:qFormat/>
    <w:rsid w:val="00D0339F"/>
    <w:pPr>
      <w:numPr>
        <w:ilvl w:val="1"/>
      </w:num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Blueblocktext">
    <w:name w:val="Blue block text"/>
    <w:basedOn w:val="Orangeblocktext"/>
    <w:uiPriority w:val="19"/>
    <w:qFormat/>
    <w:rsid w:val="00D0339F"/>
    <w:pPr>
      <w:pBdr>
        <w:top w:val="single" w:sz="4" w:space="5" w:color="E4E9F0"/>
        <w:left w:val="single" w:sz="36" w:space="5" w:color="0D3E67" w:themeColor="accent3"/>
        <w:bottom w:val="single" w:sz="4" w:space="5" w:color="E4E9F0"/>
        <w:right w:val="single" w:sz="36" w:space="5" w:color="E4E9F0"/>
      </w:pBdr>
      <w:shd w:val="clear" w:color="auto" w:fill="E4E9F0"/>
    </w:pPr>
  </w:style>
  <w:style w:type="paragraph" w:customStyle="1" w:styleId="Blueblockheading">
    <w:name w:val="Blue block heading"/>
    <w:basedOn w:val="Orangeblockheading"/>
    <w:next w:val="Blueblocktext"/>
    <w:uiPriority w:val="19"/>
    <w:qFormat/>
    <w:rsid w:val="00D0339F"/>
    <w:pPr>
      <w:pBdr>
        <w:top w:val="single" w:sz="4" w:space="5" w:color="E4E9F0"/>
        <w:left w:val="single" w:sz="36" w:space="5" w:color="0D3E67" w:themeColor="accent3"/>
        <w:bottom w:val="single" w:sz="4" w:space="5" w:color="E4E9F0"/>
        <w:right w:val="single" w:sz="36" w:space="5" w:color="E4E9F0"/>
      </w:pBdr>
      <w:shd w:val="clear" w:color="auto" w:fill="E4E9F0"/>
    </w:pPr>
  </w:style>
  <w:style w:type="paragraph" w:customStyle="1" w:styleId="Listblueblockbullet">
    <w:name w:val="List blue block bullet"/>
    <w:basedOn w:val="Blueblocktext"/>
    <w:uiPriority w:val="19"/>
    <w:qFormat/>
    <w:rsid w:val="00D0339F"/>
    <w:pPr>
      <w:numPr>
        <w:numId w:val="79"/>
      </w:numPr>
    </w:pPr>
  </w:style>
  <w:style w:type="paragraph" w:styleId="TableofFigures">
    <w:name w:val="table of figures"/>
    <w:basedOn w:val="Normal"/>
    <w:next w:val="Normal"/>
    <w:uiPriority w:val="99"/>
    <w:rsid w:val="00D0339F"/>
    <w:pPr>
      <w:spacing w:after="0"/>
    </w:pPr>
    <w:rPr>
      <w:sz w:val="22"/>
    </w:rPr>
  </w:style>
  <w:style w:type="paragraph" w:customStyle="1" w:styleId="LetterheadDate">
    <w:name w:val="Letterhead Date"/>
    <w:basedOn w:val="Normal"/>
    <w:uiPriority w:val="34"/>
    <w:semiHidden/>
    <w:rsid w:val="00D0339F"/>
  </w:style>
  <w:style w:type="character" w:styleId="Strong">
    <w:name w:val="Strong"/>
    <w:basedOn w:val="DefaultParagraphFont"/>
    <w:uiPriority w:val="22"/>
    <w:qFormat/>
    <w:rsid w:val="00D0339F"/>
    <w:rPr>
      <w:b/>
      <w:bCs/>
    </w:rPr>
  </w:style>
  <w:style w:type="numbering" w:styleId="ArticleSection">
    <w:name w:val="Outline List 3"/>
    <w:basedOn w:val="NoList"/>
    <w:uiPriority w:val="99"/>
    <w:semiHidden/>
    <w:unhideWhenUsed/>
    <w:locked/>
    <w:rsid w:val="00D0339F"/>
    <w:pPr>
      <w:numPr>
        <w:numId w:val="6"/>
      </w:numPr>
    </w:pPr>
  </w:style>
  <w:style w:type="paragraph" w:styleId="BalloonText">
    <w:name w:val="Balloon Text"/>
    <w:basedOn w:val="Normal"/>
    <w:link w:val="BalloonTextChar"/>
    <w:uiPriority w:val="99"/>
    <w:semiHidden/>
    <w:locked/>
    <w:rsid w:val="00D033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39F"/>
    <w:rPr>
      <w:rFonts w:ascii="Segoe UI" w:hAnsi="Segoe UI" w:cs="Segoe UI"/>
      <w:sz w:val="18"/>
      <w:szCs w:val="18"/>
    </w:rPr>
  </w:style>
  <w:style w:type="paragraph" w:styleId="Bibliography">
    <w:name w:val="Bibliography"/>
    <w:basedOn w:val="Normal"/>
    <w:next w:val="Normal"/>
    <w:uiPriority w:val="37"/>
    <w:semiHidden/>
    <w:locked/>
    <w:rsid w:val="00D0339F"/>
  </w:style>
  <w:style w:type="paragraph" w:styleId="BlockText">
    <w:name w:val="Block Text"/>
    <w:basedOn w:val="Normal"/>
    <w:uiPriority w:val="99"/>
    <w:semiHidden/>
    <w:locked/>
    <w:rsid w:val="00D0339F"/>
    <w:pPr>
      <w:pBdr>
        <w:top w:val="single" w:sz="2" w:space="10" w:color="CC6600" w:themeColor="accent1"/>
        <w:left w:val="single" w:sz="2" w:space="10" w:color="CC6600" w:themeColor="accent1"/>
        <w:bottom w:val="single" w:sz="2" w:space="10" w:color="CC6600" w:themeColor="accent1"/>
        <w:right w:val="single" w:sz="2" w:space="10" w:color="CC6600" w:themeColor="accent1"/>
      </w:pBdr>
      <w:ind w:left="1152" w:right="1152"/>
    </w:pPr>
    <w:rPr>
      <w:rFonts w:eastAsiaTheme="minorEastAsia"/>
      <w:i/>
      <w:iCs/>
      <w:color w:val="CC6600" w:themeColor="accent1"/>
    </w:rPr>
  </w:style>
  <w:style w:type="paragraph" w:styleId="BodyText">
    <w:name w:val="Body Text"/>
    <w:basedOn w:val="Normal"/>
    <w:link w:val="BodyTextChar"/>
    <w:uiPriority w:val="99"/>
    <w:semiHidden/>
    <w:rsid w:val="00D0339F"/>
    <w:pPr>
      <w:spacing w:after="120"/>
    </w:pPr>
  </w:style>
  <w:style w:type="character" w:customStyle="1" w:styleId="BodyTextChar">
    <w:name w:val="Body Text Char"/>
    <w:basedOn w:val="DefaultParagraphFont"/>
    <w:link w:val="BodyText"/>
    <w:uiPriority w:val="99"/>
    <w:semiHidden/>
    <w:rsid w:val="00D0339F"/>
  </w:style>
  <w:style w:type="paragraph" w:styleId="BodyText2">
    <w:name w:val="Body Text 2"/>
    <w:basedOn w:val="Normal"/>
    <w:link w:val="BodyText2Char"/>
    <w:uiPriority w:val="99"/>
    <w:semiHidden/>
    <w:rsid w:val="00D0339F"/>
    <w:pPr>
      <w:spacing w:after="120" w:line="480" w:lineRule="auto"/>
    </w:pPr>
  </w:style>
  <w:style w:type="character" w:customStyle="1" w:styleId="BodyText2Char">
    <w:name w:val="Body Text 2 Char"/>
    <w:basedOn w:val="DefaultParagraphFont"/>
    <w:link w:val="BodyText2"/>
    <w:uiPriority w:val="99"/>
    <w:semiHidden/>
    <w:rsid w:val="00D0339F"/>
  </w:style>
  <w:style w:type="paragraph" w:styleId="BodyText3">
    <w:name w:val="Body Text 3"/>
    <w:basedOn w:val="Normal"/>
    <w:link w:val="BodyText3Char"/>
    <w:uiPriority w:val="99"/>
    <w:semiHidden/>
    <w:locked/>
    <w:rsid w:val="00D0339F"/>
    <w:pPr>
      <w:spacing w:after="120"/>
    </w:pPr>
    <w:rPr>
      <w:sz w:val="16"/>
      <w:szCs w:val="16"/>
    </w:rPr>
  </w:style>
  <w:style w:type="character" w:customStyle="1" w:styleId="BodyText3Char">
    <w:name w:val="Body Text 3 Char"/>
    <w:basedOn w:val="DefaultParagraphFont"/>
    <w:link w:val="BodyText3"/>
    <w:uiPriority w:val="99"/>
    <w:semiHidden/>
    <w:rsid w:val="00D0339F"/>
    <w:rPr>
      <w:sz w:val="16"/>
      <w:szCs w:val="16"/>
    </w:rPr>
  </w:style>
  <w:style w:type="paragraph" w:styleId="BodyTextFirstIndent">
    <w:name w:val="Body Text First Indent"/>
    <w:basedOn w:val="BodyText"/>
    <w:link w:val="BodyTextFirstIndentChar"/>
    <w:uiPriority w:val="99"/>
    <w:semiHidden/>
    <w:rsid w:val="00D0339F"/>
    <w:pPr>
      <w:spacing w:after="210"/>
      <w:ind w:firstLine="360"/>
    </w:pPr>
  </w:style>
  <w:style w:type="character" w:customStyle="1" w:styleId="BodyTextFirstIndentChar">
    <w:name w:val="Body Text First Indent Char"/>
    <w:basedOn w:val="BodyTextChar"/>
    <w:link w:val="BodyTextFirstIndent"/>
    <w:uiPriority w:val="99"/>
    <w:semiHidden/>
    <w:rsid w:val="00D0339F"/>
  </w:style>
  <w:style w:type="paragraph" w:styleId="BodyTextIndent">
    <w:name w:val="Body Text Indent"/>
    <w:basedOn w:val="Normal"/>
    <w:link w:val="BodyTextIndentChar"/>
    <w:uiPriority w:val="99"/>
    <w:semiHidden/>
    <w:rsid w:val="00D0339F"/>
    <w:pPr>
      <w:spacing w:after="120"/>
      <w:ind w:left="283"/>
    </w:pPr>
  </w:style>
  <w:style w:type="character" w:customStyle="1" w:styleId="BodyTextIndentChar">
    <w:name w:val="Body Text Indent Char"/>
    <w:basedOn w:val="DefaultParagraphFont"/>
    <w:link w:val="BodyTextIndent"/>
    <w:uiPriority w:val="99"/>
    <w:semiHidden/>
    <w:rsid w:val="00D0339F"/>
  </w:style>
  <w:style w:type="paragraph" w:styleId="BodyTextFirstIndent2">
    <w:name w:val="Body Text First Indent 2"/>
    <w:basedOn w:val="BodyTextIndent"/>
    <w:link w:val="BodyTextFirstIndent2Char"/>
    <w:uiPriority w:val="99"/>
    <w:semiHidden/>
    <w:rsid w:val="00D0339F"/>
    <w:pPr>
      <w:spacing w:after="210"/>
      <w:ind w:left="360" w:firstLine="360"/>
    </w:pPr>
  </w:style>
  <w:style w:type="character" w:customStyle="1" w:styleId="BodyTextFirstIndent2Char">
    <w:name w:val="Body Text First Indent 2 Char"/>
    <w:basedOn w:val="BodyTextIndentChar"/>
    <w:link w:val="BodyTextFirstIndent2"/>
    <w:uiPriority w:val="99"/>
    <w:semiHidden/>
    <w:rsid w:val="00D0339F"/>
  </w:style>
  <w:style w:type="paragraph" w:styleId="BodyTextIndent2">
    <w:name w:val="Body Text Indent 2"/>
    <w:basedOn w:val="Normal"/>
    <w:link w:val="BodyTextIndent2Char"/>
    <w:uiPriority w:val="99"/>
    <w:semiHidden/>
    <w:rsid w:val="00D0339F"/>
    <w:pPr>
      <w:spacing w:after="120" w:line="480" w:lineRule="auto"/>
      <w:ind w:left="283"/>
    </w:pPr>
  </w:style>
  <w:style w:type="character" w:customStyle="1" w:styleId="BodyTextIndent2Char">
    <w:name w:val="Body Text Indent 2 Char"/>
    <w:basedOn w:val="DefaultParagraphFont"/>
    <w:link w:val="BodyTextIndent2"/>
    <w:uiPriority w:val="99"/>
    <w:semiHidden/>
    <w:rsid w:val="00D0339F"/>
  </w:style>
  <w:style w:type="paragraph" w:styleId="BodyTextIndent3">
    <w:name w:val="Body Text Indent 3"/>
    <w:basedOn w:val="Normal"/>
    <w:link w:val="BodyTextIndent3Char"/>
    <w:uiPriority w:val="99"/>
    <w:semiHidden/>
    <w:rsid w:val="00D033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0339F"/>
    <w:rPr>
      <w:sz w:val="16"/>
      <w:szCs w:val="16"/>
    </w:rPr>
  </w:style>
  <w:style w:type="character" w:styleId="BookTitle">
    <w:name w:val="Book Title"/>
    <w:basedOn w:val="DefaultParagraphFont"/>
    <w:uiPriority w:val="33"/>
    <w:semiHidden/>
    <w:qFormat/>
    <w:locked/>
    <w:rsid w:val="00D0339F"/>
    <w:rPr>
      <w:b/>
      <w:bCs/>
      <w:i/>
      <w:iCs/>
      <w:spacing w:val="5"/>
    </w:rPr>
  </w:style>
  <w:style w:type="paragraph" w:styleId="Closing">
    <w:name w:val="Closing"/>
    <w:basedOn w:val="Normal"/>
    <w:link w:val="ClosingChar"/>
    <w:uiPriority w:val="99"/>
    <w:semiHidden/>
    <w:locked/>
    <w:rsid w:val="00D0339F"/>
    <w:pPr>
      <w:spacing w:after="0" w:line="240" w:lineRule="auto"/>
      <w:ind w:left="4252"/>
    </w:pPr>
  </w:style>
  <w:style w:type="character" w:customStyle="1" w:styleId="ClosingChar">
    <w:name w:val="Closing Char"/>
    <w:basedOn w:val="DefaultParagraphFont"/>
    <w:link w:val="Closing"/>
    <w:uiPriority w:val="99"/>
    <w:semiHidden/>
    <w:rsid w:val="00D0339F"/>
  </w:style>
  <w:style w:type="character" w:styleId="CommentReference">
    <w:name w:val="annotation reference"/>
    <w:basedOn w:val="DefaultParagraphFont"/>
    <w:uiPriority w:val="99"/>
    <w:semiHidden/>
    <w:locked/>
    <w:rsid w:val="00D0339F"/>
    <w:rPr>
      <w:sz w:val="16"/>
      <w:szCs w:val="16"/>
    </w:rPr>
  </w:style>
  <w:style w:type="paragraph" w:styleId="CommentText">
    <w:name w:val="annotation text"/>
    <w:basedOn w:val="Normal"/>
    <w:link w:val="CommentTextChar"/>
    <w:uiPriority w:val="99"/>
    <w:semiHidden/>
    <w:locked/>
    <w:rsid w:val="00D0339F"/>
    <w:pPr>
      <w:spacing w:line="240" w:lineRule="auto"/>
    </w:pPr>
    <w:rPr>
      <w:sz w:val="20"/>
      <w:szCs w:val="20"/>
    </w:rPr>
  </w:style>
  <w:style w:type="character" w:customStyle="1" w:styleId="CommentTextChar">
    <w:name w:val="Comment Text Char"/>
    <w:basedOn w:val="DefaultParagraphFont"/>
    <w:link w:val="CommentText"/>
    <w:uiPriority w:val="99"/>
    <w:semiHidden/>
    <w:rsid w:val="00D0339F"/>
    <w:rPr>
      <w:sz w:val="20"/>
      <w:szCs w:val="20"/>
    </w:rPr>
  </w:style>
  <w:style w:type="paragraph" w:styleId="CommentSubject">
    <w:name w:val="annotation subject"/>
    <w:basedOn w:val="CommentText"/>
    <w:next w:val="CommentText"/>
    <w:link w:val="CommentSubjectChar"/>
    <w:uiPriority w:val="99"/>
    <w:semiHidden/>
    <w:locked/>
    <w:rsid w:val="00D0339F"/>
    <w:rPr>
      <w:b/>
      <w:bCs/>
    </w:rPr>
  </w:style>
  <w:style w:type="character" w:customStyle="1" w:styleId="CommentSubjectChar">
    <w:name w:val="Comment Subject Char"/>
    <w:basedOn w:val="CommentTextChar"/>
    <w:link w:val="CommentSubject"/>
    <w:uiPriority w:val="99"/>
    <w:semiHidden/>
    <w:rsid w:val="00D0339F"/>
    <w:rPr>
      <w:b/>
      <w:bCs/>
      <w:sz w:val="20"/>
      <w:szCs w:val="20"/>
    </w:rPr>
  </w:style>
  <w:style w:type="paragraph" w:styleId="DocumentMap">
    <w:name w:val="Document Map"/>
    <w:basedOn w:val="Normal"/>
    <w:link w:val="DocumentMapChar"/>
    <w:uiPriority w:val="99"/>
    <w:semiHidden/>
    <w:locked/>
    <w:rsid w:val="00D0339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0339F"/>
    <w:rPr>
      <w:rFonts w:ascii="Segoe UI" w:hAnsi="Segoe UI" w:cs="Segoe UI"/>
      <w:sz w:val="16"/>
      <w:szCs w:val="16"/>
    </w:rPr>
  </w:style>
  <w:style w:type="paragraph" w:styleId="E-mailSignature">
    <w:name w:val="E-mail Signature"/>
    <w:basedOn w:val="Normal"/>
    <w:link w:val="E-mailSignatureChar"/>
    <w:uiPriority w:val="99"/>
    <w:semiHidden/>
    <w:locked/>
    <w:rsid w:val="00D0339F"/>
    <w:pPr>
      <w:spacing w:after="0" w:line="240" w:lineRule="auto"/>
    </w:pPr>
  </w:style>
  <w:style w:type="character" w:customStyle="1" w:styleId="E-mailSignatureChar">
    <w:name w:val="E-mail Signature Char"/>
    <w:basedOn w:val="DefaultParagraphFont"/>
    <w:link w:val="E-mailSignature"/>
    <w:uiPriority w:val="99"/>
    <w:semiHidden/>
    <w:rsid w:val="00D0339F"/>
  </w:style>
  <w:style w:type="character" w:styleId="Emphasis">
    <w:name w:val="Emphasis"/>
    <w:basedOn w:val="DefaultParagraphFont"/>
    <w:uiPriority w:val="20"/>
    <w:semiHidden/>
    <w:qFormat/>
    <w:locked/>
    <w:rsid w:val="00D0339F"/>
    <w:rPr>
      <w:i/>
      <w:iCs/>
    </w:rPr>
  </w:style>
  <w:style w:type="character" w:styleId="EndnoteReference">
    <w:name w:val="endnote reference"/>
    <w:basedOn w:val="DefaultParagraphFont"/>
    <w:uiPriority w:val="99"/>
    <w:semiHidden/>
    <w:locked/>
    <w:rsid w:val="00D0339F"/>
    <w:rPr>
      <w:vertAlign w:val="superscript"/>
    </w:rPr>
  </w:style>
  <w:style w:type="paragraph" w:styleId="EndnoteText">
    <w:name w:val="endnote text"/>
    <w:basedOn w:val="Normal"/>
    <w:link w:val="EndnoteTextChar"/>
    <w:uiPriority w:val="99"/>
    <w:semiHidden/>
    <w:locked/>
    <w:rsid w:val="00D033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339F"/>
    <w:rPr>
      <w:sz w:val="20"/>
      <w:szCs w:val="20"/>
    </w:rPr>
  </w:style>
  <w:style w:type="paragraph" w:styleId="EnvelopeReturn">
    <w:name w:val="envelope return"/>
    <w:basedOn w:val="Normal"/>
    <w:uiPriority w:val="99"/>
    <w:semiHidden/>
    <w:rsid w:val="00D0339F"/>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D0339F"/>
    <w:rPr>
      <w:color w:val="954F72" w:themeColor="followedHyperlink"/>
      <w:u w:val="single"/>
    </w:rPr>
  </w:style>
  <w:style w:type="character" w:styleId="Hashtag">
    <w:name w:val="Hashtag"/>
    <w:basedOn w:val="DefaultParagraphFont"/>
    <w:uiPriority w:val="99"/>
    <w:semiHidden/>
    <w:locked/>
    <w:rsid w:val="00D0339F"/>
    <w:rPr>
      <w:color w:val="2B579A"/>
      <w:shd w:val="clear" w:color="auto" w:fill="E1DFDD"/>
    </w:rPr>
  </w:style>
  <w:style w:type="character" w:styleId="HTMLAcronym">
    <w:name w:val="HTML Acronym"/>
    <w:basedOn w:val="DefaultParagraphFont"/>
    <w:uiPriority w:val="99"/>
    <w:semiHidden/>
    <w:locked/>
    <w:rsid w:val="00D0339F"/>
  </w:style>
  <w:style w:type="paragraph" w:styleId="HTMLAddress">
    <w:name w:val="HTML Address"/>
    <w:basedOn w:val="Normal"/>
    <w:link w:val="HTMLAddressChar"/>
    <w:uiPriority w:val="99"/>
    <w:semiHidden/>
    <w:locked/>
    <w:rsid w:val="00D0339F"/>
    <w:pPr>
      <w:spacing w:after="0" w:line="240" w:lineRule="auto"/>
    </w:pPr>
    <w:rPr>
      <w:i/>
      <w:iCs/>
    </w:rPr>
  </w:style>
  <w:style w:type="character" w:customStyle="1" w:styleId="HTMLAddressChar">
    <w:name w:val="HTML Address Char"/>
    <w:basedOn w:val="DefaultParagraphFont"/>
    <w:link w:val="HTMLAddress"/>
    <w:uiPriority w:val="99"/>
    <w:semiHidden/>
    <w:rsid w:val="00D0339F"/>
    <w:rPr>
      <w:i/>
      <w:iCs/>
    </w:rPr>
  </w:style>
  <w:style w:type="character" w:styleId="HTMLCite">
    <w:name w:val="HTML Cite"/>
    <w:basedOn w:val="DefaultParagraphFont"/>
    <w:uiPriority w:val="99"/>
    <w:semiHidden/>
    <w:locked/>
    <w:rsid w:val="00D0339F"/>
    <w:rPr>
      <w:i/>
      <w:iCs/>
    </w:rPr>
  </w:style>
  <w:style w:type="character" w:styleId="HTMLCode">
    <w:name w:val="HTML Code"/>
    <w:basedOn w:val="DefaultParagraphFont"/>
    <w:uiPriority w:val="99"/>
    <w:semiHidden/>
    <w:locked/>
    <w:rsid w:val="00D0339F"/>
    <w:rPr>
      <w:rFonts w:ascii="Consolas" w:hAnsi="Consolas"/>
      <w:sz w:val="20"/>
      <w:szCs w:val="20"/>
    </w:rPr>
  </w:style>
  <w:style w:type="character" w:styleId="HTMLDefinition">
    <w:name w:val="HTML Definition"/>
    <w:basedOn w:val="DefaultParagraphFont"/>
    <w:uiPriority w:val="99"/>
    <w:semiHidden/>
    <w:locked/>
    <w:rsid w:val="00D0339F"/>
    <w:rPr>
      <w:i/>
      <w:iCs/>
    </w:rPr>
  </w:style>
  <w:style w:type="character" w:styleId="HTMLKeyboard">
    <w:name w:val="HTML Keyboard"/>
    <w:basedOn w:val="DefaultParagraphFont"/>
    <w:uiPriority w:val="99"/>
    <w:semiHidden/>
    <w:locked/>
    <w:rsid w:val="00D0339F"/>
    <w:rPr>
      <w:rFonts w:ascii="Consolas" w:hAnsi="Consolas"/>
      <w:sz w:val="20"/>
      <w:szCs w:val="20"/>
    </w:rPr>
  </w:style>
  <w:style w:type="paragraph" w:styleId="HTMLPreformatted">
    <w:name w:val="HTML Preformatted"/>
    <w:basedOn w:val="Normal"/>
    <w:link w:val="HTMLPreformattedChar"/>
    <w:uiPriority w:val="99"/>
    <w:semiHidden/>
    <w:locked/>
    <w:rsid w:val="00D0339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0339F"/>
    <w:rPr>
      <w:rFonts w:ascii="Consolas" w:hAnsi="Consolas"/>
      <w:sz w:val="20"/>
      <w:szCs w:val="20"/>
    </w:rPr>
  </w:style>
  <w:style w:type="character" w:styleId="HTMLSample">
    <w:name w:val="HTML Sample"/>
    <w:basedOn w:val="DefaultParagraphFont"/>
    <w:uiPriority w:val="99"/>
    <w:semiHidden/>
    <w:locked/>
    <w:rsid w:val="00D0339F"/>
    <w:rPr>
      <w:rFonts w:ascii="Consolas" w:hAnsi="Consolas"/>
      <w:sz w:val="24"/>
      <w:szCs w:val="24"/>
    </w:rPr>
  </w:style>
  <w:style w:type="character" w:styleId="HTMLTypewriter">
    <w:name w:val="HTML Typewriter"/>
    <w:basedOn w:val="DefaultParagraphFont"/>
    <w:uiPriority w:val="99"/>
    <w:semiHidden/>
    <w:locked/>
    <w:rsid w:val="00D0339F"/>
    <w:rPr>
      <w:rFonts w:ascii="Consolas" w:hAnsi="Consolas"/>
      <w:sz w:val="20"/>
      <w:szCs w:val="20"/>
    </w:rPr>
  </w:style>
  <w:style w:type="character" w:styleId="HTMLVariable">
    <w:name w:val="HTML Variable"/>
    <w:basedOn w:val="DefaultParagraphFont"/>
    <w:uiPriority w:val="99"/>
    <w:semiHidden/>
    <w:locked/>
    <w:rsid w:val="00D0339F"/>
    <w:rPr>
      <w:i/>
      <w:iCs/>
    </w:rPr>
  </w:style>
  <w:style w:type="paragraph" w:styleId="Index1">
    <w:name w:val="index 1"/>
    <w:basedOn w:val="Normal"/>
    <w:next w:val="Normal"/>
    <w:autoRedefine/>
    <w:uiPriority w:val="99"/>
    <w:semiHidden/>
    <w:locked/>
    <w:rsid w:val="00D0339F"/>
    <w:pPr>
      <w:spacing w:after="0" w:line="240" w:lineRule="auto"/>
      <w:ind w:left="210" w:hanging="210"/>
    </w:pPr>
  </w:style>
  <w:style w:type="paragraph" w:styleId="Index2">
    <w:name w:val="index 2"/>
    <w:basedOn w:val="Normal"/>
    <w:next w:val="Normal"/>
    <w:autoRedefine/>
    <w:uiPriority w:val="99"/>
    <w:semiHidden/>
    <w:locked/>
    <w:rsid w:val="00D0339F"/>
    <w:pPr>
      <w:spacing w:after="0" w:line="240" w:lineRule="auto"/>
      <w:ind w:left="420" w:hanging="210"/>
    </w:pPr>
  </w:style>
  <w:style w:type="paragraph" w:styleId="Index3">
    <w:name w:val="index 3"/>
    <w:basedOn w:val="Normal"/>
    <w:next w:val="Normal"/>
    <w:autoRedefine/>
    <w:uiPriority w:val="99"/>
    <w:semiHidden/>
    <w:locked/>
    <w:rsid w:val="00D0339F"/>
    <w:pPr>
      <w:spacing w:after="0" w:line="240" w:lineRule="auto"/>
      <w:ind w:left="630" w:hanging="210"/>
    </w:pPr>
  </w:style>
  <w:style w:type="paragraph" w:styleId="Index4">
    <w:name w:val="index 4"/>
    <w:basedOn w:val="Normal"/>
    <w:next w:val="Normal"/>
    <w:autoRedefine/>
    <w:uiPriority w:val="99"/>
    <w:semiHidden/>
    <w:locked/>
    <w:rsid w:val="00D0339F"/>
    <w:pPr>
      <w:spacing w:after="0" w:line="240" w:lineRule="auto"/>
      <w:ind w:left="840" w:hanging="210"/>
    </w:pPr>
  </w:style>
  <w:style w:type="paragraph" w:styleId="Index5">
    <w:name w:val="index 5"/>
    <w:basedOn w:val="Normal"/>
    <w:next w:val="Normal"/>
    <w:autoRedefine/>
    <w:uiPriority w:val="99"/>
    <w:semiHidden/>
    <w:locked/>
    <w:rsid w:val="00D0339F"/>
    <w:pPr>
      <w:spacing w:after="0" w:line="240" w:lineRule="auto"/>
      <w:ind w:left="1050" w:hanging="210"/>
    </w:pPr>
  </w:style>
  <w:style w:type="paragraph" w:styleId="Index6">
    <w:name w:val="index 6"/>
    <w:basedOn w:val="Normal"/>
    <w:next w:val="Normal"/>
    <w:autoRedefine/>
    <w:uiPriority w:val="99"/>
    <w:semiHidden/>
    <w:locked/>
    <w:rsid w:val="00D0339F"/>
    <w:pPr>
      <w:spacing w:after="0" w:line="240" w:lineRule="auto"/>
      <w:ind w:left="1260" w:hanging="210"/>
    </w:pPr>
  </w:style>
  <w:style w:type="paragraph" w:styleId="Index7">
    <w:name w:val="index 7"/>
    <w:basedOn w:val="Normal"/>
    <w:next w:val="Normal"/>
    <w:autoRedefine/>
    <w:uiPriority w:val="99"/>
    <w:semiHidden/>
    <w:locked/>
    <w:rsid w:val="00D0339F"/>
    <w:pPr>
      <w:spacing w:after="0" w:line="240" w:lineRule="auto"/>
      <w:ind w:left="1470" w:hanging="210"/>
    </w:pPr>
  </w:style>
  <w:style w:type="paragraph" w:styleId="Index8">
    <w:name w:val="index 8"/>
    <w:basedOn w:val="Normal"/>
    <w:next w:val="Normal"/>
    <w:autoRedefine/>
    <w:uiPriority w:val="99"/>
    <w:semiHidden/>
    <w:locked/>
    <w:rsid w:val="00D0339F"/>
    <w:pPr>
      <w:spacing w:after="0" w:line="240" w:lineRule="auto"/>
      <w:ind w:left="1680" w:hanging="210"/>
    </w:pPr>
  </w:style>
  <w:style w:type="paragraph" w:styleId="Index9">
    <w:name w:val="index 9"/>
    <w:basedOn w:val="Normal"/>
    <w:next w:val="Normal"/>
    <w:autoRedefine/>
    <w:uiPriority w:val="99"/>
    <w:semiHidden/>
    <w:locked/>
    <w:rsid w:val="00D0339F"/>
    <w:pPr>
      <w:spacing w:after="0" w:line="240" w:lineRule="auto"/>
      <w:ind w:left="1890" w:hanging="210"/>
    </w:pPr>
  </w:style>
  <w:style w:type="paragraph" w:styleId="IndexHeading">
    <w:name w:val="index heading"/>
    <w:basedOn w:val="Normal"/>
    <w:next w:val="Index1"/>
    <w:uiPriority w:val="99"/>
    <w:semiHidden/>
    <w:locked/>
    <w:rsid w:val="00D0339F"/>
    <w:rPr>
      <w:rFonts w:asciiTheme="majorHAnsi" w:eastAsiaTheme="majorEastAsia" w:hAnsiTheme="majorHAnsi" w:cstheme="majorBidi"/>
      <w:b/>
      <w:bCs/>
    </w:rPr>
  </w:style>
  <w:style w:type="character" w:styleId="IntenseEmphasis">
    <w:name w:val="Intense Emphasis"/>
    <w:basedOn w:val="DefaultParagraphFont"/>
    <w:uiPriority w:val="21"/>
    <w:semiHidden/>
    <w:rsid w:val="00D0339F"/>
    <w:rPr>
      <w:i/>
      <w:iCs/>
      <w:color w:val="CC6600" w:themeColor="accent1"/>
    </w:rPr>
  </w:style>
  <w:style w:type="character" w:styleId="IntenseReference">
    <w:name w:val="Intense Reference"/>
    <w:basedOn w:val="DefaultParagraphFont"/>
    <w:uiPriority w:val="32"/>
    <w:semiHidden/>
    <w:rsid w:val="00D0339F"/>
    <w:rPr>
      <w:b/>
      <w:bCs/>
      <w:smallCaps/>
      <w:color w:val="CC6600" w:themeColor="accent1"/>
      <w:spacing w:val="5"/>
    </w:rPr>
  </w:style>
  <w:style w:type="character" w:styleId="LineNumber">
    <w:name w:val="line number"/>
    <w:basedOn w:val="DefaultParagraphFont"/>
    <w:uiPriority w:val="99"/>
    <w:semiHidden/>
    <w:locked/>
    <w:rsid w:val="00D0339F"/>
  </w:style>
  <w:style w:type="paragraph" w:styleId="MacroText">
    <w:name w:val="macro"/>
    <w:link w:val="MacroTextChar"/>
    <w:uiPriority w:val="99"/>
    <w:semiHidden/>
    <w:locked/>
    <w:rsid w:val="00D0339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0339F"/>
    <w:rPr>
      <w:rFonts w:ascii="Consolas" w:hAnsi="Consolas"/>
      <w:sz w:val="20"/>
      <w:szCs w:val="20"/>
    </w:rPr>
  </w:style>
  <w:style w:type="character" w:styleId="Mention">
    <w:name w:val="Mention"/>
    <w:basedOn w:val="DefaultParagraphFont"/>
    <w:uiPriority w:val="99"/>
    <w:semiHidden/>
    <w:locked/>
    <w:rsid w:val="00D0339F"/>
    <w:rPr>
      <w:color w:val="2B579A"/>
      <w:shd w:val="clear" w:color="auto" w:fill="E1DFDD"/>
    </w:rPr>
  </w:style>
  <w:style w:type="paragraph" w:styleId="MessageHeader">
    <w:name w:val="Message Header"/>
    <w:basedOn w:val="Normal"/>
    <w:link w:val="MessageHeaderChar"/>
    <w:uiPriority w:val="99"/>
    <w:semiHidden/>
    <w:locked/>
    <w:rsid w:val="00D0339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0339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D0339F"/>
    <w:rPr>
      <w:rFonts w:ascii="Times New Roman" w:hAnsi="Times New Roman" w:cs="Times New Roman"/>
      <w:sz w:val="24"/>
      <w:szCs w:val="24"/>
    </w:rPr>
  </w:style>
  <w:style w:type="paragraph" w:styleId="NormalIndent">
    <w:name w:val="Normal Indent"/>
    <w:basedOn w:val="Normal"/>
    <w:uiPriority w:val="99"/>
    <w:semiHidden/>
    <w:locked/>
    <w:rsid w:val="00D0339F"/>
    <w:pPr>
      <w:ind w:left="720"/>
    </w:pPr>
  </w:style>
  <w:style w:type="character" w:styleId="PageNumber">
    <w:name w:val="page number"/>
    <w:basedOn w:val="DefaultParagraphFont"/>
    <w:uiPriority w:val="99"/>
    <w:semiHidden/>
    <w:locked/>
    <w:rsid w:val="00D0339F"/>
  </w:style>
  <w:style w:type="paragraph" w:styleId="PlainText">
    <w:name w:val="Plain Text"/>
    <w:basedOn w:val="Normal"/>
    <w:link w:val="PlainTextChar"/>
    <w:uiPriority w:val="99"/>
    <w:semiHidden/>
    <w:rsid w:val="00D0339F"/>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0339F"/>
    <w:rPr>
      <w:rFonts w:ascii="Consolas" w:hAnsi="Consolas"/>
      <w:szCs w:val="21"/>
    </w:rPr>
  </w:style>
  <w:style w:type="character" w:styleId="SmartHyperlink">
    <w:name w:val="Smart Hyperlink"/>
    <w:basedOn w:val="DefaultParagraphFont"/>
    <w:uiPriority w:val="99"/>
    <w:semiHidden/>
    <w:locked/>
    <w:rsid w:val="00D0339F"/>
    <w:rPr>
      <w:u w:val="dotted"/>
    </w:rPr>
  </w:style>
  <w:style w:type="character" w:styleId="SmartLink">
    <w:name w:val="Smart Link"/>
    <w:basedOn w:val="DefaultParagraphFont"/>
    <w:uiPriority w:val="99"/>
    <w:semiHidden/>
    <w:locked/>
    <w:rsid w:val="00D0339F"/>
    <w:rPr>
      <w:color w:val="0000FF"/>
      <w:u w:val="single"/>
      <w:shd w:val="clear" w:color="auto" w:fill="F3F2F1"/>
    </w:rPr>
  </w:style>
  <w:style w:type="character" w:styleId="SubtleEmphasis">
    <w:name w:val="Subtle Emphasis"/>
    <w:basedOn w:val="DefaultParagraphFont"/>
    <w:uiPriority w:val="19"/>
    <w:semiHidden/>
    <w:rsid w:val="00D0339F"/>
    <w:rPr>
      <w:i/>
      <w:iCs/>
      <w:color w:val="595959" w:themeColor="text1" w:themeTint="BF"/>
    </w:rPr>
  </w:style>
  <w:style w:type="character" w:styleId="SubtleReference">
    <w:name w:val="Subtle Reference"/>
    <w:basedOn w:val="DefaultParagraphFont"/>
    <w:uiPriority w:val="31"/>
    <w:semiHidden/>
    <w:rsid w:val="00D0339F"/>
    <w:rPr>
      <w:smallCaps/>
      <w:color w:val="707070" w:themeColor="text1" w:themeTint="A5"/>
    </w:rPr>
  </w:style>
  <w:style w:type="paragraph" w:styleId="TableofAuthorities">
    <w:name w:val="table of authorities"/>
    <w:basedOn w:val="Normal"/>
    <w:next w:val="Normal"/>
    <w:uiPriority w:val="99"/>
    <w:semiHidden/>
    <w:rsid w:val="00D0339F"/>
    <w:pPr>
      <w:spacing w:after="0"/>
      <w:ind w:left="210" w:hanging="210"/>
    </w:pPr>
  </w:style>
  <w:style w:type="paragraph" w:styleId="TOAHeading">
    <w:name w:val="toa heading"/>
    <w:basedOn w:val="Normal"/>
    <w:next w:val="Normal"/>
    <w:uiPriority w:val="99"/>
    <w:semiHidden/>
    <w:rsid w:val="00D0339F"/>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rsid w:val="00D0339F"/>
    <w:pPr>
      <w:spacing w:after="100"/>
      <w:ind w:left="840"/>
    </w:pPr>
  </w:style>
  <w:style w:type="paragraph" w:styleId="TOC6">
    <w:name w:val="toc 6"/>
    <w:basedOn w:val="Normal"/>
    <w:next w:val="Normal"/>
    <w:autoRedefine/>
    <w:uiPriority w:val="39"/>
    <w:semiHidden/>
    <w:rsid w:val="00D0339F"/>
    <w:pPr>
      <w:spacing w:after="100"/>
      <w:ind w:left="1050"/>
    </w:pPr>
  </w:style>
  <w:style w:type="paragraph" w:styleId="TOC7">
    <w:name w:val="toc 7"/>
    <w:basedOn w:val="Normal"/>
    <w:next w:val="Normal"/>
    <w:autoRedefine/>
    <w:uiPriority w:val="39"/>
    <w:semiHidden/>
    <w:rsid w:val="00D0339F"/>
    <w:pPr>
      <w:spacing w:after="100"/>
      <w:ind w:left="1260"/>
    </w:pPr>
  </w:style>
  <w:style w:type="paragraph" w:styleId="TOC8">
    <w:name w:val="toc 8"/>
    <w:basedOn w:val="Normal"/>
    <w:next w:val="Normal"/>
    <w:autoRedefine/>
    <w:uiPriority w:val="39"/>
    <w:semiHidden/>
    <w:rsid w:val="00D0339F"/>
    <w:pPr>
      <w:spacing w:after="100"/>
      <w:ind w:left="1470"/>
    </w:pPr>
  </w:style>
  <w:style w:type="paragraph" w:styleId="TOC9">
    <w:name w:val="toc 9"/>
    <w:basedOn w:val="Normal"/>
    <w:next w:val="Normal"/>
    <w:autoRedefine/>
    <w:uiPriority w:val="39"/>
    <w:semiHidden/>
    <w:rsid w:val="00D0339F"/>
    <w:pPr>
      <w:spacing w:after="100"/>
      <w:ind w:left="1680"/>
    </w:pPr>
  </w:style>
  <w:style w:type="character" w:styleId="UnresolvedMention">
    <w:name w:val="Unresolved Mention"/>
    <w:basedOn w:val="DefaultParagraphFont"/>
    <w:uiPriority w:val="99"/>
    <w:semiHidden/>
    <w:locked/>
    <w:rsid w:val="00D0339F"/>
    <w:rPr>
      <w:color w:val="605E5C"/>
      <w:shd w:val="clear" w:color="auto" w:fill="E1DFDD"/>
    </w:rPr>
  </w:style>
  <w:style w:type="paragraph" w:customStyle="1" w:styleId="ToH2">
    <w:name w:val="ToH2"/>
    <w:basedOn w:val="Normal"/>
    <w:uiPriority w:val="39"/>
    <w:rsid w:val="00D0339F"/>
    <w:pPr>
      <w:spacing w:before="240" w:after="120"/>
    </w:pPr>
    <w:rPr>
      <w:rFonts w:asciiTheme="majorHAnsi" w:hAnsiTheme="majorHAnsi"/>
      <w:color w:val="0D3E67" w:themeColor="accent3"/>
      <w:sz w:val="32"/>
    </w:rPr>
  </w:style>
  <w:style w:type="table" w:styleId="PlainTable5">
    <w:name w:val="Plain Table 5"/>
    <w:basedOn w:val="TableNormal"/>
    <w:uiPriority w:val="45"/>
    <w:locked/>
    <w:rsid w:val="00D0339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umnBlock">
    <w:name w:val="Column Block"/>
    <w:basedOn w:val="Normal"/>
    <w:next w:val="Normal"/>
    <w:uiPriority w:val="19"/>
    <w:qFormat/>
    <w:rsid w:val="00D0339F"/>
    <w:pPr>
      <w:pBdr>
        <w:top w:val="single" w:sz="4" w:space="5" w:color="CBC3BB" w:themeColor="text2"/>
        <w:left w:val="single" w:sz="4" w:space="5" w:color="CBC3BB" w:themeColor="text2"/>
        <w:bottom w:val="single" w:sz="4" w:space="5" w:color="CBC3BB" w:themeColor="text2"/>
        <w:right w:val="single" w:sz="4" w:space="5" w:color="CBC3BB" w:themeColor="text2"/>
      </w:pBdr>
      <w:shd w:val="clear" w:color="auto" w:fill="0D3E67" w:themeFill="accent3"/>
    </w:pPr>
    <w:rPr>
      <w:color w:val="FFFFFF" w:themeColor="background1"/>
    </w:rPr>
  </w:style>
  <w:style w:type="paragraph" w:customStyle="1" w:styleId="Pulloutquote">
    <w:name w:val="Pull out quote"/>
    <w:basedOn w:val="Normal"/>
    <w:uiPriority w:val="20"/>
    <w:qFormat/>
    <w:rsid w:val="00D0339F"/>
    <w:pPr>
      <w:pBdr>
        <w:top w:val="single" w:sz="24" w:space="10" w:color="0D3E67" w:themeColor="accent3"/>
        <w:bottom w:val="single" w:sz="24" w:space="10" w:color="0D3E67" w:themeColor="accent3"/>
      </w:pBdr>
      <w:spacing w:before="360" w:after="360"/>
      <w:ind w:left="567" w:right="816"/>
      <w:jc w:val="center"/>
    </w:pPr>
    <w:rPr>
      <w:i/>
      <w:color w:val="0D3E67" w:themeColor="accent3"/>
      <w:sz w:val="24"/>
    </w:rPr>
  </w:style>
  <w:style w:type="paragraph" w:customStyle="1" w:styleId="ExecutiveSummary">
    <w:name w:val="Executive Summary"/>
    <w:basedOn w:val="Normal"/>
    <w:uiPriority w:val="11"/>
    <w:semiHidden/>
    <w:qFormat/>
    <w:rsid w:val="00D0339F"/>
    <w:pPr>
      <w:pBdr>
        <w:top w:val="single" w:sz="8" w:space="10" w:color="CC6600" w:themeColor="accent1"/>
      </w:pBdr>
      <w:spacing w:after="360"/>
    </w:pPr>
    <w:rPr>
      <w:rFonts w:asciiTheme="majorHAnsi" w:hAnsiTheme="majorHAnsi"/>
      <w:sz w:val="40"/>
    </w:rPr>
  </w:style>
  <w:style w:type="paragraph" w:customStyle="1" w:styleId="ExecutiveSummary2">
    <w:name w:val="Executive Summary2"/>
    <w:basedOn w:val="Normal"/>
    <w:next w:val="Normal"/>
    <w:uiPriority w:val="11"/>
    <w:semiHidden/>
    <w:qFormat/>
    <w:rsid w:val="00D0339F"/>
    <w:pPr>
      <w:spacing w:before="240" w:after="120"/>
    </w:pPr>
    <w:rPr>
      <w:rFonts w:asciiTheme="majorHAnsi" w:hAnsiTheme="majorHAnsi"/>
      <w:color w:val="0D3E67" w:themeColor="accent3"/>
      <w:sz w:val="32"/>
    </w:rPr>
  </w:style>
  <w:style w:type="numbering" w:customStyle="1" w:styleId="BlockList">
    <w:name w:val="Block List"/>
    <w:basedOn w:val="NoList"/>
    <w:uiPriority w:val="99"/>
    <w:rsid w:val="00D0339F"/>
    <w:pPr>
      <w:numPr>
        <w:numId w:val="9"/>
      </w:numPr>
    </w:pPr>
  </w:style>
  <w:style w:type="paragraph" w:styleId="List">
    <w:name w:val="List"/>
    <w:basedOn w:val="Normal"/>
    <w:uiPriority w:val="99"/>
    <w:semiHidden/>
    <w:rsid w:val="00D0339F"/>
    <w:pPr>
      <w:ind w:left="283" w:hanging="283"/>
      <w:contextualSpacing/>
    </w:pPr>
  </w:style>
  <w:style w:type="paragraph" w:styleId="List2">
    <w:name w:val="List 2"/>
    <w:basedOn w:val="Normal"/>
    <w:uiPriority w:val="99"/>
    <w:semiHidden/>
    <w:rsid w:val="00D0339F"/>
    <w:pPr>
      <w:ind w:left="566" w:hanging="283"/>
      <w:contextualSpacing/>
    </w:pPr>
  </w:style>
  <w:style w:type="paragraph" w:styleId="List3">
    <w:name w:val="List 3"/>
    <w:basedOn w:val="Normal"/>
    <w:uiPriority w:val="99"/>
    <w:semiHidden/>
    <w:rsid w:val="00D0339F"/>
    <w:pPr>
      <w:ind w:left="849" w:hanging="283"/>
      <w:contextualSpacing/>
    </w:pPr>
  </w:style>
  <w:style w:type="paragraph" w:styleId="List4">
    <w:name w:val="List 4"/>
    <w:basedOn w:val="Normal"/>
    <w:uiPriority w:val="99"/>
    <w:semiHidden/>
    <w:rsid w:val="00D0339F"/>
    <w:pPr>
      <w:ind w:left="1132" w:hanging="283"/>
      <w:contextualSpacing/>
    </w:pPr>
  </w:style>
  <w:style w:type="paragraph" w:styleId="List5">
    <w:name w:val="List 5"/>
    <w:basedOn w:val="Normal"/>
    <w:uiPriority w:val="99"/>
    <w:semiHidden/>
    <w:rsid w:val="00D0339F"/>
    <w:pPr>
      <w:ind w:left="1415" w:hanging="283"/>
      <w:contextualSpacing/>
    </w:pPr>
  </w:style>
  <w:style w:type="character" w:customStyle="1" w:styleId="TealblocktextChar">
    <w:name w:val="Teal block text Char"/>
    <w:basedOn w:val="OrangeblocktextChar"/>
    <w:link w:val="Tealblocktext"/>
    <w:uiPriority w:val="19"/>
    <w:rsid w:val="00D0339F"/>
    <w:rPr>
      <w:shd w:val="clear" w:color="auto" w:fill="D9F1ED"/>
    </w:rPr>
  </w:style>
  <w:style w:type="character" w:customStyle="1" w:styleId="OrangeblockheadingChar">
    <w:name w:val="Orange block heading Char"/>
    <w:basedOn w:val="DefaultParagraphFont"/>
    <w:link w:val="Orangeblockheading"/>
    <w:uiPriority w:val="19"/>
    <w:rsid w:val="00D0339F"/>
    <w:rPr>
      <w:rFonts w:asciiTheme="majorHAnsi" w:hAnsiTheme="majorHAnsi"/>
      <w:sz w:val="28"/>
      <w:shd w:val="clear" w:color="auto" w:fill="FCE2CC" w:themeFill="accent2"/>
    </w:rPr>
  </w:style>
  <w:style w:type="character" w:customStyle="1" w:styleId="OrangeblocktextChar">
    <w:name w:val="Orange block text Char"/>
    <w:basedOn w:val="DefaultParagraphFont"/>
    <w:link w:val="Orangeblocktext"/>
    <w:uiPriority w:val="19"/>
    <w:rsid w:val="00D0339F"/>
    <w:rPr>
      <w:shd w:val="clear" w:color="auto" w:fill="FCE2CC" w:themeFill="accent2"/>
    </w:rPr>
  </w:style>
  <w:style w:type="character" w:customStyle="1" w:styleId="TealblockheadingChar">
    <w:name w:val="Teal block heading Char"/>
    <w:basedOn w:val="TealblocktextChar"/>
    <w:link w:val="Tealblockheading"/>
    <w:uiPriority w:val="19"/>
    <w:rsid w:val="00D0339F"/>
    <w:rPr>
      <w:rFonts w:asciiTheme="majorHAnsi" w:hAnsiTheme="majorHAnsi"/>
      <w:sz w:val="28"/>
      <w:shd w:val="clear" w:color="auto" w:fill="D9F1ED"/>
    </w:rPr>
  </w:style>
  <w:style w:type="character" w:customStyle="1" w:styleId="Heading1nonumberChar">
    <w:name w:val="Heading 1 no number Char"/>
    <w:basedOn w:val="Heading1Char"/>
    <w:link w:val="Heading1nonumber"/>
    <w:uiPriority w:val="9"/>
    <w:rsid w:val="00D0339F"/>
    <w:rPr>
      <w:rFonts w:asciiTheme="majorHAnsi" w:eastAsiaTheme="majorEastAsia" w:hAnsiTheme="majorHAnsi" w:cstheme="majorBidi"/>
      <w:caps/>
      <w:sz w:val="40"/>
      <w:szCs w:val="32"/>
    </w:rPr>
  </w:style>
  <w:style w:type="character" w:customStyle="1" w:styleId="Heading3nonumberChar">
    <w:name w:val="Heading 3 no number Char"/>
    <w:basedOn w:val="Heading3Char"/>
    <w:link w:val="Heading3nonumber"/>
    <w:uiPriority w:val="9"/>
    <w:rsid w:val="00D0339F"/>
    <w:rPr>
      <w:rFonts w:asciiTheme="majorHAnsi" w:eastAsiaTheme="majorEastAsia" w:hAnsiTheme="majorHAnsi" w:cstheme="majorBidi"/>
      <w:sz w:val="28"/>
      <w:szCs w:val="24"/>
    </w:rPr>
  </w:style>
  <w:style w:type="character" w:customStyle="1" w:styleId="Heading4nonumberChar">
    <w:name w:val="Heading 4 no number Char"/>
    <w:basedOn w:val="Heading4Char"/>
    <w:link w:val="Heading4nonumber"/>
    <w:uiPriority w:val="9"/>
    <w:rsid w:val="00D0339F"/>
    <w:rPr>
      <w:rFonts w:asciiTheme="majorHAnsi" w:eastAsiaTheme="majorEastAsia" w:hAnsiTheme="majorHAnsi" w:cstheme="majorBidi"/>
      <w:i/>
      <w:iCs/>
      <w:sz w:val="24"/>
    </w:rPr>
  </w:style>
  <w:style w:type="table" w:styleId="ColorfulGrid">
    <w:name w:val="Colorful Grid"/>
    <w:basedOn w:val="TableNormal"/>
    <w:uiPriority w:val="73"/>
    <w:semiHidden/>
    <w:unhideWhenUsed/>
    <w:locked/>
    <w:rsid w:val="00D0339F"/>
    <w:pPr>
      <w:spacing w:after="0" w:line="240" w:lineRule="auto"/>
    </w:pPr>
    <w:tblPr>
      <w:tblStyleRowBandSize w:val="1"/>
      <w:tblStyleColBandSize w:val="1"/>
      <w:tblBorders>
        <w:insideH w:val="single" w:sz="4" w:space="0" w:color="FFFFFF" w:themeColor="background1"/>
      </w:tblBorders>
    </w:tblPr>
    <w:tcPr>
      <w:shd w:val="clear" w:color="auto" w:fill="D2D2D2" w:themeFill="text1" w:themeFillTint="33"/>
    </w:tcPr>
    <w:tblStylePr w:type="firstRow">
      <w:rPr>
        <w:b/>
        <w:bCs/>
      </w:rPr>
      <w:tblPr/>
      <w:tcPr>
        <w:shd w:val="clear" w:color="auto" w:fill="A6A6A6" w:themeFill="text1" w:themeFillTint="66"/>
      </w:tcPr>
    </w:tblStylePr>
    <w:tblStylePr w:type="lastRow">
      <w:rPr>
        <w:b/>
        <w:bCs/>
        <w:color w:val="222222" w:themeColor="text1"/>
      </w:rPr>
      <w:tblPr/>
      <w:tcPr>
        <w:shd w:val="clear" w:color="auto" w:fill="A6A6A6" w:themeFill="text1" w:themeFillTint="66"/>
      </w:tcPr>
    </w:tblStylePr>
    <w:tblStylePr w:type="firstCol">
      <w:rPr>
        <w:color w:val="FFFFFF" w:themeColor="background1"/>
      </w:rPr>
      <w:tblPr/>
      <w:tcPr>
        <w:shd w:val="clear" w:color="auto" w:fill="191919" w:themeFill="text1" w:themeFillShade="BF"/>
      </w:tcPr>
    </w:tblStylePr>
    <w:tblStylePr w:type="lastCol">
      <w:rPr>
        <w:color w:val="FFFFFF" w:themeColor="background1"/>
      </w:rPr>
      <w:tblPr/>
      <w:tcPr>
        <w:shd w:val="clear" w:color="auto" w:fill="191919" w:themeFill="text1" w:themeFillShade="BF"/>
      </w:tcPr>
    </w:tblStylePr>
    <w:tblStylePr w:type="band1Vert">
      <w:tblPr/>
      <w:tcPr>
        <w:shd w:val="clear" w:color="auto" w:fill="909090" w:themeFill="text1" w:themeFillTint="7F"/>
      </w:tcPr>
    </w:tblStylePr>
    <w:tblStylePr w:type="band1Horz">
      <w:tblPr/>
      <w:tcPr>
        <w:shd w:val="clear" w:color="auto" w:fill="909090" w:themeFill="text1" w:themeFillTint="7F"/>
      </w:tcPr>
    </w:tblStylePr>
  </w:style>
  <w:style w:type="table" w:styleId="ColorfulGrid-Accent1">
    <w:name w:val="Colorful Grid Accent 1"/>
    <w:basedOn w:val="TableNormal"/>
    <w:uiPriority w:val="73"/>
    <w:semiHidden/>
    <w:unhideWhenUsed/>
    <w:locked/>
    <w:rsid w:val="00D0339F"/>
    <w:pPr>
      <w:spacing w:after="0" w:line="240" w:lineRule="auto"/>
    </w:pPr>
    <w:tblPr>
      <w:tblStyleRowBandSize w:val="1"/>
      <w:tblStyleColBandSize w:val="1"/>
      <w:tblBorders>
        <w:insideH w:val="single" w:sz="4" w:space="0" w:color="FFFFFF" w:themeColor="background1"/>
      </w:tblBorders>
    </w:tblPr>
    <w:tcPr>
      <w:shd w:val="clear" w:color="auto" w:fill="FFE0C1" w:themeFill="accent1" w:themeFillTint="33"/>
    </w:tcPr>
    <w:tblStylePr w:type="firstRow">
      <w:rPr>
        <w:b/>
        <w:bCs/>
      </w:rPr>
      <w:tblPr/>
      <w:tcPr>
        <w:shd w:val="clear" w:color="auto" w:fill="FFC184" w:themeFill="accent1" w:themeFillTint="66"/>
      </w:tcPr>
    </w:tblStylePr>
    <w:tblStylePr w:type="lastRow">
      <w:rPr>
        <w:b/>
        <w:bCs/>
        <w:color w:val="222222" w:themeColor="text1"/>
      </w:rPr>
      <w:tblPr/>
      <w:tcPr>
        <w:shd w:val="clear" w:color="auto" w:fill="FFC184" w:themeFill="accent1" w:themeFillTint="66"/>
      </w:tcPr>
    </w:tblStylePr>
    <w:tblStylePr w:type="firstCol">
      <w:rPr>
        <w:color w:val="FFFFFF" w:themeColor="background1"/>
      </w:rPr>
      <w:tblPr/>
      <w:tcPr>
        <w:shd w:val="clear" w:color="auto" w:fill="984C00" w:themeFill="accent1" w:themeFillShade="BF"/>
      </w:tcPr>
    </w:tblStylePr>
    <w:tblStylePr w:type="lastCol">
      <w:rPr>
        <w:color w:val="FFFFFF" w:themeColor="background1"/>
      </w:rPr>
      <w:tblPr/>
      <w:tcPr>
        <w:shd w:val="clear" w:color="auto" w:fill="984C00" w:themeFill="accent1" w:themeFillShade="BF"/>
      </w:tcPr>
    </w:tblStylePr>
    <w:tblStylePr w:type="band1Vert">
      <w:tblPr/>
      <w:tcPr>
        <w:shd w:val="clear" w:color="auto" w:fill="FFB266" w:themeFill="accent1" w:themeFillTint="7F"/>
      </w:tcPr>
    </w:tblStylePr>
    <w:tblStylePr w:type="band1Horz">
      <w:tblPr/>
      <w:tcPr>
        <w:shd w:val="clear" w:color="auto" w:fill="FFB266" w:themeFill="accent1" w:themeFillTint="7F"/>
      </w:tcPr>
    </w:tblStylePr>
  </w:style>
  <w:style w:type="table" w:styleId="ColorfulGrid-Accent2">
    <w:name w:val="Colorful Grid Accent 2"/>
    <w:basedOn w:val="TableNormal"/>
    <w:uiPriority w:val="73"/>
    <w:semiHidden/>
    <w:unhideWhenUsed/>
    <w:locked/>
    <w:rsid w:val="00D0339F"/>
    <w:pPr>
      <w:spacing w:after="0" w:line="240" w:lineRule="auto"/>
    </w:pPr>
    <w:tblPr>
      <w:tblStyleRowBandSize w:val="1"/>
      <w:tblStyleColBandSize w:val="1"/>
      <w:tblBorders>
        <w:insideH w:val="single" w:sz="4" w:space="0" w:color="FFFFFF" w:themeColor="background1"/>
      </w:tblBorders>
    </w:tblPr>
    <w:tcPr>
      <w:shd w:val="clear" w:color="auto" w:fill="FEF9F4" w:themeFill="accent2" w:themeFillTint="33"/>
    </w:tcPr>
    <w:tblStylePr w:type="firstRow">
      <w:rPr>
        <w:b/>
        <w:bCs/>
      </w:rPr>
      <w:tblPr/>
      <w:tcPr>
        <w:shd w:val="clear" w:color="auto" w:fill="FDF3EA" w:themeFill="accent2" w:themeFillTint="66"/>
      </w:tcPr>
    </w:tblStylePr>
    <w:tblStylePr w:type="lastRow">
      <w:rPr>
        <w:b/>
        <w:bCs/>
        <w:color w:val="222222" w:themeColor="text1"/>
      </w:rPr>
      <w:tblPr/>
      <w:tcPr>
        <w:shd w:val="clear" w:color="auto" w:fill="FDF3EA" w:themeFill="accent2" w:themeFillTint="66"/>
      </w:tcPr>
    </w:tblStylePr>
    <w:tblStylePr w:type="firstCol">
      <w:rPr>
        <w:color w:val="FFFFFF" w:themeColor="background1"/>
      </w:rPr>
      <w:tblPr/>
      <w:tcPr>
        <w:shd w:val="clear" w:color="auto" w:fill="F5A35F" w:themeFill="accent2" w:themeFillShade="BF"/>
      </w:tcPr>
    </w:tblStylePr>
    <w:tblStylePr w:type="lastCol">
      <w:rPr>
        <w:color w:val="FFFFFF" w:themeColor="background1"/>
      </w:rPr>
      <w:tblPr/>
      <w:tcPr>
        <w:shd w:val="clear" w:color="auto" w:fill="F5A35F" w:themeFill="accent2" w:themeFillShade="BF"/>
      </w:tcPr>
    </w:tblStylePr>
    <w:tblStylePr w:type="band1Vert">
      <w:tblPr/>
      <w:tcPr>
        <w:shd w:val="clear" w:color="auto" w:fill="FDF0E5" w:themeFill="accent2" w:themeFillTint="7F"/>
      </w:tcPr>
    </w:tblStylePr>
    <w:tblStylePr w:type="band1Horz">
      <w:tblPr/>
      <w:tcPr>
        <w:shd w:val="clear" w:color="auto" w:fill="FDF0E5" w:themeFill="accent2" w:themeFillTint="7F"/>
      </w:tcPr>
    </w:tblStylePr>
  </w:style>
  <w:style w:type="table" w:styleId="ColorfulGrid-Accent3">
    <w:name w:val="Colorful Grid Accent 3"/>
    <w:basedOn w:val="TableNormal"/>
    <w:uiPriority w:val="73"/>
    <w:semiHidden/>
    <w:unhideWhenUsed/>
    <w:locked/>
    <w:rsid w:val="00D0339F"/>
    <w:pPr>
      <w:spacing w:after="0" w:line="240" w:lineRule="auto"/>
    </w:pPr>
    <w:tblPr>
      <w:tblStyleRowBandSize w:val="1"/>
      <w:tblStyleColBandSize w:val="1"/>
      <w:tblBorders>
        <w:insideH w:val="single" w:sz="4" w:space="0" w:color="FFFFFF" w:themeColor="background1"/>
      </w:tblBorders>
    </w:tblPr>
    <w:tcPr>
      <w:shd w:val="clear" w:color="auto" w:fill="B8DAF6" w:themeFill="accent3" w:themeFillTint="33"/>
    </w:tcPr>
    <w:tblStylePr w:type="firstRow">
      <w:rPr>
        <w:b/>
        <w:bCs/>
      </w:rPr>
      <w:tblPr/>
      <w:tcPr>
        <w:shd w:val="clear" w:color="auto" w:fill="73B5ED" w:themeFill="accent3" w:themeFillTint="66"/>
      </w:tcPr>
    </w:tblStylePr>
    <w:tblStylePr w:type="lastRow">
      <w:rPr>
        <w:b/>
        <w:bCs/>
        <w:color w:val="222222" w:themeColor="text1"/>
      </w:rPr>
      <w:tblPr/>
      <w:tcPr>
        <w:shd w:val="clear" w:color="auto" w:fill="73B5ED" w:themeFill="accent3" w:themeFillTint="66"/>
      </w:tcPr>
    </w:tblStylePr>
    <w:tblStylePr w:type="firstCol">
      <w:rPr>
        <w:color w:val="FFFFFF" w:themeColor="background1"/>
      </w:rPr>
      <w:tblPr/>
      <w:tcPr>
        <w:shd w:val="clear" w:color="auto" w:fill="092E4C" w:themeFill="accent3" w:themeFillShade="BF"/>
      </w:tcPr>
    </w:tblStylePr>
    <w:tblStylePr w:type="lastCol">
      <w:rPr>
        <w:color w:val="FFFFFF" w:themeColor="background1"/>
      </w:rPr>
      <w:tblPr/>
      <w:tcPr>
        <w:shd w:val="clear" w:color="auto" w:fill="092E4C" w:themeFill="accent3" w:themeFillShade="BF"/>
      </w:tcPr>
    </w:tblStylePr>
    <w:tblStylePr w:type="band1Vert">
      <w:tblPr/>
      <w:tcPr>
        <w:shd w:val="clear" w:color="auto" w:fill="50A3E9" w:themeFill="accent3" w:themeFillTint="7F"/>
      </w:tcPr>
    </w:tblStylePr>
    <w:tblStylePr w:type="band1Horz">
      <w:tblPr/>
      <w:tcPr>
        <w:shd w:val="clear" w:color="auto" w:fill="50A3E9" w:themeFill="accent3" w:themeFillTint="7F"/>
      </w:tcPr>
    </w:tblStylePr>
  </w:style>
  <w:style w:type="table" w:styleId="ColorfulGrid-Accent4">
    <w:name w:val="Colorful Grid Accent 4"/>
    <w:basedOn w:val="TableNormal"/>
    <w:uiPriority w:val="73"/>
    <w:semiHidden/>
    <w:unhideWhenUsed/>
    <w:locked/>
    <w:rsid w:val="00D0339F"/>
    <w:pPr>
      <w:spacing w:after="0" w:line="240" w:lineRule="auto"/>
    </w:pPr>
    <w:tblPr>
      <w:tblStyleRowBandSize w:val="1"/>
      <w:tblStyleColBandSize w:val="1"/>
      <w:tblBorders>
        <w:insideH w:val="single" w:sz="4" w:space="0" w:color="FFFFFF" w:themeColor="background1"/>
      </w:tblBorders>
    </w:tblPr>
    <w:tcPr>
      <w:shd w:val="clear" w:color="auto" w:fill="E4E9F0" w:themeFill="accent4" w:themeFillTint="33"/>
    </w:tcPr>
    <w:tblStylePr w:type="firstRow">
      <w:rPr>
        <w:b/>
        <w:bCs/>
      </w:rPr>
      <w:tblPr/>
      <w:tcPr>
        <w:shd w:val="clear" w:color="auto" w:fill="CAD4E1" w:themeFill="accent4" w:themeFillTint="66"/>
      </w:tcPr>
    </w:tblStylePr>
    <w:tblStylePr w:type="lastRow">
      <w:rPr>
        <w:b/>
        <w:bCs/>
        <w:color w:val="222222" w:themeColor="text1"/>
      </w:rPr>
      <w:tblPr/>
      <w:tcPr>
        <w:shd w:val="clear" w:color="auto" w:fill="CAD4E1" w:themeFill="accent4" w:themeFillTint="66"/>
      </w:tcPr>
    </w:tblStylePr>
    <w:tblStylePr w:type="firstCol">
      <w:rPr>
        <w:color w:val="FFFFFF" w:themeColor="background1"/>
      </w:rPr>
      <w:tblPr/>
      <w:tcPr>
        <w:shd w:val="clear" w:color="auto" w:fill="536E91" w:themeFill="accent4" w:themeFillShade="BF"/>
      </w:tcPr>
    </w:tblStylePr>
    <w:tblStylePr w:type="lastCol">
      <w:rPr>
        <w:color w:val="FFFFFF" w:themeColor="background1"/>
      </w:rPr>
      <w:tblPr/>
      <w:tcPr>
        <w:shd w:val="clear" w:color="auto" w:fill="536E91" w:themeFill="accent4" w:themeFillShade="BF"/>
      </w:tcPr>
    </w:tblStylePr>
    <w:tblStylePr w:type="band1Vert">
      <w:tblPr/>
      <w:tcPr>
        <w:shd w:val="clear" w:color="auto" w:fill="BECADA" w:themeFill="accent4" w:themeFillTint="7F"/>
      </w:tcPr>
    </w:tblStylePr>
    <w:tblStylePr w:type="band1Horz">
      <w:tblPr/>
      <w:tcPr>
        <w:shd w:val="clear" w:color="auto" w:fill="BECADA" w:themeFill="accent4" w:themeFillTint="7F"/>
      </w:tcPr>
    </w:tblStylePr>
  </w:style>
  <w:style w:type="table" w:styleId="ColorfulGrid-Accent5">
    <w:name w:val="Colorful Grid Accent 5"/>
    <w:basedOn w:val="TableNormal"/>
    <w:uiPriority w:val="73"/>
    <w:semiHidden/>
    <w:unhideWhenUsed/>
    <w:locked/>
    <w:rsid w:val="00D0339F"/>
    <w:pPr>
      <w:spacing w:after="0" w:line="240" w:lineRule="auto"/>
    </w:pPr>
    <w:tblPr>
      <w:tblStyleRowBandSize w:val="1"/>
      <w:tblStyleColBandSize w:val="1"/>
      <w:tblBorders>
        <w:insideH w:val="single" w:sz="4" w:space="0" w:color="FFFFFF" w:themeColor="background1"/>
      </w:tblBorders>
    </w:tblPr>
    <w:tcPr>
      <w:shd w:val="clear" w:color="auto" w:fill="BCF8F1" w:themeFill="accent5" w:themeFillTint="33"/>
    </w:tcPr>
    <w:tblStylePr w:type="firstRow">
      <w:rPr>
        <w:b/>
        <w:bCs/>
      </w:rPr>
      <w:tblPr/>
      <w:tcPr>
        <w:shd w:val="clear" w:color="auto" w:fill="7AF2E4" w:themeFill="accent5" w:themeFillTint="66"/>
      </w:tcPr>
    </w:tblStylePr>
    <w:tblStylePr w:type="lastRow">
      <w:rPr>
        <w:b/>
        <w:bCs/>
        <w:color w:val="222222" w:themeColor="text1"/>
      </w:rPr>
      <w:tblPr/>
      <w:tcPr>
        <w:shd w:val="clear" w:color="auto" w:fill="7AF2E4" w:themeFill="accent5" w:themeFillTint="66"/>
      </w:tcPr>
    </w:tblStylePr>
    <w:tblStylePr w:type="firstCol">
      <w:rPr>
        <w:color w:val="FFFFFF" w:themeColor="background1"/>
      </w:rPr>
      <w:tblPr/>
      <w:tcPr>
        <w:shd w:val="clear" w:color="auto" w:fill="096358" w:themeFill="accent5" w:themeFillShade="BF"/>
      </w:tcPr>
    </w:tblStylePr>
    <w:tblStylePr w:type="lastCol">
      <w:rPr>
        <w:color w:val="FFFFFF" w:themeColor="background1"/>
      </w:rPr>
      <w:tblPr/>
      <w:tcPr>
        <w:shd w:val="clear" w:color="auto" w:fill="096358" w:themeFill="accent5" w:themeFillShade="BF"/>
      </w:tcPr>
    </w:tblStylePr>
    <w:tblStylePr w:type="band1Vert">
      <w:tblPr/>
      <w:tcPr>
        <w:shd w:val="clear" w:color="auto" w:fill="59EEDD" w:themeFill="accent5" w:themeFillTint="7F"/>
      </w:tcPr>
    </w:tblStylePr>
    <w:tblStylePr w:type="band1Horz">
      <w:tblPr/>
      <w:tcPr>
        <w:shd w:val="clear" w:color="auto" w:fill="59EEDD" w:themeFill="accent5" w:themeFillTint="7F"/>
      </w:tcPr>
    </w:tblStylePr>
  </w:style>
  <w:style w:type="table" w:styleId="ColorfulGrid-Accent6">
    <w:name w:val="Colorful Grid Accent 6"/>
    <w:basedOn w:val="TableNormal"/>
    <w:uiPriority w:val="73"/>
    <w:semiHidden/>
    <w:unhideWhenUsed/>
    <w:locked/>
    <w:rsid w:val="00D0339F"/>
    <w:pPr>
      <w:spacing w:after="0" w:line="240" w:lineRule="auto"/>
    </w:pPr>
    <w:tblPr>
      <w:tblStyleRowBandSize w:val="1"/>
      <w:tblStyleColBandSize w:val="1"/>
      <w:tblBorders>
        <w:insideH w:val="single" w:sz="4" w:space="0" w:color="FFFFFF" w:themeColor="background1"/>
      </w:tblBorders>
    </w:tblPr>
    <w:tcPr>
      <w:shd w:val="clear" w:color="auto" w:fill="D9F1ED" w:themeFill="accent6" w:themeFillTint="33"/>
    </w:tcPr>
    <w:tblStylePr w:type="firstRow">
      <w:rPr>
        <w:b/>
        <w:bCs/>
      </w:rPr>
      <w:tblPr/>
      <w:tcPr>
        <w:shd w:val="clear" w:color="auto" w:fill="B4E2DC" w:themeFill="accent6" w:themeFillTint="66"/>
      </w:tcPr>
    </w:tblStylePr>
    <w:tblStylePr w:type="lastRow">
      <w:rPr>
        <w:b/>
        <w:bCs/>
        <w:color w:val="222222" w:themeColor="text1"/>
      </w:rPr>
      <w:tblPr/>
      <w:tcPr>
        <w:shd w:val="clear" w:color="auto" w:fill="B4E2DC" w:themeFill="accent6" w:themeFillTint="66"/>
      </w:tcPr>
    </w:tblStylePr>
    <w:tblStylePr w:type="firstCol">
      <w:rPr>
        <w:color w:val="FFFFFF" w:themeColor="background1"/>
      </w:rPr>
      <w:tblPr/>
      <w:tcPr>
        <w:shd w:val="clear" w:color="auto" w:fill="34897E" w:themeFill="accent6" w:themeFillShade="BF"/>
      </w:tcPr>
    </w:tblStylePr>
    <w:tblStylePr w:type="lastCol">
      <w:rPr>
        <w:color w:val="FFFFFF" w:themeColor="background1"/>
      </w:rPr>
      <w:tblPr/>
      <w:tcPr>
        <w:shd w:val="clear" w:color="auto" w:fill="34897E" w:themeFill="accent6" w:themeFillShade="BF"/>
      </w:tcPr>
    </w:tblStylePr>
    <w:tblStylePr w:type="band1Vert">
      <w:tblPr/>
      <w:tcPr>
        <w:shd w:val="clear" w:color="auto" w:fill="A2DBD4" w:themeFill="accent6" w:themeFillTint="7F"/>
      </w:tcPr>
    </w:tblStylePr>
    <w:tblStylePr w:type="band1Horz">
      <w:tblPr/>
      <w:tcPr>
        <w:shd w:val="clear" w:color="auto" w:fill="A2DBD4" w:themeFill="accent6" w:themeFillTint="7F"/>
      </w:tcPr>
    </w:tblStylePr>
  </w:style>
  <w:style w:type="table" w:styleId="ColorfulList">
    <w:name w:val="Colorful List"/>
    <w:basedOn w:val="TableNormal"/>
    <w:uiPriority w:val="72"/>
    <w:semiHidden/>
    <w:unhideWhenUsed/>
    <w:locked/>
    <w:rsid w:val="00D0339F"/>
    <w:pPr>
      <w:spacing w:after="0" w:line="240" w:lineRule="auto"/>
    </w:pPr>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C8" w:themeFill="text1" w:themeFillTint="3F"/>
      </w:tcPr>
    </w:tblStylePr>
    <w:tblStylePr w:type="band1Horz">
      <w:tblPr/>
      <w:tcPr>
        <w:shd w:val="clear" w:color="auto" w:fill="D2D2D2" w:themeFill="text1" w:themeFillTint="33"/>
      </w:tcPr>
    </w:tblStylePr>
  </w:style>
  <w:style w:type="table" w:styleId="ColorfulList-Accent1">
    <w:name w:val="Colorful List Accent 1"/>
    <w:basedOn w:val="TableNormal"/>
    <w:uiPriority w:val="72"/>
    <w:semiHidden/>
    <w:unhideWhenUsed/>
    <w:locked/>
    <w:rsid w:val="00D0339F"/>
    <w:pPr>
      <w:spacing w:after="0" w:line="240" w:lineRule="auto"/>
    </w:pPr>
    <w:tblPr>
      <w:tblStyleRowBandSize w:val="1"/>
      <w:tblStyleColBandSize w:val="1"/>
    </w:tblPr>
    <w:tcPr>
      <w:shd w:val="clear" w:color="auto" w:fill="FFEFE1" w:themeFill="accent1"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B3" w:themeFill="accent1" w:themeFillTint="3F"/>
      </w:tcPr>
    </w:tblStylePr>
    <w:tblStylePr w:type="band1Horz">
      <w:tblPr/>
      <w:tcPr>
        <w:shd w:val="clear" w:color="auto" w:fill="FFE0C1" w:themeFill="accent1" w:themeFillTint="33"/>
      </w:tcPr>
    </w:tblStylePr>
  </w:style>
  <w:style w:type="table" w:styleId="ColorfulList-Accent2">
    <w:name w:val="Colorful List Accent 2"/>
    <w:basedOn w:val="TableNormal"/>
    <w:uiPriority w:val="72"/>
    <w:semiHidden/>
    <w:unhideWhenUsed/>
    <w:locked/>
    <w:rsid w:val="00D0339F"/>
    <w:pPr>
      <w:spacing w:after="0" w:line="240" w:lineRule="auto"/>
    </w:pPr>
    <w:tblPr>
      <w:tblStyleRowBandSize w:val="1"/>
      <w:tblStyleColBandSize w:val="1"/>
    </w:tblPr>
    <w:tcPr>
      <w:shd w:val="clear" w:color="auto" w:fill="FEFCF9" w:themeFill="accent2"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F2" w:themeFill="accent2" w:themeFillTint="3F"/>
      </w:tcPr>
    </w:tblStylePr>
    <w:tblStylePr w:type="band1Horz">
      <w:tblPr/>
      <w:tcPr>
        <w:shd w:val="clear" w:color="auto" w:fill="FEF9F4" w:themeFill="accent2" w:themeFillTint="33"/>
      </w:tcPr>
    </w:tblStylePr>
  </w:style>
  <w:style w:type="table" w:styleId="ColorfulList-Accent3">
    <w:name w:val="Colorful List Accent 3"/>
    <w:basedOn w:val="TableNormal"/>
    <w:uiPriority w:val="72"/>
    <w:semiHidden/>
    <w:unhideWhenUsed/>
    <w:locked/>
    <w:rsid w:val="00D0339F"/>
    <w:pPr>
      <w:spacing w:after="0" w:line="240" w:lineRule="auto"/>
    </w:pPr>
    <w:tblPr>
      <w:tblStyleRowBandSize w:val="1"/>
      <w:tblStyleColBandSize w:val="1"/>
    </w:tblPr>
    <w:tcPr>
      <w:shd w:val="clear" w:color="auto" w:fill="DCECFA" w:themeFill="accent3" w:themeFillTint="19"/>
    </w:tcPr>
    <w:tblStylePr w:type="firstRow">
      <w:rPr>
        <w:b/>
        <w:bCs/>
        <w:color w:val="FFFFFF" w:themeColor="background1"/>
      </w:rPr>
      <w:tblPr/>
      <w:tcPr>
        <w:tcBorders>
          <w:bottom w:val="single" w:sz="12" w:space="0" w:color="FFFFFF" w:themeColor="background1"/>
        </w:tcBorders>
        <w:shd w:val="clear" w:color="auto" w:fill="58769B" w:themeFill="accent4" w:themeFillShade="CC"/>
      </w:tcPr>
    </w:tblStylePr>
    <w:tblStylePr w:type="lastRow">
      <w:rPr>
        <w:b/>
        <w:bCs/>
        <w:color w:val="58769B" w:themeColor="accent4"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1F4" w:themeFill="accent3" w:themeFillTint="3F"/>
      </w:tcPr>
    </w:tblStylePr>
    <w:tblStylePr w:type="band1Horz">
      <w:tblPr/>
      <w:tcPr>
        <w:shd w:val="clear" w:color="auto" w:fill="B8DAF6" w:themeFill="accent3" w:themeFillTint="33"/>
      </w:tcPr>
    </w:tblStylePr>
  </w:style>
  <w:style w:type="table" w:styleId="ColorfulList-Accent4">
    <w:name w:val="Colorful List Accent 4"/>
    <w:basedOn w:val="TableNormal"/>
    <w:uiPriority w:val="72"/>
    <w:semiHidden/>
    <w:unhideWhenUsed/>
    <w:locked/>
    <w:rsid w:val="00D0339F"/>
    <w:pPr>
      <w:spacing w:after="0" w:line="240" w:lineRule="auto"/>
    </w:pPr>
    <w:tblPr>
      <w:tblStyleRowBandSize w:val="1"/>
      <w:tblStyleColBandSize w:val="1"/>
    </w:tblPr>
    <w:tcPr>
      <w:shd w:val="clear" w:color="auto" w:fill="F2F4F7" w:themeFill="accent4" w:themeFillTint="19"/>
    </w:tcPr>
    <w:tblStylePr w:type="firstRow">
      <w:rPr>
        <w:b/>
        <w:bCs/>
        <w:color w:val="FFFFFF" w:themeColor="background1"/>
      </w:rPr>
      <w:tblPr/>
      <w:tcPr>
        <w:tcBorders>
          <w:bottom w:val="single" w:sz="12" w:space="0" w:color="FFFFFF" w:themeColor="background1"/>
        </w:tcBorders>
        <w:shd w:val="clear" w:color="auto" w:fill="0A3152" w:themeFill="accent3" w:themeFillShade="CC"/>
      </w:tcPr>
    </w:tblStylePr>
    <w:tblStylePr w:type="lastRow">
      <w:rPr>
        <w:b/>
        <w:bCs/>
        <w:color w:val="0A3152" w:themeColor="accent3"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4EC" w:themeFill="accent4" w:themeFillTint="3F"/>
      </w:tcPr>
    </w:tblStylePr>
    <w:tblStylePr w:type="band1Horz">
      <w:tblPr/>
      <w:tcPr>
        <w:shd w:val="clear" w:color="auto" w:fill="E4E9F0" w:themeFill="accent4" w:themeFillTint="33"/>
      </w:tcPr>
    </w:tblStylePr>
  </w:style>
  <w:style w:type="table" w:styleId="ColorfulList-Accent5">
    <w:name w:val="Colorful List Accent 5"/>
    <w:basedOn w:val="TableNormal"/>
    <w:uiPriority w:val="72"/>
    <w:semiHidden/>
    <w:unhideWhenUsed/>
    <w:locked/>
    <w:rsid w:val="00D0339F"/>
    <w:pPr>
      <w:spacing w:after="0" w:line="240" w:lineRule="auto"/>
    </w:pPr>
    <w:tblPr>
      <w:tblStyleRowBandSize w:val="1"/>
      <w:tblStyleColBandSize w:val="1"/>
    </w:tblPr>
    <w:tcPr>
      <w:shd w:val="clear" w:color="auto" w:fill="DEFBF8" w:themeFill="accent5" w:themeFillTint="19"/>
    </w:tcPr>
    <w:tblStylePr w:type="firstRow">
      <w:rPr>
        <w:b/>
        <w:bCs/>
        <w:color w:val="FFFFFF" w:themeColor="background1"/>
      </w:rPr>
      <w:tblPr/>
      <w:tcPr>
        <w:tcBorders>
          <w:bottom w:val="single" w:sz="12" w:space="0" w:color="FFFFFF" w:themeColor="background1"/>
        </w:tcBorders>
        <w:shd w:val="clear" w:color="auto" w:fill="389386" w:themeFill="accent6" w:themeFillShade="CC"/>
      </w:tcPr>
    </w:tblStylePr>
    <w:tblStylePr w:type="lastRow">
      <w:rPr>
        <w:b/>
        <w:bCs/>
        <w:color w:val="389386" w:themeColor="accent6"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7EE" w:themeFill="accent5" w:themeFillTint="3F"/>
      </w:tcPr>
    </w:tblStylePr>
    <w:tblStylePr w:type="band1Horz">
      <w:tblPr/>
      <w:tcPr>
        <w:shd w:val="clear" w:color="auto" w:fill="BCF8F1" w:themeFill="accent5" w:themeFillTint="33"/>
      </w:tcPr>
    </w:tblStylePr>
  </w:style>
  <w:style w:type="table" w:styleId="ColorfulList-Accent6">
    <w:name w:val="Colorful List Accent 6"/>
    <w:basedOn w:val="TableNormal"/>
    <w:uiPriority w:val="72"/>
    <w:semiHidden/>
    <w:unhideWhenUsed/>
    <w:locked/>
    <w:rsid w:val="00D0339F"/>
    <w:pPr>
      <w:spacing w:after="0" w:line="240" w:lineRule="auto"/>
    </w:pPr>
    <w:tblPr>
      <w:tblStyleRowBandSize w:val="1"/>
      <w:tblStyleColBandSize w:val="1"/>
    </w:tblPr>
    <w:tcPr>
      <w:shd w:val="clear" w:color="auto" w:fill="ECF8F6" w:themeFill="accent6" w:themeFillTint="19"/>
    </w:tcPr>
    <w:tblStylePr w:type="firstRow">
      <w:rPr>
        <w:b/>
        <w:bCs/>
        <w:color w:val="FFFFFF" w:themeColor="background1"/>
      </w:rPr>
      <w:tblPr/>
      <w:tcPr>
        <w:tcBorders>
          <w:bottom w:val="single" w:sz="12" w:space="0" w:color="FFFFFF" w:themeColor="background1"/>
        </w:tcBorders>
        <w:shd w:val="clear" w:color="auto" w:fill="0A6A5E" w:themeFill="accent5" w:themeFillShade="CC"/>
      </w:tcPr>
    </w:tblStylePr>
    <w:tblStylePr w:type="lastRow">
      <w:rPr>
        <w:b/>
        <w:bCs/>
        <w:color w:val="0A6A5E" w:themeColor="accent5"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DE9" w:themeFill="accent6" w:themeFillTint="3F"/>
      </w:tcPr>
    </w:tblStylePr>
    <w:tblStylePr w:type="band1Horz">
      <w:tblPr/>
      <w:tcPr>
        <w:shd w:val="clear" w:color="auto" w:fill="D9F1ED" w:themeFill="accent6" w:themeFillTint="33"/>
      </w:tcPr>
    </w:tblStylePr>
  </w:style>
  <w:style w:type="table" w:styleId="ColorfulShading">
    <w:name w:val="Colorful Shading"/>
    <w:basedOn w:val="TableNormal"/>
    <w:uiPriority w:val="71"/>
    <w:semiHidden/>
    <w:unhideWhenUsed/>
    <w:locked/>
    <w:rsid w:val="00D0339F"/>
    <w:pPr>
      <w:spacing w:after="0" w:line="240" w:lineRule="auto"/>
    </w:pPr>
    <w:tblPr>
      <w:tblStyleRowBandSize w:val="1"/>
      <w:tblStyleColBandSize w:val="1"/>
      <w:tblBorders>
        <w:top w:val="single" w:sz="24" w:space="0" w:color="FCE2CC" w:themeColor="accent2"/>
        <w:left w:val="single" w:sz="4" w:space="0" w:color="222222" w:themeColor="text1"/>
        <w:bottom w:val="single" w:sz="4" w:space="0" w:color="222222" w:themeColor="text1"/>
        <w:right w:val="single" w:sz="4" w:space="0" w:color="22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91919" w:themeFill="text1" w:themeFillShade="BF"/>
      </w:tcPr>
    </w:tblStylePr>
    <w:tblStylePr w:type="band1Vert">
      <w:tblPr/>
      <w:tcPr>
        <w:shd w:val="clear" w:color="auto" w:fill="A6A6A6" w:themeFill="text1" w:themeFillTint="66"/>
      </w:tcPr>
    </w:tblStylePr>
    <w:tblStylePr w:type="band1Horz">
      <w:tblPr/>
      <w:tcPr>
        <w:shd w:val="clear" w:color="auto" w:fill="909090" w:themeFill="text1" w:themeFillTint="7F"/>
      </w:tcPr>
    </w:tblStylePr>
    <w:tblStylePr w:type="neCell">
      <w:rPr>
        <w:color w:val="222222" w:themeColor="text1"/>
      </w:rPr>
    </w:tblStylePr>
    <w:tblStylePr w:type="nwCell">
      <w:rPr>
        <w:color w:val="222222" w:themeColor="text1"/>
      </w:rPr>
    </w:tblStylePr>
  </w:style>
  <w:style w:type="table" w:styleId="ColorfulShading-Accent1">
    <w:name w:val="Colorful Shading Accent 1"/>
    <w:basedOn w:val="TableNormal"/>
    <w:uiPriority w:val="71"/>
    <w:semiHidden/>
    <w:unhideWhenUsed/>
    <w:locked/>
    <w:rsid w:val="00D0339F"/>
    <w:pPr>
      <w:spacing w:after="0" w:line="240" w:lineRule="auto"/>
    </w:pPr>
    <w:tblPr>
      <w:tblStyleRowBandSize w:val="1"/>
      <w:tblStyleColBandSize w:val="1"/>
      <w:tblBorders>
        <w:top w:val="single" w:sz="24" w:space="0" w:color="FCE2CC" w:themeColor="accent2"/>
        <w:left w:val="single" w:sz="4" w:space="0" w:color="CC6600" w:themeColor="accent1"/>
        <w:bottom w:val="single" w:sz="4" w:space="0" w:color="CC6600" w:themeColor="accent1"/>
        <w:right w:val="single" w:sz="4" w:space="0" w:color="CC6600" w:themeColor="accent1"/>
        <w:insideH w:val="single" w:sz="4" w:space="0" w:color="FFFFFF" w:themeColor="background1"/>
        <w:insideV w:val="single" w:sz="4" w:space="0" w:color="FFFFFF" w:themeColor="background1"/>
      </w:tblBorders>
    </w:tblPr>
    <w:tcPr>
      <w:shd w:val="clear" w:color="auto" w:fill="FFEFE1" w:themeFill="accent1"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3C00" w:themeFill="accent1" w:themeFillShade="99"/>
      </w:tcPr>
    </w:tblStylePr>
    <w:tblStylePr w:type="firstCol">
      <w:rPr>
        <w:color w:val="FFFFFF" w:themeColor="background1"/>
      </w:rPr>
      <w:tblPr/>
      <w:tcPr>
        <w:tcBorders>
          <w:top w:val="nil"/>
          <w:left w:val="nil"/>
          <w:bottom w:val="nil"/>
          <w:right w:val="nil"/>
          <w:insideH w:val="single" w:sz="4" w:space="0" w:color="7A3C00" w:themeColor="accent1" w:themeShade="99"/>
          <w:insideV w:val="nil"/>
        </w:tcBorders>
        <w:shd w:val="clear" w:color="auto" w:fill="7A3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A3C00" w:themeFill="accent1" w:themeFillShade="99"/>
      </w:tcPr>
    </w:tblStylePr>
    <w:tblStylePr w:type="band1Vert">
      <w:tblPr/>
      <w:tcPr>
        <w:shd w:val="clear" w:color="auto" w:fill="FFC184" w:themeFill="accent1" w:themeFillTint="66"/>
      </w:tcPr>
    </w:tblStylePr>
    <w:tblStylePr w:type="band1Horz">
      <w:tblPr/>
      <w:tcPr>
        <w:shd w:val="clear" w:color="auto" w:fill="FFB266" w:themeFill="accent1" w:themeFillTint="7F"/>
      </w:tcPr>
    </w:tblStylePr>
    <w:tblStylePr w:type="neCell">
      <w:rPr>
        <w:color w:val="222222" w:themeColor="text1"/>
      </w:rPr>
    </w:tblStylePr>
    <w:tblStylePr w:type="nwCell">
      <w:rPr>
        <w:color w:val="222222" w:themeColor="text1"/>
      </w:rPr>
    </w:tblStylePr>
  </w:style>
  <w:style w:type="table" w:styleId="ColorfulShading-Accent2">
    <w:name w:val="Colorful Shading Accent 2"/>
    <w:basedOn w:val="TableNormal"/>
    <w:uiPriority w:val="71"/>
    <w:semiHidden/>
    <w:unhideWhenUsed/>
    <w:locked/>
    <w:rsid w:val="00D0339F"/>
    <w:pPr>
      <w:spacing w:after="0" w:line="240" w:lineRule="auto"/>
    </w:pPr>
    <w:tblPr>
      <w:tblStyleRowBandSize w:val="1"/>
      <w:tblStyleColBandSize w:val="1"/>
      <w:tblBorders>
        <w:top w:val="single" w:sz="24" w:space="0" w:color="FCE2CC" w:themeColor="accent2"/>
        <w:left w:val="single" w:sz="4" w:space="0" w:color="FCE2CC" w:themeColor="accent2"/>
        <w:bottom w:val="single" w:sz="4" w:space="0" w:color="FCE2CC" w:themeColor="accent2"/>
        <w:right w:val="single" w:sz="4" w:space="0" w:color="FCE2CC" w:themeColor="accent2"/>
        <w:insideH w:val="single" w:sz="4" w:space="0" w:color="FFFFFF" w:themeColor="background1"/>
        <w:insideV w:val="single" w:sz="4" w:space="0" w:color="FFFFFF" w:themeColor="background1"/>
      </w:tblBorders>
    </w:tblPr>
    <w:tcPr>
      <w:shd w:val="clear" w:color="auto" w:fill="FEFCF9" w:themeFill="accent2"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27F1F" w:themeFill="accent2" w:themeFillShade="99"/>
      </w:tcPr>
    </w:tblStylePr>
    <w:tblStylePr w:type="firstCol">
      <w:rPr>
        <w:color w:val="FFFFFF" w:themeColor="background1"/>
      </w:rPr>
      <w:tblPr/>
      <w:tcPr>
        <w:tcBorders>
          <w:top w:val="nil"/>
          <w:left w:val="nil"/>
          <w:bottom w:val="nil"/>
          <w:right w:val="nil"/>
          <w:insideH w:val="single" w:sz="4" w:space="0" w:color="F27F1F" w:themeColor="accent2" w:themeShade="99"/>
          <w:insideV w:val="nil"/>
        </w:tcBorders>
        <w:shd w:val="clear" w:color="auto" w:fill="F27F1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F27F1F" w:themeFill="accent2" w:themeFillShade="99"/>
      </w:tcPr>
    </w:tblStylePr>
    <w:tblStylePr w:type="band1Vert">
      <w:tblPr/>
      <w:tcPr>
        <w:shd w:val="clear" w:color="auto" w:fill="FDF3EA" w:themeFill="accent2" w:themeFillTint="66"/>
      </w:tcPr>
    </w:tblStylePr>
    <w:tblStylePr w:type="band1Horz">
      <w:tblPr/>
      <w:tcPr>
        <w:shd w:val="clear" w:color="auto" w:fill="FDF0E5" w:themeFill="accent2" w:themeFillTint="7F"/>
      </w:tcPr>
    </w:tblStylePr>
    <w:tblStylePr w:type="neCell">
      <w:rPr>
        <w:color w:val="222222" w:themeColor="text1"/>
      </w:rPr>
    </w:tblStylePr>
    <w:tblStylePr w:type="nwCell">
      <w:rPr>
        <w:color w:val="222222" w:themeColor="text1"/>
      </w:rPr>
    </w:tblStylePr>
  </w:style>
  <w:style w:type="table" w:styleId="ColorfulShading-Accent3">
    <w:name w:val="Colorful Shading Accent 3"/>
    <w:basedOn w:val="TableNormal"/>
    <w:uiPriority w:val="71"/>
    <w:semiHidden/>
    <w:unhideWhenUsed/>
    <w:locked/>
    <w:rsid w:val="00D0339F"/>
    <w:pPr>
      <w:spacing w:after="0" w:line="240" w:lineRule="auto"/>
    </w:pPr>
    <w:tblPr>
      <w:tblStyleRowBandSize w:val="1"/>
      <w:tblStyleColBandSize w:val="1"/>
      <w:tblBorders>
        <w:top w:val="single" w:sz="24" w:space="0" w:color="7D96B5" w:themeColor="accent4"/>
        <w:left w:val="single" w:sz="4" w:space="0" w:color="0D3E67" w:themeColor="accent3"/>
        <w:bottom w:val="single" w:sz="4" w:space="0" w:color="0D3E67" w:themeColor="accent3"/>
        <w:right w:val="single" w:sz="4" w:space="0" w:color="0D3E67" w:themeColor="accent3"/>
        <w:insideH w:val="single" w:sz="4" w:space="0" w:color="FFFFFF" w:themeColor="background1"/>
        <w:insideV w:val="single" w:sz="4" w:space="0" w:color="FFFFFF" w:themeColor="background1"/>
      </w:tblBorders>
    </w:tblPr>
    <w:tcPr>
      <w:shd w:val="clear" w:color="auto" w:fill="DCECFA" w:themeFill="accent3" w:themeFillTint="19"/>
    </w:tcPr>
    <w:tblStylePr w:type="firstRow">
      <w:rPr>
        <w:b/>
        <w:bCs/>
      </w:rPr>
      <w:tblPr/>
      <w:tcPr>
        <w:tcBorders>
          <w:top w:val="nil"/>
          <w:left w:val="nil"/>
          <w:bottom w:val="single" w:sz="24" w:space="0" w:color="7D96B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243D" w:themeFill="accent3" w:themeFillShade="99"/>
      </w:tcPr>
    </w:tblStylePr>
    <w:tblStylePr w:type="firstCol">
      <w:rPr>
        <w:color w:val="FFFFFF" w:themeColor="background1"/>
      </w:rPr>
      <w:tblPr/>
      <w:tcPr>
        <w:tcBorders>
          <w:top w:val="nil"/>
          <w:left w:val="nil"/>
          <w:bottom w:val="nil"/>
          <w:right w:val="nil"/>
          <w:insideH w:val="single" w:sz="4" w:space="0" w:color="07243D" w:themeColor="accent3" w:themeShade="99"/>
          <w:insideV w:val="nil"/>
        </w:tcBorders>
        <w:shd w:val="clear" w:color="auto" w:fill="0724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243D" w:themeFill="accent3" w:themeFillShade="99"/>
      </w:tcPr>
    </w:tblStylePr>
    <w:tblStylePr w:type="band1Vert">
      <w:tblPr/>
      <w:tcPr>
        <w:shd w:val="clear" w:color="auto" w:fill="73B5ED" w:themeFill="accent3" w:themeFillTint="66"/>
      </w:tcPr>
    </w:tblStylePr>
    <w:tblStylePr w:type="band1Horz">
      <w:tblPr/>
      <w:tcPr>
        <w:shd w:val="clear" w:color="auto" w:fill="50A3E9" w:themeFill="accent3" w:themeFillTint="7F"/>
      </w:tcPr>
    </w:tblStylePr>
  </w:style>
  <w:style w:type="table" w:styleId="ColorfulShading-Accent4">
    <w:name w:val="Colorful Shading Accent 4"/>
    <w:basedOn w:val="TableNormal"/>
    <w:uiPriority w:val="71"/>
    <w:semiHidden/>
    <w:unhideWhenUsed/>
    <w:locked/>
    <w:rsid w:val="00D0339F"/>
    <w:pPr>
      <w:spacing w:after="0" w:line="240" w:lineRule="auto"/>
    </w:pPr>
    <w:tblPr>
      <w:tblStyleRowBandSize w:val="1"/>
      <w:tblStyleColBandSize w:val="1"/>
      <w:tblBorders>
        <w:top w:val="single" w:sz="24" w:space="0" w:color="0D3E67" w:themeColor="accent3"/>
        <w:left w:val="single" w:sz="4" w:space="0" w:color="7D96B5" w:themeColor="accent4"/>
        <w:bottom w:val="single" w:sz="4" w:space="0" w:color="7D96B5" w:themeColor="accent4"/>
        <w:right w:val="single" w:sz="4" w:space="0" w:color="7D96B5" w:themeColor="accent4"/>
        <w:insideH w:val="single" w:sz="4" w:space="0" w:color="FFFFFF" w:themeColor="background1"/>
        <w:insideV w:val="single" w:sz="4" w:space="0" w:color="FFFFFF" w:themeColor="background1"/>
      </w:tblBorders>
    </w:tblPr>
    <w:tcPr>
      <w:shd w:val="clear" w:color="auto" w:fill="F2F4F7" w:themeFill="accent4" w:themeFillTint="19"/>
    </w:tcPr>
    <w:tblStylePr w:type="firstRow">
      <w:rPr>
        <w:b/>
        <w:bCs/>
      </w:rPr>
      <w:tblPr/>
      <w:tcPr>
        <w:tcBorders>
          <w:top w:val="nil"/>
          <w:left w:val="nil"/>
          <w:bottom w:val="single" w:sz="24" w:space="0" w:color="0D3E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5874" w:themeFill="accent4" w:themeFillShade="99"/>
      </w:tcPr>
    </w:tblStylePr>
    <w:tblStylePr w:type="firstCol">
      <w:rPr>
        <w:color w:val="FFFFFF" w:themeColor="background1"/>
      </w:rPr>
      <w:tblPr/>
      <w:tcPr>
        <w:tcBorders>
          <w:top w:val="nil"/>
          <w:left w:val="nil"/>
          <w:bottom w:val="nil"/>
          <w:right w:val="nil"/>
          <w:insideH w:val="single" w:sz="4" w:space="0" w:color="425874" w:themeColor="accent4" w:themeShade="99"/>
          <w:insideV w:val="nil"/>
        </w:tcBorders>
        <w:shd w:val="clear" w:color="auto" w:fill="42587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5874" w:themeFill="accent4" w:themeFillShade="99"/>
      </w:tcPr>
    </w:tblStylePr>
    <w:tblStylePr w:type="band1Vert">
      <w:tblPr/>
      <w:tcPr>
        <w:shd w:val="clear" w:color="auto" w:fill="CAD4E1" w:themeFill="accent4" w:themeFillTint="66"/>
      </w:tcPr>
    </w:tblStylePr>
    <w:tblStylePr w:type="band1Horz">
      <w:tblPr/>
      <w:tcPr>
        <w:shd w:val="clear" w:color="auto" w:fill="BECADA" w:themeFill="accent4" w:themeFillTint="7F"/>
      </w:tcPr>
    </w:tblStylePr>
    <w:tblStylePr w:type="neCell">
      <w:rPr>
        <w:color w:val="222222" w:themeColor="text1"/>
      </w:rPr>
    </w:tblStylePr>
    <w:tblStylePr w:type="nwCell">
      <w:rPr>
        <w:color w:val="222222" w:themeColor="text1"/>
      </w:rPr>
    </w:tblStylePr>
  </w:style>
  <w:style w:type="table" w:styleId="ColorfulShading-Accent5">
    <w:name w:val="Colorful Shading Accent 5"/>
    <w:basedOn w:val="TableNormal"/>
    <w:uiPriority w:val="71"/>
    <w:semiHidden/>
    <w:unhideWhenUsed/>
    <w:locked/>
    <w:rsid w:val="00D0339F"/>
    <w:pPr>
      <w:spacing w:after="0" w:line="240" w:lineRule="auto"/>
    </w:pPr>
    <w:tblPr>
      <w:tblStyleRowBandSize w:val="1"/>
      <w:tblStyleColBandSize w:val="1"/>
      <w:tblBorders>
        <w:top w:val="single" w:sz="24" w:space="0" w:color="46B8A9" w:themeColor="accent6"/>
        <w:left w:val="single" w:sz="4" w:space="0" w:color="0D8577" w:themeColor="accent5"/>
        <w:bottom w:val="single" w:sz="4" w:space="0" w:color="0D8577" w:themeColor="accent5"/>
        <w:right w:val="single" w:sz="4" w:space="0" w:color="0D8577" w:themeColor="accent5"/>
        <w:insideH w:val="single" w:sz="4" w:space="0" w:color="FFFFFF" w:themeColor="background1"/>
        <w:insideV w:val="single" w:sz="4" w:space="0" w:color="FFFFFF" w:themeColor="background1"/>
      </w:tblBorders>
    </w:tblPr>
    <w:tcPr>
      <w:shd w:val="clear" w:color="auto" w:fill="DEFBF8" w:themeFill="accent5" w:themeFillTint="19"/>
    </w:tcPr>
    <w:tblStylePr w:type="firstRow">
      <w:rPr>
        <w:b/>
        <w:bCs/>
      </w:rPr>
      <w:tblPr/>
      <w:tcPr>
        <w:tcBorders>
          <w:top w:val="nil"/>
          <w:left w:val="nil"/>
          <w:bottom w:val="single" w:sz="24" w:space="0" w:color="46B8A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4F47" w:themeFill="accent5" w:themeFillShade="99"/>
      </w:tcPr>
    </w:tblStylePr>
    <w:tblStylePr w:type="firstCol">
      <w:rPr>
        <w:color w:val="FFFFFF" w:themeColor="background1"/>
      </w:rPr>
      <w:tblPr/>
      <w:tcPr>
        <w:tcBorders>
          <w:top w:val="nil"/>
          <w:left w:val="nil"/>
          <w:bottom w:val="nil"/>
          <w:right w:val="nil"/>
          <w:insideH w:val="single" w:sz="4" w:space="0" w:color="074F47" w:themeColor="accent5" w:themeShade="99"/>
          <w:insideV w:val="nil"/>
        </w:tcBorders>
        <w:shd w:val="clear" w:color="auto" w:fill="074F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74F47" w:themeFill="accent5" w:themeFillShade="99"/>
      </w:tcPr>
    </w:tblStylePr>
    <w:tblStylePr w:type="band1Vert">
      <w:tblPr/>
      <w:tcPr>
        <w:shd w:val="clear" w:color="auto" w:fill="7AF2E4" w:themeFill="accent5" w:themeFillTint="66"/>
      </w:tcPr>
    </w:tblStylePr>
    <w:tblStylePr w:type="band1Horz">
      <w:tblPr/>
      <w:tcPr>
        <w:shd w:val="clear" w:color="auto" w:fill="59EEDD" w:themeFill="accent5" w:themeFillTint="7F"/>
      </w:tcPr>
    </w:tblStylePr>
    <w:tblStylePr w:type="neCell">
      <w:rPr>
        <w:color w:val="222222" w:themeColor="text1"/>
      </w:rPr>
    </w:tblStylePr>
    <w:tblStylePr w:type="nwCell">
      <w:rPr>
        <w:color w:val="222222" w:themeColor="text1"/>
      </w:rPr>
    </w:tblStylePr>
  </w:style>
  <w:style w:type="table" w:styleId="ColorfulShading-Accent6">
    <w:name w:val="Colorful Shading Accent 6"/>
    <w:basedOn w:val="TableNormal"/>
    <w:uiPriority w:val="71"/>
    <w:semiHidden/>
    <w:unhideWhenUsed/>
    <w:locked/>
    <w:rsid w:val="00D0339F"/>
    <w:pPr>
      <w:spacing w:after="0" w:line="240" w:lineRule="auto"/>
    </w:pPr>
    <w:tblPr>
      <w:tblStyleRowBandSize w:val="1"/>
      <w:tblStyleColBandSize w:val="1"/>
      <w:tblBorders>
        <w:top w:val="single" w:sz="24" w:space="0" w:color="0D8577" w:themeColor="accent5"/>
        <w:left w:val="single" w:sz="4" w:space="0" w:color="46B8A9" w:themeColor="accent6"/>
        <w:bottom w:val="single" w:sz="4" w:space="0" w:color="46B8A9" w:themeColor="accent6"/>
        <w:right w:val="single" w:sz="4" w:space="0" w:color="46B8A9" w:themeColor="accent6"/>
        <w:insideH w:val="single" w:sz="4" w:space="0" w:color="FFFFFF" w:themeColor="background1"/>
        <w:insideV w:val="single" w:sz="4" w:space="0" w:color="FFFFFF" w:themeColor="background1"/>
      </w:tblBorders>
    </w:tblPr>
    <w:tcPr>
      <w:shd w:val="clear" w:color="auto" w:fill="ECF8F6" w:themeFill="accent6" w:themeFillTint="19"/>
    </w:tcPr>
    <w:tblStylePr w:type="firstRow">
      <w:rPr>
        <w:b/>
        <w:bCs/>
      </w:rPr>
      <w:tblPr/>
      <w:tcPr>
        <w:tcBorders>
          <w:top w:val="nil"/>
          <w:left w:val="nil"/>
          <w:bottom w:val="single" w:sz="24" w:space="0" w:color="0D857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6E65" w:themeFill="accent6" w:themeFillShade="99"/>
      </w:tcPr>
    </w:tblStylePr>
    <w:tblStylePr w:type="firstCol">
      <w:rPr>
        <w:color w:val="FFFFFF" w:themeColor="background1"/>
      </w:rPr>
      <w:tblPr/>
      <w:tcPr>
        <w:tcBorders>
          <w:top w:val="nil"/>
          <w:left w:val="nil"/>
          <w:bottom w:val="nil"/>
          <w:right w:val="nil"/>
          <w:insideH w:val="single" w:sz="4" w:space="0" w:color="2A6E65" w:themeColor="accent6" w:themeShade="99"/>
          <w:insideV w:val="nil"/>
        </w:tcBorders>
        <w:shd w:val="clear" w:color="auto" w:fill="2A6E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6E65" w:themeFill="accent6" w:themeFillShade="99"/>
      </w:tcPr>
    </w:tblStylePr>
    <w:tblStylePr w:type="band1Vert">
      <w:tblPr/>
      <w:tcPr>
        <w:shd w:val="clear" w:color="auto" w:fill="B4E2DC" w:themeFill="accent6" w:themeFillTint="66"/>
      </w:tcPr>
    </w:tblStylePr>
    <w:tblStylePr w:type="band1Horz">
      <w:tblPr/>
      <w:tcPr>
        <w:shd w:val="clear" w:color="auto" w:fill="A2DBD4" w:themeFill="accent6" w:themeFillTint="7F"/>
      </w:tcPr>
    </w:tblStylePr>
    <w:tblStylePr w:type="neCell">
      <w:rPr>
        <w:color w:val="222222" w:themeColor="text1"/>
      </w:rPr>
    </w:tblStylePr>
    <w:tblStylePr w:type="nwCell">
      <w:rPr>
        <w:color w:val="222222" w:themeColor="text1"/>
      </w:rPr>
    </w:tblStylePr>
  </w:style>
  <w:style w:type="table" w:styleId="DarkList">
    <w:name w:val="Dark List"/>
    <w:basedOn w:val="TableNormal"/>
    <w:uiPriority w:val="70"/>
    <w:semiHidden/>
    <w:unhideWhenUsed/>
    <w:locked/>
    <w:rsid w:val="00D0339F"/>
    <w:pPr>
      <w:spacing w:after="0" w:line="240" w:lineRule="auto"/>
    </w:pPr>
    <w:rPr>
      <w:color w:val="FFFFFF" w:themeColor="background1"/>
    </w:rPr>
    <w:tblPr>
      <w:tblStyleRowBandSize w:val="1"/>
      <w:tblStyleColBandSize w:val="1"/>
    </w:tblPr>
    <w:tcPr>
      <w:shd w:val="clear" w:color="auto" w:fill="22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1010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9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91919" w:themeFill="text1" w:themeFillShade="BF"/>
      </w:tcPr>
    </w:tblStylePr>
    <w:tblStylePr w:type="band1Vert">
      <w:tblPr/>
      <w:tcPr>
        <w:tcBorders>
          <w:top w:val="nil"/>
          <w:left w:val="nil"/>
          <w:bottom w:val="nil"/>
          <w:right w:val="nil"/>
          <w:insideH w:val="nil"/>
          <w:insideV w:val="nil"/>
        </w:tcBorders>
        <w:shd w:val="clear" w:color="auto" w:fill="191919" w:themeFill="text1" w:themeFillShade="BF"/>
      </w:tcPr>
    </w:tblStylePr>
    <w:tblStylePr w:type="band1Horz">
      <w:tblPr/>
      <w:tcPr>
        <w:tcBorders>
          <w:top w:val="nil"/>
          <w:left w:val="nil"/>
          <w:bottom w:val="nil"/>
          <w:right w:val="nil"/>
          <w:insideH w:val="nil"/>
          <w:insideV w:val="nil"/>
        </w:tcBorders>
        <w:shd w:val="clear" w:color="auto" w:fill="191919" w:themeFill="text1" w:themeFillShade="BF"/>
      </w:tcPr>
    </w:tblStylePr>
  </w:style>
  <w:style w:type="table" w:styleId="DarkList-Accent1">
    <w:name w:val="Dark List Accent 1"/>
    <w:basedOn w:val="TableNormal"/>
    <w:uiPriority w:val="70"/>
    <w:semiHidden/>
    <w:unhideWhenUsed/>
    <w:locked/>
    <w:rsid w:val="00D0339F"/>
    <w:pPr>
      <w:spacing w:after="0" w:line="240" w:lineRule="auto"/>
    </w:pPr>
    <w:rPr>
      <w:color w:val="FFFFFF" w:themeColor="background1"/>
    </w:rPr>
    <w:tblPr>
      <w:tblStyleRowBandSize w:val="1"/>
      <w:tblStyleColBandSize w:val="1"/>
    </w:tblPr>
    <w:tcPr>
      <w:shd w:val="clear" w:color="auto" w:fill="CC6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6532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84C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84C00" w:themeFill="accent1" w:themeFillShade="BF"/>
      </w:tcPr>
    </w:tblStylePr>
    <w:tblStylePr w:type="band1Vert">
      <w:tblPr/>
      <w:tcPr>
        <w:tcBorders>
          <w:top w:val="nil"/>
          <w:left w:val="nil"/>
          <w:bottom w:val="nil"/>
          <w:right w:val="nil"/>
          <w:insideH w:val="nil"/>
          <w:insideV w:val="nil"/>
        </w:tcBorders>
        <w:shd w:val="clear" w:color="auto" w:fill="984C00" w:themeFill="accent1" w:themeFillShade="BF"/>
      </w:tcPr>
    </w:tblStylePr>
    <w:tblStylePr w:type="band1Horz">
      <w:tblPr/>
      <w:tcPr>
        <w:tcBorders>
          <w:top w:val="nil"/>
          <w:left w:val="nil"/>
          <w:bottom w:val="nil"/>
          <w:right w:val="nil"/>
          <w:insideH w:val="nil"/>
          <w:insideV w:val="nil"/>
        </w:tcBorders>
        <w:shd w:val="clear" w:color="auto" w:fill="984C00" w:themeFill="accent1" w:themeFillShade="BF"/>
      </w:tcPr>
    </w:tblStylePr>
  </w:style>
  <w:style w:type="table" w:styleId="DarkList-Accent2">
    <w:name w:val="Dark List Accent 2"/>
    <w:basedOn w:val="TableNormal"/>
    <w:uiPriority w:val="70"/>
    <w:semiHidden/>
    <w:unhideWhenUsed/>
    <w:locked/>
    <w:rsid w:val="00D0339F"/>
    <w:pPr>
      <w:spacing w:after="0" w:line="240" w:lineRule="auto"/>
    </w:pPr>
    <w:rPr>
      <w:color w:val="FFFFFF" w:themeColor="background1"/>
    </w:rPr>
    <w:tblPr>
      <w:tblStyleRowBandSize w:val="1"/>
      <w:tblStyleColBandSize w:val="1"/>
    </w:tblPr>
    <w:tcPr>
      <w:shd w:val="clear" w:color="auto" w:fill="FCE2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D6680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5A3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5A35F" w:themeFill="accent2" w:themeFillShade="BF"/>
      </w:tcPr>
    </w:tblStylePr>
    <w:tblStylePr w:type="band1Vert">
      <w:tblPr/>
      <w:tcPr>
        <w:tcBorders>
          <w:top w:val="nil"/>
          <w:left w:val="nil"/>
          <w:bottom w:val="nil"/>
          <w:right w:val="nil"/>
          <w:insideH w:val="nil"/>
          <w:insideV w:val="nil"/>
        </w:tcBorders>
        <w:shd w:val="clear" w:color="auto" w:fill="F5A35F" w:themeFill="accent2" w:themeFillShade="BF"/>
      </w:tcPr>
    </w:tblStylePr>
    <w:tblStylePr w:type="band1Horz">
      <w:tblPr/>
      <w:tcPr>
        <w:tcBorders>
          <w:top w:val="nil"/>
          <w:left w:val="nil"/>
          <w:bottom w:val="nil"/>
          <w:right w:val="nil"/>
          <w:insideH w:val="nil"/>
          <w:insideV w:val="nil"/>
        </w:tcBorders>
        <w:shd w:val="clear" w:color="auto" w:fill="F5A35F" w:themeFill="accent2" w:themeFillShade="BF"/>
      </w:tcPr>
    </w:tblStylePr>
  </w:style>
  <w:style w:type="table" w:styleId="DarkList-Accent3">
    <w:name w:val="Dark List Accent 3"/>
    <w:basedOn w:val="TableNormal"/>
    <w:uiPriority w:val="70"/>
    <w:semiHidden/>
    <w:unhideWhenUsed/>
    <w:locked/>
    <w:rsid w:val="00D0339F"/>
    <w:pPr>
      <w:spacing w:after="0" w:line="240" w:lineRule="auto"/>
    </w:pPr>
    <w:rPr>
      <w:color w:val="FFFFFF" w:themeColor="background1"/>
    </w:rPr>
    <w:tblPr>
      <w:tblStyleRowBandSize w:val="1"/>
      <w:tblStyleColBandSize w:val="1"/>
    </w:tblPr>
    <w:tcPr>
      <w:shd w:val="clear" w:color="auto" w:fill="0D3E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061E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2E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2E4C" w:themeFill="accent3" w:themeFillShade="BF"/>
      </w:tcPr>
    </w:tblStylePr>
    <w:tblStylePr w:type="band1Vert">
      <w:tblPr/>
      <w:tcPr>
        <w:tcBorders>
          <w:top w:val="nil"/>
          <w:left w:val="nil"/>
          <w:bottom w:val="nil"/>
          <w:right w:val="nil"/>
          <w:insideH w:val="nil"/>
          <w:insideV w:val="nil"/>
        </w:tcBorders>
        <w:shd w:val="clear" w:color="auto" w:fill="092E4C" w:themeFill="accent3" w:themeFillShade="BF"/>
      </w:tcPr>
    </w:tblStylePr>
    <w:tblStylePr w:type="band1Horz">
      <w:tblPr/>
      <w:tcPr>
        <w:tcBorders>
          <w:top w:val="nil"/>
          <w:left w:val="nil"/>
          <w:bottom w:val="nil"/>
          <w:right w:val="nil"/>
          <w:insideH w:val="nil"/>
          <w:insideV w:val="nil"/>
        </w:tcBorders>
        <w:shd w:val="clear" w:color="auto" w:fill="092E4C" w:themeFill="accent3" w:themeFillShade="BF"/>
      </w:tcPr>
    </w:tblStylePr>
  </w:style>
  <w:style w:type="table" w:styleId="DarkList-Accent4">
    <w:name w:val="Dark List Accent 4"/>
    <w:basedOn w:val="TableNormal"/>
    <w:uiPriority w:val="70"/>
    <w:semiHidden/>
    <w:unhideWhenUsed/>
    <w:locked/>
    <w:rsid w:val="00D0339F"/>
    <w:pPr>
      <w:spacing w:after="0" w:line="240" w:lineRule="auto"/>
    </w:pPr>
    <w:rPr>
      <w:color w:val="FFFFFF" w:themeColor="background1"/>
    </w:rPr>
    <w:tblPr>
      <w:tblStyleRowBandSize w:val="1"/>
      <w:tblStyleColBandSize w:val="1"/>
    </w:tblPr>
    <w:tcPr>
      <w:shd w:val="clear" w:color="auto" w:fill="7D96B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3749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6E9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6E91" w:themeFill="accent4" w:themeFillShade="BF"/>
      </w:tcPr>
    </w:tblStylePr>
    <w:tblStylePr w:type="band1Vert">
      <w:tblPr/>
      <w:tcPr>
        <w:tcBorders>
          <w:top w:val="nil"/>
          <w:left w:val="nil"/>
          <w:bottom w:val="nil"/>
          <w:right w:val="nil"/>
          <w:insideH w:val="nil"/>
          <w:insideV w:val="nil"/>
        </w:tcBorders>
        <w:shd w:val="clear" w:color="auto" w:fill="536E91" w:themeFill="accent4" w:themeFillShade="BF"/>
      </w:tcPr>
    </w:tblStylePr>
    <w:tblStylePr w:type="band1Horz">
      <w:tblPr/>
      <w:tcPr>
        <w:tcBorders>
          <w:top w:val="nil"/>
          <w:left w:val="nil"/>
          <w:bottom w:val="nil"/>
          <w:right w:val="nil"/>
          <w:insideH w:val="nil"/>
          <w:insideV w:val="nil"/>
        </w:tcBorders>
        <w:shd w:val="clear" w:color="auto" w:fill="536E91" w:themeFill="accent4" w:themeFillShade="BF"/>
      </w:tcPr>
    </w:tblStylePr>
  </w:style>
  <w:style w:type="table" w:styleId="DarkList-Accent5">
    <w:name w:val="Dark List Accent 5"/>
    <w:basedOn w:val="TableNormal"/>
    <w:uiPriority w:val="70"/>
    <w:semiHidden/>
    <w:unhideWhenUsed/>
    <w:locked/>
    <w:rsid w:val="00D0339F"/>
    <w:pPr>
      <w:spacing w:after="0" w:line="240" w:lineRule="auto"/>
    </w:pPr>
    <w:rPr>
      <w:color w:val="FFFFFF" w:themeColor="background1"/>
    </w:rPr>
    <w:tblPr>
      <w:tblStyleRowBandSize w:val="1"/>
      <w:tblStyleColBandSize w:val="1"/>
    </w:tblPr>
    <w:tcPr>
      <w:shd w:val="clear" w:color="auto" w:fill="0D857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0642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963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96358" w:themeFill="accent5" w:themeFillShade="BF"/>
      </w:tcPr>
    </w:tblStylePr>
    <w:tblStylePr w:type="band1Vert">
      <w:tblPr/>
      <w:tcPr>
        <w:tcBorders>
          <w:top w:val="nil"/>
          <w:left w:val="nil"/>
          <w:bottom w:val="nil"/>
          <w:right w:val="nil"/>
          <w:insideH w:val="nil"/>
          <w:insideV w:val="nil"/>
        </w:tcBorders>
        <w:shd w:val="clear" w:color="auto" w:fill="096358" w:themeFill="accent5" w:themeFillShade="BF"/>
      </w:tcPr>
    </w:tblStylePr>
    <w:tblStylePr w:type="band1Horz">
      <w:tblPr/>
      <w:tcPr>
        <w:tcBorders>
          <w:top w:val="nil"/>
          <w:left w:val="nil"/>
          <w:bottom w:val="nil"/>
          <w:right w:val="nil"/>
          <w:insideH w:val="nil"/>
          <w:insideV w:val="nil"/>
        </w:tcBorders>
        <w:shd w:val="clear" w:color="auto" w:fill="096358" w:themeFill="accent5" w:themeFillShade="BF"/>
      </w:tcPr>
    </w:tblStylePr>
  </w:style>
  <w:style w:type="table" w:styleId="DarkList-Accent6">
    <w:name w:val="Dark List Accent 6"/>
    <w:basedOn w:val="TableNormal"/>
    <w:uiPriority w:val="70"/>
    <w:semiHidden/>
    <w:unhideWhenUsed/>
    <w:locked/>
    <w:rsid w:val="00D0339F"/>
    <w:pPr>
      <w:spacing w:after="0" w:line="240" w:lineRule="auto"/>
    </w:pPr>
    <w:rPr>
      <w:color w:val="FFFFFF" w:themeColor="background1"/>
    </w:rPr>
    <w:tblPr>
      <w:tblStyleRowBandSize w:val="1"/>
      <w:tblStyleColBandSize w:val="1"/>
    </w:tblPr>
    <w:tcPr>
      <w:shd w:val="clear" w:color="auto" w:fill="46B8A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235B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9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97E" w:themeFill="accent6" w:themeFillShade="BF"/>
      </w:tcPr>
    </w:tblStylePr>
    <w:tblStylePr w:type="band1Vert">
      <w:tblPr/>
      <w:tcPr>
        <w:tcBorders>
          <w:top w:val="nil"/>
          <w:left w:val="nil"/>
          <w:bottom w:val="nil"/>
          <w:right w:val="nil"/>
          <w:insideH w:val="nil"/>
          <w:insideV w:val="nil"/>
        </w:tcBorders>
        <w:shd w:val="clear" w:color="auto" w:fill="34897E" w:themeFill="accent6" w:themeFillShade="BF"/>
      </w:tcPr>
    </w:tblStylePr>
    <w:tblStylePr w:type="band1Horz">
      <w:tblPr/>
      <w:tcPr>
        <w:tcBorders>
          <w:top w:val="nil"/>
          <w:left w:val="nil"/>
          <w:bottom w:val="nil"/>
          <w:right w:val="nil"/>
          <w:insideH w:val="nil"/>
          <w:insideV w:val="nil"/>
        </w:tcBorders>
        <w:shd w:val="clear" w:color="auto" w:fill="34897E" w:themeFill="accent6" w:themeFillShade="BF"/>
      </w:tcPr>
    </w:tblStylePr>
  </w:style>
  <w:style w:type="table" w:styleId="GridTable1Light">
    <w:name w:val="Grid Table 1 Light"/>
    <w:basedOn w:val="TableNormal"/>
    <w:uiPriority w:val="46"/>
    <w:locked/>
    <w:rsid w:val="00D0339F"/>
    <w:pPr>
      <w:spacing w:after="0" w:line="240" w:lineRule="auto"/>
    </w:pPr>
    <w:tblPr>
      <w:tblStyleRowBandSize w:val="1"/>
      <w:tblStyleColBandSize w:val="1"/>
      <w:tblBorders>
        <w:top w:val="single" w:sz="4" w:space="0" w:color="A6A6A6" w:themeColor="text1" w:themeTint="66"/>
        <w:left w:val="single" w:sz="4" w:space="0" w:color="A6A6A6" w:themeColor="text1" w:themeTint="66"/>
        <w:bottom w:val="single" w:sz="4" w:space="0" w:color="A6A6A6" w:themeColor="text1" w:themeTint="66"/>
        <w:right w:val="single" w:sz="4" w:space="0" w:color="A6A6A6" w:themeColor="text1" w:themeTint="66"/>
        <w:insideH w:val="single" w:sz="4" w:space="0" w:color="A6A6A6" w:themeColor="text1" w:themeTint="66"/>
        <w:insideV w:val="single" w:sz="4" w:space="0" w:color="A6A6A6" w:themeColor="text1" w:themeTint="66"/>
      </w:tblBorders>
    </w:tblPr>
    <w:tblStylePr w:type="firstRow">
      <w:rPr>
        <w:b/>
        <w:bCs/>
      </w:rPr>
      <w:tblPr/>
      <w:tcPr>
        <w:tcBorders>
          <w:bottom w:val="single" w:sz="12" w:space="0" w:color="7A7A7A" w:themeColor="text1" w:themeTint="99"/>
        </w:tcBorders>
      </w:tcPr>
    </w:tblStylePr>
    <w:tblStylePr w:type="lastRow">
      <w:rPr>
        <w:b/>
        <w:bCs/>
      </w:rPr>
      <w:tblPr/>
      <w:tcPr>
        <w:tcBorders>
          <w:top w:val="double" w:sz="2" w:space="0" w:color="7A7A7A"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0339F"/>
    <w:pPr>
      <w:spacing w:after="0" w:line="240" w:lineRule="auto"/>
    </w:pPr>
    <w:tblPr>
      <w:tblStyleRowBandSize w:val="1"/>
      <w:tblStyleColBandSize w:val="1"/>
      <w:tblBorders>
        <w:top w:val="single" w:sz="4" w:space="0" w:color="FFC184" w:themeColor="accent1" w:themeTint="66"/>
        <w:left w:val="single" w:sz="4" w:space="0" w:color="FFC184" w:themeColor="accent1" w:themeTint="66"/>
        <w:bottom w:val="single" w:sz="4" w:space="0" w:color="FFC184" w:themeColor="accent1" w:themeTint="66"/>
        <w:right w:val="single" w:sz="4" w:space="0" w:color="FFC184" w:themeColor="accent1" w:themeTint="66"/>
        <w:insideH w:val="single" w:sz="4" w:space="0" w:color="FFC184" w:themeColor="accent1" w:themeTint="66"/>
        <w:insideV w:val="single" w:sz="4" w:space="0" w:color="FFC184" w:themeColor="accent1" w:themeTint="66"/>
      </w:tblBorders>
    </w:tblPr>
    <w:tblStylePr w:type="firstRow">
      <w:rPr>
        <w:b/>
        <w:bCs/>
      </w:rPr>
      <w:tblPr/>
      <w:tcPr>
        <w:tcBorders>
          <w:bottom w:val="single" w:sz="12" w:space="0" w:color="FFA247" w:themeColor="accent1" w:themeTint="99"/>
        </w:tcBorders>
      </w:tcPr>
    </w:tblStylePr>
    <w:tblStylePr w:type="lastRow">
      <w:rPr>
        <w:b/>
        <w:bCs/>
      </w:rPr>
      <w:tblPr/>
      <w:tcPr>
        <w:tcBorders>
          <w:top w:val="double" w:sz="2" w:space="0" w:color="FFA24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0339F"/>
    <w:pPr>
      <w:spacing w:after="0" w:line="240" w:lineRule="auto"/>
    </w:pPr>
    <w:tblPr>
      <w:tblStyleRowBandSize w:val="1"/>
      <w:tblStyleColBandSize w:val="1"/>
      <w:tblBorders>
        <w:top w:val="single" w:sz="4" w:space="0" w:color="FDF3EA" w:themeColor="accent2" w:themeTint="66"/>
        <w:left w:val="single" w:sz="4" w:space="0" w:color="FDF3EA" w:themeColor="accent2" w:themeTint="66"/>
        <w:bottom w:val="single" w:sz="4" w:space="0" w:color="FDF3EA" w:themeColor="accent2" w:themeTint="66"/>
        <w:right w:val="single" w:sz="4" w:space="0" w:color="FDF3EA" w:themeColor="accent2" w:themeTint="66"/>
        <w:insideH w:val="single" w:sz="4" w:space="0" w:color="FDF3EA" w:themeColor="accent2" w:themeTint="66"/>
        <w:insideV w:val="single" w:sz="4" w:space="0" w:color="FDF3EA" w:themeColor="accent2" w:themeTint="66"/>
      </w:tblBorders>
    </w:tblPr>
    <w:tblStylePr w:type="firstRow">
      <w:rPr>
        <w:b/>
        <w:bCs/>
      </w:rPr>
      <w:tblPr/>
      <w:tcPr>
        <w:tcBorders>
          <w:bottom w:val="single" w:sz="12" w:space="0" w:color="FDEDE0" w:themeColor="accent2" w:themeTint="99"/>
        </w:tcBorders>
      </w:tcPr>
    </w:tblStylePr>
    <w:tblStylePr w:type="lastRow">
      <w:rPr>
        <w:b/>
        <w:bCs/>
      </w:rPr>
      <w:tblPr/>
      <w:tcPr>
        <w:tcBorders>
          <w:top w:val="double" w:sz="2" w:space="0" w:color="FDEDE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0339F"/>
    <w:pPr>
      <w:spacing w:after="0" w:line="240" w:lineRule="auto"/>
    </w:pPr>
    <w:tblPr>
      <w:tblStyleRowBandSize w:val="1"/>
      <w:tblStyleColBandSize w:val="1"/>
      <w:tblBorders>
        <w:top w:val="single" w:sz="4" w:space="0" w:color="73B5ED" w:themeColor="accent3" w:themeTint="66"/>
        <w:left w:val="single" w:sz="4" w:space="0" w:color="73B5ED" w:themeColor="accent3" w:themeTint="66"/>
        <w:bottom w:val="single" w:sz="4" w:space="0" w:color="73B5ED" w:themeColor="accent3" w:themeTint="66"/>
        <w:right w:val="single" w:sz="4" w:space="0" w:color="73B5ED" w:themeColor="accent3" w:themeTint="66"/>
        <w:insideH w:val="single" w:sz="4" w:space="0" w:color="73B5ED" w:themeColor="accent3" w:themeTint="66"/>
        <w:insideV w:val="single" w:sz="4" w:space="0" w:color="73B5ED" w:themeColor="accent3" w:themeTint="66"/>
      </w:tblBorders>
    </w:tblPr>
    <w:tblStylePr w:type="firstRow">
      <w:rPr>
        <w:b/>
        <w:bCs/>
      </w:rPr>
      <w:tblPr/>
      <w:tcPr>
        <w:tcBorders>
          <w:bottom w:val="single" w:sz="12" w:space="0" w:color="2C90E4" w:themeColor="accent3" w:themeTint="99"/>
        </w:tcBorders>
      </w:tcPr>
    </w:tblStylePr>
    <w:tblStylePr w:type="lastRow">
      <w:rPr>
        <w:b/>
        <w:bCs/>
      </w:rPr>
      <w:tblPr/>
      <w:tcPr>
        <w:tcBorders>
          <w:top w:val="double" w:sz="2" w:space="0" w:color="2C90E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0339F"/>
    <w:pPr>
      <w:spacing w:after="0" w:line="240" w:lineRule="auto"/>
    </w:pPr>
    <w:tblPr>
      <w:tblStyleRowBandSize w:val="1"/>
      <w:tblStyleColBandSize w:val="1"/>
      <w:tblBorders>
        <w:top w:val="single" w:sz="4" w:space="0" w:color="CAD4E1" w:themeColor="accent4" w:themeTint="66"/>
        <w:left w:val="single" w:sz="4" w:space="0" w:color="CAD4E1" w:themeColor="accent4" w:themeTint="66"/>
        <w:bottom w:val="single" w:sz="4" w:space="0" w:color="CAD4E1" w:themeColor="accent4" w:themeTint="66"/>
        <w:right w:val="single" w:sz="4" w:space="0" w:color="CAD4E1" w:themeColor="accent4" w:themeTint="66"/>
        <w:insideH w:val="single" w:sz="4" w:space="0" w:color="CAD4E1" w:themeColor="accent4" w:themeTint="66"/>
        <w:insideV w:val="single" w:sz="4" w:space="0" w:color="CAD4E1" w:themeColor="accent4" w:themeTint="66"/>
      </w:tblBorders>
    </w:tblPr>
    <w:tblStylePr w:type="firstRow">
      <w:rPr>
        <w:b/>
        <w:bCs/>
      </w:rPr>
      <w:tblPr/>
      <w:tcPr>
        <w:tcBorders>
          <w:bottom w:val="single" w:sz="12" w:space="0" w:color="B0BFD2" w:themeColor="accent4" w:themeTint="99"/>
        </w:tcBorders>
      </w:tcPr>
    </w:tblStylePr>
    <w:tblStylePr w:type="lastRow">
      <w:rPr>
        <w:b/>
        <w:bCs/>
      </w:rPr>
      <w:tblPr/>
      <w:tcPr>
        <w:tcBorders>
          <w:top w:val="double" w:sz="2" w:space="0" w:color="B0BFD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0339F"/>
    <w:pPr>
      <w:spacing w:after="0" w:line="240" w:lineRule="auto"/>
    </w:pPr>
    <w:tblPr>
      <w:tblStyleRowBandSize w:val="1"/>
      <w:tblStyleColBandSize w:val="1"/>
      <w:tblBorders>
        <w:top w:val="single" w:sz="4" w:space="0" w:color="7AF2E4" w:themeColor="accent5" w:themeTint="66"/>
        <w:left w:val="single" w:sz="4" w:space="0" w:color="7AF2E4" w:themeColor="accent5" w:themeTint="66"/>
        <w:bottom w:val="single" w:sz="4" w:space="0" w:color="7AF2E4" w:themeColor="accent5" w:themeTint="66"/>
        <w:right w:val="single" w:sz="4" w:space="0" w:color="7AF2E4" w:themeColor="accent5" w:themeTint="66"/>
        <w:insideH w:val="single" w:sz="4" w:space="0" w:color="7AF2E4" w:themeColor="accent5" w:themeTint="66"/>
        <w:insideV w:val="single" w:sz="4" w:space="0" w:color="7AF2E4" w:themeColor="accent5" w:themeTint="66"/>
      </w:tblBorders>
    </w:tblPr>
    <w:tblStylePr w:type="firstRow">
      <w:rPr>
        <w:b/>
        <w:bCs/>
      </w:rPr>
      <w:tblPr/>
      <w:tcPr>
        <w:tcBorders>
          <w:bottom w:val="single" w:sz="12" w:space="0" w:color="37EBD6" w:themeColor="accent5" w:themeTint="99"/>
        </w:tcBorders>
      </w:tcPr>
    </w:tblStylePr>
    <w:tblStylePr w:type="lastRow">
      <w:rPr>
        <w:b/>
        <w:bCs/>
      </w:rPr>
      <w:tblPr/>
      <w:tcPr>
        <w:tcBorders>
          <w:top w:val="double" w:sz="2" w:space="0" w:color="37EBD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0339F"/>
    <w:pPr>
      <w:spacing w:after="0" w:line="240" w:lineRule="auto"/>
    </w:pPr>
    <w:tblPr>
      <w:tblStyleRowBandSize w:val="1"/>
      <w:tblStyleColBandSize w:val="1"/>
      <w:tblBorders>
        <w:top w:val="single" w:sz="4" w:space="0" w:color="B4E2DC" w:themeColor="accent6" w:themeTint="66"/>
        <w:left w:val="single" w:sz="4" w:space="0" w:color="B4E2DC" w:themeColor="accent6" w:themeTint="66"/>
        <w:bottom w:val="single" w:sz="4" w:space="0" w:color="B4E2DC" w:themeColor="accent6" w:themeTint="66"/>
        <w:right w:val="single" w:sz="4" w:space="0" w:color="B4E2DC" w:themeColor="accent6" w:themeTint="66"/>
        <w:insideH w:val="single" w:sz="4" w:space="0" w:color="B4E2DC" w:themeColor="accent6" w:themeTint="66"/>
        <w:insideV w:val="single" w:sz="4" w:space="0" w:color="B4E2DC" w:themeColor="accent6" w:themeTint="66"/>
      </w:tblBorders>
    </w:tblPr>
    <w:tblStylePr w:type="firstRow">
      <w:rPr>
        <w:b/>
        <w:bCs/>
      </w:rPr>
      <w:tblPr/>
      <w:tcPr>
        <w:tcBorders>
          <w:bottom w:val="single" w:sz="12" w:space="0" w:color="8FD4CB" w:themeColor="accent6" w:themeTint="99"/>
        </w:tcBorders>
      </w:tcPr>
    </w:tblStylePr>
    <w:tblStylePr w:type="lastRow">
      <w:rPr>
        <w:b/>
        <w:bCs/>
      </w:rPr>
      <w:tblPr/>
      <w:tcPr>
        <w:tcBorders>
          <w:top w:val="double" w:sz="2" w:space="0" w:color="8FD4C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0339F"/>
    <w:pPr>
      <w:spacing w:after="0" w:line="240" w:lineRule="auto"/>
    </w:pPr>
    <w:tblPr>
      <w:tblStyleRowBandSize w:val="1"/>
      <w:tblStyleColBandSize w:val="1"/>
      <w:tblBorders>
        <w:top w:val="single" w:sz="2" w:space="0" w:color="7A7A7A" w:themeColor="text1" w:themeTint="99"/>
        <w:bottom w:val="single" w:sz="2" w:space="0" w:color="7A7A7A" w:themeColor="text1" w:themeTint="99"/>
        <w:insideH w:val="single" w:sz="2" w:space="0" w:color="7A7A7A" w:themeColor="text1" w:themeTint="99"/>
        <w:insideV w:val="single" w:sz="2" w:space="0" w:color="7A7A7A" w:themeColor="text1" w:themeTint="99"/>
      </w:tblBorders>
    </w:tblPr>
    <w:tblStylePr w:type="firstRow">
      <w:rPr>
        <w:b/>
        <w:bCs/>
      </w:rPr>
      <w:tblPr/>
      <w:tcPr>
        <w:tcBorders>
          <w:top w:val="nil"/>
          <w:bottom w:val="single" w:sz="12" w:space="0" w:color="7A7A7A" w:themeColor="text1" w:themeTint="99"/>
          <w:insideH w:val="nil"/>
          <w:insideV w:val="nil"/>
        </w:tcBorders>
        <w:shd w:val="clear" w:color="auto" w:fill="FFFFFF" w:themeFill="background1"/>
      </w:tcPr>
    </w:tblStylePr>
    <w:tblStylePr w:type="lastRow">
      <w:rPr>
        <w:b/>
        <w:bCs/>
      </w:rPr>
      <w:tblPr/>
      <w:tcPr>
        <w:tcBorders>
          <w:top w:val="double" w:sz="2" w:space="0" w:color="7A7A7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GridTable2-Accent1">
    <w:name w:val="Grid Table 2 Accent 1"/>
    <w:basedOn w:val="TableNormal"/>
    <w:uiPriority w:val="47"/>
    <w:locked/>
    <w:rsid w:val="00D0339F"/>
    <w:pPr>
      <w:spacing w:after="0" w:line="240" w:lineRule="auto"/>
    </w:pPr>
    <w:tblPr>
      <w:tblStyleRowBandSize w:val="1"/>
      <w:tblStyleColBandSize w:val="1"/>
      <w:tblBorders>
        <w:top w:val="single" w:sz="2" w:space="0" w:color="FFA247" w:themeColor="accent1" w:themeTint="99"/>
        <w:bottom w:val="single" w:sz="2" w:space="0" w:color="FFA247" w:themeColor="accent1" w:themeTint="99"/>
        <w:insideH w:val="single" w:sz="2" w:space="0" w:color="FFA247" w:themeColor="accent1" w:themeTint="99"/>
        <w:insideV w:val="single" w:sz="2" w:space="0" w:color="FFA247" w:themeColor="accent1" w:themeTint="99"/>
      </w:tblBorders>
    </w:tblPr>
    <w:tblStylePr w:type="firstRow">
      <w:rPr>
        <w:b/>
        <w:bCs/>
      </w:rPr>
      <w:tblPr/>
      <w:tcPr>
        <w:tcBorders>
          <w:top w:val="nil"/>
          <w:bottom w:val="single" w:sz="12" w:space="0" w:color="FFA247" w:themeColor="accent1" w:themeTint="99"/>
          <w:insideH w:val="nil"/>
          <w:insideV w:val="nil"/>
        </w:tcBorders>
        <w:shd w:val="clear" w:color="auto" w:fill="FFFFFF" w:themeFill="background1"/>
      </w:tcPr>
    </w:tblStylePr>
    <w:tblStylePr w:type="lastRow">
      <w:rPr>
        <w:b/>
        <w:bCs/>
      </w:rPr>
      <w:tblPr/>
      <w:tcPr>
        <w:tcBorders>
          <w:top w:val="double" w:sz="2" w:space="0" w:color="FFA24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GridTable2-Accent2">
    <w:name w:val="Grid Table 2 Accent 2"/>
    <w:basedOn w:val="TableNormal"/>
    <w:uiPriority w:val="47"/>
    <w:locked/>
    <w:rsid w:val="00D0339F"/>
    <w:pPr>
      <w:spacing w:after="0" w:line="240" w:lineRule="auto"/>
    </w:pPr>
    <w:tblPr>
      <w:tblStyleRowBandSize w:val="1"/>
      <w:tblStyleColBandSize w:val="1"/>
      <w:tblBorders>
        <w:top w:val="single" w:sz="2" w:space="0" w:color="FDEDE0" w:themeColor="accent2" w:themeTint="99"/>
        <w:bottom w:val="single" w:sz="2" w:space="0" w:color="FDEDE0" w:themeColor="accent2" w:themeTint="99"/>
        <w:insideH w:val="single" w:sz="2" w:space="0" w:color="FDEDE0" w:themeColor="accent2" w:themeTint="99"/>
        <w:insideV w:val="single" w:sz="2" w:space="0" w:color="FDEDE0" w:themeColor="accent2" w:themeTint="99"/>
      </w:tblBorders>
    </w:tblPr>
    <w:tblStylePr w:type="firstRow">
      <w:rPr>
        <w:b/>
        <w:bCs/>
      </w:rPr>
      <w:tblPr/>
      <w:tcPr>
        <w:tcBorders>
          <w:top w:val="nil"/>
          <w:bottom w:val="single" w:sz="12" w:space="0" w:color="FDEDE0" w:themeColor="accent2" w:themeTint="99"/>
          <w:insideH w:val="nil"/>
          <w:insideV w:val="nil"/>
        </w:tcBorders>
        <w:shd w:val="clear" w:color="auto" w:fill="FFFFFF" w:themeFill="background1"/>
      </w:tcPr>
    </w:tblStylePr>
    <w:tblStylePr w:type="lastRow">
      <w:rPr>
        <w:b/>
        <w:bCs/>
      </w:rPr>
      <w:tblPr/>
      <w:tcPr>
        <w:tcBorders>
          <w:top w:val="double" w:sz="2" w:space="0" w:color="FDED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GridTable2-Accent3">
    <w:name w:val="Grid Table 2 Accent 3"/>
    <w:basedOn w:val="TableNormal"/>
    <w:uiPriority w:val="47"/>
    <w:locked/>
    <w:rsid w:val="00D0339F"/>
    <w:pPr>
      <w:spacing w:after="0" w:line="240" w:lineRule="auto"/>
    </w:pPr>
    <w:tblPr>
      <w:tblStyleRowBandSize w:val="1"/>
      <w:tblStyleColBandSize w:val="1"/>
      <w:tblBorders>
        <w:top w:val="single" w:sz="2" w:space="0" w:color="2C90E4" w:themeColor="accent3" w:themeTint="99"/>
        <w:bottom w:val="single" w:sz="2" w:space="0" w:color="2C90E4" w:themeColor="accent3" w:themeTint="99"/>
        <w:insideH w:val="single" w:sz="2" w:space="0" w:color="2C90E4" w:themeColor="accent3" w:themeTint="99"/>
        <w:insideV w:val="single" w:sz="2" w:space="0" w:color="2C90E4" w:themeColor="accent3" w:themeTint="99"/>
      </w:tblBorders>
    </w:tblPr>
    <w:tblStylePr w:type="firstRow">
      <w:rPr>
        <w:b/>
        <w:bCs/>
      </w:rPr>
      <w:tblPr/>
      <w:tcPr>
        <w:tcBorders>
          <w:top w:val="nil"/>
          <w:bottom w:val="single" w:sz="12" w:space="0" w:color="2C90E4" w:themeColor="accent3" w:themeTint="99"/>
          <w:insideH w:val="nil"/>
          <w:insideV w:val="nil"/>
        </w:tcBorders>
        <w:shd w:val="clear" w:color="auto" w:fill="FFFFFF" w:themeFill="background1"/>
      </w:tcPr>
    </w:tblStylePr>
    <w:tblStylePr w:type="lastRow">
      <w:rPr>
        <w:b/>
        <w:bCs/>
      </w:rPr>
      <w:tblPr/>
      <w:tcPr>
        <w:tcBorders>
          <w:top w:val="double" w:sz="2" w:space="0" w:color="2C90E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GridTable2-Accent4">
    <w:name w:val="Grid Table 2 Accent 4"/>
    <w:basedOn w:val="TableNormal"/>
    <w:uiPriority w:val="47"/>
    <w:locked/>
    <w:rsid w:val="00D0339F"/>
    <w:pPr>
      <w:spacing w:after="0" w:line="240" w:lineRule="auto"/>
    </w:pPr>
    <w:tblPr>
      <w:tblStyleRowBandSize w:val="1"/>
      <w:tblStyleColBandSize w:val="1"/>
      <w:tblBorders>
        <w:top w:val="single" w:sz="2" w:space="0" w:color="B0BFD2" w:themeColor="accent4" w:themeTint="99"/>
        <w:bottom w:val="single" w:sz="2" w:space="0" w:color="B0BFD2" w:themeColor="accent4" w:themeTint="99"/>
        <w:insideH w:val="single" w:sz="2" w:space="0" w:color="B0BFD2" w:themeColor="accent4" w:themeTint="99"/>
        <w:insideV w:val="single" w:sz="2" w:space="0" w:color="B0BFD2" w:themeColor="accent4" w:themeTint="99"/>
      </w:tblBorders>
    </w:tblPr>
    <w:tblStylePr w:type="firstRow">
      <w:rPr>
        <w:b/>
        <w:bCs/>
      </w:rPr>
      <w:tblPr/>
      <w:tcPr>
        <w:tcBorders>
          <w:top w:val="nil"/>
          <w:bottom w:val="single" w:sz="12" w:space="0" w:color="B0BFD2" w:themeColor="accent4" w:themeTint="99"/>
          <w:insideH w:val="nil"/>
          <w:insideV w:val="nil"/>
        </w:tcBorders>
        <w:shd w:val="clear" w:color="auto" w:fill="FFFFFF" w:themeFill="background1"/>
      </w:tcPr>
    </w:tblStylePr>
    <w:tblStylePr w:type="lastRow">
      <w:rPr>
        <w:b/>
        <w:bCs/>
      </w:rPr>
      <w:tblPr/>
      <w:tcPr>
        <w:tcBorders>
          <w:top w:val="double" w:sz="2" w:space="0" w:color="B0BFD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GridTable2-Accent5">
    <w:name w:val="Grid Table 2 Accent 5"/>
    <w:basedOn w:val="TableNormal"/>
    <w:uiPriority w:val="47"/>
    <w:locked/>
    <w:rsid w:val="00D0339F"/>
    <w:pPr>
      <w:spacing w:after="0" w:line="240" w:lineRule="auto"/>
    </w:pPr>
    <w:tblPr>
      <w:tblStyleRowBandSize w:val="1"/>
      <w:tblStyleColBandSize w:val="1"/>
      <w:tblBorders>
        <w:top w:val="single" w:sz="2" w:space="0" w:color="37EBD6" w:themeColor="accent5" w:themeTint="99"/>
        <w:bottom w:val="single" w:sz="2" w:space="0" w:color="37EBD6" w:themeColor="accent5" w:themeTint="99"/>
        <w:insideH w:val="single" w:sz="2" w:space="0" w:color="37EBD6" w:themeColor="accent5" w:themeTint="99"/>
        <w:insideV w:val="single" w:sz="2" w:space="0" w:color="37EBD6" w:themeColor="accent5" w:themeTint="99"/>
      </w:tblBorders>
    </w:tblPr>
    <w:tblStylePr w:type="firstRow">
      <w:rPr>
        <w:b/>
        <w:bCs/>
      </w:rPr>
      <w:tblPr/>
      <w:tcPr>
        <w:tcBorders>
          <w:top w:val="nil"/>
          <w:bottom w:val="single" w:sz="12" w:space="0" w:color="37EBD6" w:themeColor="accent5" w:themeTint="99"/>
          <w:insideH w:val="nil"/>
          <w:insideV w:val="nil"/>
        </w:tcBorders>
        <w:shd w:val="clear" w:color="auto" w:fill="FFFFFF" w:themeFill="background1"/>
      </w:tcPr>
    </w:tblStylePr>
    <w:tblStylePr w:type="lastRow">
      <w:rPr>
        <w:b/>
        <w:bCs/>
      </w:rPr>
      <w:tblPr/>
      <w:tcPr>
        <w:tcBorders>
          <w:top w:val="double" w:sz="2" w:space="0" w:color="37EB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GridTable2-Accent6">
    <w:name w:val="Grid Table 2 Accent 6"/>
    <w:basedOn w:val="TableNormal"/>
    <w:uiPriority w:val="47"/>
    <w:locked/>
    <w:rsid w:val="00D0339F"/>
    <w:pPr>
      <w:spacing w:after="0" w:line="240" w:lineRule="auto"/>
    </w:pPr>
    <w:tblPr>
      <w:tblStyleRowBandSize w:val="1"/>
      <w:tblStyleColBandSize w:val="1"/>
      <w:tblBorders>
        <w:top w:val="single" w:sz="2" w:space="0" w:color="8FD4CB" w:themeColor="accent6" w:themeTint="99"/>
        <w:bottom w:val="single" w:sz="2" w:space="0" w:color="8FD4CB" w:themeColor="accent6" w:themeTint="99"/>
        <w:insideH w:val="single" w:sz="2" w:space="0" w:color="8FD4CB" w:themeColor="accent6" w:themeTint="99"/>
        <w:insideV w:val="single" w:sz="2" w:space="0" w:color="8FD4CB" w:themeColor="accent6" w:themeTint="99"/>
      </w:tblBorders>
    </w:tblPr>
    <w:tblStylePr w:type="firstRow">
      <w:rPr>
        <w:b/>
        <w:bCs/>
      </w:rPr>
      <w:tblPr/>
      <w:tcPr>
        <w:tcBorders>
          <w:top w:val="nil"/>
          <w:bottom w:val="single" w:sz="12" w:space="0" w:color="8FD4CB" w:themeColor="accent6" w:themeTint="99"/>
          <w:insideH w:val="nil"/>
          <w:insideV w:val="nil"/>
        </w:tcBorders>
        <w:shd w:val="clear" w:color="auto" w:fill="FFFFFF" w:themeFill="background1"/>
      </w:tcPr>
    </w:tblStylePr>
    <w:tblStylePr w:type="lastRow">
      <w:rPr>
        <w:b/>
        <w:bCs/>
      </w:rPr>
      <w:tblPr/>
      <w:tcPr>
        <w:tcBorders>
          <w:top w:val="double" w:sz="2" w:space="0" w:color="8FD4C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GridTable3">
    <w:name w:val="Grid Table 3"/>
    <w:basedOn w:val="TableNormal"/>
    <w:uiPriority w:val="48"/>
    <w:locked/>
    <w:rsid w:val="00D0339F"/>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A7A7A" w:themeColor="text1" w:themeTint="99"/>
        </w:tcBorders>
      </w:tcPr>
    </w:tblStylePr>
    <w:tblStylePr w:type="nwCell">
      <w:tblPr/>
      <w:tcPr>
        <w:tcBorders>
          <w:bottom w:val="single" w:sz="4" w:space="0" w:color="7A7A7A" w:themeColor="text1" w:themeTint="99"/>
        </w:tcBorders>
      </w:tcPr>
    </w:tblStylePr>
    <w:tblStylePr w:type="seCell">
      <w:tblPr/>
      <w:tcPr>
        <w:tcBorders>
          <w:top w:val="single" w:sz="4" w:space="0" w:color="7A7A7A" w:themeColor="text1" w:themeTint="99"/>
        </w:tcBorders>
      </w:tcPr>
    </w:tblStylePr>
    <w:tblStylePr w:type="swCell">
      <w:tblPr/>
      <w:tcPr>
        <w:tcBorders>
          <w:top w:val="single" w:sz="4" w:space="0" w:color="7A7A7A" w:themeColor="text1" w:themeTint="99"/>
        </w:tcBorders>
      </w:tcPr>
    </w:tblStylePr>
  </w:style>
  <w:style w:type="table" w:styleId="GridTable3-Accent1">
    <w:name w:val="Grid Table 3 Accent 1"/>
    <w:basedOn w:val="TableNormal"/>
    <w:uiPriority w:val="48"/>
    <w:locked/>
    <w:rsid w:val="00D0339F"/>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bottom w:val="single" w:sz="4" w:space="0" w:color="FFA247" w:themeColor="accent1" w:themeTint="99"/>
        </w:tcBorders>
      </w:tcPr>
    </w:tblStylePr>
    <w:tblStylePr w:type="nwCell">
      <w:tblPr/>
      <w:tcPr>
        <w:tcBorders>
          <w:bottom w:val="single" w:sz="4" w:space="0" w:color="FFA247" w:themeColor="accent1" w:themeTint="99"/>
        </w:tcBorders>
      </w:tcPr>
    </w:tblStylePr>
    <w:tblStylePr w:type="seCell">
      <w:tblPr/>
      <w:tcPr>
        <w:tcBorders>
          <w:top w:val="single" w:sz="4" w:space="0" w:color="FFA247" w:themeColor="accent1" w:themeTint="99"/>
        </w:tcBorders>
      </w:tcPr>
    </w:tblStylePr>
    <w:tblStylePr w:type="swCell">
      <w:tblPr/>
      <w:tcPr>
        <w:tcBorders>
          <w:top w:val="single" w:sz="4" w:space="0" w:color="FFA247" w:themeColor="accent1" w:themeTint="99"/>
        </w:tcBorders>
      </w:tcPr>
    </w:tblStylePr>
  </w:style>
  <w:style w:type="table" w:styleId="GridTable3-Accent2">
    <w:name w:val="Grid Table 3 Accent 2"/>
    <w:basedOn w:val="TableNormal"/>
    <w:uiPriority w:val="48"/>
    <w:locked/>
    <w:rsid w:val="00D0339F"/>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bottom w:val="single" w:sz="4" w:space="0" w:color="FDEDE0" w:themeColor="accent2" w:themeTint="99"/>
        </w:tcBorders>
      </w:tcPr>
    </w:tblStylePr>
    <w:tblStylePr w:type="nwCell">
      <w:tblPr/>
      <w:tcPr>
        <w:tcBorders>
          <w:bottom w:val="single" w:sz="4" w:space="0" w:color="FDEDE0" w:themeColor="accent2" w:themeTint="99"/>
        </w:tcBorders>
      </w:tcPr>
    </w:tblStylePr>
    <w:tblStylePr w:type="seCell">
      <w:tblPr/>
      <w:tcPr>
        <w:tcBorders>
          <w:top w:val="single" w:sz="4" w:space="0" w:color="FDEDE0" w:themeColor="accent2" w:themeTint="99"/>
        </w:tcBorders>
      </w:tcPr>
    </w:tblStylePr>
    <w:tblStylePr w:type="swCell">
      <w:tblPr/>
      <w:tcPr>
        <w:tcBorders>
          <w:top w:val="single" w:sz="4" w:space="0" w:color="FDEDE0" w:themeColor="accent2" w:themeTint="99"/>
        </w:tcBorders>
      </w:tcPr>
    </w:tblStylePr>
  </w:style>
  <w:style w:type="table" w:styleId="GridTable3-Accent3">
    <w:name w:val="Grid Table 3 Accent 3"/>
    <w:basedOn w:val="TableNormal"/>
    <w:uiPriority w:val="48"/>
    <w:locked/>
    <w:rsid w:val="00D0339F"/>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bottom w:val="single" w:sz="4" w:space="0" w:color="2C90E4" w:themeColor="accent3" w:themeTint="99"/>
        </w:tcBorders>
      </w:tcPr>
    </w:tblStylePr>
    <w:tblStylePr w:type="nwCell">
      <w:tblPr/>
      <w:tcPr>
        <w:tcBorders>
          <w:bottom w:val="single" w:sz="4" w:space="0" w:color="2C90E4" w:themeColor="accent3" w:themeTint="99"/>
        </w:tcBorders>
      </w:tcPr>
    </w:tblStylePr>
    <w:tblStylePr w:type="seCell">
      <w:tblPr/>
      <w:tcPr>
        <w:tcBorders>
          <w:top w:val="single" w:sz="4" w:space="0" w:color="2C90E4" w:themeColor="accent3" w:themeTint="99"/>
        </w:tcBorders>
      </w:tcPr>
    </w:tblStylePr>
    <w:tblStylePr w:type="swCell">
      <w:tblPr/>
      <w:tcPr>
        <w:tcBorders>
          <w:top w:val="single" w:sz="4" w:space="0" w:color="2C90E4" w:themeColor="accent3" w:themeTint="99"/>
        </w:tcBorders>
      </w:tcPr>
    </w:tblStylePr>
  </w:style>
  <w:style w:type="table" w:styleId="GridTable3-Accent4">
    <w:name w:val="Grid Table 3 Accent 4"/>
    <w:basedOn w:val="TableNormal"/>
    <w:uiPriority w:val="48"/>
    <w:locked/>
    <w:rsid w:val="00D0339F"/>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bottom w:val="single" w:sz="4" w:space="0" w:color="B0BFD2" w:themeColor="accent4" w:themeTint="99"/>
        </w:tcBorders>
      </w:tcPr>
    </w:tblStylePr>
    <w:tblStylePr w:type="nwCell">
      <w:tblPr/>
      <w:tcPr>
        <w:tcBorders>
          <w:bottom w:val="single" w:sz="4" w:space="0" w:color="B0BFD2" w:themeColor="accent4" w:themeTint="99"/>
        </w:tcBorders>
      </w:tcPr>
    </w:tblStylePr>
    <w:tblStylePr w:type="seCell">
      <w:tblPr/>
      <w:tcPr>
        <w:tcBorders>
          <w:top w:val="single" w:sz="4" w:space="0" w:color="B0BFD2" w:themeColor="accent4" w:themeTint="99"/>
        </w:tcBorders>
      </w:tcPr>
    </w:tblStylePr>
    <w:tblStylePr w:type="swCell">
      <w:tblPr/>
      <w:tcPr>
        <w:tcBorders>
          <w:top w:val="single" w:sz="4" w:space="0" w:color="B0BFD2" w:themeColor="accent4" w:themeTint="99"/>
        </w:tcBorders>
      </w:tcPr>
    </w:tblStylePr>
  </w:style>
  <w:style w:type="table" w:styleId="GridTable3-Accent5">
    <w:name w:val="Grid Table 3 Accent 5"/>
    <w:basedOn w:val="TableNormal"/>
    <w:uiPriority w:val="48"/>
    <w:locked/>
    <w:rsid w:val="00D0339F"/>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bottom w:val="single" w:sz="4" w:space="0" w:color="37EBD6" w:themeColor="accent5" w:themeTint="99"/>
        </w:tcBorders>
      </w:tcPr>
    </w:tblStylePr>
    <w:tblStylePr w:type="nwCell">
      <w:tblPr/>
      <w:tcPr>
        <w:tcBorders>
          <w:bottom w:val="single" w:sz="4" w:space="0" w:color="37EBD6" w:themeColor="accent5" w:themeTint="99"/>
        </w:tcBorders>
      </w:tcPr>
    </w:tblStylePr>
    <w:tblStylePr w:type="seCell">
      <w:tblPr/>
      <w:tcPr>
        <w:tcBorders>
          <w:top w:val="single" w:sz="4" w:space="0" w:color="37EBD6" w:themeColor="accent5" w:themeTint="99"/>
        </w:tcBorders>
      </w:tcPr>
    </w:tblStylePr>
    <w:tblStylePr w:type="swCell">
      <w:tblPr/>
      <w:tcPr>
        <w:tcBorders>
          <w:top w:val="single" w:sz="4" w:space="0" w:color="37EBD6" w:themeColor="accent5" w:themeTint="99"/>
        </w:tcBorders>
      </w:tcPr>
    </w:tblStylePr>
  </w:style>
  <w:style w:type="table" w:styleId="GridTable3-Accent6">
    <w:name w:val="Grid Table 3 Accent 6"/>
    <w:basedOn w:val="TableNormal"/>
    <w:uiPriority w:val="48"/>
    <w:locked/>
    <w:rsid w:val="00D0339F"/>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bottom w:val="single" w:sz="4" w:space="0" w:color="8FD4CB" w:themeColor="accent6" w:themeTint="99"/>
        </w:tcBorders>
      </w:tcPr>
    </w:tblStylePr>
    <w:tblStylePr w:type="nwCell">
      <w:tblPr/>
      <w:tcPr>
        <w:tcBorders>
          <w:bottom w:val="single" w:sz="4" w:space="0" w:color="8FD4CB" w:themeColor="accent6" w:themeTint="99"/>
        </w:tcBorders>
      </w:tcPr>
    </w:tblStylePr>
    <w:tblStylePr w:type="seCell">
      <w:tblPr/>
      <w:tcPr>
        <w:tcBorders>
          <w:top w:val="single" w:sz="4" w:space="0" w:color="8FD4CB" w:themeColor="accent6" w:themeTint="99"/>
        </w:tcBorders>
      </w:tcPr>
    </w:tblStylePr>
    <w:tblStylePr w:type="swCell">
      <w:tblPr/>
      <w:tcPr>
        <w:tcBorders>
          <w:top w:val="single" w:sz="4" w:space="0" w:color="8FD4CB" w:themeColor="accent6" w:themeTint="99"/>
        </w:tcBorders>
      </w:tcPr>
    </w:tblStylePr>
  </w:style>
  <w:style w:type="table" w:styleId="GridTable4">
    <w:name w:val="Grid Table 4"/>
    <w:basedOn w:val="TableNormal"/>
    <w:uiPriority w:val="49"/>
    <w:locked/>
    <w:rsid w:val="00D0339F"/>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color w:val="FFFFFF" w:themeColor="background1"/>
      </w:rPr>
      <w:tblPr/>
      <w:tcPr>
        <w:tcBorders>
          <w:top w:val="single" w:sz="4" w:space="0" w:color="222222" w:themeColor="text1"/>
          <w:left w:val="single" w:sz="4" w:space="0" w:color="222222" w:themeColor="text1"/>
          <w:bottom w:val="single" w:sz="4" w:space="0" w:color="222222" w:themeColor="text1"/>
          <w:right w:val="single" w:sz="4" w:space="0" w:color="222222" w:themeColor="text1"/>
          <w:insideH w:val="nil"/>
          <w:insideV w:val="nil"/>
        </w:tcBorders>
        <w:shd w:val="clear" w:color="auto" w:fill="222222" w:themeFill="text1"/>
      </w:tcPr>
    </w:tblStylePr>
    <w:tblStylePr w:type="lastRow">
      <w:rPr>
        <w:b/>
        <w:bCs/>
      </w:rPr>
      <w:tblPr/>
      <w:tcPr>
        <w:tcBorders>
          <w:top w:val="double" w:sz="4" w:space="0" w:color="222222"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GridTable4-Accent1">
    <w:name w:val="Grid Table 4 Accent 1"/>
    <w:basedOn w:val="TableNormal"/>
    <w:uiPriority w:val="49"/>
    <w:locked/>
    <w:rsid w:val="00D0339F"/>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color w:val="FFFFFF" w:themeColor="background1"/>
      </w:rPr>
      <w:tblPr/>
      <w:tcPr>
        <w:tcBorders>
          <w:top w:val="single" w:sz="4" w:space="0" w:color="CC6600" w:themeColor="accent1"/>
          <w:left w:val="single" w:sz="4" w:space="0" w:color="CC6600" w:themeColor="accent1"/>
          <w:bottom w:val="single" w:sz="4" w:space="0" w:color="CC6600" w:themeColor="accent1"/>
          <w:right w:val="single" w:sz="4" w:space="0" w:color="CC6600" w:themeColor="accent1"/>
          <w:insideH w:val="nil"/>
          <w:insideV w:val="nil"/>
        </w:tcBorders>
        <w:shd w:val="clear" w:color="auto" w:fill="CC6600" w:themeFill="accent1"/>
      </w:tcPr>
    </w:tblStylePr>
    <w:tblStylePr w:type="lastRow">
      <w:rPr>
        <w:b/>
        <w:bCs/>
      </w:rPr>
      <w:tblPr/>
      <w:tcPr>
        <w:tcBorders>
          <w:top w:val="double" w:sz="4" w:space="0" w:color="CC6600" w:themeColor="accent1"/>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GridTable4-Accent2">
    <w:name w:val="Grid Table 4 Accent 2"/>
    <w:basedOn w:val="TableNormal"/>
    <w:uiPriority w:val="49"/>
    <w:locked/>
    <w:rsid w:val="00D0339F"/>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color w:val="FFFFFF" w:themeColor="background1"/>
      </w:rPr>
      <w:tblPr/>
      <w:tcPr>
        <w:tcBorders>
          <w:top w:val="single" w:sz="4" w:space="0" w:color="FCE2CC" w:themeColor="accent2"/>
          <w:left w:val="single" w:sz="4" w:space="0" w:color="FCE2CC" w:themeColor="accent2"/>
          <w:bottom w:val="single" w:sz="4" w:space="0" w:color="FCE2CC" w:themeColor="accent2"/>
          <w:right w:val="single" w:sz="4" w:space="0" w:color="FCE2CC" w:themeColor="accent2"/>
          <w:insideH w:val="nil"/>
          <w:insideV w:val="nil"/>
        </w:tcBorders>
        <w:shd w:val="clear" w:color="auto" w:fill="FCE2CC" w:themeFill="accent2"/>
      </w:tcPr>
    </w:tblStylePr>
    <w:tblStylePr w:type="lastRow">
      <w:rPr>
        <w:b/>
        <w:bCs/>
      </w:rPr>
      <w:tblPr/>
      <w:tcPr>
        <w:tcBorders>
          <w:top w:val="double" w:sz="4" w:space="0" w:color="FCE2CC" w:themeColor="accent2"/>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GridTable4-Accent3">
    <w:name w:val="Grid Table 4 Accent 3"/>
    <w:basedOn w:val="TableNormal"/>
    <w:uiPriority w:val="49"/>
    <w:locked/>
    <w:rsid w:val="00D0339F"/>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color w:val="FFFFFF" w:themeColor="background1"/>
      </w:rPr>
      <w:tblPr/>
      <w:tcPr>
        <w:tcBorders>
          <w:top w:val="single" w:sz="4" w:space="0" w:color="0D3E67" w:themeColor="accent3"/>
          <w:left w:val="single" w:sz="4" w:space="0" w:color="0D3E67" w:themeColor="accent3"/>
          <w:bottom w:val="single" w:sz="4" w:space="0" w:color="0D3E67" w:themeColor="accent3"/>
          <w:right w:val="single" w:sz="4" w:space="0" w:color="0D3E67" w:themeColor="accent3"/>
          <w:insideH w:val="nil"/>
          <w:insideV w:val="nil"/>
        </w:tcBorders>
        <w:shd w:val="clear" w:color="auto" w:fill="0D3E67" w:themeFill="accent3"/>
      </w:tcPr>
    </w:tblStylePr>
    <w:tblStylePr w:type="lastRow">
      <w:rPr>
        <w:b/>
        <w:bCs/>
      </w:rPr>
      <w:tblPr/>
      <w:tcPr>
        <w:tcBorders>
          <w:top w:val="double" w:sz="4" w:space="0" w:color="0D3E67" w:themeColor="accent3"/>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GridTable4-Accent4">
    <w:name w:val="Grid Table 4 Accent 4"/>
    <w:basedOn w:val="TableNormal"/>
    <w:uiPriority w:val="49"/>
    <w:locked/>
    <w:rsid w:val="00D0339F"/>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color w:val="FFFFFF" w:themeColor="background1"/>
      </w:rPr>
      <w:tblPr/>
      <w:tcPr>
        <w:tcBorders>
          <w:top w:val="single" w:sz="4" w:space="0" w:color="7D96B5" w:themeColor="accent4"/>
          <w:left w:val="single" w:sz="4" w:space="0" w:color="7D96B5" w:themeColor="accent4"/>
          <w:bottom w:val="single" w:sz="4" w:space="0" w:color="7D96B5" w:themeColor="accent4"/>
          <w:right w:val="single" w:sz="4" w:space="0" w:color="7D96B5" w:themeColor="accent4"/>
          <w:insideH w:val="nil"/>
          <w:insideV w:val="nil"/>
        </w:tcBorders>
        <w:shd w:val="clear" w:color="auto" w:fill="7D96B5" w:themeFill="accent4"/>
      </w:tcPr>
    </w:tblStylePr>
    <w:tblStylePr w:type="lastRow">
      <w:rPr>
        <w:b/>
        <w:bCs/>
      </w:rPr>
      <w:tblPr/>
      <w:tcPr>
        <w:tcBorders>
          <w:top w:val="double" w:sz="4" w:space="0" w:color="7D96B5" w:themeColor="accent4"/>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GridTable4-Accent5">
    <w:name w:val="Grid Table 4 Accent 5"/>
    <w:basedOn w:val="TableNormal"/>
    <w:uiPriority w:val="49"/>
    <w:locked/>
    <w:rsid w:val="00D0339F"/>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color w:val="FFFFFF" w:themeColor="background1"/>
      </w:rPr>
      <w:tblPr/>
      <w:tcPr>
        <w:tcBorders>
          <w:top w:val="single" w:sz="4" w:space="0" w:color="0D8577" w:themeColor="accent5"/>
          <w:left w:val="single" w:sz="4" w:space="0" w:color="0D8577" w:themeColor="accent5"/>
          <w:bottom w:val="single" w:sz="4" w:space="0" w:color="0D8577" w:themeColor="accent5"/>
          <w:right w:val="single" w:sz="4" w:space="0" w:color="0D8577" w:themeColor="accent5"/>
          <w:insideH w:val="nil"/>
          <w:insideV w:val="nil"/>
        </w:tcBorders>
        <w:shd w:val="clear" w:color="auto" w:fill="0D8577" w:themeFill="accent5"/>
      </w:tcPr>
    </w:tblStylePr>
    <w:tblStylePr w:type="lastRow">
      <w:rPr>
        <w:b/>
        <w:bCs/>
      </w:rPr>
      <w:tblPr/>
      <w:tcPr>
        <w:tcBorders>
          <w:top w:val="double" w:sz="4" w:space="0" w:color="0D8577" w:themeColor="accent5"/>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GridTable4-Accent6">
    <w:name w:val="Grid Table 4 Accent 6"/>
    <w:basedOn w:val="TableNormal"/>
    <w:uiPriority w:val="49"/>
    <w:locked/>
    <w:rsid w:val="00D0339F"/>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color w:val="FFFFFF" w:themeColor="background1"/>
      </w:rPr>
      <w:tblPr/>
      <w:tcPr>
        <w:tcBorders>
          <w:top w:val="single" w:sz="4" w:space="0" w:color="46B8A9" w:themeColor="accent6"/>
          <w:left w:val="single" w:sz="4" w:space="0" w:color="46B8A9" w:themeColor="accent6"/>
          <w:bottom w:val="single" w:sz="4" w:space="0" w:color="46B8A9" w:themeColor="accent6"/>
          <w:right w:val="single" w:sz="4" w:space="0" w:color="46B8A9" w:themeColor="accent6"/>
          <w:insideH w:val="nil"/>
          <w:insideV w:val="nil"/>
        </w:tcBorders>
        <w:shd w:val="clear" w:color="auto" w:fill="46B8A9" w:themeFill="accent6"/>
      </w:tcPr>
    </w:tblStylePr>
    <w:tblStylePr w:type="lastRow">
      <w:rPr>
        <w:b/>
        <w:bCs/>
      </w:rPr>
      <w:tblPr/>
      <w:tcPr>
        <w:tcBorders>
          <w:top w:val="double" w:sz="4" w:space="0" w:color="46B8A9" w:themeColor="accent6"/>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GridTable5Dark">
    <w:name w:val="Grid Table 5 Dark"/>
    <w:basedOn w:val="TableNormal"/>
    <w:uiPriority w:val="50"/>
    <w:locked/>
    <w:rsid w:val="00D033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2222" w:themeFill="text1"/>
      </w:tcPr>
    </w:tblStylePr>
    <w:tblStylePr w:type="band1Vert">
      <w:tblPr/>
      <w:tcPr>
        <w:shd w:val="clear" w:color="auto" w:fill="A6A6A6" w:themeFill="text1" w:themeFillTint="66"/>
      </w:tcPr>
    </w:tblStylePr>
    <w:tblStylePr w:type="band1Horz">
      <w:tblPr/>
      <w:tcPr>
        <w:shd w:val="clear" w:color="auto" w:fill="A6A6A6" w:themeFill="text1" w:themeFillTint="66"/>
      </w:tcPr>
    </w:tblStylePr>
  </w:style>
  <w:style w:type="table" w:styleId="GridTable5Dark-Accent1">
    <w:name w:val="Grid Table 5 Dark Accent 1"/>
    <w:basedOn w:val="TableNormal"/>
    <w:uiPriority w:val="50"/>
    <w:locked/>
    <w:rsid w:val="00D033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6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6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6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6600" w:themeFill="accent1"/>
      </w:tcPr>
    </w:tblStylePr>
    <w:tblStylePr w:type="band1Vert">
      <w:tblPr/>
      <w:tcPr>
        <w:shd w:val="clear" w:color="auto" w:fill="FFC184" w:themeFill="accent1" w:themeFillTint="66"/>
      </w:tcPr>
    </w:tblStylePr>
    <w:tblStylePr w:type="band1Horz">
      <w:tblPr/>
      <w:tcPr>
        <w:shd w:val="clear" w:color="auto" w:fill="FFC184" w:themeFill="accent1" w:themeFillTint="66"/>
      </w:tcPr>
    </w:tblStylePr>
  </w:style>
  <w:style w:type="table" w:styleId="GridTable5Dark-Accent2">
    <w:name w:val="Grid Table 5 Dark Accent 2"/>
    <w:basedOn w:val="TableNormal"/>
    <w:uiPriority w:val="50"/>
    <w:locked/>
    <w:rsid w:val="00D033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9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2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2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2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2CC" w:themeFill="accent2"/>
      </w:tcPr>
    </w:tblStylePr>
    <w:tblStylePr w:type="band1Vert">
      <w:tblPr/>
      <w:tcPr>
        <w:shd w:val="clear" w:color="auto" w:fill="FDF3EA" w:themeFill="accent2" w:themeFillTint="66"/>
      </w:tcPr>
    </w:tblStylePr>
    <w:tblStylePr w:type="band1Horz">
      <w:tblPr/>
      <w:tcPr>
        <w:shd w:val="clear" w:color="auto" w:fill="FDF3EA" w:themeFill="accent2" w:themeFillTint="66"/>
      </w:tcPr>
    </w:tblStylePr>
  </w:style>
  <w:style w:type="table" w:styleId="GridTable5Dark-Accent3">
    <w:name w:val="Grid Table 5 Dark Accent 3"/>
    <w:basedOn w:val="TableNormal"/>
    <w:uiPriority w:val="50"/>
    <w:locked/>
    <w:rsid w:val="00D033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A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3E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3E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3E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3E67" w:themeFill="accent3"/>
      </w:tcPr>
    </w:tblStylePr>
    <w:tblStylePr w:type="band1Vert">
      <w:tblPr/>
      <w:tcPr>
        <w:shd w:val="clear" w:color="auto" w:fill="73B5ED" w:themeFill="accent3" w:themeFillTint="66"/>
      </w:tcPr>
    </w:tblStylePr>
    <w:tblStylePr w:type="band1Horz">
      <w:tblPr/>
      <w:tcPr>
        <w:shd w:val="clear" w:color="auto" w:fill="73B5ED" w:themeFill="accent3" w:themeFillTint="66"/>
      </w:tcPr>
    </w:tblStylePr>
  </w:style>
  <w:style w:type="table" w:styleId="GridTable5Dark-Accent4">
    <w:name w:val="Grid Table 5 Dark Accent 4"/>
    <w:basedOn w:val="TableNormal"/>
    <w:uiPriority w:val="50"/>
    <w:locked/>
    <w:rsid w:val="00D033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9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96B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96B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96B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96B5" w:themeFill="accent4"/>
      </w:tcPr>
    </w:tblStylePr>
    <w:tblStylePr w:type="band1Vert">
      <w:tblPr/>
      <w:tcPr>
        <w:shd w:val="clear" w:color="auto" w:fill="CAD4E1" w:themeFill="accent4" w:themeFillTint="66"/>
      </w:tcPr>
    </w:tblStylePr>
    <w:tblStylePr w:type="band1Horz">
      <w:tblPr/>
      <w:tcPr>
        <w:shd w:val="clear" w:color="auto" w:fill="CAD4E1" w:themeFill="accent4" w:themeFillTint="66"/>
      </w:tcPr>
    </w:tblStylePr>
  </w:style>
  <w:style w:type="table" w:styleId="GridTable5Dark-Accent5">
    <w:name w:val="Grid Table 5 Dark Accent 5"/>
    <w:basedOn w:val="TableNormal"/>
    <w:uiPriority w:val="50"/>
    <w:locked/>
    <w:rsid w:val="00D033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8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857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857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857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8577" w:themeFill="accent5"/>
      </w:tcPr>
    </w:tblStylePr>
    <w:tblStylePr w:type="band1Vert">
      <w:tblPr/>
      <w:tcPr>
        <w:shd w:val="clear" w:color="auto" w:fill="7AF2E4" w:themeFill="accent5" w:themeFillTint="66"/>
      </w:tcPr>
    </w:tblStylePr>
    <w:tblStylePr w:type="band1Horz">
      <w:tblPr/>
      <w:tcPr>
        <w:shd w:val="clear" w:color="auto" w:fill="7AF2E4" w:themeFill="accent5" w:themeFillTint="66"/>
      </w:tcPr>
    </w:tblStylePr>
  </w:style>
  <w:style w:type="table" w:styleId="GridTable5Dark-Accent6">
    <w:name w:val="Grid Table 5 Dark Accent 6"/>
    <w:basedOn w:val="TableNormal"/>
    <w:uiPriority w:val="50"/>
    <w:locked/>
    <w:rsid w:val="00D033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1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B8A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B8A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B8A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B8A9" w:themeFill="accent6"/>
      </w:tcPr>
    </w:tblStylePr>
    <w:tblStylePr w:type="band1Vert">
      <w:tblPr/>
      <w:tcPr>
        <w:shd w:val="clear" w:color="auto" w:fill="B4E2DC" w:themeFill="accent6" w:themeFillTint="66"/>
      </w:tcPr>
    </w:tblStylePr>
    <w:tblStylePr w:type="band1Horz">
      <w:tblPr/>
      <w:tcPr>
        <w:shd w:val="clear" w:color="auto" w:fill="B4E2DC" w:themeFill="accent6" w:themeFillTint="66"/>
      </w:tcPr>
    </w:tblStylePr>
  </w:style>
  <w:style w:type="table" w:styleId="GridTable6Colorful">
    <w:name w:val="Grid Table 6 Colorful"/>
    <w:basedOn w:val="TableNormal"/>
    <w:uiPriority w:val="51"/>
    <w:locked/>
    <w:rsid w:val="00D0339F"/>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bottom w:val="single" w:sz="12" w:space="0" w:color="7A7A7A" w:themeColor="text1" w:themeTint="99"/>
        </w:tcBorders>
      </w:tcPr>
    </w:tblStylePr>
    <w:tblStylePr w:type="lastRow">
      <w:rPr>
        <w:b/>
        <w:bCs/>
      </w:rPr>
      <w:tblPr/>
      <w:tcPr>
        <w:tcBorders>
          <w:top w:val="doub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GridTable6Colorful-Accent1">
    <w:name w:val="Grid Table 6 Colorful Accent 1"/>
    <w:basedOn w:val="TableNormal"/>
    <w:uiPriority w:val="51"/>
    <w:locked/>
    <w:rsid w:val="00D0339F"/>
    <w:pPr>
      <w:spacing w:after="0" w:line="240" w:lineRule="auto"/>
    </w:pPr>
    <w:rPr>
      <w:color w:val="984C00" w:themeColor="accent1" w:themeShade="BF"/>
    </w:r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bottom w:val="single" w:sz="12" w:space="0" w:color="FFA247" w:themeColor="accent1" w:themeTint="99"/>
        </w:tcBorders>
      </w:tcPr>
    </w:tblStylePr>
    <w:tblStylePr w:type="lastRow">
      <w:rPr>
        <w:b/>
        <w:bCs/>
      </w:rPr>
      <w:tblPr/>
      <w:tcPr>
        <w:tcBorders>
          <w:top w:val="doub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GridTable6Colorful-Accent2">
    <w:name w:val="Grid Table 6 Colorful Accent 2"/>
    <w:basedOn w:val="TableNormal"/>
    <w:uiPriority w:val="51"/>
    <w:locked/>
    <w:rsid w:val="00D0339F"/>
    <w:pPr>
      <w:spacing w:after="0" w:line="240" w:lineRule="auto"/>
    </w:pPr>
    <w:rPr>
      <w:color w:val="F5A35F" w:themeColor="accent2" w:themeShade="BF"/>
    </w:r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bottom w:val="single" w:sz="12" w:space="0" w:color="FDEDE0" w:themeColor="accent2" w:themeTint="99"/>
        </w:tcBorders>
      </w:tcPr>
    </w:tblStylePr>
    <w:tblStylePr w:type="lastRow">
      <w:rPr>
        <w:b/>
        <w:bCs/>
      </w:rPr>
      <w:tblPr/>
      <w:tcPr>
        <w:tcBorders>
          <w:top w:val="doub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GridTable6Colorful-Accent3">
    <w:name w:val="Grid Table 6 Colorful Accent 3"/>
    <w:basedOn w:val="TableNormal"/>
    <w:uiPriority w:val="51"/>
    <w:locked/>
    <w:rsid w:val="00D0339F"/>
    <w:pPr>
      <w:spacing w:after="0" w:line="240" w:lineRule="auto"/>
    </w:pPr>
    <w:rPr>
      <w:color w:val="092E4C" w:themeColor="accent3" w:themeShade="BF"/>
    </w:r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bottom w:val="single" w:sz="12" w:space="0" w:color="2C90E4" w:themeColor="accent3" w:themeTint="99"/>
        </w:tcBorders>
      </w:tcPr>
    </w:tblStylePr>
    <w:tblStylePr w:type="lastRow">
      <w:rPr>
        <w:b/>
        <w:bCs/>
      </w:rPr>
      <w:tblPr/>
      <w:tcPr>
        <w:tcBorders>
          <w:top w:val="doub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GridTable6Colorful-Accent4">
    <w:name w:val="Grid Table 6 Colorful Accent 4"/>
    <w:basedOn w:val="TableNormal"/>
    <w:uiPriority w:val="51"/>
    <w:locked/>
    <w:rsid w:val="00D0339F"/>
    <w:pPr>
      <w:spacing w:after="0" w:line="240" w:lineRule="auto"/>
    </w:pPr>
    <w:rPr>
      <w:color w:val="536E91" w:themeColor="accent4" w:themeShade="BF"/>
    </w:r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bottom w:val="single" w:sz="12" w:space="0" w:color="B0BFD2" w:themeColor="accent4" w:themeTint="99"/>
        </w:tcBorders>
      </w:tcPr>
    </w:tblStylePr>
    <w:tblStylePr w:type="lastRow">
      <w:rPr>
        <w:b/>
        <w:bCs/>
      </w:rPr>
      <w:tblPr/>
      <w:tcPr>
        <w:tcBorders>
          <w:top w:val="doub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GridTable6Colorful-Accent5">
    <w:name w:val="Grid Table 6 Colorful Accent 5"/>
    <w:basedOn w:val="TableNormal"/>
    <w:uiPriority w:val="51"/>
    <w:locked/>
    <w:rsid w:val="00D0339F"/>
    <w:pPr>
      <w:spacing w:after="0" w:line="240" w:lineRule="auto"/>
    </w:pPr>
    <w:rPr>
      <w:color w:val="096358" w:themeColor="accent5" w:themeShade="BF"/>
    </w:r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bottom w:val="single" w:sz="12" w:space="0" w:color="37EBD6" w:themeColor="accent5" w:themeTint="99"/>
        </w:tcBorders>
      </w:tcPr>
    </w:tblStylePr>
    <w:tblStylePr w:type="lastRow">
      <w:rPr>
        <w:b/>
        <w:bCs/>
      </w:rPr>
      <w:tblPr/>
      <w:tcPr>
        <w:tcBorders>
          <w:top w:val="doub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GridTable6Colorful-Accent6">
    <w:name w:val="Grid Table 6 Colorful Accent 6"/>
    <w:basedOn w:val="TableNormal"/>
    <w:uiPriority w:val="51"/>
    <w:locked/>
    <w:rsid w:val="00D0339F"/>
    <w:pPr>
      <w:spacing w:after="0" w:line="240" w:lineRule="auto"/>
    </w:pPr>
    <w:rPr>
      <w:color w:val="34897E" w:themeColor="accent6" w:themeShade="BF"/>
    </w:r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bottom w:val="single" w:sz="12" w:space="0" w:color="8FD4CB" w:themeColor="accent6" w:themeTint="99"/>
        </w:tcBorders>
      </w:tcPr>
    </w:tblStylePr>
    <w:tblStylePr w:type="lastRow">
      <w:rPr>
        <w:b/>
        <w:bCs/>
      </w:rPr>
      <w:tblPr/>
      <w:tcPr>
        <w:tcBorders>
          <w:top w:val="doub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GridTable7Colorful">
    <w:name w:val="Grid Table 7 Colorful"/>
    <w:basedOn w:val="TableNormal"/>
    <w:uiPriority w:val="52"/>
    <w:locked/>
    <w:rsid w:val="00D0339F"/>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A7A7A" w:themeColor="text1" w:themeTint="99"/>
        </w:tcBorders>
      </w:tcPr>
    </w:tblStylePr>
    <w:tblStylePr w:type="nwCell">
      <w:tblPr/>
      <w:tcPr>
        <w:tcBorders>
          <w:bottom w:val="single" w:sz="4" w:space="0" w:color="7A7A7A" w:themeColor="text1" w:themeTint="99"/>
        </w:tcBorders>
      </w:tcPr>
    </w:tblStylePr>
    <w:tblStylePr w:type="seCell">
      <w:tblPr/>
      <w:tcPr>
        <w:tcBorders>
          <w:top w:val="single" w:sz="4" w:space="0" w:color="7A7A7A" w:themeColor="text1" w:themeTint="99"/>
        </w:tcBorders>
      </w:tcPr>
    </w:tblStylePr>
    <w:tblStylePr w:type="swCell">
      <w:tblPr/>
      <w:tcPr>
        <w:tcBorders>
          <w:top w:val="single" w:sz="4" w:space="0" w:color="7A7A7A" w:themeColor="text1" w:themeTint="99"/>
        </w:tcBorders>
      </w:tcPr>
    </w:tblStylePr>
  </w:style>
  <w:style w:type="table" w:styleId="GridTable7Colorful-Accent1">
    <w:name w:val="Grid Table 7 Colorful Accent 1"/>
    <w:basedOn w:val="TableNormal"/>
    <w:uiPriority w:val="52"/>
    <w:locked/>
    <w:rsid w:val="00D0339F"/>
    <w:pPr>
      <w:spacing w:after="0" w:line="240" w:lineRule="auto"/>
    </w:pPr>
    <w:rPr>
      <w:color w:val="984C00" w:themeColor="accent1" w:themeShade="BF"/>
    </w:r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bottom w:val="single" w:sz="4" w:space="0" w:color="FFA247" w:themeColor="accent1" w:themeTint="99"/>
        </w:tcBorders>
      </w:tcPr>
    </w:tblStylePr>
    <w:tblStylePr w:type="nwCell">
      <w:tblPr/>
      <w:tcPr>
        <w:tcBorders>
          <w:bottom w:val="single" w:sz="4" w:space="0" w:color="FFA247" w:themeColor="accent1" w:themeTint="99"/>
        </w:tcBorders>
      </w:tcPr>
    </w:tblStylePr>
    <w:tblStylePr w:type="seCell">
      <w:tblPr/>
      <w:tcPr>
        <w:tcBorders>
          <w:top w:val="single" w:sz="4" w:space="0" w:color="FFA247" w:themeColor="accent1" w:themeTint="99"/>
        </w:tcBorders>
      </w:tcPr>
    </w:tblStylePr>
    <w:tblStylePr w:type="swCell">
      <w:tblPr/>
      <w:tcPr>
        <w:tcBorders>
          <w:top w:val="single" w:sz="4" w:space="0" w:color="FFA247" w:themeColor="accent1" w:themeTint="99"/>
        </w:tcBorders>
      </w:tcPr>
    </w:tblStylePr>
  </w:style>
  <w:style w:type="table" w:styleId="GridTable7Colorful-Accent2">
    <w:name w:val="Grid Table 7 Colorful Accent 2"/>
    <w:basedOn w:val="TableNormal"/>
    <w:uiPriority w:val="52"/>
    <w:locked/>
    <w:rsid w:val="00D0339F"/>
    <w:pPr>
      <w:spacing w:after="0" w:line="240" w:lineRule="auto"/>
    </w:pPr>
    <w:rPr>
      <w:color w:val="F5A35F" w:themeColor="accent2" w:themeShade="BF"/>
    </w:r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bottom w:val="single" w:sz="4" w:space="0" w:color="FDEDE0" w:themeColor="accent2" w:themeTint="99"/>
        </w:tcBorders>
      </w:tcPr>
    </w:tblStylePr>
    <w:tblStylePr w:type="nwCell">
      <w:tblPr/>
      <w:tcPr>
        <w:tcBorders>
          <w:bottom w:val="single" w:sz="4" w:space="0" w:color="FDEDE0" w:themeColor="accent2" w:themeTint="99"/>
        </w:tcBorders>
      </w:tcPr>
    </w:tblStylePr>
    <w:tblStylePr w:type="seCell">
      <w:tblPr/>
      <w:tcPr>
        <w:tcBorders>
          <w:top w:val="single" w:sz="4" w:space="0" w:color="FDEDE0" w:themeColor="accent2" w:themeTint="99"/>
        </w:tcBorders>
      </w:tcPr>
    </w:tblStylePr>
    <w:tblStylePr w:type="swCell">
      <w:tblPr/>
      <w:tcPr>
        <w:tcBorders>
          <w:top w:val="single" w:sz="4" w:space="0" w:color="FDEDE0" w:themeColor="accent2" w:themeTint="99"/>
        </w:tcBorders>
      </w:tcPr>
    </w:tblStylePr>
  </w:style>
  <w:style w:type="table" w:styleId="GridTable7Colorful-Accent3">
    <w:name w:val="Grid Table 7 Colorful Accent 3"/>
    <w:basedOn w:val="TableNormal"/>
    <w:uiPriority w:val="52"/>
    <w:locked/>
    <w:rsid w:val="00D0339F"/>
    <w:pPr>
      <w:spacing w:after="0" w:line="240" w:lineRule="auto"/>
    </w:pPr>
    <w:rPr>
      <w:color w:val="092E4C" w:themeColor="accent3" w:themeShade="BF"/>
    </w:r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bottom w:val="single" w:sz="4" w:space="0" w:color="2C90E4" w:themeColor="accent3" w:themeTint="99"/>
        </w:tcBorders>
      </w:tcPr>
    </w:tblStylePr>
    <w:tblStylePr w:type="nwCell">
      <w:tblPr/>
      <w:tcPr>
        <w:tcBorders>
          <w:bottom w:val="single" w:sz="4" w:space="0" w:color="2C90E4" w:themeColor="accent3" w:themeTint="99"/>
        </w:tcBorders>
      </w:tcPr>
    </w:tblStylePr>
    <w:tblStylePr w:type="seCell">
      <w:tblPr/>
      <w:tcPr>
        <w:tcBorders>
          <w:top w:val="single" w:sz="4" w:space="0" w:color="2C90E4" w:themeColor="accent3" w:themeTint="99"/>
        </w:tcBorders>
      </w:tcPr>
    </w:tblStylePr>
    <w:tblStylePr w:type="swCell">
      <w:tblPr/>
      <w:tcPr>
        <w:tcBorders>
          <w:top w:val="single" w:sz="4" w:space="0" w:color="2C90E4" w:themeColor="accent3" w:themeTint="99"/>
        </w:tcBorders>
      </w:tcPr>
    </w:tblStylePr>
  </w:style>
  <w:style w:type="table" w:styleId="GridTable7Colorful-Accent4">
    <w:name w:val="Grid Table 7 Colorful Accent 4"/>
    <w:basedOn w:val="TableNormal"/>
    <w:uiPriority w:val="52"/>
    <w:locked/>
    <w:rsid w:val="00D0339F"/>
    <w:pPr>
      <w:spacing w:after="0" w:line="240" w:lineRule="auto"/>
    </w:pPr>
    <w:rPr>
      <w:color w:val="536E91" w:themeColor="accent4" w:themeShade="BF"/>
    </w:r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bottom w:val="single" w:sz="4" w:space="0" w:color="B0BFD2" w:themeColor="accent4" w:themeTint="99"/>
        </w:tcBorders>
      </w:tcPr>
    </w:tblStylePr>
    <w:tblStylePr w:type="nwCell">
      <w:tblPr/>
      <w:tcPr>
        <w:tcBorders>
          <w:bottom w:val="single" w:sz="4" w:space="0" w:color="B0BFD2" w:themeColor="accent4" w:themeTint="99"/>
        </w:tcBorders>
      </w:tcPr>
    </w:tblStylePr>
    <w:tblStylePr w:type="seCell">
      <w:tblPr/>
      <w:tcPr>
        <w:tcBorders>
          <w:top w:val="single" w:sz="4" w:space="0" w:color="B0BFD2" w:themeColor="accent4" w:themeTint="99"/>
        </w:tcBorders>
      </w:tcPr>
    </w:tblStylePr>
    <w:tblStylePr w:type="swCell">
      <w:tblPr/>
      <w:tcPr>
        <w:tcBorders>
          <w:top w:val="single" w:sz="4" w:space="0" w:color="B0BFD2" w:themeColor="accent4" w:themeTint="99"/>
        </w:tcBorders>
      </w:tcPr>
    </w:tblStylePr>
  </w:style>
  <w:style w:type="table" w:styleId="GridTable7Colorful-Accent5">
    <w:name w:val="Grid Table 7 Colorful Accent 5"/>
    <w:basedOn w:val="TableNormal"/>
    <w:uiPriority w:val="52"/>
    <w:locked/>
    <w:rsid w:val="00D0339F"/>
    <w:pPr>
      <w:spacing w:after="0" w:line="240" w:lineRule="auto"/>
    </w:pPr>
    <w:rPr>
      <w:color w:val="096358" w:themeColor="accent5" w:themeShade="BF"/>
    </w:r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bottom w:val="single" w:sz="4" w:space="0" w:color="37EBD6" w:themeColor="accent5" w:themeTint="99"/>
        </w:tcBorders>
      </w:tcPr>
    </w:tblStylePr>
    <w:tblStylePr w:type="nwCell">
      <w:tblPr/>
      <w:tcPr>
        <w:tcBorders>
          <w:bottom w:val="single" w:sz="4" w:space="0" w:color="37EBD6" w:themeColor="accent5" w:themeTint="99"/>
        </w:tcBorders>
      </w:tcPr>
    </w:tblStylePr>
    <w:tblStylePr w:type="seCell">
      <w:tblPr/>
      <w:tcPr>
        <w:tcBorders>
          <w:top w:val="single" w:sz="4" w:space="0" w:color="37EBD6" w:themeColor="accent5" w:themeTint="99"/>
        </w:tcBorders>
      </w:tcPr>
    </w:tblStylePr>
    <w:tblStylePr w:type="swCell">
      <w:tblPr/>
      <w:tcPr>
        <w:tcBorders>
          <w:top w:val="single" w:sz="4" w:space="0" w:color="37EBD6" w:themeColor="accent5" w:themeTint="99"/>
        </w:tcBorders>
      </w:tcPr>
    </w:tblStylePr>
  </w:style>
  <w:style w:type="table" w:styleId="GridTable7Colorful-Accent6">
    <w:name w:val="Grid Table 7 Colorful Accent 6"/>
    <w:basedOn w:val="TableNormal"/>
    <w:uiPriority w:val="52"/>
    <w:locked/>
    <w:rsid w:val="00D0339F"/>
    <w:pPr>
      <w:spacing w:after="0" w:line="240" w:lineRule="auto"/>
    </w:pPr>
    <w:rPr>
      <w:color w:val="34897E" w:themeColor="accent6" w:themeShade="BF"/>
    </w:r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bottom w:val="single" w:sz="4" w:space="0" w:color="8FD4CB" w:themeColor="accent6" w:themeTint="99"/>
        </w:tcBorders>
      </w:tcPr>
    </w:tblStylePr>
    <w:tblStylePr w:type="nwCell">
      <w:tblPr/>
      <w:tcPr>
        <w:tcBorders>
          <w:bottom w:val="single" w:sz="4" w:space="0" w:color="8FD4CB" w:themeColor="accent6" w:themeTint="99"/>
        </w:tcBorders>
      </w:tcPr>
    </w:tblStylePr>
    <w:tblStylePr w:type="seCell">
      <w:tblPr/>
      <w:tcPr>
        <w:tcBorders>
          <w:top w:val="single" w:sz="4" w:space="0" w:color="8FD4CB" w:themeColor="accent6" w:themeTint="99"/>
        </w:tcBorders>
      </w:tcPr>
    </w:tblStylePr>
    <w:tblStylePr w:type="swCell">
      <w:tblPr/>
      <w:tcPr>
        <w:tcBorders>
          <w:top w:val="single" w:sz="4" w:space="0" w:color="8FD4CB" w:themeColor="accent6" w:themeTint="99"/>
        </w:tcBorders>
      </w:tcPr>
    </w:tblStylePr>
  </w:style>
  <w:style w:type="table" w:styleId="LightGrid">
    <w:name w:val="Light Grid"/>
    <w:basedOn w:val="TableNormal"/>
    <w:uiPriority w:val="62"/>
    <w:semiHidden/>
    <w:unhideWhenUsed/>
    <w:locked/>
    <w:rsid w:val="00D0339F"/>
    <w:pPr>
      <w:spacing w:after="0" w:line="240" w:lineRule="auto"/>
    </w:p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insideH w:val="single" w:sz="8" w:space="0" w:color="222222" w:themeColor="text1"/>
        <w:insideV w:val="single" w:sz="8" w:space="0" w:color="22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2222" w:themeColor="text1"/>
          <w:left w:val="single" w:sz="8" w:space="0" w:color="222222" w:themeColor="text1"/>
          <w:bottom w:val="single" w:sz="18" w:space="0" w:color="222222" w:themeColor="text1"/>
          <w:right w:val="single" w:sz="8" w:space="0" w:color="222222" w:themeColor="text1"/>
          <w:insideH w:val="nil"/>
          <w:insideV w:val="single" w:sz="8" w:space="0" w:color="22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2222" w:themeColor="text1"/>
          <w:left w:val="single" w:sz="8" w:space="0" w:color="222222" w:themeColor="text1"/>
          <w:bottom w:val="single" w:sz="8" w:space="0" w:color="222222" w:themeColor="text1"/>
          <w:right w:val="single" w:sz="8" w:space="0" w:color="222222" w:themeColor="text1"/>
          <w:insideH w:val="nil"/>
          <w:insideV w:val="single" w:sz="8" w:space="0" w:color="22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tblStylePr w:type="band1Vert">
      <w:tblPr/>
      <w:tcPr>
        <w:tcBorders>
          <w:top w:val="single" w:sz="8" w:space="0" w:color="222222" w:themeColor="text1"/>
          <w:left w:val="single" w:sz="8" w:space="0" w:color="222222" w:themeColor="text1"/>
          <w:bottom w:val="single" w:sz="8" w:space="0" w:color="222222" w:themeColor="text1"/>
          <w:right w:val="single" w:sz="8" w:space="0" w:color="222222" w:themeColor="text1"/>
        </w:tcBorders>
        <w:shd w:val="clear" w:color="auto" w:fill="C8C8C8" w:themeFill="text1" w:themeFillTint="3F"/>
      </w:tcPr>
    </w:tblStylePr>
    <w:tblStylePr w:type="band1Horz">
      <w:tblPr/>
      <w:tcPr>
        <w:tcBorders>
          <w:top w:val="single" w:sz="8" w:space="0" w:color="222222" w:themeColor="text1"/>
          <w:left w:val="single" w:sz="8" w:space="0" w:color="222222" w:themeColor="text1"/>
          <w:bottom w:val="single" w:sz="8" w:space="0" w:color="222222" w:themeColor="text1"/>
          <w:right w:val="single" w:sz="8" w:space="0" w:color="222222" w:themeColor="text1"/>
          <w:insideV w:val="single" w:sz="8" w:space="0" w:color="222222" w:themeColor="text1"/>
        </w:tcBorders>
        <w:shd w:val="clear" w:color="auto" w:fill="C8C8C8" w:themeFill="text1" w:themeFillTint="3F"/>
      </w:tcPr>
    </w:tblStylePr>
    <w:tblStylePr w:type="band2Horz">
      <w:tblPr/>
      <w:tcPr>
        <w:tcBorders>
          <w:top w:val="single" w:sz="8" w:space="0" w:color="222222" w:themeColor="text1"/>
          <w:left w:val="single" w:sz="8" w:space="0" w:color="222222" w:themeColor="text1"/>
          <w:bottom w:val="single" w:sz="8" w:space="0" w:color="222222" w:themeColor="text1"/>
          <w:right w:val="single" w:sz="8" w:space="0" w:color="222222" w:themeColor="text1"/>
          <w:insideV w:val="single" w:sz="8" w:space="0" w:color="222222" w:themeColor="text1"/>
        </w:tcBorders>
      </w:tcPr>
    </w:tblStylePr>
  </w:style>
  <w:style w:type="table" w:styleId="LightGrid-Accent1">
    <w:name w:val="Light Grid Accent 1"/>
    <w:basedOn w:val="TableNormal"/>
    <w:uiPriority w:val="62"/>
    <w:semiHidden/>
    <w:unhideWhenUsed/>
    <w:locked/>
    <w:rsid w:val="00D0339F"/>
    <w:pPr>
      <w:spacing w:after="0" w:line="240" w:lineRule="auto"/>
    </w:p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insideH w:val="single" w:sz="8" w:space="0" w:color="CC6600" w:themeColor="accent1"/>
        <w:insideV w:val="single" w:sz="8" w:space="0" w:color="CC6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6600" w:themeColor="accent1"/>
          <w:left w:val="single" w:sz="8" w:space="0" w:color="CC6600" w:themeColor="accent1"/>
          <w:bottom w:val="single" w:sz="18" w:space="0" w:color="CC6600" w:themeColor="accent1"/>
          <w:right w:val="single" w:sz="8" w:space="0" w:color="CC6600" w:themeColor="accent1"/>
          <w:insideH w:val="nil"/>
          <w:insideV w:val="single" w:sz="8" w:space="0" w:color="CC6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6600" w:themeColor="accent1"/>
          <w:left w:val="single" w:sz="8" w:space="0" w:color="CC6600" w:themeColor="accent1"/>
          <w:bottom w:val="single" w:sz="8" w:space="0" w:color="CC6600" w:themeColor="accent1"/>
          <w:right w:val="single" w:sz="8" w:space="0" w:color="CC6600" w:themeColor="accent1"/>
          <w:insideH w:val="nil"/>
          <w:insideV w:val="single" w:sz="8" w:space="0" w:color="CC6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tblStylePr w:type="band1Vert">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shd w:val="clear" w:color="auto" w:fill="FFD9B3" w:themeFill="accent1" w:themeFillTint="3F"/>
      </w:tcPr>
    </w:tblStylePr>
    <w:tblStylePr w:type="band1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insideV w:val="single" w:sz="8" w:space="0" w:color="CC6600" w:themeColor="accent1"/>
        </w:tcBorders>
        <w:shd w:val="clear" w:color="auto" w:fill="FFD9B3" w:themeFill="accent1" w:themeFillTint="3F"/>
      </w:tcPr>
    </w:tblStylePr>
    <w:tblStylePr w:type="band2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insideV w:val="single" w:sz="8" w:space="0" w:color="CC6600" w:themeColor="accent1"/>
        </w:tcBorders>
      </w:tcPr>
    </w:tblStylePr>
  </w:style>
  <w:style w:type="table" w:styleId="LightGrid-Accent2">
    <w:name w:val="Light Grid Accent 2"/>
    <w:basedOn w:val="TableNormal"/>
    <w:uiPriority w:val="62"/>
    <w:semiHidden/>
    <w:unhideWhenUsed/>
    <w:locked/>
    <w:rsid w:val="00D0339F"/>
    <w:pPr>
      <w:spacing w:after="0" w:line="240" w:lineRule="auto"/>
    </w:p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insideH w:val="single" w:sz="8" w:space="0" w:color="FCE2CC" w:themeColor="accent2"/>
        <w:insideV w:val="single" w:sz="8" w:space="0" w:color="FCE2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2CC" w:themeColor="accent2"/>
          <w:left w:val="single" w:sz="8" w:space="0" w:color="FCE2CC" w:themeColor="accent2"/>
          <w:bottom w:val="single" w:sz="18" w:space="0" w:color="FCE2CC" w:themeColor="accent2"/>
          <w:right w:val="single" w:sz="8" w:space="0" w:color="FCE2CC" w:themeColor="accent2"/>
          <w:insideH w:val="nil"/>
          <w:insideV w:val="single" w:sz="8" w:space="0" w:color="FCE2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2CC" w:themeColor="accent2"/>
          <w:left w:val="single" w:sz="8" w:space="0" w:color="FCE2CC" w:themeColor="accent2"/>
          <w:bottom w:val="single" w:sz="8" w:space="0" w:color="FCE2CC" w:themeColor="accent2"/>
          <w:right w:val="single" w:sz="8" w:space="0" w:color="FCE2CC" w:themeColor="accent2"/>
          <w:insideH w:val="nil"/>
          <w:insideV w:val="single" w:sz="8" w:space="0" w:color="FCE2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tblStylePr w:type="band1Vert">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shd w:val="clear" w:color="auto" w:fill="FEF7F2" w:themeFill="accent2" w:themeFillTint="3F"/>
      </w:tcPr>
    </w:tblStylePr>
    <w:tblStylePr w:type="band1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insideV w:val="single" w:sz="8" w:space="0" w:color="FCE2CC" w:themeColor="accent2"/>
        </w:tcBorders>
        <w:shd w:val="clear" w:color="auto" w:fill="FEF7F2" w:themeFill="accent2" w:themeFillTint="3F"/>
      </w:tcPr>
    </w:tblStylePr>
    <w:tblStylePr w:type="band2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insideV w:val="single" w:sz="8" w:space="0" w:color="FCE2CC" w:themeColor="accent2"/>
        </w:tcBorders>
      </w:tcPr>
    </w:tblStylePr>
  </w:style>
  <w:style w:type="table" w:styleId="LightGrid-Accent3">
    <w:name w:val="Light Grid Accent 3"/>
    <w:basedOn w:val="TableNormal"/>
    <w:uiPriority w:val="62"/>
    <w:semiHidden/>
    <w:unhideWhenUsed/>
    <w:locked/>
    <w:rsid w:val="00D0339F"/>
    <w:pPr>
      <w:spacing w:after="0" w:line="240" w:lineRule="auto"/>
    </w:p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insideH w:val="single" w:sz="8" w:space="0" w:color="0D3E67" w:themeColor="accent3"/>
        <w:insideV w:val="single" w:sz="8" w:space="0" w:color="0D3E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3E67" w:themeColor="accent3"/>
          <w:left w:val="single" w:sz="8" w:space="0" w:color="0D3E67" w:themeColor="accent3"/>
          <w:bottom w:val="single" w:sz="18" w:space="0" w:color="0D3E67" w:themeColor="accent3"/>
          <w:right w:val="single" w:sz="8" w:space="0" w:color="0D3E67" w:themeColor="accent3"/>
          <w:insideH w:val="nil"/>
          <w:insideV w:val="single" w:sz="8" w:space="0" w:color="0D3E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3E67" w:themeColor="accent3"/>
          <w:left w:val="single" w:sz="8" w:space="0" w:color="0D3E67" w:themeColor="accent3"/>
          <w:bottom w:val="single" w:sz="8" w:space="0" w:color="0D3E67" w:themeColor="accent3"/>
          <w:right w:val="single" w:sz="8" w:space="0" w:color="0D3E67" w:themeColor="accent3"/>
          <w:insideH w:val="nil"/>
          <w:insideV w:val="single" w:sz="8" w:space="0" w:color="0D3E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tblStylePr w:type="band1Vert">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shd w:val="clear" w:color="auto" w:fill="A8D1F4" w:themeFill="accent3" w:themeFillTint="3F"/>
      </w:tcPr>
    </w:tblStylePr>
    <w:tblStylePr w:type="band1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insideV w:val="single" w:sz="8" w:space="0" w:color="0D3E67" w:themeColor="accent3"/>
        </w:tcBorders>
        <w:shd w:val="clear" w:color="auto" w:fill="A8D1F4" w:themeFill="accent3" w:themeFillTint="3F"/>
      </w:tcPr>
    </w:tblStylePr>
    <w:tblStylePr w:type="band2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insideV w:val="single" w:sz="8" w:space="0" w:color="0D3E67" w:themeColor="accent3"/>
        </w:tcBorders>
      </w:tcPr>
    </w:tblStylePr>
  </w:style>
  <w:style w:type="table" w:styleId="LightGrid-Accent4">
    <w:name w:val="Light Grid Accent 4"/>
    <w:basedOn w:val="TableNormal"/>
    <w:uiPriority w:val="62"/>
    <w:semiHidden/>
    <w:unhideWhenUsed/>
    <w:locked/>
    <w:rsid w:val="00D0339F"/>
    <w:pPr>
      <w:spacing w:after="0" w:line="240" w:lineRule="auto"/>
    </w:p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insideH w:val="single" w:sz="8" w:space="0" w:color="7D96B5" w:themeColor="accent4"/>
        <w:insideV w:val="single" w:sz="8" w:space="0" w:color="7D96B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96B5" w:themeColor="accent4"/>
          <w:left w:val="single" w:sz="8" w:space="0" w:color="7D96B5" w:themeColor="accent4"/>
          <w:bottom w:val="single" w:sz="18" w:space="0" w:color="7D96B5" w:themeColor="accent4"/>
          <w:right w:val="single" w:sz="8" w:space="0" w:color="7D96B5" w:themeColor="accent4"/>
          <w:insideH w:val="nil"/>
          <w:insideV w:val="single" w:sz="8" w:space="0" w:color="7D96B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96B5" w:themeColor="accent4"/>
          <w:left w:val="single" w:sz="8" w:space="0" w:color="7D96B5" w:themeColor="accent4"/>
          <w:bottom w:val="single" w:sz="8" w:space="0" w:color="7D96B5" w:themeColor="accent4"/>
          <w:right w:val="single" w:sz="8" w:space="0" w:color="7D96B5" w:themeColor="accent4"/>
          <w:insideH w:val="nil"/>
          <w:insideV w:val="single" w:sz="8" w:space="0" w:color="7D96B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tblStylePr w:type="band1Vert">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shd w:val="clear" w:color="auto" w:fill="DEE4EC" w:themeFill="accent4" w:themeFillTint="3F"/>
      </w:tcPr>
    </w:tblStylePr>
    <w:tblStylePr w:type="band1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insideV w:val="single" w:sz="8" w:space="0" w:color="7D96B5" w:themeColor="accent4"/>
        </w:tcBorders>
        <w:shd w:val="clear" w:color="auto" w:fill="DEE4EC" w:themeFill="accent4" w:themeFillTint="3F"/>
      </w:tcPr>
    </w:tblStylePr>
    <w:tblStylePr w:type="band2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insideV w:val="single" w:sz="8" w:space="0" w:color="7D96B5" w:themeColor="accent4"/>
        </w:tcBorders>
      </w:tcPr>
    </w:tblStylePr>
  </w:style>
  <w:style w:type="table" w:styleId="LightGrid-Accent5">
    <w:name w:val="Light Grid Accent 5"/>
    <w:basedOn w:val="TableNormal"/>
    <w:uiPriority w:val="62"/>
    <w:semiHidden/>
    <w:unhideWhenUsed/>
    <w:locked/>
    <w:rsid w:val="00D0339F"/>
    <w:pPr>
      <w:spacing w:after="0" w:line="240" w:lineRule="auto"/>
    </w:p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insideH w:val="single" w:sz="8" w:space="0" w:color="0D8577" w:themeColor="accent5"/>
        <w:insideV w:val="single" w:sz="8" w:space="0" w:color="0D857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8577" w:themeColor="accent5"/>
          <w:left w:val="single" w:sz="8" w:space="0" w:color="0D8577" w:themeColor="accent5"/>
          <w:bottom w:val="single" w:sz="18" w:space="0" w:color="0D8577" w:themeColor="accent5"/>
          <w:right w:val="single" w:sz="8" w:space="0" w:color="0D8577" w:themeColor="accent5"/>
          <w:insideH w:val="nil"/>
          <w:insideV w:val="single" w:sz="8" w:space="0" w:color="0D857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8577" w:themeColor="accent5"/>
          <w:left w:val="single" w:sz="8" w:space="0" w:color="0D8577" w:themeColor="accent5"/>
          <w:bottom w:val="single" w:sz="8" w:space="0" w:color="0D8577" w:themeColor="accent5"/>
          <w:right w:val="single" w:sz="8" w:space="0" w:color="0D8577" w:themeColor="accent5"/>
          <w:insideH w:val="nil"/>
          <w:insideV w:val="single" w:sz="8" w:space="0" w:color="0D857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tblStylePr w:type="band1Vert">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shd w:val="clear" w:color="auto" w:fill="ADF7EE" w:themeFill="accent5" w:themeFillTint="3F"/>
      </w:tcPr>
    </w:tblStylePr>
    <w:tblStylePr w:type="band1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insideV w:val="single" w:sz="8" w:space="0" w:color="0D8577" w:themeColor="accent5"/>
        </w:tcBorders>
        <w:shd w:val="clear" w:color="auto" w:fill="ADF7EE" w:themeFill="accent5" w:themeFillTint="3F"/>
      </w:tcPr>
    </w:tblStylePr>
    <w:tblStylePr w:type="band2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insideV w:val="single" w:sz="8" w:space="0" w:color="0D8577" w:themeColor="accent5"/>
        </w:tcBorders>
      </w:tcPr>
    </w:tblStylePr>
  </w:style>
  <w:style w:type="table" w:styleId="LightGrid-Accent6">
    <w:name w:val="Light Grid Accent 6"/>
    <w:basedOn w:val="TableNormal"/>
    <w:uiPriority w:val="62"/>
    <w:semiHidden/>
    <w:unhideWhenUsed/>
    <w:locked/>
    <w:rsid w:val="00D0339F"/>
    <w:pPr>
      <w:spacing w:after="0" w:line="240" w:lineRule="auto"/>
    </w:p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insideH w:val="single" w:sz="8" w:space="0" w:color="46B8A9" w:themeColor="accent6"/>
        <w:insideV w:val="single" w:sz="8" w:space="0" w:color="46B8A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B8A9" w:themeColor="accent6"/>
          <w:left w:val="single" w:sz="8" w:space="0" w:color="46B8A9" w:themeColor="accent6"/>
          <w:bottom w:val="single" w:sz="18" w:space="0" w:color="46B8A9" w:themeColor="accent6"/>
          <w:right w:val="single" w:sz="8" w:space="0" w:color="46B8A9" w:themeColor="accent6"/>
          <w:insideH w:val="nil"/>
          <w:insideV w:val="single" w:sz="8" w:space="0" w:color="46B8A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B8A9" w:themeColor="accent6"/>
          <w:left w:val="single" w:sz="8" w:space="0" w:color="46B8A9" w:themeColor="accent6"/>
          <w:bottom w:val="single" w:sz="8" w:space="0" w:color="46B8A9" w:themeColor="accent6"/>
          <w:right w:val="single" w:sz="8" w:space="0" w:color="46B8A9" w:themeColor="accent6"/>
          <w:insideH w:val="nil"/>
          <w:insideV w:val="single" w:sz="8" w:space="0" w:color="46B8A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tblStylePr w:type="band1Vert">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shd w:val="clear" w:color="auto" w:fill="D1EDE9" w:themeFill="accent6" w:themeFillTint="3F"/>
      </w:tcPr>
    </w:tblStylePr>
    <w:tblStylePr w:type="band1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insideV w:val="single" w:sz="8" w:space="0" w:color="46B8A9" w:themeColor="accent6"/>
        </w:tcBorders>
        <w:shd w:val="clear" w:color="auto" w:fill="D1EDE9" w:themeFill="accent6" w:themeFillTint="3F"/>
      </w:tcPr>
    </w:tblStylePr>
    <w:tblStylePr w:type="band2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insideV w:val="single" w:sz="8" w:space="0" w:color="46B8A9" w:themeColor="accent6"/>
        </w:tcBorders>
      </w:tcPr>
    </w:tblStylePr>
  </w:style>
  <w:style w:type="table" w:styleId="LightList">
    <w:name w:val="Light List"/>
    <w:basedOn w:val="TableNormal"/>
    <w:uiPriority w:val="61"/>
    <w:semiHidden/>
    <w:unhideWhenUsed/>
    <w:locked/>
    <w:rsid w:val="00D0339F"/>
    <w:pPr>
      <w:spacing w:after="0" w:line="240" w:lineRule="auto"/>
    </w:p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tblBorders>
    </w:tblPr>
    <w:tblStylePr w:type="firstRow">
      <w:pPr>
        <w:spacing w:before="0" w:after="0" w:line="240" w:lineRule="auto"/>
      </w:pPr>
      <w:rPr>
        <w:b/>
        <w:bCs/>
        <w:color w:val="FFFFFF" w:themeColor="background1"/>
      </w:rPr>
      <w:tblPr/>
      <w:tcPr>
        <w:shd w:val="clear" w:color="auto" w:fill="222222" w:themeFill="text1"/>
      </w:tcPr>
    </w:tblStylePr>
    <w:tblStylePr w:type="lastRow">
      <w:pPr>
        <w:spacing w:before="0" w:after="0" w:line="240" w:lineRule="auto"/>
      </w:pPr>
      <w:rPr>
        <w:b/>
        <w:bCs/>
      </w:rPr>
      <w:tblPr/>
      <w:tcPr>
        <w:tcBorders>
          <w:top w:val="double" w:sz="6" w:space="0" w:color="222222" w:themeColor="text1"/>
          <w:left w:val="single" w:sz="8" w:space="0" w:color="222222" w:themeColor="text1"/>
          <w:bottom w:val="single" w:sz="8" w:space="0" w:color="222222" w:themeColor="text1"/>
          <w:right w:val="single" w:sz="8" w:space="0" w:color="222222" w:themeColor="text1"/>
        </w:tcBorders>
      </w:tcPr>
    </w:tblStylePr>
    <w:tblStylePr w:type="firstCol">
      <w:rPr>
        <w:b/>
        <w:bCs/>
      </w:rPr>
    </w:tblStylePr>
    <w:tblStylePr w:type="lastCol">
      <w:rPr>
        <w:b/>
        <w:bCs/>
      </w:rPr>
    </w:tblStylePr>
    <w:tblStylePr w:type="band1Vert">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tblStylePr w:type="band1Horz">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style>
  <w:style w:type="table" w:styleId="LightList-Accent1">
    <w:name w:val="Light List Accent 1"/>
    <w:basedOn w:val="TableNormal"/>
    <w:uiPriority w:val="61"/>
    <w:semiHidden/>
    <w:unhideWhenUsed/>
    <w:locked/>
    <w:rsid w:val="00D0339F"/>
    <w:pPr>
      <w:spacing w:after="0" w:line="240" w:lineRule="auto"/>
    </w:p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tblBorders>
    </w:tblPr>
    <w:tblStylePr w:type="firstRow">
      <w:pPr>
        <w:spacing w:before="0" w:after="0" w:line="240" w:lineRule="auto"/>
      </w:pPr>
      <w:rPr>
        <w:b/>
        <w:bCs/>
        <w:color w:val="FFFFFF" w:themeColor="background1"/>
      </w:rPr>
      <w:tblPr/>
      <w:tcPr>
        <w:shd w:val="clear" w:color="auto" w:fill="CC6600" w:themeFill="accent1"/>
      </w:tcPr>
    </w:tblStylePr>
    <w:tblStylePr w:type="lastRow">
      <w:pPr>
        <w:spacing w:before="0" w:after="0" w:line="240" w:lineRule="auto"/>
      </w:pPr>
      <w:rPr>
        <w:b/>
        <w:bCs/>
      </w:rPr>
      <w:tblPr/>
      <w:tcPr>
        <w:tcBorders>
          <w:top w:val="double" w:sz="6" w:space="0" w:color="CC6600" w:themeColor="accent1"/>
          <w:left w:val="single" w:sz="8" w:space="0" w:color="CC6600" w:themeColor="accent1"/>
          <w:bottom w:val="single" w:sz="8" w:space="0" w:color="CC6600" w:themeColor="accent1"/>
          <w:right w:val="single" w:sz="8" w:space="0" w:color="CC6600" w:themeColor="accent1"/>
        </w:tcBorders>
      </w:tcPr>
    </w:tblStylePr>
    <w:tblStylePr w:type="firstCol">
      <w:rPr>
        <w:b/>
        <w:bCs/>
      </w:rPr>
    </w:tblStylePr>
    <w:tblStylePr w:type="lastCol">
      <w:rPr>
        <w:b/>
        <w:bCs/>
      </w:rPr>
    </w:tblStylePr>
    <w:tblStylePr w:type="band1Vert">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tblStylePr w:type="band1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style>
  <w:style w:type="table" w:styleId="LightList-Accent2">
    <w:name w:val="Light List Accent 2"/>
    <w:basedOn w:val="TableNormal"/>
    <w:uiPriority w:val="61"/>
    <w:semiHidden/>
    <w:unhideWhenUsed/>
    <w:locked/>
    <w:rsid w:val="00D0339F"/>
    <w:pPr>
      <w:spacing w:after="0" w:line="240" w:lineRule="auto"/>
    </w:p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tblBorders>
    </w:tblPr>
    <w:tblStylePr w:type="firstRow">
      <w:pPr>
        <w:spacing w:before="0" w:after="0" w:line="240" w:lineRule="auto"/>
      </w:pPr>
      <w:rPr>
        <w:b/>
        <w:bCs/>
        <w:color w:val="FFFFFF" w:themeColor="background1"/>
      </w:rPr>
      <w:tblPr/>
      <w:tcPr>
        <w:shd w:val="clear" w:color="auto" w:fill="FCE2CC" w:themeFill="accent2"/>
      </w:tcPr>
    </w:tblStylePr>
    <w:tblStylePr w:type="lastRow">
      <w:pPr>
        <w:spacing w:before="0" w:after="0" w:line="240" w:lineRule="auto"/>
      </w:pPr>
      <w:rPr>
        <w:b/>
        <w:bCs/>
      </w:rPr>
      <w:tblPr/>
      <w:tcPr>
        <w:tcBorders>
          <w:top w:val="double" w:sz="6" w:space="0" w:color="FCE2CC" w:themeColor="accent2"/>
          <w:left w:val="single" w:sz="8" w:space="0" w:color="FCE2CC" w:themeColor="accent2"/>
          <w:bottom w:val="single" w:sz="8" w:space="0" w:color="FCE2CC" w:themeColor="accent2"/>
          <w:right w:val="single" w:sz="8" w:space="0" w:color="FCE2CC" w:themeColor="accent2"/>
        </w:tcBorders>
      </w:tcPr>
    </w:tblStylePr>
    <w:tblStylePr w:type="firstCol">
      <w:rPr>
        <w:b/>
        <w:bCs/>
      </w:rPr>
    </w:tblStylePr>
    <w:tblStylePr w:type="lastCol">
      <w:rPr>
        <w:b/>
        <w:bCs/>
      </w:rPr>
    </w:tblStylePr>
    <w:tblStylePr w:type="band1Vert">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tblStylePr w:type="band1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style>
  <w:style w:type="table" w:styleId="LightList-Accent3">
    <w:name w:val="Light List Accent 3"/>
    <w:basedOn w:val="TableNormal"/>
    <w:uiPriority w:val="61"/>
    <w:semiHidden/>
    <w:unhideWhenUsed/>
    <w:locked/>
    <w:rsid w:val="00D0339F"/>
    <w:pPr>
      <w:spacing w:after="0" w:line="240" w:lineRule="auto"/>
    </w:p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tblBorders>
    </w:tblPr>
    <w:tblStylePr w:type="firstRow">
      <w:pPr>
        <w:spacing w:before="0" w:after="0" w:line="240" w:lineRule="auto"/>
      </w:pPr>
      <w:rPr>
        <w:b/>
        <w:bCs/>
        <w:color w:val="FFFFFF" w:themeColor="background1"/>
      </w:rPr>
      <w:tblPr/>
      <w:tcPr>
        <w:shd w:val="clear" w:color="auto" w:fill="0D3E67" w:themeFill="accent3"/>
      </w:tcPr>
    </w:tblStylePr>
    <w:tblStylePr w:type="lastRow">
      <w:pPr>
        <w:spacing w:before="0" w:after="0" w:line="240" w:lineRule="auto"/>
      </w:pPr>
      <w:rPr>
        <w:b/>
        <w:bCs/>
      </w:rPr>
      <w:tblPr/>
      <w:tcPr>
        <w:tcBorders>
          <w:top w:val="double" w:sz="6" w:space="0" w:color="0D3E67" w:themeColor="accent3"/>
          <w:left w:val="single" w:sz="8" w:space="0" w:color="0D3E67" w:themeColor="accent3"/>
          <w:bottom w:val="single" w:sz="8" w:space="0" w:color="0D3E67" w:themeColor="accent3"/>
          <w:right w:val="single" w:sz="8" w:space="0" w:color="0D3E67" w:themeColor="accent3"/>
        </w:tcBorders>
      </w:tcPr>
    </w:tblStylePr>
    <w:tblStylePr w:type="firstCol">
      <w:rPr>
        <w:b/>
        <w:bCs/>
      </w:rPr>
    </w:tblStylePr>
    <w:tblStylePr w:type="lastCol">
      <w:rPr>
        <w:b/>
        <w:bCs/>
      </w:rPr>
    </w:tblStylePr>
    <w:tblStylePr w:type="band1Vert">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tblStylePr w:type="band1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style>
  <w:style w:type="table" w:styleId="LightList-Accent4">
    <w:name w:val="Light List Accent 4"/>
    <w:basedOn w:val="TableNormal"/>
    <w:uiPriority w:val="61"/>
    <w:semiHidden/>
    <w:unhideWhenUsed/>
    <w:locked/>
    <w:rsid w:val="00D0339F"/>
    <w:pPr>
      <w:spacing w:after="0" w:line="240" w:lineRule="auto"/>
    </w:p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tblBorders>
    </w:tblPr>
    <w:tblStylePr w:type="firstRow">
      <w:pPr>
        <w:spacing w:before="0" w:after="0" w:line="240" w:lineRule="auto"/>
      </w:pPr>
      <w:rPr>
        <w:b/>
        <w:bCs/>
        <w:color w:val="FFFFFF" w:themeColor="background1"/>
      </w:rPr>
      <w:tblPr/>
      <w:tcPr>
        <w:shd w:val="clear" w:color="auto" w:fill="7D96B5" w:themeFill="accent4"/>
      </w:tcPr>
    </w:tblStylePr>
    <w:tblStylePr w:type="lastRow">
      <w:pPr>
        <w:spacing w:before="0" w:after="0" w:line="240" w:lineRule="auto"/>
      </w:pPr>
      <w:rPr>
        <w:b/>
        <w:bCs/>
      </w:rPr>
      <w:tblPr/>
      <w:tcPr>
        <w:tcBorders>
          <w:top w:val="double" w:sz="6" w:space="0" w:color="7D96B5" w:themeColor="accent4"/>
          <w:left w:val="single" w:sz="8" w:space="0" w:color="7D96B5" w:themeColor="accent4"/>
          <w:bottom w:val="single" w:sz="8" w:space="0" w:color="7D96B5" w:themeColor="accent4"/>
          <w:right w:val="single" w:sz="8" w:space="0" w:color="7D96B5" w:themeColor="accent4"/>
        </w:tcBorders>
      </w:tcPr>
    </w:tblStylePr>
    <w:tblStylePr w:type="firstCol">
      <w:rPr>
        <w:b/>
        <w:bCs/>
      </w:rPr>
    </w:tblStylePr>
    <w:tblStylePr w:type="lastCol">
      <w:rPr>
        <w:b/>
        <w:bCs/>
      </w:rPr>
    </w:tblStylePr>
    <w:tblStylePr w:type="band1Vert">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tblStylePr w:type="band1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style>
  <w:style w:type="table" w:styleId="LightList-Accent5">
    <w:name w:val="Light List Accent 5"/>
    <w:basedOn w:val="TableNormal"/>
    <w:uiPriority w:val="61"/>
    <w:semiHidden/>
    <w:unhideWhenUsed/>
    <w:locked/>
    <w:rsid w:val="00D0339F"/>
    <w:pPr>
      <w:spacing w:after="0" w:line="240" w:lineRule="auto"/>
    </w:p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tblBorders>
    </w:tblPr>
    <w:tblStylePr w:type="firstRow">
      <w:pPr>
        <w:spacing w:before="0" w:after="0" w:line="240" w:lineRule="auto"/>
      </w:pPr>
      <w:rPr>
        <w:b/>
        <w:bCs/>
        <w:color w:val="FFFFFF" w:themeColor="background1"/>
      </w:rPr>
      <w:tblPr/>
      <w:tcPr>
        <w:shd w:val="clear" w:color="auto" w:fill="0D8577" w:themeFill="accent5"/>
      </w:tcPr>
    </w:tblStylePr>
    <w:tblStylePr w:type="lastRow">
      <w:pPr>
        <w:spacing w:before="0" w:after="0" w:line="240" w:lineRule="auto"/>
      </w:pPr>
      <w:rPr>
        <w:b/>
        <w:bCs/>
      </w:rPr>
      <w:tblPr/>
      <w:tcPr>
        <w:tcBorders>
          <w:top w:val="double" w:sz="6" w:space="0" w:color="0D8577" w:themeColor="accent5"/>
          <w:left w:val="single" w:sz="8" w:space="0" w:color="0D8577" w:themeColor="accent5"/>
          <w:bottom w:val="single" w:sz="8" w:space="0" w:color="0D8577" w:themeColor="accent5"/>
          <w:right w:val="single" w:sz="8" w:space="0" w:color="0D8577" w:themeColor="accent5"/>
        </w:tcBorders>
      </w:tcPr>
    </w:tblStylePr>
    <w:tblStylePr w:type="firstCol">
      <w:rPr>
        <w:b/>
        <w:bCs/>
      </w:rPr>
    </w:tblStylePr>
    <w:tblStylePr w:type="lastCol">
      <w:rPr>
        <w:b/>
        <w:bCs/>
      </w:rPr>
    </w:tblStylePr>
    <w:tblStylePr w:type="band1Vert">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tblStylePr w:type="band1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style>
  <w:style w:type="table" w:styleId="LightList-Accent6">
    <w:name w:val="Light List Accent 6"/>
    <w:basedOn w:val="TableNormal"/>
    <w:uiPriority w:val="61"/>
    <w:semiHidden/>
    <w:unhideWhenUsed/>
    <w:locked/>
    <w:rsid w:val="00D0339F"/>
    <w:pPr>
      <w:spacing w:after="0" w:line="240" w:lineRule="auto"/>
    </w:p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tblBorders>
    </w:tblPr>
    <w:tblStylePr w:type="firstRow">
      <w:pPr>
        <w:spacing w:before="0" w:after="0" w:line="240" w:lineRule="auto"/>
      </w:pPr>
      <w:rPr>
        <w:b/>
        <w:bCs/>
        <w:color w:val="FFFFFF" w:themeColor="background1"/>
      </w:rPr>
      <w:tblPr/>
      <w:tcPr>
        <w:shd w:val="clear" w:color="auto" w:fill="46B8A9" w:themeFill="accent6"/>
      </w:tcPr>
    </w:tblStylePr>
    <w:tblStylePr w:type="lastRow">
      <w:pPr>
        <w:spacing w:before="0" w:after="0" w:line="240" w:lineRule="auto"/>
      </w:pPr>
      <w:rPr>
        <w:b/>
        <w:bCs/>
      </w:rPr>
      <w:tblPr/>
      <w:tcPr>
        <w:tcBorders>
          <w:top w:val="double" w:sz="6" w:space="0" w:color="46B8A9" w:themeColor="accent6"/>
          <w:left w:val="single" w:sz="8" w:space="0" w:color="46B8A9" w:themeColor="accent6"/>
          <w:bottom w:val="single" w:sz="8" w:space="0" w:color="46B8A9" w:themeColor="accent6"/>
          <w:right w:val="single" w:sz="8" w:space="0" w:color="46B8A9" w:themeColor="accent6"/>
        </w:tcBorders>
      </w:tcPr>
    </w:tblStylePr>
    <w:tblStylePr w:type="firstCol">
      <w:rPr>
        <w:b/>
        <w:bCs/>
      </w:rPr>
    </w:tblStylePr>
    <w:tblStylePr w:type="lastCol">
      <w:rPr>
        <w:b/>
        <w:bCs/>
      </w:rPr>
    </w:tblStylePr>
    <w:tblStylePr w:type="band1Vert">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tblStylePr w:type="band1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style>
  <w:style w:type="table" w:styleId="LightShading">
    <w:name w:val="Light Shading"/>
    <w:basedOn w:val="TableNormal"/>
    <w:uiPriority w:val="60"/>
    <w:semiHidden/>
    <w:unhideWhenUsed/>
    <w:locked/>
    <w:rsid w:val="00D0339F"/>
    <w:pPr>
      <w:spacing w:after="0" w:line="240" w:lineRule="auto"/>
    </w:pPr>
    <w:rPr>
      <w:color w:val="191919" w:themeColor="text1" w:themeShade="BF"/>
    </w:rPr>
    <w:tblPr>
      <w:tblStyleRowBandSize w:val="1"/>
      <w:tblStyleColBandSize w:val="1"/>
      <w:tblBorders>
        <w:top w:val="single" w:sz="8" w:space="0" w:color="222222" w:themeColor="text1"/>
        <w:bottom w:val="single" w:sz="8" w:space="0" w:color="222222" w:themeColor="text1"/>
      </w:tblBorders>
    </w:tblPr>
    <w:tblStylePr w:type="fir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la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left w:val="nil"/>
          <w:right w:val="nil"/>
          <w:insideH w:val="nil"/>
          <w:insideV w:val="nil"/>
        </w:tcBorders>
        <w:shd w:val="clear" w:color="auto" w:fill="C8C8C8" w:themeFill="text1" w:themeFillTint="3F"/>
      </w:tcPr>
    </w:tblStylePr>
  </w:style>
  <w:style w:type="table" w:styleId="LightShading-Accent1">
    <w:name w:val="Light Shading Accent 1"/>
    <w:basedOn w:val="TableNormal"/>
    <w:uiPriority w:val="60"/>
    <w:semiHidden/>
    <w:unhideWhenUsed/>
    <w:locked/>
    <w:rsid w:val="00D0339F"/>
    <w:pPr>
      <w:spacing w:after="0" w:line="240" w:lineRule="auto"/>
    </w:pPr>
    <w:rPr>
      <w:color w:val="984C00" w:themeColor="accent1" w:themeShade="BF"/>
    </w:rPr>
    <w:tblPr>
      <w:tblStyleRowBandSize w:val="1"/>
      <w:tblStyleColBandSize w:val="1"/>
      <w:tblBorders>
        <w:top w:val="single" w:sz="8" w:space="0" w:color="CC6600" w:themeColor="accent1"/>
        <w:bottom w:val="single" w:sz="8" w:space="0" w:color="CC6600" w:themeColor="accent1"/>
      </w:tblBorders>
    </w:tblPr>
    <w:tblStylePr w:type="firstRow">
      <w:pPr>
        <w:spacing w:before="0" w:after="0" w:line="240" w:lineRule="auto"/>
      </w:pPr>
      <w:rPr>
        <w:b/>
        <w:bCs/>
      </w:rPr>
      <w:tblPr/>
      <w:tcPr>
        <w:tcBorders>
          <w:top w:val="single" w:sz="8" w:space="0" w:color="CC6600" w:themeColor="accent1"/>
          <w:left w:val="nil"/>
          <w:bottom w:val="single" w:sz="8" w:space="0" w:color="CC6600" w:themeColor="accent1"/>
          <w:right w:val="nil"/>
          <w:insideH w:val="nil"/>
          <w:insideV w:val="nil"/>
        </w:tcBorders>
      </w:tcPr>
    </w:tblStylePr>
    <w:tblStylePr w:type="lastRow">
      <w:pPr>
        <w:spacing w:before="0" w:after="0" w:line="240" w:lineRule="auto"/>
      </w:pPr>
      <w:rPr>
        <w:b/>
        <w:bCs/>
      </w:rPr>
      <w:tblPr/>
      <w:tcPr>
        <w:tcBorders>
          <w:top w:val="single" w:sz="8" w:space="0" w:color="CC6600" w:themeColor="accent1"/>
          <w:left w:val="nil"/>
          <w:bottom w:val="single" w:sz="8" w:space="0" w:color="CC6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B3" w:themeFill="accent1" w:themeFillTint="3F"/>
      </w:tcPr>
    </w:tblStylePr>
    <w:tblStylePr w:type="band1Horz">
      <w:tblPr/>
      <w:tcPr>
        <w:tcBorders>
          <w:left w:val="nil"/>
          <w:right w:val="nil"/>
          <w:insideH w:val="nil"/>
          <w:insideV w:val="nil"/>
        </w:tcBorders>
        <w:shd w:val="clear" w:color="auto" w:fill="FFD9B3" w:themeFill="accent1" w:themeFillTint="3F"/>
      </w:tcPr>
    </w:tblStylePr>
  </w:style>
  <w:style w:type="table" w:styleId="LightShading-Accent2">
    <w:name w:val="Light Shading Accent 2"/>
    <w:basedOn w:val="TableNormal"/>
    <w:uiPriority w:val="60"/>
    <w:semiHidden/>
    <w:unhideWhenUsed/>
    <w:locked/>
    <w:rsid w:val="00D0339F"/>
    <w:pPr>
      <w:spacing w:after="0" w:line="240" w:lineRule="auto"/>
    </w:pPr>
    <w:rPr>
      <w:color w:val="F5A35F" w:themeColor="accent2" w:themeShade="BF"/>
    </w:rPr>
    <w:tblPr>
      <w:tblStyleRowBandSize w:val="1"/>
      <w:tblStyleColBandSize w:val="1"/>
      <w:tblBorders>
        <w:top w:val="single" w:sz="8" w:space="0" w:color="FCE2CC" w:themeColor="accent2"/>
        <w:bottom w:val="single" w:sz="8" w:space="0" w:color="FCE2CC" w:themeColor="accent2"/>
      </w:tblBorders>
    </w:tblPr>
    <w:tblStylePr w:type="firstRow">
      <w:pPr>
        <w:spacing w:before="0" w:after="0" w:line="240" w:lineRule="auto"/>
      </w:pPr>
      <w:rPr>
        <w:b/>
        <w:bCs/>
      </w:rPr>
      <w:tblPr/>
      <w:tcPr>
        <w:tcBorders>
          <w:top w:val="single" w:sz="8" w:space="0" w:color="FCE2CC" w:themeColor="accent2"/>
          <w:left w:val="nil"/>
          <w:bottom w:val="single" w:sz="8" w:space="0" w:color="FCE2CC" w:themeColor="accent2"/>
          <w:right w:val="nil"/>
          <w:insideH w:val="nil"/>
          <w:insideV w:val="nil"/>
        </w:tcBorders>
      </w:tcPr>
    </w:tblStylePr>
    <w:tblStylePr w:type="lastRow">
      <w:pPr>
        <w:spacing w:before="0" w:after="0" w:line="240" w:lineRule="auto"/>
      </w:pPr>
      <w:rPr>
        <w:b/>
        <w:bCs/>
      </w:rPr>
      <w:tblPr/>
      <w:tcPr>
        <w:tcBorders>
          <w:top w:val="single" w:sz="8" w:space="0" w:color="FCE2CC" w:themeColor="accent2"/>
          <w:left w:val="nil"/>
          <w:bottom w:val="single" w:sz="8" w:space="0" w:color="FCE2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F2" w:themeFill="accent2" w:themeFillTint="3F"/>
      </w:tcPr>
    </w:tblStylePr>
    <w:tblStylePr w:type="band1Horz">
      <w:tblPr/>
      <w:tcPr>
        <w:tcBorders>
          <w:left w:val="nil"/>
          <w:right w:val="nil"/>
          <w:insideH w:val="nil"/>
          <w:insideV w:val="nil"/>
        </w:tcBorders>
        <w:shd w:val="clear" w:color="auto" w:fill="FEF7F2" w:themeFill="accent2" w:themeFillTint="3F"/>
      </w:tcPr>
    </w:tblStylePr>
  </w:style>
  <w:style w:type="table" w:styleId="LightShading-Accent3">
    <w:name w:val="Light Shading Accent 3"/>
    <w:basedOn w:val="TableNormal"/>
    <w:uiPriority w:val="60"/>
    <w:semiHidden/>
    <w:unhideWhenUsed/>
    <w:locked/>
    <w:rsid w:val="00D0339F"/>
    <w:pPr>
      <w:spacing w:after="0" w:line="240" w:lineRule="auto"/>
    </w:pPr>
    <w:rPr>
      <w:color w:val="092E4C" w:themeColor="accent3" w:themeShade="BF"/>
    </w:rPr>
    <w:tblPr>
      <w:tblStyleRowBandSize w:val="1"/>
      <w:tblStyleColBandSize w:val="1"/>
      <w:tblBorders>
        <w:top w:val="single" w:sz="8" w:space="0" w:color="0D3E67" w:themeColor="accent3"/>
        <w:bottom w:val="single" w:sz="8" w:space="0" w:color="0D3E67" w:themeColor="accent3"/>
      </w:tblBorders>
    </w:tblPr>
    <w:tblStylePr w:type="firstRow">
      <w:pPr>
        <w:spacing w:before="0" w:after="0" w:line="240" w:lineRule="auto"/>
      </w:pPr>
      <w:rPr>
        <w:b/>
        <w:bCs/>
      </w:rPr>
      <w:tblPr/>
      <w:tcPr>
        <w:tcBorders>
          <w:top w:val="single" w:sz="8" w:space="0" w:color="0D3E67" w:themeColor="accent3"/>
          <w:left w:val="nil"/>
          <w:bottom w:val="single" w:sz="8" w:space="0" w:color="0D3E67" w:themeColor="accent3"/>
          <w:right w:val="nil"/>
          <w:insideH w:val="nil"/>
          <w:insideV w:val="nil"/>
        </w:tcBorders>
      </w:tcPr>
    </w:tblStylePr>
    <w:tblStylePr w:type="lastRow">
      <w:pPr>
        <w:spacing w:before="0" w:after="0" w:line="240" w:lineRule="auto"/>
      </w:pPr>
      <w:rPr>
        <w:b/>
        <w:bCs/>
      </w:rPr>
      <w:tblPr/>
      <w:tcPr>
        <w:tcBorders>
          <w:top w:val="single" w:sz="8" w:space="0" w:color="0D3E67" w:themeColor="accent3"/>
          <w:left w:val="nil"/>
          <w:bottom w:val="single" w:sz="8" w:space="0" w:color="0D3E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1F4" w:themeFill="accent3" w:themeFillTint="3F"/>
      </w:tcPr>
    </w:tblStylePr>
    <w:tblStylePr w:type="band1Horz">
      <w:tblPr/>
      <w:tcPr>
        <w:tcBorders>
          <w:left w:val="nil"/>
          <w:right w:val="nil"/>
          <w:insideH w:val="nil"/>
          <w:insideV w:val="nil"/>
        </w:tcBorders>
        <w:shd w:val="clear" w:color="auto" w:fill="A8D1F4" w:themeFill="accent3" w:themeFillTint="3F"/>
      </w:tcPr>
    </w:tblStylePr>
  </w:style>
  <w:style w:type="table" w:styleId="LightShading-Accent4">
    <w:name w:val="Light Shading Accent 4"/>
    <w:basedOn w:val="TableNormal"/>
    <w:uiPriority w:val="60"/>
    <w:semiHidden/>
    <w:unhideWhenUsed/>
    <w:locked/>
    <w:rsid w:val="00D0339F"/>
    <w:pPr>
      <w:spacing w:after="0" w:line="240" w:lineRule="auto"/>
    </w:pPr>
    <w:rPr>
      <w:color w:val="536E91" w:themeColor="accent4" w:themeShade="BF"/>
    </w:rPr>
    <w:tblPr>
      <w:tblStyleRowBandSize w:val="1"/>
      <w:tblStyleColBandSize w:val="1"/>
      <w:tblBorders>
        <w:top w:val="single" w:sz="8" w:space="0" w:color="7D96B5" w:themeColor="accent4"/>
        <w:bottom w:val="single" w:sz="8" w:space="0" w:color="7D96B5" w:themeColor="accent4"/>
      </w:tblBorders>
    </w:tblPr>
    <w:tblStylePr w:type="firstRow">
      <w:pPr>
        <w:spacing w:before="0" w:after="0" w:line="240" w:lineRule="auto"/>
      </w:pPr>
      <w:rPr>
        <w:b/>
        <w:bCs/>
      </w:rPr>
      <w:tblPr/>
      <w:tcPr>
        <w:tcBorders>
          <w:top w:val="single" w:sz="8" w:space="0" w:color="7D96B5" w:themeColor="accent4"/>
          <w:left w:val="nil"/>
          <w:bottom w:val="single" w:sz="8" w:space="0" w:color="7D96B5" w:themeColor="accent4"/>
          <w:right w:val="nil"/>
          <w:insideH w:val="nil"/>
          <w:insideV w:val="nil"/>
        </w:tcBorders>
      </w:tcPr>
    </w:tblStylePr>
    <w:tblStylePr w:type="lastRow">
      <w:pPr>
        <w:spacing w:before="0" w:after="0" w:line="240" w:lineRule="auto"/>
      </w:pPr>
      <w:rPr>
        <w:b/>
        <w:bCs/>
      </w:rPr>
      <w:tblPr/>
      <w:tcPr>
        <w:tcBorders>
          <w:top w:val="single" w:sz="8" w:space="0" w:color="7D96B5" w:themeColor="accent4"/>
          <w:left w:val="nil"/>
          <w:bottom w:val="single" w:sz="8" w:space="0" w:color="7D96B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4EC" w:themeFill="accent4" w:themeFillTint="3F"/>
      </w:tcPr>
    </w:tblStylePr>
    <w:tblStylePr w:type="band1Horz">
      <w:tblPr/>
      <w:tcPr>
        <w:tcBorders>
          <w:left w:val="nil"/>
          <w:right w:val="nil"/>
          <w:insideH w:val="nil"/>
          <w:insideV w:val="nil"/>
        </w:tcBorders>
        <w:shd w:val="clear" w:color="auto" w:fill="DEE4EC" w:themeFill="accent4" w:themeFillTint="3F"/>
      </w:tcPr>
    </w:tblStylePr>
  </w:style>
  <w:style w:type="table" w:styleId="LightShading-Accent5">
    <w:name w:val="Light Shading Accent 5"/>
    <w:basedOn w:val="TableNormal"/>
    <w:uiPriority w:val="60"/>
    <w:semiHidden/>
    <w:unhideWhenUsed/>
    <w:locked/>
    <w:rsid w:val="00D0339F"/>
    <w:pPr>
      <w:spacing w:after="0" w:line="240" w:lineRule="auto"/>
    </w:pPr>
    <w:rPr>
      <w:color w:val="096358" w:themeColor="accent5" w:themeShade="BF"/>
    </w:rPr>
    <w:tblPr>
      <w:tblStyleRowBandSize w:val="1"/>
      <w:tblStyleColBandSize w:val="1"/>
      <w:tblBorders>
        <w:top w:val="single" w:sz="8" w:space="0" w:color="0D8577" w:themeColor="accent5"/>
        <w:bottom w:val="single" w:sz="8" w:space="0" w:color="0D8577" w:themeColor="accent5"/>
      </w:tblBorders>
    </w:tblPr>
    <w:tblStylePr w:type="firstRow">
      <w:pPr>
        <w:spacing w:before="0" w:after="0" w:line="240" w:lineRule="auto"/>
      </w:pPr>
      <w:rPr>
        <w:b/>
        <w:bCs/>
      </w:rPr>
      <w:tblPr/>
      <w:tcPr>
        <w:tcBorders>
          <w:top w:val="single" w:sz="8" w:space="0" w:color="0D8577" w:themeColor="accent5"/>
          <w:left w:val="nil"/>
          <w:bottom w:val="single" w:sz="8" w:space="0" w:color="0D8577" w:themeColor="accent5"/>
          <w:right w:val="nil"/>
          <w:insideH w:val="nil"/>
          <w:insideV w:val="nil"/>
        </w:tcBorders>
      </w:tcPr>
    </w:tblStylePr>
    <w:tblStylePr w:type="lastRow">
      <w:pPr>
        <w:spacing w:before="0" w:after="0" w:line="240" w:lineRule="auto"/>
      </w:pPr>
      <w:rPr>
        <w:b/>
        <w:bCs/>
      </w:rPr>
      <w:tblPr/>
      <w:tcPr>
        <w:tcBorders>
          <w:top w:val="single" w:sz="8" w:space="0" w:color="0D8577" w:themeColor="accent5"/>
          <w:left w:val="nil"/>
          <w:bottom w:val="single" w:sz="8" w:space="0" w:color="0D857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7EE" w:themeFill="accent5" w:themeFillTint="3F"/>
      </w:tcPr>
    </w:tblStylePr>
    <w:tblStylePr w:type="band1Horz">
      <w:tblPr/>
      <w:tcPr>
        <w:tcBorders>
          <w:left w:val="nil"/>
          <w:right w:val="nil"/>
          <w:insideH w:val="nil"/>
          <w:insideV w:val="nil"/>
        </w:tcBorders>
        <w:shd w:val="clear" w:color="auto" w:fill="ADF7EE" w:themeFill="accent5" w:themeFillTint="3F"/>
      </w:tcPr>
    </w:tblStylePr>
  </w:style>
  <w:style w:type="table" w:styleId="LightShading-Accent6">
    <w:name w:val="Light Shading Accent 6"/>
    <w:basedOn w:val="TableNormal"/>
    <w:uiPriority w:val="60"/>
    <w:semiHidden/>
    <w:unhideWhenUsed/>
    <w:locked/>
    <w:rsid w:val="00D0339F"/>
    <w:pPr>
      <w:spacing w:after="0" w:line="240" w:lineRule="auto"/>
    </w:pPr>
    <w:rPr>
      <w:color w:val="34897E" w:themeColor="accent6" w:themeShade="BF"/>
    </w:rPr>
    <w:tblPr>
      <w:tblStyleRowBandSize w:val="1"/>
      <w:tblStyleColBandSize w:val="1"/>
      <w:tblBorders>
        <w:top w:val="single" w:sz="8" w:space="0" w:color="46B8A9" w:themeColor="accent6"/>
        <w:bottom w:val="single" w:sz="8" w:space="0" w:color="46B8A9" w:themeColor="accent6"/>
      </w:tblBorders>
    </w:tblPr>
    <w:tblStylePr w:type="firstRow">
      <w:pPr>
        <w:spacing w:before="0" w:after="0" w:line="240" w:lineRule="auto"/>
      </w:pPr>
      <w:rPr>
        <w:b/>
        <w:bCs/>
      </w:rPr>
      <w:tblPr/>
      <w:tcPr>
        <w:tcBorders>
          <w:top w:val="single" w:sz="8" w:space="0" w:color="46B8A9" w:themeColor="accent6"/>
          <w:left w:val="nil"/>
          <w:bottom w:val="single" w:sz="8" w:space="0" w:color="46B8A9" w:themeColor="accent6"/>
          <w:right w:val="nil"/>
          <w:insideH w:val="nil"/>
          <w:insideV w:val="nil"/>
        </w:tcBorders>
      </w:tcPr>
    </w:tblStylePr>
    <w:tblStylePr w:type="lastRow">
      <w:pPr>
        <w:spacing w:before="0" w:after="0" w:line="240" w:lineRule="auto"/>
      </w:pPr>
      <w:rPr>
        <w:b/>
        <w:bCs/>
      </w:rPr>
      <w:tblPr/>
      <w:tcPr>
        <w:tcBorders>
          <w:top w:val="single" w:sz="8" w:space="0" w:color="46B8A9" w:themeColor="accent6"/>
          <w:left w:val="nil"/>
          <w:bottom w:val="single" w:sz="8" w:space="0" w:color="46B8A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DE9" w:themeFill="accent6" w:themeFillTint="3F"/>
      </w:tcPr>
    </w:tblStylePr>
    <w:tblStylePr w:type="band1Horz">
      <w:tblPr/>
      <w:tcPr>
        <w:tcBorders>
          <w:left w:val="nil"/>
          <w:right w:val="nil"/>
          <w:insideH w:val="nil"/>
          <w:insideV w:val="nil"/>
        </w:tcBorders>
        <w:shd w:val="clear" w:color="auto" w:fill="D1EDE9" w:themeFill="accent6" w:themeFillTint="3F"/>
      </w:tcPr>
    </w:tblStylePr>
  </w:style>
  <w:style w:type="table" w:styleId="ListTable1Light">
    <w:name w:val="List Table 1 Light"/>
    <w:basedOn w:val="TableNormal"/>
    <w:uiPriority w:val="46"/>
    <w:locked/>
    <w:rsid w:val="00D0339F"/>
    <w:pPr>
      <w:spacing w:after="0" w:line="240" w:lineRule="auto"/>
    </w:pPr>
    <w:tblPr>
      <w:tblStyleRowBandSize w:val="1"/>
      <w:tblStyleColBandSize w:val="1"/>
    </w:tblPr>
    <w:tblStylePr w:type="firstRow">
      <w:rPr>
        <w:b/>
        <w:bCs/>
      </w:rPr>
      <w:tblPr/>
      <w:tcPr>
        <w:tcBorders>
          <w:bottom w:val="single" w:sz="4" w:space="0" w:color="7A7A7A" w:themeColor="text1" w:themeTint="99"/>
        </w:tcBorders>
      </w:tcPr>
    </w:tblStylePr>
    <w:tblStylePr w:type="lastRow">
      <w:rPr>
        <w:b/>
        <w:bCs/>
      </w:rPr>
      <w:tblPr/>
      <w:tcPr>
        <w:tcBorders>
          <w:top w:val="sing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Table1Light-Accent1">
    <w:name w:val="List Table 1 Light Accent 1"/>
    <w:basedOn w:val="TableNormal"/>
    <w:uiPriority w:val="46"/>
    <w:locked/>
    <w:rsid w:val="00D0339F"/>
    <w:pPr>
      <w:spacing w:after="0" w:line="240" w:lineRule="auto"/>
    </w:pPr>
    <w:tblPr>
      <w:tblStyleRowBandSize w:val="1"/>
      <w:tblStyleColBandSize w:val="1"/>
    </w:tblPr>
    <w:tblStylePr w:type="firstRow">
      <w:rPr>
        <w:b/>
        <w:bCs/>
      </w:rPr>
      <w:tblPr/>
      <w:tcPr>
        <w:tcBorders>
          <w:bottom w:val="single" w:sz="4" w:space="0" w:color="FFA247" w:themeColor="accent1" w:themeTint="99"/>
        </w:tcBorders>
      </w:tcPr>
    </w:tblStylePr>
    <w:tblStylePr w:type="lastRow">
      <w:rPr>
        <w:b/>
        <w:bCs/>
      </w:rPr>
      <w:tblPr/>
      <w:tcPr>
        <w:tcBorders>
          <w:top w:val="sing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ListTable1Light-Accent2">
    <w:name w:val="List Table 1 Light Accent 2"/>
    <w:basedOn w:val="TableNormal"/>
    <w:uiPriority w:val="46"/>
    <w:locked/>
    <w:rsid w:val="00D0339F"/>
    <w:pPr>
      <w:spacing w:after="0" w:line="240" w:lineRule="auto"/>
    </w:pPr>
    <w:tblPr>
      <w:tblStyleRowBandSize w:val="1"/>
      <w:tblStyleColBandSize w:val="1"/>
    </w:tblPr>
    <w:tblStylePr w:type="firstRow">
      <w:rPr>
        <w:b/>
        <w:bCs/>
      </w:rPr>
      <w:tblPr/>
      <w:tcPr>
        <w:tcBorders>
          <w:bottom w:val="single" w:sz="4" w:space="0" w:color="FDEDE0" w:themeColor="accent2" w:themeTint="99"/>
        </w:tcBorders>
      </w:tcPr>
    </w:tblStylePr>
    <w:tblStylePr w:type="lastRow">
      <w:rPr>
        <w:b/>
        <w:bCs/>
      </w:rPr>
      <w:tblPr/>
      <w:tcPr>
        <w:tcBorders>
          <w:top w:val="sing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ListTable1Light-Accent3">
    <w:name w:val="List Table 1 Light Accent 3"/>
    <w:basedOn w:val="TableNormal"/>
    <w:uiPriority w:val="46"/>
    <w:locked/>
    <w:rsid w:val="00D0339F"/>
    <w:pPr>
      <w:spacing w:after="0" w:line="240" w:lineRule="auto"/>
    </w:pPr>
    <w:tblPr>
      <w:tblStyleRowBandSize w:val="1"/>
      <w:tblStyleColBandSize w:val="1"/>
    </w:tblPr>
    <w:tblStylePr w:type="firstRow">
      <w:rPr>
        <w:b/>
        <w:bCs/>
      </w:rPr>
      <w:tblPr/>
      <w:tcPr>
        <w:tcBorders>
          <w:bottom w:val="single" w:sz="4" w:space="0" w:color="2C90E4" w:themeColor="accent3" w:themeTint="99"/>
        </w:tcBorders>
      </w:tcPr>
    </w:tblStylePr>
    <w:tblStylePr w:type="lastRow">
      <w:rPr>
        <w:b/>
        <w:bCs/>
      </w:rPr>
      <w:tblPr/>
      <w:tcPr>
        <w:tcBorders>
          <w:top w:val="sing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ListTable1Light-Accent4">
    <w:name w:val="List Table 1 Light Accent 4"/>
    <w:basedOn w:val="TableNormal"/>
    <w:uiPriority w:val="46"/>
    <w:locked/>
    <w:rsid w:val="00D0339F"/>
    <w:pPr>
      <w:spacing w:after="0" w:line="240" w:lineRule="auto"/>
    </w:pPr>
    <w:tblPr>
      <w:tblStyleRowBandSize w:val="1"/>
      <w:tblStyleColBandSize w:val="1"/>
    </w:tblPr>
    <w:tblStylePr w:type="firstRow">
      <w:rPr>
        <w:b/>
        <w:bCs/>
      </w:rPr>
      <w:tblPr/>
      <w:tcPr>
        <w:tcBorders>
          <w:bottom w:val="single" w:sz="4" w:space="0" w:color="B0BFD2" w:themeColor="accent4" w:themeTint="99"/>
        </w:tcBorders>
      </w:tcPr>
    </w:tblStylePr>
    <w:tblStylePr w:type="lastRow">
      <w:rPr>
        <w:b/>
        <w:bCs/>
      </w:rPr>
      <w:tblPr/>
      <w:tcPr>
        <w:tcBorders>
          <w:top w:val="sing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ListTable1Light-Accent5">
    <w:name w:val="List Table 1 Light Accent 5"/>
    <w:basedOn w:val="TableNormal"/>
    <w:uiPriority w:val="46"/>
    <w:locked/>
    <w:rsid w:val="00D0339F"/>
    <w:pPr>
      <w:spacing w:after="0" w:line="240" w:lineRule="auto"/>
    </w:pPr>
    <w:tblPr>
      <w:tblStyleRowBandSize w:val="1"/>
      <w:tblStyleColBandSize w:val="1"/>
    </w:tblPr>
    <w:tblStylePr w:type="firstRow">
      <w:rPr>
        <w:b/>
        <w:bCs/>
      </w:rPr>
      <w:tblPr/>
      <w:tcPr>
        <w:tcBorders>
          <w:bottom w:val="single" w:sz="4" w:space="0" w:color="37EBD6" w:themeColor="accent5" w:themeTint="99"/>
        </w:tcBorders>
      </w:tcPr>
    </w:tblStylePr>
    <w:tblStylePr w:type="lastRow">
      <w:rPr>
        <w:b/>
        <w:bCs/>
      </w:rPr>
      <w:tblPr/>
      <w:tcPr>
        <w:tcBorders>
          <w:top w:val="sing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ListTable1Light-Accent6">
    <w:name w:val="List Table 1 Light Accent 6"/>
    <w:basedOn w:val="TableNormal"/>
    <w:uiPriority w:val="46"/>
    <w:locked/>
    <w:rsid w:val="00D0339F"/>
    <w:pPr>
      <w:spacing w:after="0" w:line="240" w:lineRule="auto"/>
    </w:pPr>
    <w:tblPr>
      <w:tblStyleRowBandSize w:val="1"/>
      <w:tblStyleColBandSize w:val="1"/>
    </w:tblPr>
    <w:tblStylePr w:type="firstRow">
      <w:rPr>
        <w:b/>
        <w:bCs/>
      </w:rPr>
      <w:tblPr/>
      <w:tcPr>
        <w:tcBorders>
          <w:bottom w:val="single" w:sz="4" w:space="0" w:color="8FD4CB" w:themeColor="accent6" w:themeTint="99"/>
        </w:tcBorders>
      </w:tcPr>
    </w:tblStylePr>
    <w:tblStylePr w:type="lastRow">
      <w:rPr>
        <w:b/>
        <w:bCs/>
      </w:rPr>
      <w:tblPr/>
      <w:tcPr>
        <w:tcBorders>
          <w:top w:val="sing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ListTable2">
    <w:name w:val="List Table 2"/>
    <w:basedOn w:val="TableNormal"/>
    <w:uiPriority w:val="47"/>
    <w:locked/>
    <w:rsid w:val="00D0339F"/>
    <w:pPr>
      <w:spacing w:after="0" w:line="240" w:lineRule="auto"/>
    </w:pPr>
    <w:tblPr>
      <w:tblStyleRowBandSize w:val="1"/>
      <w:tblStyleColBandSize w:val="1"/>
      <w:tblBorders>
        <w:top w:val="single" w:sz="4" w:space="0" w:color="7A7A7A" w:themeColor="text1" w:themeTint="99"/>
        <w:bottom w:val="single" w:sz="4" w:space="0" w:color="7A7A7A" w:themeColor="text1" w:themeTint="99"/>
        <w:insideH w:val="single" w:sz="4" w:space="0" w:color="7A7A7A"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Table2-Accent1">
    <w:name w:val="List Table 2 Accent 1"/>
    <w:basedOn w:val="TableNormal"/>
    <w:uiPriority w:val="47"/>
    <w:locked/>
    <w:rsid w:val="00D0339F"/>
    <w:pPr>
      <w:spacing w:after="0" w:line="240" w:lineRule="auto"/>
    </w:pPr>
    <w:tblPr>
      <w:tblStyleRowBandSize w:val="1"/>
      <w:tblStyleColBandSize w:val="1"/>
      <w:tblBorders>
        <w:top w:val="single" w:sz="4" w:space="0" w:color="FFA247" w:themeColor="accent1" w:themeTint="99"/>
        <w:bottom w:val="single" w:sz="4" w:space="0" w:color="FFA247" w:themeColor="accent1" w:themeTint="99"/>
        <w:insideH w:val="single" w:sz="4" w:space="0" w:color="FFA24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ListTable2-Accent2">
    <w:name w:val="List Table 2 Accent 2"/>
    <w:basedOn w:val="TableNormal"/>
    <w:uiPriority w:val="47"/>
    <w:locked/>
    <w:rsid w:val="00D0339F"/>
    <w:pPr>
      <w:spacing w:after="0" w:line="240" w:lineRule="auto"/>
    </w:pPr>
    <w:tblPr>
      <w:tblStyleRowBandSize w:val="1"/>
      <w:tblStyleColBandSize w:val="1"/>
      <w:tblBorders>
        <w:top w:val="single" w:sz="4" w:space="0" w:color="FDEDE0" w:themeColor="accent2" w:themeTint="99"/>
        <w:bottom w:val="single" w:sz="4" w:space="0" w:color="FDEDE0" w:themeColor="accent2" w:themeTint="99"/>
        <w:insideH w:val="single" w:sz="4" w:space="0" w:color="FDEDE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ListTable2-Accent3">
    <w:name w:val="List Table 2 Accent 3"/>
    <w:basedOn w:val="TableNormal"/>
    <w:uiPriority w:val="47"/>
    <w:locked/>
    <w:rsid w:val="00D0339F"/>
    <w:pPr>
      <w:spacing w:after="0" w:line="240" w:lineRule="auto"/>
    </w:pPr>
    <w:tblPr>
      <w:tblStyleRowBandSize w:val="1"/>
      <w:tblStyleColBandSize w:val="1"/>
      <w:tblBorders>
        <w:top w:val="single" w:sz="4" w:space="0" w:color="2C90E4" w:themeColor="accent3" w:themeTint="99"/>
        <w:bottom w:val="single" w:sz="4" w:space="0" w:color="2C90E4" w:themeColor="accent3" w:themeTint="99"/>
        <w:insideH w:val="single" w:sz="4" w:space="0" w:color="2C90E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ListTable2-Accent4">
    <w:name w:val="List Table 2 Accent 4"/>
    <w:basedOn w:val="TableNormal"/>
    <w:uiPriority w:val="47"/>
    <w:locked/>
    <w:rsid w:val="00D0339F"/>
    <w:pPr>
      <w:spacing w:after="0" w:line="240" w:lineRule="auto"/>
    </w:pPr>
    <w:tblPr>
      <w:tblStyleRowBandSize w:val="1"/>
      <w:tblStyleColBandSize w:val="1"/>
      <w:tblBorders>
        <w:top w:val="single" w:sz="4" w:space="0" w:color="B0BFD2" w:themeColor="accent4" w:themeTint="99"/>
        <w:bottom w:val="single" w:sz="4" w:space="0" w:color="B0BFD2" w:themeColor="accent4" w:themeTint="99"/>
        <w:insideH w:val="single" w:sz="4" w:space="0" w:color="B0BFD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ListTable2-Accent5">
    <w:name w:val="List Table 2 Accent 5"/>
    <w:basedOn w:val="TableNormal"/>
    <w:uiPriority w:val="47"/>
    <w:locked/>
    <w:rsid w:val="00D0339F"/>
    <w:pPr>
      <w:spacing w:after="0" w:line="240" w:lineRule="auto"/>
    </w:pPr>
    <w:tblPr>
      <w:tblStyleRowBandSize w:val="1"/>
      <w:tblStyleColBandSize w:val="1"/>
      <w:tblBorders>
        <w:top w:val="single" w:sz="4" w:space="0" w:color="37EBD6" w:themeColor="accent5" w:themeTint="99"/>
        <w:bottom w:val="single" w:sz="4" w:space="0" w:color="37EBD6" w:themeColor="accent5" w:themeTint="99"/>
        <w:insideH w:val="single" w:sz="4" w:space="0" w:color="37EB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ListTable2-Accent6">
    <w:name w:val="List Table 2 Accent 6"/>
    <w:basedOn w:val="TableNormal"/>
    <w:uiPriority w:val="47"/>
    <w:locked/>
    <w:rsid w:val="00D0339F"/>
    <w:pPr>
      <w:spacing w:after="0" w:line="240" w:lineRule="auto"/>
    </w:pPr>
    <w:tblPr>
      <w:tblStyleRowBandSize w:val="1"/>
      <w:tblStyleColBandSize w:val="1"/>
      <w:tblBorders>
        <w:top w:val="single" w:sz="4" w:space="0" w:color="8FD4CB" w:themeColor="accent6" w:themeTint="99"/>
        <w:bottom w:val="single" w:sz="4" w:space="0" w:color="8FD4CB" w:themeColor="accent6" w:themeTint="99"/>
        <w:insideH w:val="single" w:sz="4" w:space="0" w:color="8FD4C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ListTable3">
    <w:name w:val="List Table 3"/>
    <w:basedOn w:val="TableNormal"/>
    <w:uiPriority w:val="48"/>
    <w:locked/>
    <w:rsid w:val="00D0339F"/>
    <w:pPr>
      <w:spacing w:after="0" w:line="240" w:lineRule="auto"/>
    </w:pPr>
    <w:tblPr>
      <w:tblStyleRowBandSize w:val="1"/>
      <w:tblStyleColBandSize w:val="1"/>
      <w:tblBorders>
        <w:top w:val="single" w:sz="4" w:space="0" w:color="222222" w:themeColor="text1"/>
        <w:left w:val="single" w:sz="4" w:space="0" w:color="222222" w:themeColor="text1"/>
        <w:bottom w:val="single" w:sz="4" w:space="0" w:color="222222" w:themeColor="text1"/>
        <w:right w:val="single" w:sz="4" w:space="0" w:color="222222" w:themeColor="text1"/>
      </w:tblBorders>
    </w:tblPr>
    <w:tblStylePr w:type="firstRow">
      <w:rPr>
        <w:b/>
        <w:bCs/>
        <w:color w:val="FFFFFF" w:themeColor="background1"/>
      </w:rPr>
      <w:tblPr/>
      <w:tcPr>
        <w:shd w:val="clear" w:color="auto" w:fill="222222" w:themeFill="text1"/>
      </w:tcPr>
    </w:tblStylePr>
    <w:tblStylePr w:type="lastRow">
      <w:rPr>
        <w:b/>
        <w:bCs/>
      </w:rPr>
      <w:tblPr/>
      <w:tcPr>
        <w:tcBorders>
          <w:top w:val="double" w:sz="4" w:space="0" w:color="22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222" w:themeColor="text1"/>
          <w:right w:val="single" w:sz="4" w:space="0" w:color="222222" w:themeColor="text1"/>
        </w:tcBorders>
      </w:tcPr>
    </w:tblStylePr>
    <w:tblStylePr w:type="band1Horz">
      <w:tblPr/>
      <w:tcPr>
        <w:tcBorders>
          <w:top w:val="single" w:sz="4" w:space="0" w:color="222222" w:themeColor="text1"/>
          <w:bottom w:val="single" w:sz="4" w:space="0" w:color="22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222" w:themeColor="text1"/>
          <w:left w:val="nil"/>
        </w:tcBorders>
      </w:tcPr>
    </w:tblStylePr>
    <w:tblStylePr w:type="swCell">
      <w:tblPr/>
      <w:tcPr>
        <w:tcBorders>
          <w:top w:val="double" w:sz="4" w:space="0" w:color="222222" w:themeColor="text1"/>
          <w:right w:val="nil"/>
        </w:tcBorders>
      </w:tcPr>
    </w:tblStylePr>
  </w:style>
  <w:style w:type="table" w:styleId="ListTable3-Accent1">
    <w:name w:val="List Table 3 Accent 1"/>
    <w:basedOn w:val="TableNormal"/>
    <w:uiPriority w:val="48"/>
    <w:locked/>
    <w:rsid w:val="00D0339F"/>
    <w:pPr>
      <w:spacing w:after="0" w:line="240" w:lineRule="auto"/>
    </w:pPr>
    <w:tblPr>
      <w:tblStyleRowBandSize w:val="1"/>
      <w:tblStyleColBandSize w:val="1"/>
      <w:tblBorders>
        <w:top w:val="single" w:sz="4" w:space="0" w:color="CC6600" w:themeColor="accent1"/>
        <w:left w:val="single" w:sz="4" w:space="0" w:color="CC6600" w:themeColor="accent1"/>
        <w:bottom w:val="single" w:sz="4" w:space="0" w:color="CC6600" w:themeColor="accent1"/>
        <w:right w:val="single" w:sz="4" w:space="0" w:color="CC6600" w:themeColor="accent1"/>
      </w:tblBorders>
    </w:tblPr>
    <w:tblStylePr w:type="firstRow">
      <w:rPr>
        <w:b/>
        <w:bCs/>
        <w:color w:val="FFFFFF" w:themeColor="background1"/>
      </w:rPr>
      <w:tblPr/>
      <w:tcPr>
        <w:shd w:val="clear" w:color="auto" w:fill="CC6600" w:themeFill="accent1"/>
      </w:tcPr>
    </w:tblStylePr>
    <w:tblStylePr w:type="lastRow">
      <w:rPr>
        <w:b/>
        <w:bCs/>
      </w:rPr>
      <w:tblPr/>
      <w:tcPr>
        <w:tcBorders>
          <w:top w:val="double" w:sz="4" w:space="0" w:color="CC6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6600" w:themeColor="accent1"/>
          <w:right w:val="single" w:sz="4" w:space="0" w:color="CC6600" w:themeColor="accent1"/>
        </w:tcBorders>
      </w:tcPr>
    </w:tblStylePr>
    <w:tblStylePr w:type="band1Horz">
      <w:tblPr/>
      <w:tcPr>
        <w:tcBorders>
          <w:top w:val="single" w:sz="4" w:space="0" w:color="CC6600" w:themeColor="accent1"/>
          <w:bottom w:val="single" w:sz="4" w:space="0" w:color="CC6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6600" w:themeColor="accent1"/>
          <w:left w:val="nil"/>
        </w:tcBorders>
      </w:tcPr>
    </w:tblStylePr>
    <w:tblStylePr w:type="swCell">
      <w:tblPr/>
      <w:tcPr>
        <w:tcBorders>
          <w:top w:val="double" w:sz="4" w:space="0" w:color="CC6600" w:themeColor="accent1"/>
          <w:right w:val="nil"/>
        </w:tcBorders>
      </w:tcPr>
    </w:tblStylePr>
  </w:style>
  <w:style w:type="table" w:styleId="ListTable3-Accent2">
    <w:name w:val="List Table 3 Accent 2"/>
    <w:basedOn w:val="TableNormal"/>
    <w:uiPriority w:val="48"/>
    <w:locked/>
    <w:rsid w:val="00D0339F"/>
    <w:pPr>
      <w:spacing w:after="0" w:line="240" w:lineRule="auto"/>
    </w:pPr>
    <w:tblPr>
      <w:tblStyleRowBandSize w:val="1"/>
      <w:tblStyleColBandSize w:val="1"/>
      <w:tblBorders>
        <w:top w:val="single" w:sz="4" w:space="0" w:color="FCE2CC" w:themeColor="accent2"/>
        <w:left w:val="single" w:sz="4" w:space="0" w:color="FCE2CC" w:themeColor="accent2"/>
        <w:bottom w:val="single" w:sz="4" w:space="0" w:color="FCE2CC" w:themeColor="accent2"/>
        <w:right w:val="single" w:sz="4" w:space="0" w:color="FCE2CC" w:themeColor="accent2"/>
      </w:tblBorders>
    </w:tblPr>
    <w:tblStylePr w:type="firstRow">
      <w:rPr>
        <w:b/>
        <w:bCs/>
        <w:color w:val="FFFFFF" w:themeColor="background1"/>
      </w:rPr>
      <w:tblPr/>
      <w:tcPr>
        <w:shd w:val="clear" w:color="auto" w:fill="FCE2CC" w:themeFill="accent2"/>
      </w:tcPr>
    </w:tblStylePr>
    <w:tblStylePr w:type="lastRow">
      <w:rPr>
        <w:b/>
        <w:bCs/>
      </w:rPr>
      <w:tblPr/>
      <w:tcPr>
        <w:tcBorders>
          <w:top w:val="double" w:sz="4" w:space="0" w:color="FCE2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2CC" w:themeColor="accent2"/>
          <w:right w:val="single" w:sz="4" w:space="0" w:color="FCE2CC" w:themeColor="accent2"/>
        </w:tcBorders>
      </w:tcPr>
    </w:tblStylePr>
    <w:tblStylePr w:type="band1Horz">
      <w:tblPr/>
      <w:tcPr>
        <w:tcBorders>
          <w:top w:val="single" w:sz="4" w:space="0" w:color="FCE2CC" w:themeColor="accent2"/>
          <w:bottom w:val="single" w:sz="4" w:space="0" w:color="FCE2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2CC" w:themeColor="accent2"/>
          <w:left w:val="nil"/>
        </w:tcBorders>
      </w:tcPr>
    </w:tblStylePr>
    <w:tblStylePr w:type="swCell">
      <w:tblPr/>
      <w:tcPr>
        <w:tcBorders>
          <w:top w:val="double" w:sz="4" w:space="0" w:color="FCE2CC" w:themeColor="accent2"/>
          <w:right w:val="nil"/>
        </w:tcBorders>
      </w:tcPr>
    </w:tblStylePr>
  </w:style>
  <w:style w:type="table" w:styleId="ListTable3-Accent3">
    <w:name w:val="List Table 3 Accent 3"/>
    <w:basedOn w:val="TableNormal"/>
    <w:uiPriority w:val="48"/>
    <w:locked/>
    <w:rsid w:val="00D0339F"/>
    <w:pPr>
      <w:spacing w:after="0" w:line="240" w:lineRule="auto"/>
    </w:pPr>
    <w:tblPr>
      <w:tblStyleRowBandSize w:val="1"/>
      <w:tblStyleColBandSize w:val="1"/>
      <w:tblBorders>
        <w:top w:val="single" w:sz="4" w:space="0" w:color="0D3E67" w:themeColor="accent3"/>
        <w:left w:val="single" w:sz="4" w:space="0" w:color="0D3E67" w:themeColor="accent3"/>
        <w:bottom w:val="single" w:sz="4" w:space="0" w:color="0D3E67" w:themeColor="accent3"/>
        <w:right w:val="single" w:sz="4" w:space="0" w:color="0D3E67" w:themeColor="accent3"/>
      </w:tblBorders>
    </w:tblPr>
    <w:tblStylePr w:type="firstRow">
      <w:rPr>
        <w:b/>
        <w:bCs/>
        <w:color w:val="FFFFFF" w:themeColor="background1"/>
      </w:rPr>
      <w:tblPr/>
      <w:tcPr>
        <w:shd w:val="clear" w:color="auto" w:fill="0D3E67" w:themeFill="accent3"/>
      </w:tcPr>
    </w:tblStylePr>
    <w:tblStylePr w:type="lastRow">
      <w:rPr>
        <w:b/>
        <w:bCs/>
      </w:rPr>
      <w:tblPr/>
      <w:tcPr>
        <w:tcBorders>
          <w:top w:val="double" w:sz="4" w:space="0" w:color="0D3E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3E67" w:themeColor="accent3"/>
          <w:right w:val="single" w:sz="4" w:space="0" w:color="0D3E67" w:themeColor="accent3"/>
        </w:tcBorders>
      </w:tcPr>
    </w:tblStylePr>
    <w:tblStylePr w:type="band1Horz">
      <w:tblPr/>
      <w:tcPr>
        <w:tcBorders>
          <w:top w:val="single" w:sz="4" w:space="0" w:color="0D3E67" w:themeColor="accent3"/>
          <w:bottom w:val="single" w:sz="4" w:space="0" w:color="0D3E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3E67" w:themeColor="accent3"/>
          <w:left w:val="nil"/>
        </w:tcBorders>
      </w:tcPr>
    </w:tblStylePr>
    <w:tblStylePr w:type="swCell">
      <w:tblPr/>
      <w:tcPr>
        <w:tcBorders>
          <w:top w:val="double" w:sz="4" w:space="0" w:color="0D3E67" w:themeColor="accent3"/>
          <w:right w:val="nil"/>
        </w:tcBorders>
      </w:tcPr>
    </w:tblStylePr>
  </w:style>
  <w:style w:type="table" w:styleId="ListTable3-Accent4">
    <w:name w:val="List Table 3 Accent 4"/>
    <w:basedOn w:val="TableNormal"/>
    <w:uiPriority w:val="48"/>
    <w:locked/>
    <w:rsid w:val="00D0339F"/>
    <w:pPr>
      <w:spacing w:after="0" w:line="240" w:lineRule="auto"/>
    </w:pPr>
    <w:tblPr>
      <w:tblStyleRowBandSize w:val="1"/>
      <w:tblStyleColBandSize w:val="1"/>
      <w:tblBorders>
        <w:top w:val="single" w:sz="4" w:space="0" w:color="7D96B5" w:themeColor="accent4"/>
        <w:left w:val="single" w:sz="4" w:space="0" w:color="7D96B5" w:themeColor="accent4"/>
        <w:bottom w:val="single" w:sz="4" w:space="0" w:color="7D96B5" w:themeColor="accent4"/>
        <w:right w:val="single" w:sz="4" w:space="0" w:color="7D96B5" w:themeColor="accent4"/>
      </w:tblBorders>
    </w:tblPr>
    <w:tblStylePr w:type="firstRow">
      <w:rPr>
        <w:b/>
        <w:bCs/>
        <w:color w:val="FFFFFF" w:themeColor="background1"/>
      </w:rPr>
      <w:tblPr/>
      <w:tcPr>
        <w:shd w:val="clear" w:color="auto" w:fill="7D96B5" w:themeFill="accent4"/>
      </w:tcPr>
    </w:tblStylePr>
    <w:tblStylePr w:type="lastRow">
      <w:rPr>
        <w:b/>
        <w:bCs/>
      </w:rPr>
      <w:tblPr/>
      <w:tcPr>
        <w:tcBorders>
          <w:top w:val="double" w:sz="4" w:space="0" w:color="7D96B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96B5" w:themeColor="accent4"/>
          <w:right w:val="single" w:sz="4" w:space="0" w:color="7D96B5" w:themeColor="accent4"/>
        </w:tcBorders>
      </w:tcPr>
    </w:tblStylePr>
    <w:tblStylePr w:type="band1Horz">
      <w:tblPr/>
      <w:tcPr>
        <w:tcBorders>
          <w:top w:val="single" w:sz="4" w:space="0" w:color="7D96B5" w:themeColor="accent4"/>
          <w:bottom w:val="single" w:sz="4" w:space="0" w:color="7D96B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96B5" w:themeColor="accent4"/>
          <w:left w:val="nil"/>
        </w:tcBorders>
      </w:tcPr>
    </w:tblStylePr>
    <w:tblStylePr w:type="swCell">
      <w:tblPr/>
      <w:tcPr>
        <w:tcBorders>
          <w:top w:val="double" w:sz="4" w:space="0" w:color="7D96B5" w:themeColor="accent4"/>
          <w:right w:val="nil"/>
        </w:tcBorders>
      </w:tcPr>
    </w:tblStylePr>
  </w:style>
  <w:style w:type="table" w:styleId="ListTable3-Accent5">
    <w:name w:val="List Table 3 Accent 5"/>
    <w:basedOn w:val="TableNormal"/>
    <w:uiPriority w:val="48"/>
    <w:locked/>
    <w:rsid w:val="00D0339F"/>
    <w:pPr>
      <w:spacing w:after="0" w:line="240" w:lineRule="auto"/>
    </w:pPr>
    <w:tblPr>
      <w:tblStyleRowBandSize w:val="1"/>
      <w:tblStyleColBandSize w:val="1"/>
      <w:tblBorders>
        <w:top w:val="single" w:sz="4" w:space="0" w:color="0D8577" w:themeColor="accent5"/>
        <w:left w:val="single" w:sz="4" w:space="0" w:color="0D8577" w:themeColor="accent5"/>
        <w:bottom w:val="single" w:sz="4" w:space="0" w:color="0D8577" w:themeColor="accent5"/>
        <w:right w:val="single" w:sz="4" w:space="0" w:color="0D8577" w:themeColor="accent5"/>
      </w:tblBorders>
    </w:tblPr>
    <w:tblStylePr w:type="firstRow">
      <w:rPr>
        <w:b/>
        <w:bCs/>
        <w:color w:val="FFFFFF" w:themeColor="background1"/>
      </w:rPr>
      <w:tblPr/>
      <w:tcPr>
        <w:shd w:val="clear" w:color="auto" w:fill="0D8577" w:themeFill="accent5"/>
      </w:tcPr>
    </w:tblStylePr>
    <w:tblStylePr w:type="lastRow">
      <w:rPr>
        <w:b/>
        <w:bCs/>
      </w:rPr>
      <w:tblPr/>
      <w:tcPr>
        <w:tcBorders>
          <w:top w:val="double" w:sz="4" w:space="0" w:color="0D857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8577" w:themeColor="accent5"/>
          <w:right w:val="single" w:sz="4" w:space="0" w:color="0D8577" w:themeColor="accent5"/>
        </w:tcBorders>
      </w:tcPr>
    </w:tblStylePr>
    <w:tblStylePr w:type="band1Horz">
      <w:tblPr/>
      <w:tcPr>
        <w:tcBorders>
          <w:top w:val="single" w:sz="4" w:space="0" w:color="0D8577" w:themeColor="accent5"/>
          <w:bottom w:val="single" w:sz="4" w:space="0" w:color="0D857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8577" w:themeColor="accent5"/>
          <w:left w:val="nil"/>
        </w:tcBorders>
      </w:tcPr>
    </w:tblStylePr>
    <w:tblStylePr w:type="swCell">
      <w:tblPr/>
      <w:tcPr>
        <w:tcBorders>
          <w:top w:val="double" w:sz="4" w:space="0" w:color="0D8577" w:themeColor="accent5"/>
          <w:right w:val="nil"/>
        </w:tcBorders>
      </w:tcPr>
    </w:tblStylePr>
  </w:style>
  <w:style w:type="table" w:styleId="ListTable3-Accent6">
    <w:name w:val="List Table 3 Accent 6"/>
    <w:basedOn w:val="TableNormal"/>
    <w:uiPriority w:val="48"/>
    <w:locked/>
    <w:rsid w:val="00D0339F"/>
    <w:pPr>
      <w:spacing w:after="0" w:line="240" w:lineRule="auto"/>
    </w:pPr>
    <w:tblPr>
      <w:tblStyleRowBandSize w:val="1"/>
      <w:tblStyleColBandSize w:val="1"/>
      <w:tblBorders>
        <w:top w:val="single" w:sz="4" w:space="0" w:color="46B8A9" w:themeColor="accent6"/>
        <w:left w:val="single" w:sz="4" w:space="0" w:color="46B8A9" w:themeColor="accent6"/>
        <w:bottom w:val="single" w:sz="4" w:space="0" w:color="46B8A9" w:themeColor="accent6"/>
        <w:right w:val="single" w:sz="4" w:space="0" w:color="46B8A9" w:themeColor="accent6"/>
      </w:tblBorders>
    </w:tblPr>
    <w:tblStylePr w:type="firstRow">
      <w:rPr>
        <w:b/>
        <w:bCs/>
        <w:color w:val="FFFFFF" w:themeColor="background1"/>
      </w:rPr>
      <w:tblPr/>
      <w:tcPr>
        <w:shd w:val="clear" w:color="auto" w:fill="46B8A9" w:themeFill="accent6"/>
      </w:tcPr>
    </w:tblStylePr>
    <w:tblStylePr w:type="lastRow">
      <w:rPr>
        <w:b/>
        <w:bCs/>
      </w:rPr>
      <w:tblPr/>
      <w:tcPr>
        <w:tcBorders>
          <w:top w:val="double" w:sz="4" w:space="0" w:color="46B8A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B8A9" w:themeColor="accent6"/>
          <w:right w:val="single" w:sz="4" w:space="0" w:color="46B8A9" w:themeColor="accent6"/>
        </w:tcBorders>
      </w:tcPr>
    </w:tblStylePr>
    <w:tblStylePr w:type="band1Horz">
      <w:tblPr/>
      <w:tcPr>
        <w:tcBorders>
          <w:top w:val="single" w:sz="4" w:space="0" w:color="46B8A9" w:themeColor="accent6"/>
          <w:bottom w:val="single" w:sz="4" w:space="0" w:color="46B8A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B8A9" w:themeColor="accent6"/>
          <w:left w:val="nil"/>
        </w:tcBorders>
      </w:tcPr>
    </w:tblStylePr>
    <w:tblStylePr w:type="swCell">
      <w:tblPr/>
      <w:tcPr>
        <w:tcBorders>
          <w:top w:val="double" w:sz="4" w:space="0" w:color="46B8A9" w:themeColor="accent6"/>
          <w:right w:val="nil"/>
        </w:tcBorders>
      </w:tcPr>
    </w:tblStylePr>
  </w:style>
  <w:style w:type="table" w:styleId="ListTable4">
    <w:name w:val="List Table 4"/>
    <w:basedOn w:val="TableNormal"/>
    <w:uiPriority w:val="49"/>
    <w:locked/>
    <w:rsid w:val="00D0339F"/>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tblBorders>
    </w:tblPr>
    <w:tblStylePr w:type="firstRow">
      <w:rPr>
        <w:b/>
        <w:bCs/>
        <w:color w:val="FFFFFF" w:themeColor="background1"/>
      </w:rPr>
      <w:tblPr/>
      <w:tcPr>
        <w:tcBorders>
          <w:top w:val="single" w:sz="4" w:space="0" w:color="222222" w:themeColor="text1"/>
          <w:left w:val="single" w:sz="4" w:space="0" w:color="222222" w:themeColor="text1"/>
          <w:bottom w:val="single" w:sz="4" w:space="0" w:color="222222" w:themeColor="text1"/>
          <w:right w:val="single" w:sz="4" w:space="0" w:color="222222" w:themeColor="text1"/>
          <w:insideH w:val="nil"/>
        </w:tcBorders>
        <w:shd w:val="clear" w:color="auto" w:fill="222222" w:themeFill="text1"/>
      </w:tcPr>
    </w:tblStylePr>
    <w:tblStylePr w:type="lastRow">
      <w:rPr>
        <w:b/>
        <w:bCs/>
      </w:rPr>
      <w:tblPr/>
      <w:tcPr>
        <w:tcBorders>
          <w:top w:val="doub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Table4-Accent1">
    <w:name w:val="List Table 4 Accent 1"/>
    <w:basedOn w:val="TableNormal"/>
    <w:uiPriority w:val="49"/>
    <w:locked/>
    <w:rsid w:val="00D0339F"/>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tblBorders>
    </w:tblPr>
    <w:tblStylePr w:type="firstRow">
      <w:rPr>
        <w:b/>
        <w:bCs/>
        <w:color w:val="FFFFFF" w:themeColor="background1"/>
      </w:rPr>
      <w:tblPr/>
      <w:tcPr>
        <w:tcBorders>
          <w:top w:val="single" w:sz="4" w:space="0" w:color="CC6600" w:themeColor="accent1"/>
          <w:left w:val="single" w:sz="4" w:space="0" w:color="CC6600" w:themeColor="accent1"/>
          <w:bottom w:val="single" w:sz="4" w:space="0" w:color="CC6600" w:themeColor="accent1"/>
          <w:right w:val="single" w:sz="4" w:space="0" w:color="CC6600" w:themeColor="accent1"/>
          <w:insideH w:val="nil"/>
        </w:tcBorders>
        <w:shd w:val="clear" w:color="auto" w:fill="CC6600" w:themeFill="accent1"/>
      </w:tcPr>
    </w:tblStylePr>
    <w:tblStylePr w:type="lastRow">
      <w:rPr>
        <w:b/>
        <w:bCs/>
      </w:rPr>
      <w:tblPr/>
      <w:tcPr>
        <w:tcBorders>
          <w:top w:val="doub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ListTable4-Accent2">
    <w:name w:val="List Table 4 Accent 2"/>
    <w:basedOn w:val="TableNormal"/>
    <w:uiPriority w:val="49"/>
    <w:locked/>
    <w:rsid w:val="00D0339F"/>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tblBorders>
    </w:tblPr>
    <w:tblStylePr w:type="firstRow">
      <w:rPr>
        <w:b/>
        <w:bCs/>
        <w:color w:val="FFFFFF" w:themeColor="background1"/>
      </w:rPr>
      <w:tblPr/>
      <w:tcPr>
        <w:tcBorders>
          <w:top w:val="single" w:sz="4" w:space="0" w:color="FCE2CC" w:themeColor="accent2"/>
          <w:left w:val="single" w:sz="4" w:space="0" w:color="FCE2CC" w:themeColor="accent2"/>
          <w:bottom w:val="single" w:sz="4" w:space="0" w:color="FCE2CC" w:themeColor="accent2"/>
          <w:right w:val="single" w:sz="4" w:space="0" w:color="FCE2CC" w:themeColor="accent2"/>
          <w:insideH w:val="nil"/>
        </w:tcBorders>
        <w:shd w:val="clear" w:color="auto" w:fill="FCE2CC" w:themeFill="accent2"/>
      </w:tcPr>
    </w:tblStylePr>
    <w:tblStylePr w:type="lastRow">
      <w:rPr>
        <w:b/>
        <w:bCs/>
      </w:rPr>
      <w:tblPr/>
      <w:tcPr>
        <w:tcBorders>
          <w:top w:val="doub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ListTable4-Accent3">
    <w:name w:val="List Table 4 Accent 3"/>
    <w:basedOn w:val="TableNormal"/>
    <w:uiPriority w:val="49"/>
    <w:locked/>
    <w:rsid w:val="00D0339F"/>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tblBorders>
    </w:tblPr>
    <w:tblStylePr w:type="firstRow">
      <w:rPr>
        <w:b/>
        <w:bCs/>
        <w:color w:val="FFFFFF" w:themeColor="background1"/>
      </w:rPr>
      <w:tblPr/>
      <w:tcPr>
        <w:tcBorders>
          <w:top w:val="single" w:sz="4" w:space="0" w:color="0D3E67" w:themeColor="accent3"/>
          <w:left w:val="single" w:sz="4" w:space="0" w:color="0D3E67" w:themeColor="accent3"/>
          <w:bottom w:val="single" w:sz="4" w:space="0" w:color="0D3E67" w:themeColor="accent3"/>
          <w:right w:val="single" w:sz="4" w:space="0" w:color="0D3E67" w:themeColor="accent3"/>
          <w:insideH w:val="nil"/>
        </w:tcBorders>
        <w:shd w:val="clear" w:color="auto" w:fill="0D3E67" w:themeFill="accent3"/>
      </w:tcPr>
    </w:tblStylePr>
    <w:tblStylePr w:type="lastRow">
      <w:rPr>
        <w:b/>
        <w:bCs/>
      </w:rPr>
      <w:tblPr/>
      <w:tcPr>
        <w:tcBorders>
          <w:top w:val="doub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ListTable4-Accent4">
    <w:name w:val="List Table 4 Accent 4"/>
    <w:basedOn w:val="TableNormal"/>
    <w:uiPriority w:val="49"/>
    <w:locked/>
    <w:rsid w:val="00D0339F"/>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tblBorders>
    </w:tblPr>
    <w:tblStylePr w:type="firstRow">
      <w:rPr>
        <w:b/>
        <w:bCs/>
        <w:color w:val="FFFFFF" w:themeColor="background1"/>
      </w:rPr>
      <w:tblPr/>
      <w:tcPr>
        <w:tcBorders>
          <w:top w:val="single" w:sz="4" w:space="0" w:color="7D96B5" w:themeColor="accent4"/>
          <w:left w:val="single" w:sz="4" w:space="0" w:color="7D96B5" w:themeColor="accent4"/>
          <w:bottom w:val="single" w:sz="4" w:space="0" w:color="7D96B5" w:themeColor="accent4"/>
          <w:right w:val="single" w:sz="4" w:space="0" w:color="7D96B5" w:themeColor="accent4"/>
          <w:insideH w:val="nil"/>
        </w:tcBorders>
        <w:shd w:val="clear" w:color="auto" w:fill="7D96B5" w:themeFill="accent4"/>
      </w:tcPr>
    </w:tblStylePr>
    <w:tblStylePr w:type="lastRow">
      <w:rPr>
        <w:b/>
        <w:bCs/>
      </w:rPr>
      <w:tblPr/>
      <w:tcPr>
        <w:tcBorders>
          <w:top w:val="doub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ListTable4-Accent5">
    <w:name w:val="List Table 4 Accent 5"/>
    <w:basedOn w:val="TableNormal"/>
    <w:uiPriority w:val="49"/>
    <w:locked/>
    <w:rsid w:val="00D0339F"/>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tblBorders>
    </w:tblPr>
    <w:tblStylePr w:type="firstRow">
      <w:rPr>
        <w:b/>
        <w:bCs/>
        <w:color w:val="FFFFFF" w:themeColor="background1"/>
      </w:rPr>
      <w:tblPr/>
      <w:tcPr>
        <w:tcBorders>
          <w:top w:val="single" w:sz="4" w:space="0" w:color="0D8577" w:themeColor="accent5"/>
          <w:left w:val="single" w:sz="4" w:space="0" w:color="0D8577" w:themeColor="accent5"/>
          <w:bottom w:val="single" w:sz="4" w:space="0" w:color="0D8577" w:themeColor="accent5"/>
          <w:right w:val="single" w:sz="4" w:space="0" w:color="0D8577" w:themeColor="accent5"/>
          <w:insideH w:val="nil"/>
        </w:tcBorders>
        <w:shd w:val="clear" w:color="auto" w:fill="0D8577" w:themeFill="accent5"/>
      </w:tcPr>
    </w:tblStylePr>
    <w:tblStylePr w:type="lastRow">
      <w:rPr>
        <w:b/>
        <w:bCs/>
      </w:rPr>
      <w:tblPr/>
      <w:tcPr>
        <w:tcBorders>
          <w:top w:val="doub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ListTable4-Accent6">
    <w:name w:val="List Table 4 Accent 6"/>
    <w:basedOn w:val="TableNormal"/>
    <w:uiPriority w:val="49"/>
    <w:locked/>
    <w:rsid w:val="00D0339F"/>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tblBorders>
    </w:tblPr>
    <w:tblStylePr w:type="firstRow">
      <w:rPr>
        <w:b/>
        <w:bCs/>
        <w:color w:val="FFFFFF" w:themeColor="background1"/>
      </w:rPr>
      <w:tblPr/>
      <w:tcPr>
        <w:tcBorders>
          <w:top w:val="single" w:sz="4" w:space="0" w:color="46B8A9" w:themeColor="accent6"/>
          <w:left w:val="single" w:sz="4" w:space="0" w:color="46B8A9" w:themeColor="accent6"/>
          <w:bottom w:val="single" w:sz="4" w:space="0" w:color="46B8A9" w:themeColor="accent6"/>
          <w:right w:val="single" w:sz="4" w:space="0" w:color="46B8A9" w:themeColor="accent6"/>
          <w:insideH w:val="nil"/>
        </w:tcBorders>
        <w:shd w:val="clear" w:color="auto" w:fill="46B8A9" w:themeFill="accent6"/>
      </w:tcPr>
    </w:tblStylePr>
    <w:tblStylePr w:type="lastRow">
      <w:rPr>
        <w:b/>
        <w:bCs/>
      </w:rPr>
      <w:tblPr/>
      <w:tcPr>
        <w:tcBorders>
          <w:top w:val="doub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ListTable5Dark">
    <w:name w:val="List Table 5 Dark"/>
    <w:basedOn w:val="TableNormal"/>
    <w:uiPriority w:val="50"/>
    <w:locked/>
    <w:rsid w:val="00D0339F"/>
    <w:pPr>
      <w:spacing w:after="0" w:line="240" w:lineRule="auto"/>
    </w:pPr>
    <w:rPr>
      <w:color w:val="FFFFFF" w:themeColor="background1"/>
    </w:rPr>
    <w:tblPr>
      <w:tblStyleRowBandSize w:val="1"/>
      <w:tblStyleColBandSize w:val="1"/>
      <w:tblBorders>
        <w:top w:val="single" w:sz="24" w:space="0" w:color="222222" w:themeColor="text1"/>
        <w:left w:val="single" w:sz="24" w:space="0" w:color="222222" w:themeColor="text1"/>
        <w:bottom w:val="single" w:sz="24" w:space="0" w:color="222222" w:themeColor="text1"/>
        <w:right w:val="single" w:sz="24" w:space="0" w:color="222222" w:themeColor="text1"/>
      </w:tblBorders>
    </w:tblPr>
    <w:tcPr>
      <w:shd w:val="clear" w:color="auto" w:fill="22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0339F"/>
    <w:pPr>
      <w:spacing w:after="0" w:line="240" w:lineRule="auto"/>
    </w:pPr>
    <w:rPr>
      <w:color w:val="FFFFFF" w:themeColor="background1"/>
    </w:rPr>
    <w:tblPr>
      <w:tblStyleRowBandSize w:val="1"/>
      <w:tblStyleColBandSize w:val="1"/>
      <w:tblBorders>
        <w:top w:val="single" w:sz="24" w:space="0" w:color="CC6600" w:themeColor="accent1"/>
        <w:left w:val="single" w:sz="24" w:space="0" w:color="CC6600" w:themeColor="accent1"/>
        <w:bottom w:val="single" w:sz="24" w:space="0" w:color="CC6600" w:themeColor="accent1"/>
        <w:right w:val="single" w:sz="24" w:space="0" w:color="CC6600" w:themeColor="accent1"/>
      </w:tblBorders>
    </w:tblPr>
    <w:tcPr>
      <w:shd w:val="clear" w:color="auto" w:fill="CC6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0339F"/>
    <w:pPr>
      <w:spacing w:after="0" w:line="240" w:lineRule="auto"/>
    </w:pPr>
    <w:rPr>
      <w:color w:val="FFFFFF" w:themeColor="background1"/>
    </w:rPr>
    <w:tblPr>
      <w:tblStyleRowBandSize w:val="1"/>
      <w:tblStyleColBandSize w:val="1"/>
      <w:tblBorders>
        <w:top w:val="single" w:sz="24" w:space="0" w:color="FCE2CC" w:themeColor="accent2"/>
        <w:left w:val="single" w:sz="24" w:space="0" w:color="FCE2CC" w:themeColor="accent2"/>
        <w:bottom w:val="single" w:sz="24" w:space="0" w:color="FCE2CC" w:themeColor="accent2"/>
        <w:right w:val="single" w:sz="24" w:space="0" w:color="FCE2CC" w:themeColor="accent2"/>
      </w:tblBorders>
    </w:tblPr>
    <w:tcPr>
      <w:shd w:val="clear" w:color="auto" w:fill="FCE2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0339F"/>
    <w:pPr>
      <w:spacing w:after="0" w:line="240" w:lineRule="auto"/>
    </w:pPr>
    <w:rPr>
      <w:color w:val="FFFFFF" w:themeColor="background1"/>
    </w:rPr>
    <w:tblPr>
      <w:tblStyleRowBandSize w:val="1"/>
      <w:tblStyleColBandSize w:val="1"/>
      <w:tblBorders>
        <w:top w:val="single" w:sz="24" w:space="0" w:color="0D3E67" w:themeColor="accent3"/>
        <w:left w:val="single" w:sz="24" w:space="0" w:color="0D3E67" w:themeColor="accent3"/>
        <w:bottom w:val="single" w:sz="24" w:space="0" w:color="0D3E67" w:themeColor="accent3"/>
        <w:right w:val="single" w:sz="24" w:space="0" w:color="0D3E67" w:themeColor="accent3"/>
      </w:tblBorders>
    </w:tblPr>
    <w:tcPr>
      <w:shd w:val="clear" w:color="auto" w:fill="0D3E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0339F"/>
    <w:pPr>
      <w:spacing w:after="0" w:line="240" w:lineRule="auto"/>
    </w:pPr>
    <w:rPr>
      <w:color w:val="FFFFFF" w:themeColor="background1"/>
    </w:rPr>
    <w:tblPr>
      <w:tblStyleRowBandSize w:val="1"/>
      <w:tblStyleColBandSize w:val="1"/>
      <w:tblBorders>
        <w:top w:val="single" w:sz="24" w:space="0" w:color="7D96B5" w:themeColor="accent4"/>
        <w:left w:val="single" w:sz="24" w:space="0" w:color="7D96B5" w:themeColor="accent4"/>
        <w:bottom w:val="single" w:sz="24" w:space="0" w:color="7D96B5" w:themeColor="accent4"/>
        <w:right w:val="single" w:sz="24" w:space="0" w:color="7D96B5" w:themeColor="accent4"/>
      </w:tblBorders>
    </w:tblPr>
    <w:tcPr>
      <w:shd w:val="clear" w:color="auto" w:fill="7D96B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0339F"/>
    <w:pPr>
      <w:spacing w:after="0" w:line="240" w:lineRule="auto"/>
    </w:pPr>
    <w:rPr>
      <w:color w:val="FFFFFF" w:themeColor="background1"/>
    </w:rPr>
    <w:tblPr>
      <w:tblStyleRowBandSize w:val="1"/>
      <w:tblStyleColBandSize w:val="1"/>
      <w:tblBorders>
        <w:top w:val="single" w:sz="24" w:space="0" w:color="0D8577" w:themeColor="accent5"/>
        <w:left w:val="single" w:sz="24" w:space="0" w:color="0D8577" w:themeColor="accent5"/>
        <w:bottom w:val="single" w:sz="24" w:space="0" w:color="0D8577" w:themeColor="accent5"/>
        <w:right w:val="single" w:sz="24" w:space="0" w:color="0D8577" w:themeColor="accent5"/>
      </w:tblBorders>
    </w:tblPr>
    <w:tcPr>
      <w:shd w:val="clear" w:color="auto" w:fill="0D857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0339F"/>
    <w:pPr>
      <w:spacing w:after="0" w:line="240" w:lineRule="auto"/>
    </w:pPr>
    <w:rPr>
      <w:color w:val="FFFFFF" w:themeColor="background1"/>
    </w:rPr>
    <w:tblPr>
      <w:tblStyleRowBandSize w:val="1"/>
      <w:tblStyleColBandSize w:val="1"/>
      <w:tblBorders>
        <w:top w:val="single" w:sz="24" w:space="0" w:color="46B8A9" w:themeColor="accent6"/>
        <w:left w:val="single" w:sz="24" w:space="0" w:color="46B8A9" w:themeColor="accent6"/>
        <w:bottom w:val="single" w:sz="24" w:space="0" w:color="46B8A9" w:themeColor="accent6"/>
        <w:right w:val="single" w:sz="24" w:space="0" w:color="46B8A9" w:themeColor="accent6"/>
      </w:tblBorders>
    </w:tblPr>
    <w:tcPr>
      <w:shd w:val="clear" w:color="auto" w:fill="46B8A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D0339F"/>
    <w:pPr>
      <w:spacing w:after="0" w:line="240" w:lineRule="auto"/>
    </w:pPr>
    <w:tblPr>
      <w:tblStyleRowBandSize w:val="1"/>
      <w:tblStyleColBandSize w:val="1"/>
      <w:tblBorders>
        <w:top w:val="single" w:sz="4" w:space="0" w:color="222222" w:themeColor="text1"/>
        <w:bottom w:val="single" w:sz="4" w:space="0" w:color="222222" w:themeColor="text1"/>
      </w:tblBorders>
    </w:tblPr>
    <w:tblStylePr w:type="firstRow">
      <w:rPr>
        <w:b/>
        <w:bCs/>
      </w:rPr>
      <w:tblPr/>
      <w:tcPr>
        <w:tcBorders>
          <w:bottom w:val="single" w:sz="4" w:space="0" w:color="222222" w:themeColor="text1"/>
        </w:tcBorders>
      </w:tcPr>
    </w:tblStylePr>
    <w:tblStylePr w:type="lastRow">
      <w:rPr>
        <w:b/>
        <w:bCs/>
      </w:rPr>
      <w:tblPr/>
      <w:tcPr>
        <w:tcBorders>
          <w:top w:val="double" w:sz="4" w:space="0" w:color="222222"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Table6Colorful-Accent1">
    <w:name w:val="List Table 6 Colorful Accent 1"/>
    <w:basedOn w:val="TableNormal"/>
    <w:uiPriority w:val="51"/>
    <w:locked/>
    <w:rsid w:val="00D0339F"/>
    <w:pPr>
      <w:spacing w:after="0" w:line="240" w:lineRule="auto"/>
    </w:pPr>
    <w:rPr>
      <w:color w:val="984C00" w:themeColor="accent1" w:themeShade="BF"/>
    </w:rPr>
    <w:tblPr>
      <w:tblStyleRowBandSize w:val="1"/>
      <w:tblStyleColBandSize w:val="1"/>
      <w:tblBorders>
        <w:top w:val="single" w:sz="4" w:space="0" w:color="CC6600" w:themeColor="accent1"/>
        <w:bottom w:val="single" w:sz="4" w:space="0" w:color="CC6600" w:themeColor="accent1"/>
      </w:tblBorders>
    </w:tblPr>
    <w:tblStylePr w:type="firstRow">
      <w:rPr>
        <w:b/>
        <w:bCs/>
      </w:rPr>
      <w:tblPr/>
      <w:tcPr>
        <w:tcBorders>
          <w:bottom w:val="single" w:sz="4" w:space="0" w:color="CC6600" w:themeColor="accent1"/>
        </w:tcBorders>
      </w:tcPr>
    </w:tblStylePr>
    <w:tblStylePr w:type="lastRow">
      <w:rPr>
        <w:b/>
        <w:bCs/>
      </w:rPr>
      <w:tblPr/>
      <w:tcPr>
        <w:tcBorders>
          <w:top w:val="double" w:sz="4" w:space="0" w:color="CC6600" w:themeColor="accent1"/>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ListTable6Colorful-Accent2">
    <w:name w:val="List Table 6 Colorful Accent 2"/>
    <w:basedOn w:val="TableNormal"/>
    <w:uiPriority w:val="51"/>
    <w:locked/>
    <w:rsid w:val="00D0339F"/>
    <w:pPr>
      <w:spacing w:after="0" w:line="240" w:lineRule="auto"/>
    </w:pPr>
    <w:rPr>
      <w:color w:val="F5A35F" w:themeColor="accent2" w:themeShade="BF"/>
    </w:rPr>
    <w:tblPr>
      <w:tblStyleRowBandSize w:val="1"/>
      <w:tblStyleColBandSize w:val="1"/>
      <w:tblBorders>
        <w:top w:val="single" w:sz="4" w:space="0" w:color="FCE2CC" w:themeColor="accent2"/>
        <w:bottom w:val="single" w:sz="4" w:space="0" w:color="FCE2CC" w:themeColor="accent2"/>
      </w:tblBorders>
    </w:tblPr>
    <w:tblStylePr w:type="firstRow">
      <w:rPr>
        <w:b/>
        <w:bCs/>
      </w:rPr>
      <w:tblPr/>
      <w:tcPr>
        <w:tcBorders>
          <w:bottom w:val="single" w:sz="4" w:space="0" w:color="FCE2CC" w:themeColor="accent2"/>
        </w:tcBorders>
      </w:tcPr>
    </w:tblStylePr>
    <w:tblStylePr w:type="lastRow">
      <w:rPr>
        <w:b/>
        <w:bCs/>
      </w:rPr>
      <w:tblPr/>
      <w:tcPr>
        <w:tcBorders>
          <w:top w:val="double" w:sz="4" w:space="0" w:color="FCE2CC" w:themeColor="accent2"/>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ListTable6Colorful-Accent3">
    <w:name w:val="List Table 6 Colorful Accent 3"/>
    <w:basedOn w:val="TableNormal"/>
    <w:uiPriority w:val="51"/>
    <w:locked/>
    <w:rsid w:val="00D0339F"/>
    <w:pPr>
      <w:spacing w:after="0" w:line="240" w:lineRule="auto"/>
    </w:pPr>
    <w:rPr>
      <w:color w:val="092E4C" w:themeColor="accent3" w:themeShade="BF"/>
    </w:rPr>
    <w:tblPr>
      <w:tblStyleRowBandSize w:val="1"/>
      <w:tblStyleColBandSize w:val="1"/>
      <w:tblBorders>
        <w:top w:val="single" w:sz="4" w:space="0" w:color="0D3E67" w:themeColor="accent3"/>
        <w:bottom w:val="single" w:sz="4" w:space="0" w:color="0D3E67" w:themeColor="accent3"/>
      </w:tblBorders>
    </w:tblPr>
    <w:tblStylePr w:type="firstRow">
      <w:rPr>
        <w:b/>
        <w:bCs/>
      </w:rPr>
      <w:tblPr/>
      <w:tcPr>
        <w:tcBorders>
          <w:bottom w:val="single" w:sz="4" w:space="0" w:color="0D3E67" w:themeColor="accent3"/>
        </w:tcBorders>
      </w:tcPr>
    </w:tblStylePr>
    <w:tblStylePr w:type="lastRow">
      <w:rPr>
        <w:b/>
        <w:bCs/>
      </w:rPr>
      <w:tblPr/>
      <w:tcPr>
        <w:tcBorders>
          <w:top w:val="double" w:sz="4" w:space="0" w:color="0D3E67" w:themeColor="accent3"/>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ListTable6Colorful-Accent4">
    <w:name w:val="List Table 6 Colorful Accent 4"/>
    <w:basedOn w:val="TableNormal"/>
    <w:uiPriority w:val="51"/>
    <w:locked/>
    <w:rsid w:val="00D0339F"/>
    <w:pPr>
      <w:spacing w:after="0" w:line="240" w:lineRule="auto"/>
    </w:pPr>
    <w:rPr>
      <w:color w:val="536E91" w:themeColor="accent4" w:themeShade="BF"/>
    </w:rPr>
    <w:tblPr>
      <w:tblStyleRowBandSize w:val="1"/>
      <w:tblStyleColBandSize w:val="1"/>
      <w:tblBorders>
        <w:top w:val="single" w:sz="4" w:space="0" w:color="7D96B5" w:themeColor="accent4"/>
        <w:bottom w:val="single" w:sz="4" w:space="0" w:color="7D96B5" w:themeColor="accent4"/>
      </w:tblBorders>
    </w:tblPr>
    <w:tblStylePr w:type="firstRow">
      <w:rPr>
        <w:b/>
        <w:bCs/>
      </w:rPr>
      <w:tblPr/>
      <w:tcPr>
        <w:tcBorders>
          <w:bottom w:val="single" w:sz="4" w:space="0" w:color="7D96B5" w:themeColor="accent4"/>
        </w:tcBorders>
      </w:tcPr>
    </w:tblStylePr>
    <w:tblStylePr w:type="lastRow">
      <w:rPr>
        <w:b/>
        <w:bCs/>
      </w:rPr>
      <w:tblPr/>
      <w:tcPr>
        <w:tcBorders>
          <w:top w:val="double" w:sz="4" w:space="0" w:color="7D96B5" w:themeColor="accent4"/>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ListTable6Colorful-Accent5">
    <w:name w:val="List Table 6 Colorful Accent 5"/>
    <w:basedOn w:val="TableNormal"/>
    <w:uiPriority w:val="51"/>
    <w:locked/>
    <w:rsid w:val="00D0339F"/>
    <w:pPr>
      <w:spacing w:after="0" w:line="240" w:lineRule="auto"/>
    </w:pPr>
    <w:rPr>
      <w:color w:val="096358" w:themeColor="accent5" w:themeShade="BF"/>
    </w:rPr>
    <w:tblPr>
      <w:tblStyleRowBandSize w:val="1"/>
      <w:tblStyleColBandSize w:val="1"/>
      <w:tblBorders>
        <w:top w:val="single" w:sz="4" w:space="0" w:color="0D8577" w:themeColor="accent5"/>
        <w:bottom w:val="single" w:sz="4" w:space="0" w:color="0D8577" w:themeColor="accent5"/>
      </w:tblBorders>
    </w:tblPr>
    <w:tblStylePr w:type="firstRow">
      <w:rPr>
        <w:b/>
        <w:bCs/>
      </w:rPr>
      <w:tblPr/>
      <w:tcPr>
        <w:tcBorders>
          <w:bottom w:val="single" w:sz="4" w:space="0" w:color="0D8577" w:themeColor="accent5"/>
        </w:tcBorders>
      </w:tcPr>
    </w:tblStylePr>
    <w:tblStylePr w:type="lastRow">
      <w:rPr>
        <w:b/>
        <w:bCs/>
      </w:rPr>
      <w:tblPr/>
      <w:tcPr>
        <w:tcBorders>
          <w:top w:val="double" w:sz="4" w:space="0" w:color="0D8577" w:themeColor="accent5"/>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ListTable6Colorful-Accent6">
    <w:name w:val="List Table 6 Colorful Accent 6"/>
    <w:basedOn w:val="TableNormal"/>
    <w:uiPriority w:val="51"/>
    <w:locked/>
    <w:rsid w:val="00D0339F"/>
    <w:pPr>
      <w:spacing w:after="0" w:line="240" w:lineRule="auto"/>
    </w:pPr>
    <w:rPr>
      <w:color w:val="34897E" w:themeColor="accent6" w:themeShade="BF"/>
    </w:rPr>
    <w:tblPr>
      <w:tblStyleRowBandSize w:val="1"/>
      <w:tblStyleColBandSize w:val="1"/>
      <w:tblBorders>
        <w:top w:val="single" w:sz="4" w:space="0" w:color="46B8A9" w:themeColor="accent6"/>
        <w:bottom w:val="single" w:sz="4" w:space="0" w:color="46B8A9" w:themeColor="accent6"/>
      </w:tblBorders>
    </w:tblPr>
    <w:tblStylePr w:type="firstRow">
      <w:rPr>
        <w:b/>
        <w:bCs/>
      </w:rPr>
      <w:tblPr/>
      <w:tcPr>
        <w:tcBorders>
          <w:bottom w:val="single" w:sz="4" w:space="0" w:color="46B8A9" w:themeColor="accent6"/>
        </w:tcBorders>
      </w:tcPr>
    </w:tblStylePr>
    <w:tblStylePr w:type="lastRow">
      <w:rPr>
        <w:b/>
        <w:bCs/>
      </w:rPr>
      <w:tblPr/>
      <w:tcPr>
        <w:tcBorders>
          <w:top w:val="double" w:sz="4" w:space="0" w:color="46B8A9" w:themeColor="accent6"/>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ListTable7Colorful">
    <w:name w:val="List Table 7 Colorful"/>
    <w:basedOn w:val="TableNormal"/>
    <w:uiPriority w:val="52"/>
    <w:locked/>
    <w:rsid w:val="00D0339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2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22222" w:themeColor="text1"/>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0339F"/>
    <w:pPr>
      <w:spacing w:after="0" w:line="240" w:lineRule="auto"/>
    </w:pPr>
    <w:rPr>
      <w:color w:val="984C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66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66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66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6600" w:themeColor="accent1"/>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0339F"/>
    <w:pPr>
      <w:spacing w:after="0" w:line="240" w:lineRule="auto"/>
    </w:pPr>
    <w:rPr>
      <w:color w:val="F5A3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2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2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2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2CC" w:themeColor="accent2"/>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0339F"/>
    <w:pPr>
      <w:spacing w:after="0" w:line="240" w:lineRule="auto"/>
    </w:pPr>
    <w:rPr>
      <w:color w:val="092E4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3E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3E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3E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3E67" w:themeColor="accent3"/>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0339F"/>
    <w:pPr>
      <w:spacing w:after="0" w:line="240" w:lineRule="auto"/>
    </w:pPr>
    <w:rPr>
      <w:color w:val="536E9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96B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96B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96B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96B5" w:themeColor="accent4"/>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0339F"/>
    <w:pPr>
      <w:spacing w:after="0" w:line="240" w:lineRule="auto"/>
    </w:pPr>
    <w:rPr>
      <w:color w:val="0963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857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857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857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8577" w:themeColor="accent5"/>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0339F"/>
    <w:pPr>
      <w:spacing w:after="0" w:line="240" w:lineRule="auto"/>
    </w:pPr>
    <w:rPr>
      <w:color w:val="34897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B8A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B8A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B8A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B8A9" w:themeColor="accent6"/>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locked/>
    <w:rsid w:val="00D0339F"/>
    <w:pPr>
      <w:spacing w:after="0" w:line="240" w:lineRule="auto"/>
    </w:pPr>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insideV w:val="single" w:sz="8" w:space="0" w:color="595959" w:themeColor="text1" w:themeTint="BF"/>
      </w:tblBorders>
    </w:tblPr>
    <w:tcPr>
      <w:shd w:val="clear" w:color="auto" w:fill="C8C8C8" w:themeFill="text1" w:themeFillTint="3F"/>
    </w:tcPr>
    <w:tblStylePr w:type="firstRow">
      <w:rPr>
        <w:b/>
        <w:bCs/>
      </w:rPr>
    </w:tblStylePr>
    <w:tblStylePr w:type="lastRow">
      <w:rPr>
        <w:b/>
        <w:bCs/>
      </w:rPr>
      <w:tblPr/>
      <w:tcPr>
        <w:tcBorders>
          <w:top w:val="single" w:sz="18" w:space="0" w:color="595959" w:themeColor="text1" w:themeTint="BF"/>
        </w:tcBorders>
      </w:tcPr>
    </w:tblStylePr>
    <w:tblStylePr w:type="firstCol">
      <w:rPr>
        <w:b/>
        <w:bCs/>
      </w:rPr>
    </w:tblStylePr>
    <w:tblStylePr w:type="lastCol">
      <w:rPr>
        <w:b/>
        <w:bCs/>
      </w:rPr>
    </w:tblStylePr>
    <w:tblStylePr w:type="band1Vert">
      <w:tblPr/>
      <w:tcPr>
        <w:shd w:val="clear" w:color="auto" w:fill="909090" w:themeFill="text1" w:themeFillTint="7F"/>
      </w:tcPr>
    </w:tblStylePr>
    <w:tblStylePr w:type="band1Horz">
      <w:tblPr/>
      <w:tcPr>
        <w:shd w:val="clear" w:color="auto" w:fill="909090" w:themeFill="text1" w:themeFillTint="7F"/>
      </w:tcPr>
    </w:tblStylePr>
  </w:style>
  <w:style w:type="table" w:styleId="MediumGrid1-Accent1">
    <w:name w:val="Medium Grid 1 Accent 1"/>
    <w:basedOn w:val="TableNormal"/>
    <w:uiPriority w:val="67"/>
    <w:semiHidden/>
    <w:unhideWhenUsed/>
    <w:locked/>
    <w:rsid w:val="00D0339F"/>
    <w:pPr>
      <w:spacing w:after="0" w:line="240" w:lineRule="auto"/>
    </w:pPr>
    <w:tblPr>
      <w:tblStyleRowBandSize w:val="1"/>
      <w:tblStyleColBandSize w:val="1"/>
      <w:tbl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single" w:sz="8" w:space="0" w:color="FF8B19" w:themeColor="accent1" w:themeTint="BF"/>
        <w:insideV w:val="single" w:sz="8" w:space="0" w:color="FF8B19" w:themeColor="accent1" w:themeTint="BF"/>
      </w:tblBorders>
    </w:tblPr>
    <w:tcPr>
      <w:shd w:val="clear" w:color="auto" w:fill="FFD9B3" w:themeFill="accent1" w:themeFillTint="3F"/>
    </w:tcPr>
    <w:tblStylePr w:type="firstRow">
      <w:rPr>
        <w:b/>
        <w:bCs/>
      </w:rPr>
    </w:tblStylePr>
    <w:tblStylePr w:type="lastRow">
      <w:rPr>
        <w:b/>
        <w:bCs/>
      </w:rPr>
      <w:tblPr/>
      <w:tcPr>
        <w:tcBorders>
          <w:top w:val="single" w:sz="18" w:space="0" w:color="FF8B19" w:themeColor="accent1" w:themeTint="BF"/>
        </w:tcBorders>
      </w:tcPr>
    </w:tblStylePr>
    <w:tblStylePr w:type="firstCol">
      <w:rPr>
        <w:b/>
        <w:bCs/>
      </w:rPr>
    </w:tblStylePr>
    <w:tblStylePr w:type="lastCol">
      <w:rPr>
        <w:b/>
        <w:bCs/>
      </w:rPr>
    </w:tblStylePr>
    <w:tblStylePr w:type="band1Vert">
      <w:tblPr/>
      <w:tcPr>
        <w:shd w:val="clear" w:color="auto" w:fill="FFB266" w:themeFill="accent1" w:themeFillTint="7F"/>
      </w:tcPr>
    </w:tblStylePr>
    <w:tblStylePr w:type="band1Horz">
      <w:tblPr/>
      <w:tcPr>
        <w:shd w:val="clear" w:color="auto" w:fill="FFB266" w:themeFill="accent1" w:themeFillTint="7F"/>
      </w:tcPr>
    </w:tblStylePr>
  </w:style>
  <w:style w:type="table" w:styleId="MediumGrid1-Accent2">
    <w:name w:val="Medium Grid 1 Accent 2"/>
    <w:basedOn w:val="TableNormal"/>
    <w:uiPriority w:val="67"/>
    <w:semiHidden/>
    <w:unhideWhenUsed/>
    <w:locked/>
    <w:rsid w:val="00D0339F"/>
    <w:pPr>
      <w:spacing w:after="0" w:line="240" w:lineRule="auto"/>
    </w:pPr>
    <w:tblPr>
      <w:tblStyleRowBandSize w:val="1"/>
      <w:tblStyleColBandSize w:val="1"/>
      <w:tbl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single" w:sz="8" w:space="0" w:color="FCE9D8" w:themeColor="accent2" w:themeTint="BF"/>
        <w:insideV w:val="single" w:sz="8" w:space="0" w:color="FCE9D8" w:themeColor="accent2" w:themeTint="BF"/>
      </w:tblBorders>
    </w:tblPr>
    <w:tcPr>
      <w:shd w:val="clear" w:color="auto" w:fill="FEF7F2" w:themeFill="accent2" w:themeFillTint="3F"/>
    </w:tcPr>
    <w:tblStylePr w:type="firstRow">
      <w:rPr>
        <w:b/>
        <w:bCs/>
      </w:rPr>
    </w:tblStylePr>
    <w:tblStylePr w:type="lastRow">
      <w:rPr>
        <w:b/>
        <w:bCs/>
      </w:rPr>
      <w:tblPr/>
      <w:tcPr>
        <w:tcBorders>
          <w:top w:val="single" w:sz="18" w:space="0" w:color="FCE9D8" w:themeColor="accent2" w:themeTint="BF"/>
        </w:tcBorders>
      </w:tcPr>
    </w:tblStylePr>
    <w:tblStylePr w:type="firstCol">
      <w:rPr>
        <w:b/>
        <w:bCs/>
      </w:rPr>
    </w:tblStylePr>
    <w:tblStylePr w:type="lastCol">
      <w:rPr>
        <w:b/>
        <w:bCs/>
      </w:rPr>
    </w:tblStylePr>
    <w:tblStylePr w:type="band1Vert">
      <w:tblPr/>
      <w:tcPr>
        <w:shd w:val="clear" w:color="auto" w:fill="FDF0E5" w:themeFill="accent2" w:themeFillTint="7F"/>
      </w:tcPr>
    </w:tblStylePr>
    <w:tblStylePr w:type="band1Horz">
      <w:tblPr/>
      <w:tcPr>
        <w:shd w:val="clear" w:color="auto" w:fill="FDF0E5" w:themeFill="accent2" w:themeFillTint="7F"/>
      </w:tcPr>
    </w:tblStylePr>
  </w:style>
  <w:style w:type="table" w:styleId="MediumGrid1-Accent3">
    <w:name w:val="Medium Grid 1 Accent 3"/>
    <w:basedOn w:val="TableNormal"/>
    <w:uiPriority w:val="67"/>
    <w:semiHidden/>
    <w:unhideWhenUsed/>
    <w:locked/>
    <w:rsid w:val="00D0339F"/>
    <w:pPr>
      <w:spacing w:after="0" w:line="240" w:lineRule="auto"/>
    </w:pPr>
    <w:tblPr>
      <w:tblStyleRowBandSize w:val="1"/>
      <w:tblStyleColBandSize w:val="1"/>
      <w:tbl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single" w:sz="8" w:space="0" w:color="1872BE" w:themeColor="accent3" w:themeTint="BF"/>
        <w:insideV w:val="single" w:sz="8" w:space="0" w:color="1872BE" w:themeColor="accent3" w:themeTint="BF"/>
      </w:tblBorders>
    </w:tblPr>
    <w:tcPr>
      <w:shd w:val="clear" w:color="auto" w:fill="A8D1F4" w:themeFill="accent3" w:themeFillTint="3F"/>
    </w:tcPr>
    <w:tblStylePr w:type="firstRow">
      <w:rPr>
        <w:b/>
        <w:bCs/>
      </w:rPr>
    </w:tblStylePr>
    <w:tblStylePr w:type="lastRow">
      <w:rPr>
        <w:b/>
        <w:bCs/>
      </w:rPr>
      <w:tblPr/>
      <w:tcPr>
        <w:tcBorders>
          <w:top w:val="single" w:sz="18" w:space="0" w:color="1872BE" w:themeColor="accent3" w:themeTint="BF"/>
        </w:tcBorders>
      </w:tcPr>
    </w:tblStylePr>
    <w:tblStylePr w:type="firstCol">
      <w:rPr>
        <w:b/>
        <w:bCs/>
      </w:rPr>
    </w:tblStylePr>
    <w:tblStylePr w:type="lastCol">
      <w:rPr>
        <w:b/>
        <w:bCs/>
      </w:rPr>
    </w:tblStylePr>
    <w:tblStylePr w:type="band1Vert">
      <w:tblPr/>
      <w:tcPr>
        <w:shd w:val="clear" w:color="auto" w:fill="50A3E9" w:themeFill="accent3" w:themeFillTint="7F"/>
      </w:tcPr>
    </w:tblStylePr>
    <w:tblStylePr w:type="band1Horz">
      <w:tblPr/>
      <w:tcPr>
        <w:shd w:val="clear" w:color="auto" w:fill="50A3E9" w:themeFill="accent3" w:themeFillTint="7F"/>
      </w:tcPr>
    </w:tblStylePr>
  </w:style>
  <w:style w:type="table" w:styleId="MediumGrid1-Accent4">
    <w:name w:val="Medium Grid 1 Accent 4"/>
    <w:basedOn w:val="TableNormal"/>
    <w:uiPriority w:val="67"/>
    <w:semiHidden/>
    <w:unhideWhenUsed/>
    <w:locked/>
    <w:rsid w:val="00D0339F"/>
    <w:pPr>
      <w:spacing w:after="0" w:line="240" w:lineRule="auto"/>
    </w:pPr>
    <w:tblPr>
      <w:tblStyleRowBandSize w:val="1"/>
      <w:tblStyleColBandSize w:val="1"/>
      <w:tbl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single" w:sz="8" w:space="0" w:color="9DB0C7" w:themeColor="accent4" w:themeTint="BF"/>
        <w:insideV w:val="single" w:sz="8" w:space="0" w:color="9DB0C7" w:themeColor="accent4" w:themeTint="BF"/>
      </w:tblBorders>
    </w:tblPr>
    <w:tcPr>
      <w:shd w:val="clear" w:color="auto" w:fill="DEE4EC" w:themeFill="accent4" w:themeFillTint="3F"/>
    </w:tcPr>
    <w:tblStylePr w:type="firstRow">
      <w:rPr>
        <w:b/>
        <w:bCs/>
      </w:rPr>
    </w:tblStylePr>
    <w:tblStylePr w:type="lastRow">
      <w:rPr>
        <w:b/>
        <w:bCs/>
      </w:rPr>
      <w:tblPr/>
      <w:tcPr>
        <w:tcBorders>
          <w:top w:val="single" w:sz="18" w:space="0" w:color="9DB0C7" w:themeColor="accent4" w:themeTint="BF"/>
        </w:tcBorders>
      </w:tcPr>
    </w:tblStylePr>
    <w:tblStylePr w:type="firstCol">
      <w:rPr>
        <w:b/>
        <w:bCs/>
      </w:rPr>
    </w:tblStylePr>
    <w:tblStylePr w:type="lastCol">
      <w:rPr>
        <w:b/>
        <w:bCs/>
      </w:rPr>
    </w:tblStylePr>
    <w:tblStylePr w:type="band1Vert">
      <w:tblPr/>
      <w:tcPr>
        <w:shd w:val="clear" w:color="auto" w:fill="BECADA" w:themeFill="accent4" w:themeFillTint="7F"/>
      </w:tcPr>
    </w:tblStylePr>
    <w:tblStylePr w:type="band1Horz">
      <w:tblPr/>
      <w:tcPr>
        <w:shd w:val="clear" w:color="auto" w:fill="BECADA" w:themeFill="accent4" w:themeFillTint="7F"/>
      </w:tcPr>
    </w:tblStylePr>
  </w:style>
  <w:style w:type="table" w:styleId="MediumGrid1-Accent5">
    <w:name w:val="Medium Grid 1 Accent 5"/>
    <w:basedOn w:val="TableNormal"/>
    <w:uiPriority w:val="67"/>
    <w:semiHidden/>
    <w:unhideWhenUsed/>
    <w:locked/>
    <w:rsid w:val="00D0339F"/>
    <w:pPr>
      <w:spacing w:after="0" w:line="240" w:lineRule="auto"/>
    </w:pPr>
    <w:tblPr>
      <w:tblStyleRowBandSize w:val="1"/>
      <w:tblStyleColBandSize w:val="1"/>
      <w:tbl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single" w:sz="8" w:space="0" w:color="15D8C1" w:themeColor="accent5" w:themeTint="BF"/>
        <w:insideV w:val="single" w:sz="8" w:space="0" w:color="15D8C1" w:themeColor="accent5" w:themeTint="BF"/>
      </w:tblBorders>
    </w:tblPr>
    <w:tcPr>
      <w:shd w:val="clear" w:color="auto" w:fill="ADF7EE" w:themeFill="accent5" w:themeFillTint="3F"/>
    </w:tcPr>
    <w:tblStylePr w:type="firstRow">
      <w:rPr>
        <w:b/>
        <w:bCs/>
      </w:rPr>
    </w:tblStylePr>
    <w:tblStylePr w:type="lastRow">
      <w:rPr>
        <w:b/>
        <w:bCs/>
      </w:rPr>
      <w:tblPr/>
      <w:tcPr>
        <w:tcBorders>
          <w:top w:val="single" w:sz="18" w:space="0" w:color="15D8C1" w:themeColor="accent5" w:themeTint="BF"/>
        </w:tcBorders>
      </w:tcPr>
    </w:tblStylePr>
    <w:tblStylePr w:type="firstCol">
      <w:rPr>
        <w:b/>
        <w:bCs/>
      </w:rPr>
    </w:tblStylePr>
    <w:tblStylePr w:type="lastCol">
      <w:rPr>
        <w:b/>
        <w:bCs/>
      </w:rPr>
    </w:tblStylePr>
    <w:tblStylePr w:type="band1Vert">
      <w:tblPr/>
      <w:tcPr>
        <w:shd w:val="clear" w:color="auto" w:fill="59EEDD" w:themeFill="accent5" w:themeFillTint="7F"/>
      </w:tcPr>
    </w:tblStylePr>
    <w:tblStylePr w:type="band1Horz">
      <w:tblPr/>
      <w:tcPr>
        <w:shd w:val="clear" w:color="auto" w:fill="59EEDD" w:themeFill="accent5" w:themeFillTint="7F"/>
      </w:tcPr>
    </w:tblStylePr>
  </w:style>
  <w:style w:type="table" w:styleId="MediumGrid1-Accent6">
    <w:name w:val="Medium Grid 1 Accent 6"/>
    <w:basedOn w:val="TableNormal"/>
    <w:uiPriority w:val="67"/>
    <w:semiHidden/>
    <w:unhideWhenUsed/>
    <w:locked/>
    <w:rsid w:val="00D0339F"/>
    <w:pPr>
      <w:spacing w:after="0" w:line="240" w:lineRule="auto"/>
    </w:pPr>
    <w:tblPr>
      <w:tblStyleRowBandSize w:val="1"/>
      <w:tblStyleColBandSize w:val="1"/>
      <w:tbl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single" w:sz="8" w:space="0" w:color="73CABE" w:themeColor="accent6" w:themeTint="BF"/>
        <w:insideV w:val="single" w:sz="8" w:space="0" w:color="73CABE" w:themeColor="accent6" w:themeTint="BF"/>
      </w:tblBorders>
    </w:tblPr>
    <w:tcPr>
      <w:shd w:val="clear" w:color="auto" w:fill="D1EDE9" w:themeFill="accent6" w:themeFillTint="3F"/>
    </w:tcPr>
    <w:tblStylePr w:type="firstRow">
      <w:rPr>
        <w:b/>
        <w:bCs/>
      </w:rPr>
    </w:tblStylePr>
    <w:tblStylePr w:type="lastRow">
      <w:rPr>
        <w:b/>
        <w:bCs/>
      </w:rPr>
      <w:tblPr/>
      <w:tcPr>
        <w:tcBorders>
          <w:top w:val="single" w:sz="18" w:space="0" w:color="73CABE" w:themeColor="accent6" w:themeTint="BF"/>
        </w:tcBorders>
      </w:tcPr>
    </w:tblStylePr>
    <w:tblStylePr w:type="firstCol">
      <w:rPr>
        <w:b/>
        <w:bCs/>
      </w:rPr>
    </w:tblStylePr>
    <w:tblStylePr w:type="lastCol">
      <w:rPr>
        <w:b/>
        <w:bCs/>
      </w:rPr>
    </w:tblStylePr>
    <w:tblStylePr w:type="band1Vert">
      <w:tblPr/>
      <w:tcPr>
        <w:shd w:val="clear" w:color="auto" w:fill="A2DBD4" w:themeFill="accent6" w:themeFillTint="7F"/>
      </w:tcPr>
    </w:tblStylePr>
    <w:tblStylePr w:type="band1Horz">
      <w:tblPr/>
      <w:tcPr>
        <w:shd w:val="clear" w:color="auto" w:fill="A2DBD4" w:themeFill="accent6" w:themeFillTint="7F"/>
      </w:tcPr>
    </w:tblStylePr>
  </w:style>
  <w:style w:type="table" w:styleId="MediumGrid2">
    <w:name w:val="Medium Grid 2"/>
    <w:basedOn w:val="TableNormal"/>
    <w:uiPriority w:val="68"/>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insideH w:val="single" w:sz="8" w:space="0" w:color="222222" w:themeColor="text1"/>
        <w:insideV w:val="single" w:sz="8" w:space="0" w:color="222222" w:themeColor="text1"/>
      </w:tblBorders>
    </w:tblPr>
    <w:tcPr>
      <w:shd w:val="clear" w:color="auto" w:fill="C8C8C8" w:themeFill="text1" w:themeFillTint="3F"/>
    </w:tcPr>
    <w:tblStylePr w:type="firstRow">
      <w:rPr>
        <w:b/>
        <w:bCs/>
        <w:color w:val="222222" w:themeColor="text1"/>
      </w:rPr>
      <w:tblPr/>
      <w:tcPr>
        <w:shd w:val="clear" w:color="auto" w:fill="E9E9E9" w:themeFill="tex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D2D2D2" w:themeFill="text1" w:themeFillTint="33"/>
      </w:tcPr>
    </w:tblStylePr>
    <w:tblStylePr w:type="band1Vert">
      <w:tblPr/>
      <w:tcPr>
        <w:shd w:val="clear" w:color="auto" w:fill="909090" w:themeFill="text1" w:themeFillTint="7F"/>
      </w:tcPr>
    </w:tblStylePr>
    <w:tblStylePr w:type="band1Horz">
      <w:tblPr/>
      <w:tcPr>
        <w:tcBorders>
          <w:insideH w:val="single" w:sz="6" w:space="0" w:color="222222" w:themeColor="text1"/>
          <w:insideV w:val="single" w:sz="6" w:space="0" w:color="222222" w:themeColor="text1"/>
        </w:tcBorders>
        <w:shd w:val="clear" w:color="auto" w:fill="90909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insideH w:val="single" w:sz="8" w:space="0" w:color="CC6600" w:themeColor="accent1"/>
        <w:insideV w:val="single" w:sz="8" w:space="0" w:color="CC6600" w:themeColor="accent1"/>
      </w:tblBorders>
    </w:tblPr>
    <w:tcPr>
      <w:shd w:val="clear" w:color="auto" w:fill="FFD9B3" w:themeFill="accent1" w:themeFillTint="3F"/>
    </w:tcPr>
    <w:tblStylePr w:type="firstRow">
      <w:rPr>
        <w:b/>
        <w:bCs/>
        <w:color w:val="222222" w:themeColor="text1"/>
      </w:rPr>
      <w:tblPr/>
      <w:tcPr>
        <w:shd w:val="clear" w:color="auto" w:fill="FFEFE1" w:themeFill="accen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FFE0C1" w:themeFill="accent1" w:themeFillTint="33"/>
      </w:tcPr>
    </w:tblStylePr>
    <w:tblStylePr w:type="band1Vert">
      <w:tblPr/>
      <w:tcPr>
        <w:shd w:val="clear" w:color="auto" w:fill="FFB266" w:themeFill="accent1" w:themeFillTint="7F"/>
      </w:tcPr>
    </w:tblStylePr>
    <w:tblStylePr w:type="band1Horz">
      <w:tblPr/>
      <w:tcPr>
        <w:tcBorders>
          <w:insideH w:val="single" w:sz="6" w:space="0" w:color="CC6600" w:themeColor="accent1"/>
          <w:insideV w:val="single" w:sz="6" w:space="0" w:color="CC6600" w:themeColor="accent1"/>
        </w:tcBorders>
        <w:shd w:val="clear" w:color="auto" w:fill="FFB26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insideH w:val="single" w:sz="8" w:space="0" w:color="FCE2CC" w:themeColor="accent2"/>
        <w:insideV w:val="single" w:sz="8" w:space="0" w:color="FCE2CC" w:themeColor="accent2"/>
      </w:tblBorders>
    </w:tblPr>
    <w:tcPr>
      <w:shd w:val="clear" w:color="auto" w:fill="FEF7F2" w:themeFill="accent2" w:themeFillTint="3F"/>
    </w:tcPr>
    <w:tblStylePr w:type="firstRow">
      <w:rPr>
        <w:b/>
        <w:bCs/>
        <w:color w:val="222222" w:themeColor="text1"/>
      </w:rPr>
      <w:tblPr/>
      <w:tcPr>
        <w:shd w:val="clear" w:color="auto" w:fill="FEFCF9" w:themeFill="accent2"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FEF9F4" w:themeFill="accent2" w:themeFillTint="33"/>
      </w:tcPr>
    </w:tblStylePr>
    <w:tblStylePr w:type="band1Vert">
      <w:tblPr/>
      <w:tcPr>
        <w:shd w:val="clear" w:color="auto" w:fill="FDF0E5" w:themeFill="accent2" w:themeFillTint="7F"/>
      </w:tcPr>
    </w:tblStylePr>
    <w:tblStylePr w:type="band1Horz">
      <w:tblPr/>
      <w:tcPr>
        <w:tcBorders>
          <w:insideH w:val="single" w:sz="6" w:space="0" w:color="FCE2CC" w:themeColor="accent2"/>
          <w:insideV w:val="single" w:sz="6" w:space="0" w:color="FCE2CC" w:themeColor="accent2"/>
        </w:tcBorders>
        <w:shd w:val="clear" w:color="auto" w:fill="FDF0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insideH w:val="single" w:sz="8" w:space="0" w:color="0D3E67" w:themeColor="accent3"/>
        <w:insideV w:val="single" w:sz="8" w:space="0" w:color="0D3E67" w:themeColor="accent3"/>
      </w:tblBorders>
    </w:tblPr>
    <w:tcPr>
      <w:shd w:val="clear" w:color="auto" w:fill="A8D1F4" w:themeFill="accent3" w:themeFillTint="3F"/>
    </w:tcPr>
    <w:tblStylePr w:type="firstRow">
      <w:rPr>
        <w:b/>
        <w:bCs/>
        <w:color w:val="222222" w:themeColor="text1"/>
      </w:rPr>
      <w:tblPr/>
      <w:tcPr>
        <w:shd w:val="clear" w:color="auto" w:fill="DCECFA" w:themeFill="accent3"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B8DAF6" w:themeFill="accent3" w:themeFillTint="33"/>
      </w:tcPr>
    </w:tblStylePr>
    <w:tblStylePr w:type="band1Vert">
      <w:tblPr/>
      <w:tcPr>
        <w:shd w:val="clear" w:color="auto" w:fill="50A3E9" w:themeFill="accent3" w:themeFillTint="7F"/>
      </w:tcPr>
    </w:tblStylePr>
    <w:tblStylePr w:type="band1Horz">
      <w:tblPr/>
      <w:tcPr>
        <w:tcBorders>
          <w:insideH w:val="single" w:sz="6" w:space="0" w:color="0D3E67" w:themeColor="accent3"/>
          <w:insideV w:val="single" w:sz="6" w:space="0" w:color="0D3E67" w:themeColor="accent3"/>
        </w:tcBorders>
        <w:shd w:val="clear" w:color="auto" w:fill="50A3E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insideH w:val="single" w:sz="8" w:space="0" w:color="7D96B5" w:themeColor="accent4"/>
        <w:insideV w:val="single" w:sz="8" w:space="0" w:color="7D96B5" w:themeColor="accent4"/>
      </w:tblBorders>
    </w:tblPr>
    <w:tcPr>
      <w:shd w:val="clear" w:color="auto" w:fill="DEE4EC" w:themeFill="accent4" w:themeFillTint="3F"/>
    </w:tcPr>
    <w:tblStylePr w:type="firstRow">
      <w:rPr>
        <w:b/>
        <w:bCs/>
        <w:color w:val="222222" w:themeColor="text1"/>
      </w:rPr>
      <w:tblPr/>
      <w:tcPr>
        <w:shd w:val="clear" w:color="auto" w:fill="F2F4F7" w:themeFill="accent4"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E4E9F0" w:themeFill="accent4" w:themeFillTint="33"/>
      </w:tcPr>
    </w:tblStylePr>
    <w:tblStylePr w:type="band1Vert">
      <w:tblPr/>
      <w:tcPr>
        <w:shd w:val="clear" w:color="auto" w:fill="BECADA" w:themeFill="accent4" w:themeFillTint="7F"/>
      </w:tcPr>
    </w:tblStylePr>
    <w:tblStylePr w:type="band1Horz">
      <w:tblPr/>
      <w:tcPr>
        <w:tcBorders>
          <w:insideH w:val="single" w:sz="6" w:space="0" w:color="7D96B5" w:themeColor="accent4"/>
          <w:insideV w:val="single" w:sz="6" w:space="0" w:color="7D96B5" w:themeColor="accent4"/>
        </w:tcBorders>
        <w:shd w:val="clear" w:color="auto" w:fill="BECAD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insideH w:val="single" w:sz="8" w:space="0" w:color="0D8577" w:themeColor="accent5"/>
        <w:insideV w:val="single" w:sz="8" w:space="0" w:color="0D8577" w:themeColor="accent5"/>
      </w:tblBorders>
    </w:tblPr>
    <w:tcPr>
      <w:shd w:val="clear" w:color="auto" w:fill="ADF7EE" w:themeFill="accent5" w:themeFillTint="3F"/>
    </w:tcPr>
    <w:tblStylePr w:type="firstRow">
      <w:rPr>
        <w:b/>
        <w:bCs/>
        <w:color w:val="222222" w:themeColor="text1"/>
      </w:rPr>
      <w:tblPr/>
      <w:tcPr>
        <w:shd w:val="clear" w:color="auto" w:fill="DEFBF8" w:themeFill="accent5"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BCF8F1" w:themeFill="accent5" w:themeFillTint="33"/>
      </w:tcPr>
    </w:tblStylePr>
    <w:tblStylePr w:type="band1Vert">
      <w:tblPr/>
      <w:tcPr>
        <w:shd w:val="clear" w:color="auto" w:fill="59EEDD" w:themeFill="accent5" w:themeFillTint="7F"/>
      </w:tcPr>
    </w:tblStylePr>
    <w:tblStylePr w:type="band1Horz">
      <w:tblPr/>
      <w:tcPr>
        <w:tcBorders>
          <w:insideH w:val="single" w:sz="6" w:space="0" w:color="0D8577" w:themeColor="accent5"/>
          <w:insideV w:val="single" w:sz="6" w:space="0" w:color="0D8577" w:themeColor="accent5"/>
        </w:tcBorders>
        <w:shd w:val="clear" w:color="auto" w:fill="59EE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insideH w:val="single" w:sz="8" w:space="0" w:color="46B8A9" w:themeColor="accent6"/>
        <w:insideV w:val="single" w:sz="8" w:space="0" w:color="46B8A9" w:themeColor="accent6"/>
      </w:tblBorders>
    </w:tblPr>
    <w:tcPr>
      <w:shd w:val="clear" w:color="auto" w:fill="D1EDE9" w:themeFill="accent6" w:themeFillTint="3F"/>
    </w:tcPr>
    <w:tblStylePr w:type="firstRow">
      <w:rPr>
        <w:b/>
        <w:bCs/>
        <w:color w:val="222222" w:themeColor="text1"/>
      </w:rPr>
      <w:tblPr/>
      <w:tcPr>
        <w:shd w:val="clear" w:color="auto" w:fill="ECF8F6" w:themeFill="accent6"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D9F1ED" w:themeFill="accent6" w:themeFillTint="33"/>
      </w:tcPr>
    </w:tblStylePr>
    <w:tblStylePr w:type="band1Vert">
      <w:tblPr/>
      <w:tcPr>
        <w:shd w:val="clear" w:color="auto" w:fill="A2DBD4" w:themeFill="accent6" w:themeFillTint="7F"/>
      </w:tcPr>
    </w:tblStylePr>
    <w:tblStylePr w:type="band1Horz">
      <w:tblPr/>
      <w:tcPr>
        <w:tcBorders>
          <w:insideH w:val="single" w:sz="6" w:space="0" w:color="46B8A9" w:themeColor="accent6"/>
          <w:insideV w:val="single" w:sz="6" w:space="0" w:color="46B8A9" w:themeColor="accent6"/>
        </w:tcBorders>
        <w:shd w:val="clear" w:color="auto" w:fill="A2DBD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D033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C8"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909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9090" w:themeFill="text1" w:themeFillTint="7F"/>
      </w:tcPr>
    </w:tblStylePr>
  </w:style>
  <w:style w:type="table" w:styleId="MediumGrid3-Accent1">
    <w:name w:val="Medium Grid 3 Accent 1"/>
    <w:basedOn w:val="TableNormal"/>
    <w:uiPriority w:val="69"/>
    <w:semiHidden/>
    <w:unhideWhenUsed/>
    <w:locked/>
    <w:rsid w:val="00D033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6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6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6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6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66" w:themeFill="accent1" w:themeFillTint="7F"/>
      </w:tcPr>
    </w:tblStylePr>
  </w:style>
  <w:style w:type="table" w:styleId="MediumGrid3-Accent2">
    <w:name w:val="Medium Grid 3 Accent 2"/>
    <w:basedOn w:val="TableNormal"/>
    <w:uiPriority w:val="69"/>
    <w:semiHidden/>
    <w:unhideWhenUsed/>
    <w:locked/>
    <w:rsid w:val="00D033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2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2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2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2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F0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F0E5" w:themeFill="accent2" w:themeFillTint="7F"/>
      </w:tcPr>
    </w:tblStylePr>
  </w:style>
  <w:style w:type="table" w:styleId="MediumGrid3-Accent3">
    <w:name w:val="Medium Grid 3 Accent 3"/>
    <w:basedOn w:val="TableNormal"/>
    <w:uiPriority w:val="69"/>
    <w:semiHidden/>
    <w:unhideWhenUsed/>
    <w:locked/>
    <w:rsid w:val="00D033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1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3E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3E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3E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3E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A3E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A3E9" w:themeFill="accent3" w:themeFillTint="7F"/>
      </w:tcPr>
    </w:tblStylePr>
  </w:style>
  <w:style w:type="table" w:styleId="MediumGrid3-Accent4">
    <w:name w:val="Medium Grid 3 Accent 4"/>
    <w:basedOn w:val="TableNormal"/>
    <w:uiPriority w:val="69"/>
    <w:semiHidden/>
    <w:unhideWhenUsed/>
    <w:locked/>
    <w:rsid w:val="00D033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4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96B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96B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96B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96B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AD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ADA" w:themeFill="accent4" w:themeFillTint="7F"/>
      </w:tcPr>
    </w:tblStylePr>
  </w:style>
  <w:style w:type="table" w:styleId="MediumGrid3-Accent5">
    <w:name w:val="Medium Grid 3 Accent 5"/>
    <w:basedOn w:val="TableNormal"/>
    <w:uiPriority w:val="69"/>
    <w:semiHidden/>
    <w:unhideWhenUsed/>
    <w:locked/>
    <w:rsid w:val="00D033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7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857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857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857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857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EE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EEDD" w:themeFill="accent5" w:themeFillTint="7F"/>
      </w:tcPr>
    </w:tblStylePr>
  </w:style>
  <w:style w:type="table" w:styleId="MediumGrid3-Accent6">
    <w:name w:val="Medium Grid 3 Accent 6"/>
    <w:basedOn w:val="TableNormal"/>
    <w:uiPriority w:val="69"/>
    <w:semiHidden/>
    <w:unhideWhenUsed/>
    <w:locked/>
    <w:rsid w:val="00D033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D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8A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8A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8A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8A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BD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BD4" w:themeFill="accent6" w:themeFillTint="7F"/>
      </w:tcPr>
    </w:tblStylePr>
  </w:style>
  <w:style w:type="table" w:styleId="MediumList1">
    <w:name w:val="Medium List 1"/>
    <w:basedOn w:val="TableNormal"/>
    <w:uiPriority w:val="65"/>
    <w:semiHidden/>
    <w:unhideWhenUsed/>
    <w:locked/>
    <w:rsid w:val="00D0339F"/>
    <w:pPr>
      <w:spacing w:after="0" w:line="240" w:lineRule="auto"/>
    </w:pPr>
    <w:tblPr>
      <w:tblStyleRowBandSize w:val="1"/>
      <w:tblStyleColBandSize w:val="1"/>
      <w:tblBorders>
        <w:top w:val="single" w:sz="8" w:space="0" w:color="222222" w:themeColor="text1"/>
        <w:bottom w:val="single" w:sz="8" w:space="0" w:color="222222" w:themeColor="text1"/>
      </w:tblBorders>
    </w:tblPr>
    <w:tblStylePr w:type="firstRow">
      <w:rPr>
        <w:rFonts w:asciiTheme="majorHAnsi" w:eastAsiaTheme="majorEastAsia" w:hAnsiTheme="majorHAnsi" w:cstheme="majorBidi"/>
      </w:rPr>
      <w:tblPr/>
      <w:tcPr>
        <w:tcBorders>
          <w:top w:val="nil"/>
          <w:bottom w:val="single" w:sz="8" w:space="0" w:color="222222" w:themeColor="text1"/>
        </w:tcBorders>
      </w:tcPr>
    </w:tblStylePr>
    <w:tblStylePr w:type="lastRow">
      <w:rPr>
        <w:b/>
        <w:bCs/>
        <w:color w:val="CBC3BB" w:themeColor="text2"/>
      </w:rPr>
      <w:tblPr/>
      <w:tcPr>
        <w:tcBorders>
          <w:top w:val="single" w:sz="8" w:space="0" w:color="222222" w:themeColor="text1"/>
          <w:bottom w:val="single" w:sz="8" w:space="0" w:color="222222" w:themeColor="text1"/>
        </w:tcBorders>
      </w:tcPr>
    </w:tblStylePr>
    <w:tblStylePr w:type="firstCol">
      <w:rPr>
        <w:b/>
        <w:bCs/>
      </w:rPr>
    </w:tblStylePr>
    <w:tblStylePr w:type="lastCol">
      <w:rPr>
        <w:b/>
        <w:bCs/>
      </w:rPr>
      <w:tblPr/>
      <w:tcPr>
        <w:tcBorders>
          <w:top w:val="single" w:sz="8" w:space="0" w:color="222222" w:themeColor="text1"/>
          <w:bottom w:val="single" w:sz="8" w:space="0" w:color="222222" w:themeColor="text1"/>
        </w:tcBorders>
      </w:tcPr>
    </w:tblStylePr>
    <w:tblStylePr w:type="band1Vert">
      <w:tblPr/>
      <w:tcPr>
        <w:shd w:val="clear" w:color="auto" w:fill="C8C8C8" w:themeFill="text1" w:themeFillTint="3F"/>
      </w:tcPr>
    </w:tblStylePr>
    <w:tblStylePr w:type="band1Horz">
      <w:tblPr/>
      <w:tcPr>
        <w:shd w:val="clear" w:color="auto" w:fill="C8C8C8" w:themeFill="text1" w:themeFillTint="3F"/>
      </w:tcPr>
    </w:tblStylePr>
  </w:style>
  <w:style w:type="table" w:styleId="MediumList1-Accent1">
    <w:name w:val="Medium List 1 Accent 1"/>
    <w:basedOn w:val="TableNormal"/>
    <w:uiPriority w:val="65"/>
    <w:semiHidden/>
    <w:unhideWhenUsed/>
    <w:locked/>
    <w:rsid w:val="00D0339F"/>
    <w:pPr>
      <w:spacing w:after="0" w:line="240" w:lineRule="auto"/>
    </w:pPr>
    <w:tblPr>
      <w:tblStyleRowBandSize w:val="1"/>
      <w:tblStyleColBandSize w:val="1"/>
      <w:tblBorders>
        <w:top w:val="single" w:sz="8" w:space="0" w:color="CC6600" w:themeColor="accent1"/>
        <w:bottom w:val="single" w:sz="8" w:space="0" w:color="CC6600" w:themeColor="accent1"/>
      </w:tblBorders>
    </w:tblPr>
    <w:tblStylePr w:type="firstRow">
      <w:rPr>
        <w:rFonts w:asciiTheme="majorHAnsi" w:eastAsiaTheme="majorEastAsia" w:hAnsiTheme="majorHAnsi" w:cstheme="majorBidi"/>
      </w:rPr>
      <w:tblPr/>
      <w:tcPr>
        <w:tcBorders>
          <w:top w:val="nil"/>
          <w:bottom w:val="single" w:sz="8" w:space="0" w:color="CC6600" w:themeColor="accent1"/>
        </w:tcBorders>
      </w:tcPr>
    </w:tblStylePr>
    <w:tblStylePr w:type="lastRow">
      <w:rPr>
        <w:b/>
        <w:bCs/>
        <w:color w:val="CBC3BB" w:themeColor="text2"/>
      </w:rPr>
      <w:tblPr/>
      <w:tcPr>
        <w:tcBorders>
          <w:top w:val="single" w:sz="8" w:space="0" w:color="CC6600" w:themeColor="accent1"/>
          <w:bottom w:val="single" w:sz="8" w:space="0" w:color="CC6600" w:themeColor="accent1"/>
        </w:tcBorders>
      </w:tcPr>
    </w:tblStylePr>
    <w:tblStylePr w:type="firstCol">
      <w:rPr>
        <w:b/>
        <w:bCs/>
      </w:rPr>
    </w:tblStylePr>
    <w:tblStylePr w:type="lastCol">
      <w:rPr>
        <w:b/>
        <w:bCs/>
      </w:rPr>
      <w:tblPr/>
      <w:tcPr>
        <w:tcBorders>
          <w:top w:val="single" w:sz="8" w:space="0" w:color="CC6600" w:themeColor="accent1"/>
          <w:bottom w:val="single" w:sz="8" w:space="0" w:color="CC6600" w:themeColor="accent1"/>
        </w:tcBorders>
      </w:tcPr>
    </w:tblStylePr>
    <w:tblStylePr w:type="band1Vert">
      <w:tblPr/>
      <w:tcPr>
        <w:shd w:val="clear" w:color="auto" w:fill="FFD9B3" w:themeFill="accent1" w:themeFillTint="3F"/>
      </w:tcPr>
    </w:tblStylePr>
    <w:tblStylePr w:type="band1Horz">
      <w:tblPr/>
      <w:tcPr>
        <w:shd w:val="clear" w:color="auto" w:fill="FFD9B3" w:themeFill="accent1" w:themeFillTint="3F"/>
      </w:tcPr>
    </w:tblStylePr>
  </w:style>
  <w:style w:type="table" w:styleId="MediumList1-Accent2">
    <w:name w:val="Medium List 1 Accent 2"/>
    <w:basedOn w:val="TableNormal"/>
    <w:uiPriority w:val="65"/>
    <w:semiHidden/>
    <w:unhideWhenUsed/>
    <w:locked/>
    <w:rsid w:val="00D0339F"/>
    <w:pPr>
      <w:spacing w:after="0" w:line="240" w:lineRule="auto"/>
    </w:pPr>
    <w:tblPr>
      <w:tblStyleRowBandSize w:val="1"/>
      <w:tblStyleColBandSize w:val="1"/>
      <w:tblBorders>
        <w:top w:val="single" w:sz="8" w:space="0" w:color="FCE2CC" w:themeColor="accent2"/>
        <w:bottom w:val="single" w:sz="8" w:space="0" w:color="FCE2CC" w:themeColor="accent2"/>
      </w:tblBorders>
    </w:tblPr>
    <w:tblStylePr w:type="firstRow">
      <w:rPr>
        <w:rFonts w:asciiTheme="majorHAnsi" w:eastAsiaTheme="majorEastAsia" w:hAnsiTheme="majorHAnsi" w:cstheme="majorBidi"/>
      </w:rPr>
      <w:tblPr/>
      <w:tcPr>
        <w:tcBorders>
          <w:top w:val="nil"/>
          <w:bottom w:val="single" w:sz="8" w:space="0" w:color="FCE2CC" w:themeColor="accent2"/>
        </w:tcBorders>
      </w:tcPr>
    </w:tblStylePr>
    <w:tblStylePr w:type="lastRow">
      <w:rPr>
        <w:b/>
        <w:bCs/>
        <w:color w:val="CBC3BB" w:themeColor="text2"/>
      </w:rPr>
      <w:tblPr/>
      <w:tcPr>
        <w:tcBorders>
          <w:top w:val="single" w:sz="8" w:space="0" w:color="FCE2CC" w:themeColor="accent2"/>
          <w:bottom w:val="single" w:sz="8" w:space="0" w:color="FCE2CC" w:themeColor="accent2"/>
        </w:tcBorders>
      </w:tcPr>
    </w:tblStylePr>
    <w:tblStylePr w:type="firstCol">
      <w:rPr>
        <w:b/>
        <w:bCs/>
      </w:rPr>
    </w:tblStylePr>
    <w:tblStylePr w:type="lastCol">
      <w:rPr>
        <w:b/>
        <w:bCs/>
      </w:rPr>
      <w:tblPr/>
      <w:tcPr>
        <w:tcBorders>
          <w:top w:val="single" w:sz="8" w:space="0" w:color="FCE2CC" w:themeColor="accent2"/>
          <w:bottom w:val="single" w:sz="8" w:space="0" w:color="FCE2CC" w:themeColor="accent2"/>
        </w:tcBorders>
      </w:tcPr>
    </w:tblStylePr>
    <w:tblStylePr w:type="band1Vert">
      <w:tblPr/>
      <w:tcPr>
        <w:shd w:val="clear" w:color="auto" w:fill="FEF7F2" w:themeFill="accent2" w:themeFillTint="3F"/>
      </w:tcPr>
    </w:tblStylePr>
    <w:tblStylePr w:type="band1Horz">
      <w:tblPr/>
      <w:tcPr>
        <w:shd w:val="clear" w:color="auto" w:fill="FEF7F2" w:themeFill="accent2" w:themeFillTint="3F"/>
      </w:tcPr>
    </w:tblStylePr>
  </w:style>
  <w:style w:type="table" w:styleId="MediumList1-Accent3">
    <w:name w:val="Medium List 1 Accent 3"/>
    <w:basedOn w:val="TableNormal"/>
    <w:uiPriority w:val="65"/>
    <w:semiHidden/>
    <w:unhideWhenUsed/>
    <w:locked/>
    <w:rsid w:val="00D0339F"/>
    <w:pPr>
      <w:spacing w:after="0" w:line="240" w:lineRule="auto"/>
    </w:pPr>
    <w:tblPr>
      <w:tblStyleRowBandSize w:val="1"/>
      <w:tblStyleColBandSize w:val="1"/>
      <w:tblBorders>
        <w:top w:val="single" w:sz="8" w:space="0" w:color="0D3E67" w:themeColor="accent3"/>
        <w:bottom w:val="single" w:sz="8" w:space="0" w:color="0D3E67" w:themeColor="accent3"/>
      </w:tblBorders>
    </w:tblPr>
    <w:tblStylePr w:type="firstRow">
      <w:rPr>
        <w:rFonts w:asciiTheme="majorHAnsi" w:eastAsiaTheme="majorEastAsia" w:hAnsiTheme="majorHAnsi" w:cstheme="majorBidi"/>
      </w:rPr>
      <w:tblPr/>
      <w:tcPr>
        <w:tcBorders>
          <w:top w:val="nil"/>
          <w:bottom w:val="single" w:sz="8" w:space="0" w:color="0D3E67" w:themeColor="accent3"/>
        </w:tcBorders>
      </w:tcPr>
    </w:tblStylePr>
    <w:tblStylePr w:type="lastRow">
      <w:rPr>
        <w:b/>
        <w:bCs/>
        <w:color w:val="CBC3BB" w:themeColor="text2"/>
      </w:rPr>
      <w:tblPr/>
      <w:tcPr>
        <w:tcBorders>
          <w:top w:val="single" w:sz="8" w:space="0" w:color="0D3E67" w:themeColor="accent3"/>
          <w:bottom w:val="single" w:sz="8" w:space="0" w:color="0D3E67" w:themeColor="accent3"/>
        </w:tcBorders>
      </w:tcPr>
    </w:tblStylePr>
    <w:tblStylePr w:type="firstCol">
      <w:rPr>
        <w:b/>
        <w:bCs/>
      </w:rPr>
    </w:tblStylePr>
    <w:tblStylePr w:type="lastCol">
      <w:rPr>
        <w:b/>
        <w:bCs/>
      </w:rPr>
      <w:tblPr/>
      <w:tcPr>
        <w:tcBorders>
          <w:top w:val="single" w:sz="8" w:space="0" w:color="0D3E67" w:themeColor="accent3"/>
          <w:bottom w:val="single" w:sz="8" w:space="0" w:color="0D3E67" w:themeColor="accent3"/>
        </w:tcBorders>
      </w:tcPr>
    </w:tblStylePr>
    <w:tblStylePr w:type="band1Vert">
      <w:tblPr/>
      <w:tcPr>
        <w:shd w:val="clear" w:color="auto" w:fill="A8D1F4" w:themeFill="accent3" w:themeFillTint="3F"/>
      </w:tcPr>
    </w:tblStylePr>
    <w:tblStylePr w:type="band1Horz">
      <w:tblPr/>
      <w:tcPr>
        <w:shd w:val="clear" w:color="auto" w:fill="A8D1F4" w:themeFill="accent3" w:themeFillTint="3F"/>
      </w:tcPr>
    </w:tblStylePr>
  </w:style>
  <w:style w:type="table" w:styleId="MediumList1-Accent4">
    <w:name w:val="Medium List 1 Accent 4"/>
    <w:basedOn w:val="TableNormal"/>
    <w:uiPriority w:val="65"/>
    <w:semiHidden/>
    <w:unhideWhenUsed/>
    <w:locked/>
    <w:rsid w:val="00D0339F"/>
    <w:pPr>
      <w:spacing w:after="0" w:line="240" w:lineRule="auto"/>
    </w:pPr>
    <w:tblPr>
      <w:tblStyleRowBandSize w:val="1"/>
      <w:tblStyleColBandSize w:val="1"/>
      <w:tblBorders>
        <w:top w:val="single" w:sz="8" w:space="0" w:color="7D96B5" w:themeColor="accent4"/>
        <w:bottom w:val="single" w:sz="8" w:space="0" w:color="7D96B5" w:themeColor="accent4"/>
      </w:tblBorders>
    </w:tblPr>
    <w:tblStylePr w:type="firstRow">
      <w:rPr>
        <w:rFonts w:asciiTheme="majorHAnsi" w:eastAsiaTheme="majorEastAsia" w:hAnsiTheme="majorHAnsi" w:cstheme="majorBidi"/>
      </w:rPr>
      <w:tblPr/>
      <w:tcPr>
        <w:tcBorders>
          <w:top w:val="nil"/>
          <w:bottom w:val="single" w:sz="8" w:space="0" w:color="7D96B5" w:themeColor="accent4"/>
        </w:tcBorders>
      </w:tcPr>
    </w:tblStylePr>
    <w:tblStylePr w:type="lastRow">
      <w:rPr>
        <w:b/>
        <w:bCs/>
        <w:color w:val="CBC3BB" w:themeColor="text2"/>
      </w:rPr>
      <w:tblPr/>
      <w:tcPr>
        <w:tcBorders>
          <w:top w:val="single" w:sz="8" w:space="0" w:color="7D96B5" w:themeColor="accent4"/>
          <w:bottom w:val="single" w:sz="8" w:space="0" w:color="7D96B5" w:themeColor="accent4"/>
        </w:tcBorders>
      </w:tcPr>
    </w:tblStylePr>
    <w:tblStylePr w:type="firstCol">
      <w:rPr>
        <w:b/>
        <w:bCs/>
      </w:rPr>
    </w:tblStylePr>
    <w:tblStylePr w:type="lastCol">
      <w:rPr>
        <w:b/>
        <w:bCs/>
      </w:rPr>
      <w:tblPr/>
      <w:tcPr>
        <w:tcBorders>
          <w:top w:val="single" w:sz="8" w:space="0" w:color="7D96B5" w:themeColor="accent4"/>
          <w:bottom w:val="single" w:sz="8" w:space="0" w:color="7D96B5" w:themeColor="accent4"/>
        </w:tcBorders>
      </w:tcPr>
    </w:tblStylePr>
    <w:tblStylePr w:type="band1Vert">
      <w:tblPr/>
      <w:tcPr>
        <w:shd w:val="clear" w:color="auto" w:fill="DEE4EC" w:themeFill="accent4" w:themeFillTint="3F"/>
      </w:tcPr>
    </w:tblStylePr>
    <w:tblStylePr w:type="band1Horz">
      <w:tblPr/>
      <w:tcPr>
        <w:shd w:val="clear" w:color="auto" w:fill="DEE4EC" w:themeFill="accent4" w:themeFillTint="3F"/>
      </w:tcPr>
    </w:tblStylePr>
  </w:style>
  <w:style w:type="table" w:styleId="MediumList1-Accent5">
    <w:name w:val="Medium List 1 Accent 5"/>
    <w:basedOn w:val="TableNormal"/>
    <w:uiPriority w:val="65"/>
    <w:semiHidden/>
    <w:unhideWhenUsed/>
    <w:locked/>
    <w:rsid w:val="00D0339F"/>
    <w:pPr>
      <w:spacing w:after="0" w:line="240" w:lineRule="auto"/>
    </w:pPr>
    <w:tblPr>
      <w:tblStyleRowBandSize w:val="1"/>
      <w:tblStyleColBandSize w:val="1"/>
      <w:tblBorders>
        <w:top w:val="single" w:sz="8" w:space="0" w:color="0D8577" w:themeColor="accent5"/>
        <w:bottom w:val="single" w:sz="8" w:space="0" w:color="0D8577" w:themeColor="accent5"/>
      </w:tblBorders>
    </w:tblPr>
    <w:tblStylePr w:type="firstRow">
      <w:rPr>
        <w:rFonts w:asciiTheme="majorHAnsi" w:eastAsiaTheme="majorEastAsia" w:hAnsiTheme="majorHAnsi" w:cstheme="majorBidi"/>
      </w:rPr>
      <w:tblPr/>
      <w:tcPr>
        <w:tcBorders>
          <w:top w:val="nil"/>
          <w:bottom w:val="single" w:sz="8" w:space="0" w:color="0D8577" w:themeColor="accent5"/>
        </w:tcBorders>
      </w:tcPr>
    </w:tblStylePr>
    <w:tblStylePr w:type="lastRow">
      <w:rPr>
        <w:b/>
        <w:bCs/>
        <w:color w:val="CBC3BB" w:themeColor="text2"/>
      </w:rPr>
      <w:tblPr/>
      <w:tcPr>
        <w:tcBorders>
          <w:top w:val="single" w:sz="8" w:space="0" w:color="0D8577" w:themeColor="accent5"/>
          <w:bottom w:val="single" w:sz="8" w:space="0" w:color="0D8577" w:themeColor="accent5"/>
        </w:tcBorders>
      </w:tcPr>
    </w:tblStylePr>
    <w:tblStylePr w:type="firstCol">
      <w:rPr>
        <w:b/>
        <w:bCs/>
      </w:rPr>
    </w:tblStylePr>
    <w:tblStylePr w:type="lastCol">
      <w:rPr>
        <w:b/>
        <w:bCs/>
      </w:rPr>
      <w:tblPr/>
      <w:tcPr>
        <w:tcBorders>
          <w:top w:val="single" w:sz="8" w:space="0" w:color="0D8577" w:themeColor="accent5"/>
          <w:bottom w:val="single" w:sz="8" w:space="0" w:color="0D8577" w:themeColor="accent5"/>
        </w:tcBorders>
      </w:tcPr>
    </w:tblStylePr>
    <w:tblStylePr w:type="band1Vert">
      <w:tblPr/>
      <w:tcPr>
        <w:shd w:val="clear" w:color="auto" w:fill="ADF7EE" w:themeFill="accent5" w:themeFillTint="3F"/>
      </w:tcPr>
    </w:tblStylePr>
    <w:tblStylePr w:type="band1Horz">
      <w:tblPr/>
      <w:tcPr>
        <w:shd w:val="clear" w:color="auto" w:fill="ADF7EE" w:themeFill="accent5" w:themeFillTint="3F"/>
      </w:tcPr>
    </w:tblStylePr>
  </w:style>
  <w:style w:type="table" w:styleId="MediumList1-Accent6">
    <w:name w:val="Medium List 1 Accent 6"/>
    <w:basedOn w:val="TableNormal"/>
    <w:uiPriority w:val="65"/>
    <w:semiHidden/>
    <w:unhideWhenUsed/>
    <w:locked/>
    <w:rsid w:val="00D0339F"/>
    <w:pPr>
      <w:spacing w:after="0" w:line="240" w:lineRule="auto"/>
    </w:pPr>
    <w:tblPr>
      <w:tblStyleRowBandSize w:val="1"/>
      <w:tblStyleColBandSize w:val="1"/>
      <w:tblBorders>
        <w:top w:val="single" w:sz="8" w:space="0" w:color="46B8A9" w:themeColor="accent6"/>
        <w:bottom w:val="single" w:sz="8" w:space="0" w:color="46B8A9" w:themeColor="accent6"/>
      </w:tblBorders>
    </w:tblPr>
    <w:tblStylePr w:type="firstRow">
      <w:rPr>
        <w:rFonts w:asciiTheme="majorHAnsi" w:eastAsiaTheme="majorEastAsia" w:hAnsiTheme="majorHAnsi" w:cstheme="majorBidi"/>
      </w:rPr>
      <w:tblPr/>
      <w:tcPr>
        <w:tcBorders>
          <w:top w:val="nil"/>
          <w:bottom w:val="single" w:sz="8" w:space="0" w:color="46B8A9" w:themeColor="accent6"/>
        </w:tcBorders>
      </w:tcPr>
    </w:tblStylePr>
    <w:tblStylePr w:type="lastRow">
      <w:rPr>
        <w:b/>
        <w:bCs/>
        <w:color w:val="CBC3BB" w:themeColor="text2"/>
      </w:rPr>
      <w:tblPr/>
      <w:tcPr>
        <w:tcBorders>
          <w:top w:val="single" w:sz="8" w:space="0" w:color="46B8A9" w:themeColor="accent6"/>
          <w:bottom w:val="single" w:sz="8" w:space="0" w:color="46B8A9" w:themeColor="accent6"/>
        </w:tcBorders>
      </w:tcPr>
    </w:tblStylePr>
    <w:tblStylePr w:type="firstCol">
      <w:rPr>
        <w:b/>
        <w:bCs/>
      </w:rPr>
    </w:tblStylePr>
    <w:tblStylePr w:type="lastCol">
      <w:rPr>
        <w:b/>
        <w:bCs/>
      </w:rPr>
      <w:tblPr/>
      <w:tcPr>
        <w:tcBorders>
          <w:top w:val="single" w:sz="8" w:space="0" w:color="46B8A9" w:themeColor="accent6"/>
          <w:bottom w:val="single" w:sz="8" w:space="0" w:color="46B8A9" w:themeColor="accent6"/>
        </w:tcBorders>
      </w:tcPr>
    </w:tblStylePr>
    <w:tblStylePr w:type="band1Vert">
      <w:tblPr/>
      <w:tcPr>
        <w:shd w:val="clear" w:color="auto" w:fill="D1EDE9" w:themeFill="accent6" w:themeFillTint="3F"/>
      </w:tcPr>
    </w:tblStylePr>
    <w:tblStylePr w:type="band1Horz">
      <w:tblPr/>
      <w:tcPr>
        <w:shd w:val="clear" w:color="auto" w:fill="D1EDE9" w:themeFill="accent6" w:themeFillTint="3F"/>
      </w:tcPr>
    </w:tblStylePr>
  </w:style>
  <w:style w:type="table" w:styleId="MediumList2">
    <w:name w:val="Medium List 2"/>
    <w:basedOn w:val="TableNormal"/>
    <w:uiPriority w:val="66"/>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tblBorders>
    </w:tblPr>
    <w:tblStylePr w:type="firstRow">
      <w:rPr>
        <w:sz w:val="24"/>
        <w:szCs w:val="24"/>
      </w:rPr>
      <w:tblPr/>
      <w:tcPr>
        <w:tcBorders>
          <w:top w:val="nil"/>
          <w:left w:val="nil"/>
          <w:bottom w:val="single" w:sz="24" w:space="0" w:color="222222" w:themeColor="text1"/>
          <w:right w:val="nil"/>
          <w:insideH w:val="nil"/>
          <w:insideV w:val="nil"/>
        </w:tcBorders>
        <w:shd w:val="clear" w:color="auto" w:fill="FFFFFF" w:themeFill="background1"/>
      </w:tcPr>
    </w:tblStylePr>
    <w:tblStylePr w:type="lastRow">
      <w:tblPr/>
      <w:tcPr>
        <w:tcBorders>
          <w:top w:val="single" w:sz="8" w:space="0" w:color="22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22222" w:themeColor="text1"/>
          <w:insideH w:val="nil"/>
          <w:insideV w:val="nil"/>
        </w:tcBorders>
        <w:shd w:val="clear" w:color="auto" w:fill="FFFFFF" w:themeFill="background1"/>
      </w:tcPr>
    </w:tblStylePr>
    <w:tblStylePr w:type="lastCol">
      <w:tblPr/>
      <w:tcPr>
        <w:tcBorders>
          <w:top w:val="nil"/>
          <w:left w:val="single" w:sz="8" w:space="0" w:color="22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top w:val="nil"/>
          <w:bottom w:val="nil"/>
          <w:insideH w:val="nil"/>
          <w:insideV w:val="nil"/>
        </w:tcBorders>
        <w:shd w:val="clear" w:color="auto" w:fill="C8C8C8"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tblBorders>
    </w:tblPr>
    <w:tblStylePr w:type="firstRow">
      <w:rPr>
        <w:sz w:val="24"/>
        <w:szCs w:val="24"/>
      </w:rPr>
      <w:tblPr/>
      <w:tcPr>
        <w:tcBorders>
          <w:top w:val="nil"/>
          <w:left w:val="nil"/>
          <w:bottom w:val="single" w:sz="24" w:space="0" w:color="CC6600" w:themeColor="accent1"/>
          <w:right w:val="nil"/>
          <w:insideH w:val="nil"/>
          <w:insideV w:val="nil"/>
        </w:tcBorders>
        <w:shd w:val="clear" w:color="auto" w:fill="FFFFFF" w:themeFill="background1"/>
      </w:tcPr>
    </w:tblStylePr>
    <w:tblStylePr w:type="lastRow">
      <w:tblPr/>
      <w:tcPr>
        <w:tcBorders>
          <w:top w:val="single" w:sz="8" w:space="0" w:color="CC6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6600" w:themeColor="accent1"/>
          <w:insideH w:val="nil"/>
          <w:insideV w:val="nil"/>
        </w:tcBorders>
        <w:shd w:val="clear" w:color="auto" w:fill="FFFFFF" w:themeFill="background1"/>
      </w:tcPr>
    </w:tblStylePr>
    <w:tblStylePr w:type="lastCol">
      <w:tblPr/>
      <w:tcPr>
        <w:tcBorders>
          <w:top w:val="nil"/>
          <w:left w:val="single" w:sz="8" w:space="0" w:color="CC6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B3" w:themeFill="accent1" w:themeFillTint="3F"/>
      </w:tcPr>
    </w:tblStylePr>
    <w:tblStylePr w:type="band1Horz">
      <w:tblPr/>
      <w:tcPr>
        <w:tcBorders>
          <w:top w:val="nil"/>
          <w:bottom w:val="nil"/>
          <w:insideH w:val="nil"/>
          <w:insideV w:val="nil"/>
        </w:tcBorders>
        <w:shd w:val="clear" w:color="auto" w:fill="FFD9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tblBorders>
    </w:tblPr>
    <w:tblStylePr w:type="firstRow">
      <w:rPr>
        <w:sz w:val="24"/>
        <w:szCs w:val="24"/>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tblPr/>
      <w:tcPr>
        <w:tcBorders>
          <w:top w:val="single" w:sz="8" w:space="0" w:color="FCE2CC"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2CC" w:themeColor="accent2"/>
          <w:insideH w:val="nil"/>
          <w:insideV w:val="nil"/>
        </w:tcBorders>
        <w:shd w:val="clear" w:color="auto" w:fill="FFFFFF" w:themeFill="background1"/>
      </w:tcPr>
    </w:tblStylePr>
    <w:tblStylePr w:type="lastCol">
      <w:tblPr/>
      <w:tcPr>
        <w:tcBorders>
          <w:top w:val="nil"/>
          <w:left w:val="single" w:sz="8" w:space="0" w:color="FCE2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F2" w:themeFill="accent2" w:themeFillTint="3F"/>
      </w:tcPr>
    </w:tblStylePr>
    <w:tblStylePr w:type="band1Horz">
      <w:tblPr/>
      <w:tcPr>
        <w:tcBorders>
          <w:top w:val="nil"/>
          <w:bottom w:val="nil"/>
          <w:insideH w:val="nil"/>
          <w:insideV w:val="nil"/>
        </w:tcBorders>
        <w:shd w:val="clear" w:color="auto" w:fill="FEF7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tblBorders>
    </w:tblPr>
    <w:tblStylePr w:type="firstRow">
      <w:rPr>
        <w:sz w:val="24"/>
        <w:szCs w:val="24"/>
      </w:rPr>
      <w:tblPr/>
      <w:tcPr>
        <w:tcBorders>
          <w:top w:val="nil"/>
          <w:left w:val="nil"/>
          <w:bottom w:val="single" w:sz="24" w:space="0" w:color="0D3E67" w:themeColor="accent3"/>
          <w:right w:val="nil"/>
          <w:insideH w:val="nil"/>
          <w:insideV w:val="nil"/>
        </w:tcBorders>
        <w:shd w:val="clear" w:color="auto" w:fill="FFFFFF" w:themeFill="background1"/>
      </w:tcPr>
    </w:tblStylePr>
    <w:tblStylePr w:type="lastRow">
      <w:tblPr/>
      <w:tcPr>
        <w:tcBorders>
          <w:top w:val="single" w:sz="8" w:space="0" w:color="0D3E6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3E67" w:themeColor="accent3"/>
          <w:insideH w:val="nil"/>
          <w:insideV w:val="nil"/>
        </w:tcBorders>
        <w:shd w:val="clear" w:color="auto" w:fill="FFFFFF" w:themeFill="background1"/>
      </w:tcPr>
    </w:tblStylePr>
    <w:tblStylePr w:type="lastCol">
      <w:tblPr/>
      <w:tcPr>
        <w:tcBorders>
          <w:top w:val="nil"/>
          <w:left w:val="single" w:sz="8" w:space="0" w:color="0D3E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1F4" w:themeFill="accent3" w:themeFillTint="3F"/>
      </w:tcPr>
    </w:tblStylePr>
    <w:tblStylePr w:type="band1Horz">
      <w:tblPr/>
      <w:tcPr>
        <w:tcBorders>
          <w:top w:val="nil"/>
          <w:bottom w:val="nil"/>
          <w:insideH w:val="nil"/>
          <w:insideV w:val="nil"/>
        </w:tcBorders>
        <w:shd w:val="clear" w:color="auto" w:fill="A8D1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tblBorders>
    </w:tblPr>
    <w:tblStylePr w:type="firstRow">
      <w:rPr>
        <w:sz w:val="24"/>
        <w:szCs w:val="24"/>
      </w:rPr>
      <w:tblPr/>
      <w:tcPr>
        <w:tcBorders>
          <w:top w:val="nil"/>
          <w:left w:val="nil"/>
          <w:bottom w:val="single" w:sz="24" w:space="0" w:color="7D96B5" w:themeColor="accent4"/>
          <w:right w:val="nil"/>
          <w:insideH w:val="nil"/>
          <w:insideV w:val="nil"/>
        </w:tcBorders>
        <w:shd w:val="clear" w:color="auto" w:fill="FFFFFF" w:themeFill="background1"/>
      </w:tcPr>
    </w:tblStylePr>
    <w:tblStylePr w:type="lastRow">
      <w:tblPr/>
      <w:tcPr>
        <w:tcBorders>
          <w:top w:val="single" w:sz="8" w:space="0" w:color="7D96B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96B5" w:themeColor="accent4"/>
          <w:insideH w:val="nil"/>
          <w:insideV w:val="nil"/>
        </w:tcBorders>
        <w:shd w:val="clear" w:color="auto" w:fill="FFFFFF" w:themeFill="background1"/>
      </w:tcPr>
    </w:tblStylePr>
    <w:tblStylePr w:type="lastCol">
      <w:tblPr/>
      <w:tcPr>
        <w:tcBorders>
          <w:top w:val="nil"/>
          <w:left w:val="single" w:sz="8" w:space="0" w:color="7D96B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4EC" w:themeFill="accent4" w:themeFillTint="3F"/>
      </w:tcPr>
    </w:tblStylePr>
    <w:tblStylePr w:type="band1Horz">
      <w:tblPr/>
      <w:tcPr>
        <w:tcBorders>
          <w:top w:val="nil"/>
          <w:bottom w:val="nil"/>
          <w:insideH w:val="nil"/>
          <w:insideV w:val="nil"/>
        </w:tcBorders>
        <w:shd w:val="clear" w:color="auto" w:fill="DEE4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tblBorders>
    </w:tblPr>
    <w:tblStylePr w:type="firstRow">
      <w:rPr>
        <w:sz w:val="24"/>
        <w:szCs w:val="24"/>
      </w:rPr>
      <w:tblPr/>
      <w:tcPr>
        <w:tcBorders>
          <w:top w:val="nil"/>
          <w:left w:val="nil"/>
          <w:bottom w:val="single" w:sz="24" w:space="0" w:color="0D8577" w:themeColor="accent5"/>
          <w:right w:val="nil"/>
          <w:insideH w:val="nil"/>
          <w:insideV w:val="nil"/>
        </w:tcBorders>
        <w:shd w:val="clear" w:color="auto" w:fill="FFFFFF" w:themeFill="background1"/>
      </w:tcPr>
    </w:tblStylePr>
    <w:tblStylePr w:type="lastRow">
      <w:tblPr/>
      <w:tcPr>
        <w:tcBorders>
          <w:top w:val="single" w:sz="8" w:space="0" w:color="0D857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8577" w:themeColor="accent5"/>
          <w:insideH w:val="nil"/>
          <w:insideV w:val="nil"/>
        </w:tcBorders>
        <w:shd w:val="clear" w:color="auto" w:fill="FFFFFF" w:themeFill="background1"/>
      </w:tcPr>
    </w:tblStylePr>
    <w:tblStylePr w:type="lastCol">
      <w:tblPr/>
      <w:tcPr>
        <w:tcBorders>
          <w:top w:val="nil"/>
          <w:left w:val="single" w:sz="8" w:space="0" w:color="0D857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7EE" w:themeFill="accent5" w:themeFillTint="3F"/>
      </w:tcPr>
    </w:tblStylePr>
    <w:tblStylePr w:type="band1Horz">
      <w:tblPr/>
      <w:tcPr>
        <w:tcBorders>
          <w:top w:val="nil"/>
          <w:bottom w:val="nil"/>
          <w:insideH w:val="nil"/>
          <w:insideV w:val="nil"/>
        </w:tcBorders>
        <w:shd w:val="clear" w:color="auto" w:fill="ADF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D0339F"/>
    <w:pPr>
      <w:spacing w:after="0" w:line="240" w:lineRule="auto"/>
    </w:pPr>
    <w:rPr>
      <w:rFonts w:asciiTheme="majorHAnsi" w:eastAsiaTheme="majorEastAsia" w:hAnsiTheme="majorHAnsi" w:cstheme="majorBidi"/>
    </w:r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tblBorders>
    </w:tblPr>
    <w:tblStylePr w:type="firstRow">
      <w:rPr>
        <w:sz w:val="24"/>
        <w:szCs w:val="24"/>
      </w:rPr>
      <w:tblPr/>
      <w:tcPr>
        <w:tcBorders>
          <w:top w:val="nil"/>
          <w:left w:val="nil"/>
          <w:bottom w:val="single" w:sz="24" w:space="0" w:color="46B8A9" w:themeColor="accent6"/>
          <w:right w:val="nil"/>
          <w:insideH w:val="nil"/>
          <w:insideV w:val="nil"/>
        </w:tcBorders>
        <w:shd w:val="clear" w:color="auto" w:fill="FFFFFF" w:themeFill="background1"/>
      </w:tcPr>
    </w:tblStylePr>
    <w:tblStylePr w:type="lastRow">
      <w:tblPr/>
      <w:tcPr>
        <w:tcBorders>
          <w:top w:val="single" w:sz="8" w:space="0" w:color="46B8A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B8A9" w:themeColor="accent6"/>
          <w:insideH w:val="nil"/>
          <w:insideV w:val="nil"/>
        </w:tcBorders>
        <w:shd w:val="clear" w:color="auto" w:fill="FFFFFF" w:themeFill="background1"/>
      </w:tcPr>
    </w:tblStylePr>
    <w:tblStylePr w:type="lastCol">
      <w:tblPr/>
      <w:tcPr>
        <w:tcBorders>
          <w:top w:val="nil"/>
          <w:left w:val="single" w:sz="8" w:space="0" w:color="46B8A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DE9" w:themeFill="accent6" w:themeFillTint="3F"/>
      </w:tcPr>
    </w:tblStylePr>
    <w:tblStylePr w:type="band1Horz">
      <w:tblPr/>
      <w:tcPr>
        <w:tcBorders>
          <w:top w:val="nil"/>
          <w:bottom w:val="nil"/>
          <w:insideH w:val="nil"/>
          <w:insideV w:val="nil"/>
        </w:tcBorders>
        <w:shd w:val="clear" w:color="auto" w:fill="D1ED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D0339F"/>
    <w:pPr>
      <w:spacing w:after="0" w:line="240" w:lineRule="auto"/>
    </w:pPr>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D0339F"/>
    <w:pPr>
      <w:spacing w:after="0" w:line="240" w:lineRule="auto"/>
    </w:pPr>
    <w:tblPr>
      <w:tblStyleRowBandSize w:val="1"/>
      <w:tblStyleColBandSize w:val="1"/>
      <w:tbl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single" w:sz="8" w:space="0" w:color="FF8B19" w:themeColor="accent1" w:themeTint="BF"/>
      </w:tblBorders>
    </w:tblPr>
    <w:tblStylePr w:type="firstRow">
      <w:pPr>
        <w:spacing w:before="0" w:after="0" w:line="240" w:lineRule="auto"/>
      </w:pPr>
      <w:rPr>
        <w:b/>
        <w:bCs/>
        <w:color w:val="FFFFFF" w:themeColor="background1"/>
      </w:rPr>
      <w:tblPr/>
      <w:tcPr>
        <w:tc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nil"/>
          <w:insideV w:val="nil"/>
        </w:tcBorders>
        <w:shd w:val="clear" w:color="auto" w:fill="CC6600" w:themeFill="accent1"/>
      </w:tcPr>
    </w:tblStylePr>
    <w:tblStylePr w:type="lastRow">
      <w:pPr>
        <w:spacing w:before="0" w:after="0" w:line="240" w:lineRule="auto"/>
      </w:pPr>
      <w:rPr>
        <w:b/>
        <w:bCs/>
      </w:rPr>
      <w:tblPr/>
      <w:tcPr>
        <w:tcBorders>
          <w:top w:val="double" w:sz="6"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9B3" w:themeFill="accent1" w:themeFillTint="3F"/>
      </w:tcPr>
    </w:tblStylePr>
    <w:tblStylePr w:type="band1Horz">
      <w:tblPr/>
      <w:tcPr>
        <w:tcBorders>
          <w:insideH w:val="nil"/>
          <w:insideV w:val="nil"/>
        </w:tcBorders>
        <w:shd w:val="clear" w:color="auto" w:fill="FFD9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D0339F"/>
    <w:pPr>
      <w:spacing w:after="0" w:line="240" w:lineRule="auto"/>
    </w:pPr>
    <w:tblPr>
      <w:tblStyleRowBandSize w:val="1"/>
      <w:tblStyleColBandSize w:val="1"/>
      <w:tbl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single" w:sz="8" w:space="0" w:color="FCE9D8" w:themeColor="accent2" w:themeTint="BF"/>
      </w:tblBorders>
    </w:tblPr>
    <w:tblStylePr w:type="firstRow">
      <w:pPr>
        <w:spacing w:before="0" w:after="0" w:line="240" w:lineRule="auto"/>
      </w:pPr>
      <w:rPr>
        <w:b/>
        <w:bCs/>
        <w:color w:val="FFFFFF" w:themeColor="background1"/>
      </w:rPr>
      <w:tblPr/>
      <w:tcPr>
        <w:tc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nil"/>
          <w:insideV w:val="nil"/>
        </w:tcBorders>
        <w:shd w:val="clear" w:color="auto" w:fill="FCE2CC" w:themeFill="accent2"/>
      </w:tcPr>
    </w:tblStylePr>
    <w:tblStylePr w:type="lastRow">
      <w:pPr>
        <w:spacing w:before="0" w:after="0" w:line="240" w:lineRule="auto"/>
      </w:pPr>
      <w:rPr>
        <w:b/>
        <w:bCs/>
      </w:rPr>
      <w:tblPr/>
      <w:tcPr>
        <w:tcBorders>
          <w:top w:val="double" w:sz="6"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7F2" w:themeFill="accent2" w:themeFillTint="3F"/>
      </w:tcPr>
    </w:tblStylePr>
    <w:tblStylePr w:type="band1Horz">
      <w:tblPr/>
      <w:tcPr>
        <w:tcBorders>
          <w:insideH w:val="nil"/>
          <w:insideV w:val="nil"/>
        </w:tcBorders>
        <w:shd w:val="clear" w:color="auto" w:fill="FEF7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D0339F"/>
    <w:pPr>
      <w:spacing w:after="0" w:line="240" w:lineRule="auto"/>
    </w:pPr>
    <w:tblPr>
      <w:tblStyleRowBandSize w:val="1"/>
      <w:tblStyleColBandSize w:val="1"/>
      <w:tbl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single" w:sz="8" w:space="0" w:color="1872BE" w:themeColor="accent3" w:themeTint="BF"/>
      </w:tblBorders>
    </w:tblPr>
    <w:tblStylePr w:type="firstRow">
      <w:pPr>
        <w:spacing w:before="0" w:after="0" w:line="240" w:lineRule="auto"/>
      </w:pPr>
      <w:rPr>
        <w:b/>
        <w:bCs/>
        <w:color w:val="FFFFFF" w:themeColor="background1"/>
      </w:rPr>
      <w:tblPr/>
      <w:tcPr>
        <w:tc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nil"/>
          <w:insideV w:val="nil"/>
        </w:tcBorders>
        <w:shd w:val="clear" w:color="auto" w:fill="0D3E67" w:themeFill="accent3"/>
      </w:tcPr>
    </w:tblStylePr>
    <w:tblStylePr w:type="lastRow">
      <w:pPr>
        <w:spacing w:before="0" w:after="0" w:line="240" w:lineRule="auto"/>
      </w:pPr>
      <w:rPr>
        <w:b/>
        <w:bCs/>
      </w:rPr>
      <w:tblPr/>
      <w:tcPr>
        <w:tcBorders>
          <w:top w:val="double" w:sz="6"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nil"/>
          <w:insideV w:val="nil"/>
        </w:tcBorders>
      </w:tcPr>
    </w:tblStylePr>
    <w:tblStylePr w:type="firstCol">
      <w:rPr>
        <w:b/>
        <w:bCs/>
      </w:rPr>
    </w:tblStylePr>
    <w:tblStylePr w:type="lastCol">
      <w:rPr>
        <w:b/>
        <w:bCs/>
      </w:rPr>
    </w:tblStylePr>
    <w:tblStylePr w:type="band1Vert">
      <w:tblPr/>
      <w:tcPr>
        <w:shd w:val="clear" w:color="auto" w:fill="A8D1F4" w:themeFill="accent3" w:themeFillTint="3F"/>
      </w:tcPr>
    </w:tblStylePr>
    <w:tblStylePr w:type="band1Horz">
      <w:tblPr/>
      <w:tcPr>
        <w:tcBorders>
          <w:insideH w:val="nil"/>
          <w:insideV w:val="nil"/>
        </w:tcBorders>
        <w:shd w:val="clear" w:color="auto" w:fill="A8D1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D0339F"/>
    <w:pPr>
      <w:spacing w:after="0" w:line="240" w:lineRule="auto"/>
    </w:pPr>
    <w:tblPr>
      <w:tblStyleRowBandSize w:val="1"/>
      <w:tblStyleColBandSize w:val="1"/>
      <w:tbl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single" w:sz="8" w:space="0" w:color="9DB0C7" w:themeColor="accent4" w:themeTint="BF"/>
      </w:tblBorders>
    </w:tblPr>
    <w:tblStylePr w:type="firstRow">
      <w:pPr>
        <w:spacing w:before="0" w:after="0" w:line="240" w:lineRule="auto"/>
      </w:pPr>
      <w:rPr>
        <w:b/>
        <w:bCs/>
        <w:color w:val="FFFFFF" w:themeColor="background1"/>
      </w:rPr>
      <w:tblPr/>
      <w:tcPr>
        <w:tc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nil"/>
          <w:insideV w:val="nil"/>
        </w:tcBorders>
        <w:shd w:val="clear" w:color="auto" w:fill="7D96B5" w:themeFill="accent4"/>
      </w:tcPr>
    </w:tblStylePr>
    <w:tblStylePr w:type="lastRow">
      <w:pPr>
        <w:spacing w:before="0" w:after="0" w:line="240" w:lineRule="auto"/>
      </w:pPr>
      <w:rPr>
        <w:b/>
        <w:bCs/>
      </w:rPr>
      <w:tblPr/>
      <w:tcPr>
        <w:tcBorders>
          <w:top w:val="double" w:sz="6"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4EC" w:themeFill="accent4" w:themeFillTint="3F"/>
      </w:tcPr>
    </w:tblStylePr>
    <w:tblStylePr w:type="band1Horz">
      <w:tblPr/>
      <w:tcPr>
        <w:tcBorders>
          <w:insideH w:val="nil"/>
          <w:insideV w:val="nil"/>
        </w:tcBorders>
        <w:shd w:val="clear" w:color="auto" w:fill="DEE4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D0339F"/>
    <w:pPr>
      <w:spacing w:after="0" w:line="240" w:lineRule="auto"/>
    </w:pPr>
    <w:tblPr>
      <w:tblStyleRowBandSize w:val="1"/>
      <w:tblStyleColBandSize w:val="1"/>
      <w:tbl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single" w:sz="8" w:space="0" w:color="15D8C1" w:themeColor="accent5" w:themeTint="BF"/>
      </w:tblBorders>
    </w:tblPr>
    <w:tblStylePr w:type="firstRow">
      <w:pPr>
        <w:spacing w:before="0" w:after="0" w:line="240" w:lineRule="auto"/>
      </w:pPr>
      <w:rPr>
        <w:b/>
        <w:bCs/>
        <w:color w:val="FFFFFF" w:themeColor="background1"/>
      </w:rPr>
      <w:tblPr/>
      <w:tcPr>
        <w:tc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nil"/>
          <w:insideV w:val="nil"/>
        </w:tcBorders>
        <w:shd w:val="clear" w:color="auto" w:fill="0D8577" w:themeFill="accent5"/>
      </w:tcPr>
    </w:tblStylePr>
    <w:tblStylePr w:type="lastRow">
      <w:pPr>
        <w:spacing w:before="0" w:after="0" w:line="240" w:lineRule="auto"/>
      </w:pPr>
      <w:rPr>
        <w:b/>
        <w:bCs/>
      </w:rPr>
      <w:tblPr/>
      <w:tcPr>
        <w:tcBorders>
          <w:top w:val="double" w:sz="6"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nil"/>
          <w:insideV w:val="nil"/>
        </w:tcBorders>
      </w:tcPr>
    </w:tblStylePr>
    <w:tblStylePr w:type="firstCol">
      <w:rPr>
        <w:b/>
        <w:bCs/>
      </w:rPr>
    </w:tblStylePr>
    <w:tblStylePr w:type="lastCol">
      <w:rPr>
        <w:b/>
        <w:bCs/>
      </w:rPr>
    </w:tblStylePr>
    <w:tblStylePr w:type="band1Vert">
      <w:tblPr/>
      <w:tcPr>
        <w:shd w:val="clear" w:color="auto" w:fill="ADF7EE" w:themeFill="accent5" w:themeFillTint="3F"/>
      </w:tcPr>
    </w:tblStylePr>
    <w:tblStylePr w:type="band1Horz">
      <w:tblPr/>
      <w:tcPr>
        <w:tcBorders>
          <w:insideH w:val="nil"/>
          <w:insideV w:val="nil"/>
        </w:tcBorders>
        <w:shd w:val="clear" w:color="auto" w:fill="ADF7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D0339F"/>
    <w:pPr>
      <w:spacing w:after="0" w:line="240" w:lineRule="auto"/>
    </w:pPr>
    <w:tblPr>
      <w:tblStyleRowBandSize w:val="1"/>
      <w:tblStyleColBandSize w:val="1"/>
      <w:tbl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single" w:sz="8" w:space="0" w:color="73CABE" w:themeColor="accent6" w:themeTint="BF"/>
      </w:tblBorders>
    </w:tblPr>
    <w:tblStylePr w:type="firstRow">
      <w:pPr>
        <w:spacing w:before="0" w:after="0" w:line="240" w:lineRule="auto"/>
      </w:pPr>
      <w:rPr>
        <w:b/>
        <w:bCs/>
        <w:color w:val="FFFFFF" w:themeColor="background1"/>
      </w:rPr>
      <w:tblPr/>
      <w:tcPr>
        <w:tc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nil"/>
          <w:insideV w:val="nil"/>
        </w:tcBorders>
        <w:shd w:val="clear" w:color="auto" w:fill="46B8A9" w:themeFill="accent6"/>
      </w:tcPr>
    </w:tblStylePr>
    <w:tblStylePr w:type="lastRow">
      <w:pPr>
        <w:spacing w:before="0" w:after="0" w:line="240" w:lineRule="auto"/>
      </w:pPr>
      <w:rPr>
        <w:b/>
        <w:bCs/>
      </w:rPr>
      <w:tblPr/>
      <w:tcPr>
        <w:tcBorders>
          <w:top w:val="double" w:sz="6"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DE9" w:themeFill="accent6" w:themeFillTint="3F"/>
      </w:tcPr>
    </w:tblStylePr>
    <w:tblStylePr w:type="band1Horz">
      <w:tblPr/>
      <w:tcPr>
        <w:tcBorders>
          <w:insideH w:val="nil"/>
          <w:insideV w:val="nil"/>
        </w:tcBorders>
        <w:shd w:val="clear" w:color="auto" w:fill="D1ED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D033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2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22222" w:themeFill="text1"/>
      </w:tcPr>
    </w:tblStylePr>
    <w:tblStylePr w:type="lastCol">
      <w:rPr>
        <w:b/>
        <w:bCs/>
        <w:color w:val="FFFFFF" w:themeColor="background1"/>
      </w:rPr>
      <w:tblPr/>
      <w:tcPr>
        <w:tcBorders>
          <w:left w:val="nil"/>
          <w:right w:val="nil"/>
          <w:insideH w:val="nil"/>
          <w:insideV w:val="nil"/>
        </w:tcBorders>
        <w:shd w:val="clear" w:color="auto" w:fill="22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D033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6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6600" w:themeFill="accent1"/>
      </w:tcPr>
    </w:tblStylePr>
    <w:tblStylePr w:type="lastCol">
      <w:rPr>
        <w:b/>
        <w:bCs/>
        <w:color w:val="FFFFFF" w:themeColor="background1"/>
      </w:rPr>
      <w:tblPr/>
      <w:tcPr>
        <w:tcBorders>
          <w:left w:val="nil"/>
          <w:right w:val="nil"/>
          <w:insideH w:val="nil"/>
          <w:insideV w:val="nil"/>
        </w:tcBorders>
        <w:shd w:val="clear" w:color="auto" w:fill="CC6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D033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2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E2CC" w:themeFill="accent2"/>
      </w:tcPr>
    </w:tblStylePr>
    <w:tblStylePr w:type="lastCol">
      <w:rPr>
        <w:b/>
        <w:bCs/>
        <w:color w:val="FFFFFF" w:themeColor="background1"/>
      </w:rPr>
      <w:tblPr/>
      <w:tcPr>
        <w:tcBorders>
          <w:left w:val="nil"/>
          <w:right w:val="nil"/>
          <w:insideH w:val="nil"/>
          <w:insideV w:val="nil"/>
        </w:tcBorders>
        <w:shd w:val="clear" w:color="auto" w:fill="FCE2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D033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3E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D3E67" w:themeFill="accent3"/>
      </w:tcPr>
    </w:tblStylePr>
    <w:tblStylePr w:type="lastCol">
      <w:rPr>
        <w:b/>
        <w:bCs/>
        <w:color w:val="FFFFFF" w:themeColor="background1"/>
      </w:rPr>
      <w:tblPr/>
      <w:tcPr>
        <w:tcBorders>
          <w:left w:val="nil"/>
          <w:right w:val="nil"/>
          <w:insideH w:val="nil"/>
          <w:insideV w:val="nil"/>
        </w:tcBorders>
        <w:shd w:val="clear" w:color="auto" w:fill="0D3E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D033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96B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96B5" w:themeFill="accent4"/>
      </w:tcPr>
    </w:tblStylePr>
    <w:tblStylePr w:type="lastCol">
      <w:rPr>
        <w:b/>
        <w:bCs/>
        <w:color w:val="FFFFFF" w:themeColor="background1"/>
      </w:rPr>
      <w:tblPr/>
      <w:tcPr>
        <w:tcBorders>
          <w:left w:val="nil"/>
          <w:right w:val="nil"/>
          <w:insideH w:val="nil"/>
          <w:insideV w:val="nil"/>
        </w:tcBorders>
        <w:shd w:val="clear" w:color="auto" w:fill="7D96B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D033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857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D8577" w:themeFill="accent5"/>
      </w:tcPr>
    </w:tblStylePr>
    <w:tblStylePr w:type="lastCol">
      <w:rPr>
        <w:b/>
        <w:bCs/>
        <w:color w:val="FFFFFF" w:themeColor="background1"/>
      </w:rPr>
      <w:tblPr/>
      <w:tcPr>
        <w:tcBorders>
          <w:left w:val="nil"/>
          <w:right w:val="nil"/>
          <w:insideH w:val="nil"/>
          <w:insideV w:val="nil"/>
        </w:tcBorders>
        <w:shd w:val="clear" w:color="auto" w:fill="0D857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D033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B8A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B8A9" w:themeFill="accent6"/>
      </w:tcPr>
    </w:tblStylePr>
    <w:tblStylePr w:type="lastCol">
      <w:rPr>
        <w:b/>
        <w:bCs/>
        <w:color w:val="FFFFFF" w:themeColor="background1"/>
      </w:rPr>
      <w:tblPr/>
      <w:tcPr>
        <w:tcBorders>
          <w:left w:val="nil"/>
          <w:right w:val="nil"/>
          <w:insideH w:val="nil"/>
          <w:insideV w:val="nil"/>
        </w:tcBorders>
        <w:shd w:val="clear" w:color="auto" w:fill="46B8A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locked/>
    <w:rsid w:val="00D033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D0339F"/>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PlainTable3">
    <w:name w:val="Plain Table 3"/>
    <w:basedOn w:val="TableNormal"/>
    <w:uiPriority w:val="43"/>
    <w:locked/>
    <w:rsid w:val="00D0339F"/>
    <w:pPr>
      <w:spacing w:after="0" w:line="240" w:lineRule="auto"/>
    </w:pPr>
    <w:tblPr>
      <w:tblStyleRowBandSize w:val="1"/>
      <w:tblStyleColBandSize w:val="1"/>
    </w:tblPr>
    <w:tblStylePr w:type="firstRow">
      <w:rPr>
        <w:b/>
        <w:bCs/>
        <w:caps/>
      </w:rPr>
      <w:tblPr/>
      <w:tcPr>
        <w:tcBorders>
          <w:bottom w:val="single" w:sz="4" w:space="0" w:color="909090"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90"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D0339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3Deffects1">
    <w:name w:val="Table 3D effects 1"/>
    <w:basedOn w:val="TableNormal"/>
    <w:uiPriority w:val="99"/>
    <w:semiHidden/>
    <w:unhideWhenUsed/>
    <w:locked/>
    <w:rsid w:val="00D0339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D0339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D0339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D0339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D0339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D033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D0339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D033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D0339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D0339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D0339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D0339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D0339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D0339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D0339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D033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D0339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D033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D0339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D0339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D0339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D0339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D0339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D0339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D0339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D033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D033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D033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D0339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D0339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D0339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D0339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D033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D033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locked/>
    <w:rsid w:val="00D033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D0339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D033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D0339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D033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D033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D03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D0339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D0339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D0339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ParagraphChar">
    <w:name w:val="List Paragraph Char"/>
    <w:basedOn w:val="DefaultParagraphFont"/>
    <w:link w:val="ListParagraph"/>
    <w:uiPriority w:val="18"/>
    <w:qFormat/>
    <w:locked/>
    <w:rsid w:val="00FA713F"/>
  </w:style>
  <w:style w:type="paragraph" w:styleId="Revision">
    <w:name w:val="Revision"/>
    <w:hidden/>
    <w:uiPriority w:val="99"/>
    <w:semiHidden/>
    <w:rsid w:val="00BA49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07136">
      <w:bodyDiv w:val="1"/>
      <w:marLeft w:val="0"/>
      <w:marRight w:val="0"/>
      <w:marTop w:val="0"/>
      <w:marBottom w:val="0"/>
      <w:divBdr>
        <w:top w:val="none" w:sz="0" w:space="0" w:color="auto"/>
        <w:left w:val="none" w:sz="0" w:space="0" w:color="auto"/>
        <w:bottom w:val="none" w:sz="0" w:space="0" w:color="auto"/>
        <w:right w:val="none" w:sz="0" w:space="0" w:color="auto"/>
      </w:divBdr>
    </w:div>
    <w:div w:id="102265782">
      <w:bodyDiv w:val="1"/>
      <w:marLeft w:val="0"/>
      <w:marRight w:val="0"/>
      <w:marTop w:val="0"/>
      <w:marBottom w:val="0"/>
      <w:divBdr>
        <w:top w:val="none" w:sz="0" w:space="0" w:color="auto"/>
        <w:left w:val="none" w:sz="0" w:space="0" w:color="auto"/>
        <w:bottom w:val="none" w:sz="0" w:space="0" w:color="auto"/>
        <w:right w:val="none" w:sz="0" w:space="0" w:color="auto"/>
      </w:divBdr>
      <w:divsChild>
        <w:div w:id="41172120">
          <w:marLeft w:val="0"/>
          <w:marRight w:val="0"/>
          <w:marTop w:val="0"/>
          <w:marBottom w:val="0"/>
          <w:divBdr>
            <w:top w:val="none" w:sz="0" w:space="0" w:color="auto"/>
            <w:left w:val="none" w:sz="0" w:space="0" w:color="auto"/>
            <w:bottom w:val="none" w:sz="0" w:space="0" w:color="auto"/>
            <w:right w:val="none" w:sz="0" w:space="0" w:color="auto"/>
          </w:divBdr>
          <w:divsChild>
            <w:div w:id="374352762">
              <w:marLeft w:val="0"/>
              <w:marRight w:val="0"/>
              <w:marTop w:val="0"/>
              <w:marBottom w:val="0"/>
              <w:divBdr>
                <w:top w:val="none" w:sz="0" w:space="0" w:color="auto"/>
                <w:left w:val="none" w:sz="0" w:space="0" w:color="auto"/>
                <w:bottom w:val="none" w:sz="0" w:space="0" w:color="auto"/>
                <w:right w:val="none" w:sz="0" w:space="0" w:color="auto"/>
              </w:divBdr>
            </w:div>
          </w:divsChild>
        </w:div>
        <w:div w:id="86116609">
          <w:marLeft w:val="0"/>
          <w:marRight w:val="0"/>
          <w:marTop w:val="0"/>
          <w:marBottom w:val="0"/>
          <w:divBdr>
            <w:top w:val="none" w:sz="0" w:space="0" w:color="auto"/>
            <w:left w:val="none" w:sz="0" w:space="0" w:color="auto"/>
            <w:bottom w:val="none" w:sz="0" w:space="0" w:color="auto"/>
            <w:right w:val="none" w:sz="0" w:space="0" w:color="auto"/>
          </w:divBdr>
          <w:divsChild>
            <w:div w:id="1856265583">
              <w:marLeft w:val="0"/>
              <w:marRight w:val="0"/>
              <w:marTop w:val="0"/>
              <w:marBottom w:val="0"/>
              <w:divBdr>
                <w:top w:val="none" w:sz="0" w:space="0" w:color="auto"/>
                <w:left w:val="none" w:sz="0" w:space="0" w:color="auto"/>
                <w:bottom w:val="none" w:sz="0" w:space="0" w:color="auto"/>
                <w:right w:val="none" w:sz="0" w:space="0" w:color="auto"/>
              </w:divBdr>
            </w:div>
          </w:divsChild>
        </w:div>
        <w:div w:id="191459984">
          <w:marLeft w:val="0"/>
          <w:marRight w:val="0"/>
          <w:marTop w:val="0"/>
          <w:marBottom w:val="0"/>
          <w:divBdr>
            <w:top w:val="none" w:sz="0" w:space="0" w:color="auto"/>
            <w:left w:val="none" w:sz="0" w:space="0" w:color="auto"/>
            <w:bottom w:val="none" w:sz="0" w:space="0" w:color="auto"/>
            <w:right w:val="none" w:sz="0" w:space="0" w:color="auto"/>
          </w:divBdr>
          <w:divsChild>
            <w:div w:id="934942572">
              <w:marLeft w:val="0"/>
              <w:marRight w:val="0"/>
              <w:marTop w:val="0"/>
              <w:marBottom w:val="0"/>
              <w:divBdr>
                <w:top w:val="none" w:sz="0" w:space="0" w:color="auto"/>
                <w:left w:val="none" w:sz="0" w:space="0" w:color="auto"/>
                <w:bottom w:val="none" w:sz="0" w:space="0" w:color="auto"/>
                <w:right w:val="none" w:sz="0" w:space="0" w:color="auto"/>
              </w:divBdr>
            </w:div>
          </w:divsChild>
        </w:div>
        <w:div w:id="244850106">
          <w:marLeft w:val="0"/>
          <w:marRight w:val="0"/>
          <w:marTop w:val="0"/>
          <w:marBottom w:val="0"/>
          <w:divBdr>
            <w:top w:val="none" w:sz="0" w:space="0" w:color="auto"/>
            <w:left w:val="none" w:sz="0" w:space="0" w:color="auto"/>
            <w:bottom w:val="none" w:sz="0" w:space="0" w:color="auto"/>
            <w:right w:val="none" w:sz="0" w:space="0" w:color="auto"/>
          </w:divBdr>
          <w:divsChild>
            <w:div w:id="1285188969">
              <w:marLeft w:val="0"/>
              <w:marRight w:val="0"/>
              <w:marTop w:val="0"/>
              <w:marBottom w:val="0"/>
              <w:divBdr>
                <w:top w:val="none" w:sz="0" w:space="0" w:color="auto"/>
                <w:left w:val="none" w:sz="0" w:space="0" w:color="auto"/>
                <w:bottom w:val="none" w:sz="0" w:space="0" w:color="auto"/>
                <w:right w:val="none" w:sz="0" w:space="0" w:color="auto"/>
              </w:divBdr>
            </w:div>
          </w:divsChild>
        </w:div>
        <w:div w:id="327903223">
          <w:marLeft w:val="0"/>
          <w:marRight w:val="0"/>
          <w:marTop w:val="0"/>
          <w:marBottom w:val="0"/>
          <w:divBdr>
            <w:top w:val="none" w:sz="0" w:space="0" w:color="auto"/>
            <w:left w:val="none" w:sz="0" w:space="0" w:color="auto"/>
            <w:bottom w:val="none" w:sz="0" w:space="0" w:color="auto"/>
            <w:right w:val="none" w:sz="0" w:space="0" w:color="auto"/>
          </w:divBdr>
          <w:divsChild>
            <w:div w:id="799106719">
              <w:marLeft w:val="0"/>
              <w:marRight w:val="0"/>
              <w:marTop w:val="0"/>
              <w:marBottom w:val="0"/>
              <w:divBdr>
                <w:top w:val="none" w:sz="0" w:space="0" w:color="auto"/>
                <w:left w:val="none" w:sz="0" w:space="0" w:color="auto"/>
                <w:bottom w:val="none" w:sz="0" w:space="0" w:color="auto"/>
                <w:right w:val="none" w:sz="0" w:space="0" w:color="auto"/>
              </w:divBdr>
            </w:div>
          </w:divsChild>
        </w:div>
        <w:div w:id="351885189">
          <w:marLeft w:val="0"/>
          <w:marRight w:val="0"/>
          <w:marTop w:val="0"/>
          <w:marBottom w:val="0"/>
          <w:divBdr>
            <w:top w:val="none" w:sz="0" w:space="0" w:color="auto"/>
            <w:left w:val="none" w:sz="0" w:space="0" w:color="auto"/>
            <w:bottom w:val="none" w:sz="0" w:space="0" w:color="auto"/>
            <w:right w:val="none" w:sz="0" w:space="0" w:color="auto"/>
          </w:divBdr>
          <w:divsChild>
            <w:div w:id="1939168249">
              <w:marLeft w:val="0"/>
              <w:marRight w:val="0"/>
              <w:marTop w:val="0"/>
              <w:marBottom w:val="0"/>
              <w:divBdr>
                <w:top w:val="none" w:sz="0" w:space="0" w:color="auto"/>
                <w:left w:val="none" w:sz="0" w:space="0" w:color="auto"/>
                <w:bottom w:val="none" w:sz="0" w:space="0" w:color="auto"/>
                <w:right w:val="none" w:sz="0" w:space="0" w:color="auto"/>
              </w:divBdr>
            </w:div>
          </w:divsChild>
        </w:div>
        <w:div w:id="360473892">
          <w:marLeft w:val="0"/>
          <w:marRight w:val="0"/>
          <w:marTop w:val="0"/>
          <w:marBottom w:val="0"/>
          <w:divBdr>
            <w:top w:val="none" w:sz="0" w:space="0" w:color="auto"/>
            <w:left w:val="none" w:sz="0" w:space="0" w:color="auto"/>
            <w:bottom w:val="none" w:sz="0" w:space="0" w:color="auto"/>
            <w:right w:val="none" w:sz="0" w:space="0" w:color="auto"/>
          </w:divBdr>
          <w:divsChild>
            <w:div w:id="1795908022">
              <w:marLeft w:val="0"/>
              <w:marRight w:val="0"/>
              <w:marTop w:val="0"/>
              <w:marBottom w:val="0"/>
              <w:divBdr>
                <w:top w:val="none" w:sz="0" w:space="0" w:color="auto"/>
                <w:left w:val="none" w:sz="0" w:space="0" w:color="auto"/>
                <w:bottom w:val="none" w:sz="0" w:space="0" w:color="auto"/>
                <w:right w:val="none" w:sz="0" w:space="0" w:color="auto"/>
              </w:divBdr>
            </w:div>
          </w:divsChild>
        </w:div>
        <w:div w:id="452359834">
          <w:marLeft w:val="0"/>
          <w:marRight w:val="0"/>
          <w:marTop w:val="0"/>
          <w:marBottom w:val="0"/>
          <w:divBdr>
            <w:top w:val="none" w:sz="0" w:space="0" w:color="auto"/>
            <w:left w:val="none" w:sz="0" w:space="0" w:color="auto"/>
            <w:bottom w:val="none" w:sz="0" w:space="0" w:color="auto"/>
            <w:right w:val="none" w:sz="0" w:space="0" w:color="auto"/>
          </w:divBdr>
          <w:divsChild>
            <w:div w:id="791090665">
              <w:marLeft w:val="0"/>
              <w:marRight w:val="0"/>
              <w:marTop w:val="0"/>
              <w:marBottom w:val="0"/>
              <w:divBdr>
                <w:top w:val="none" w:sz="0" w:space="0" w:color="auto"/>
                <w:left w:val="none" w:sz="0" w:space="0" w:color="auto"/>
                <w:bottom w:val="none" w:sz="0" w:space="0" w:color="auto"/>
                <w:right w:val="none" w:sz="0" w:space="0" w:color="auto"/>
              </w:divBdr>
            </w:div>
          </w:divsChild>
        </w:div>
        <w:div w:id="525487388">
          <w:marLeft w:val="0"/>
          <w:marRight w:val="0"/>
          <w:marTop w:val="0"/>
          <w:marBottom w:val="0"/>
          <w:divBdr>
            <w:top w:val="none" w:sz="0" w:space="0" w:color="auto"/>
            <w:left w:val="none" w:sz="0" w:space="0" w:color="auto"/>
            <w:bottom w:val="none" w:sz="0" w:space="0" w:color="auto"/>
            <w:right w:val="none" w:sz="0" w:space="0" w:color="auto"/>
          </w:divBdr>
          <w:divsChild>
            <w:div w:id="672148931">
              <w:marLeft w:val="0"/>
              <w:marRight w:val="0"/>
              <w:marTop w:val="0"/>
              <w:marBottom w:val="0"/>
              <w:divBdr>
                <w:top w:val="none" w:sz="0" w:space="0" w:color="auto"/>
                <w:left w:val="none" w:sz="0" w:space="0" w:color="auto"/>
                <w:bottom w:val="none" w:sz="0" w:space="0" w:color="auto"/>
                <w:right w:val="none" w:sz="0" w:space="0" w:color="auto"/>
              </w:divBdr>
            </w:div>
          </w:divsChild>
        </w:div>
        <w:div w:id="544606126">
          <w:marLeft w:val="0"/>
          <w:marRight w:val="0"/>
          <w:marTop w:val="0"/>
          <w:marBottom w:val="0"/>
          <w:divBdr>
            <w:top w:val="none" w:sz="0" w:space="0" w:color="auto"/>
            <w:left w:val="none" w:sz="0" w:space="0" w:color="auto"/>
            <w:bottom w:val="none" w:sz="0" w:space="0" w:color="auto"/>
            <w:right w:val="none" w:sz="0" w:space="0" w:color="auto"/>
          </w:divBdr>
          <w:divsChild>
            <w:div w:id="1375689331">
              <w:marLeft w:val="0"/>
              <w:marRight w:val="0"/>
              <w:marTop w:val="0"/>
              <w:marBottom w:val="0"/>
              <w:divBdr>
                <w:top w:val="none" w:sz="0" w:space="0" w:color="auto"/>
                <w:left w:val="none" w:sz="0" w:space="0" w:color="auto"/>
                <w:bottom w:val="none" w:sz="0" w:space="0" w:color="auto"/>
                <w:right w:val="none" w:sz="0" w:space="0" w:color="auto"/>
              </w:divBdr>
            </w:div>
          </w:divsChild>
        </w:div>
        <w:div w:id="579406344">
          <w:marLeft w:val="0"/>
          <w:marRight w:val="0"/>
          <w:marTop w:val="0"/>
          <w:marBottom w:val="0"/>
          <w:divBdr>
            <w:top w:val="none" w:sz="0" w:space="0" w:color="auto"/>
            <w:left w:val="none" w:sz="0" w:space="0" w:color="auto"/>
            <w:bottom w:val="none" w:sz="0" w:space="0" w:color="auto"/>
            <w:right w:val="none" w:sz="0" w:space="0" w:color="auto"/>
          </w:divBdr>
          <w:divsChild>
            <w:div w:id="2045783621">
              <w:marLeft w:val="0"/>
              <w:marRight w:val="0"/>
              <w:marTop w:val="0"/>
              <w:marBottom w:val="0"/>
              <w:divBdr>
                <w:top w:val="none" w:sz="0" w:space="0" w:color="auto"/>
                <w:left w:val="none" w:sz="0" w:space="0" w:color="auto"/>
                <w:bottom w:val="none" w:sz="0" w:space="0" w:color="auto"/>
                <w:right w:val="none" w:sz="0" w:space="0" w:color="auto"/>
              </w:divBdr>
            </w:div>
          </w:divsChild>
        </w:div>
        <w:div w:id="583345072">
          <w:marLeft w:val="0"/>
          <w:marRight w:val="0"/>
          <w:marTop w:val="0"/>
          <w:marBottom w:val="0"/>
          <w:divBdr>
            <w:top w:val="none" w:sz="0" w:space="0" w:color="auto"/>
            <w:left w:val="none" w:sz="0" w:space="0" w:color="auto"/>
            <w:bottom w:val="none" w:sz="0" w:space="0" w:color="auto"/>
            <w:right w:val="none" w:sz="0" w:space="0" w:color="auto"/>
          </w:divBdr>
          <w:divsChild>
            <w:div w:id="1482769006">
              <w:marLeft w:val="0"/>
              <w:marRight w:val="0"/>
              <w:marTop w:val="0"/>
              <w:marBottom w:val="0"/>
              <w:divBdr>
                <w:top w:val="none" w:sz="0" w:space="0" w:color="auto"/>
                <w:left w:val="none" w:sz="0" w:space="0" w:color="auto"/>
                <w:bottom w:val="none" w:sz="0" w:space="0" w:color="auto"/>
                <w:right w:val="none" w:sz="0" w:space="0" w:color="auto"/>
              </w:divBdr>
            </w:div>
          </w:divsChild>
        </w:div>
        <w:div w:id="690498338">
          <w:marLeft w:val="0"/>
          <w:marRight w:val="0"/>
          <w:marTop w:val="0"/>
          <w:marBottom w:val="0"/>
          <w:divBdr>
            <w:top w:val="none" w:sz="0" w:space="0" w:color="auto"/>
            <w:left w:val="none" w:sz="0" w:space="0" w:color="auto"/>
            <w:bottom w:val="none" w:sz="0" w:space="0" w:color="auto"/>
            <w:right w:val="none" w:sz="0" w:space="0" w:color="auto"/>
          </w:divBdr>
          <w:divsChild>
            <w:div w:id="1786805328">
              <w:marLeft w:val="0"/>
              <w:marRight w:val="0"/>
              <w:marTop w:val="0"/>
              <w:marBottom w:val="0"/>
              <w:divBdr>
                <w:top w:val="none" w:sz="0" w:space="0" w:color="auto"/>
                <w:left w:val="none" w:sz="0" w:space="0" w:color="auto"/>
                <w:bottom w:val="none" w:sz="0" w:space="0" w:color="auto"/>
                <w:right w:val="none" w:sz="0" w:space="0" w:color="auto"/>
              </w:divBdr>
            </w:div>
          </w:divsChild>
        </w:div>
        <w:div w:id="703168318">
          <w:marLeft w:val="0"/>
          <w:marRight w:val="0"/>
          <w:marTop w:val="0"/>
          <w:marBottom w:val="0"/>
          <w:divBdr>
            <w:top w:val="none" w:sz="0" w:space="0" w:color="auto"/>
            <w:left w:val="none" w:sz="0" w:space="0" w:color="auto"/>
            <w:bottom w:val="none" w:sz="0" w:space="0" w:color="auto"/>
            <w:right w:val="none" w:sz="0" w:space="0" w:color="auto"/>
          </w:divBdr>
          <w:divsChild>
            <w:div w:id="2020960358">
              <w:marLeft w:val="0"/>
              <w:marRight w:val="0"/>
              <w:marTop w:val="0"/>
              <w:marBottom w:val="0"/>
              <w:divBdr>
                <w:top w:val="none" w:sz="0" w:space="0" w:color="auto"/>
                <w:left w:val="none" w:sz="0" w:space="0" w:color="auto"/>
                <w:bottom w:val="none" w:sz="0" w:space="0" w:color="auto"/>
                <w:right w:val="none" w:sz="0" w:space="0" w:color="auto"/>
              </w:divBdr>
            </w:div>
          </w:divsChild>
        </w:div>
        <w:div w:id="722144140">
          <w:marLeft w:val="0"/>
          <w:marRight w:val="0"/>
          <w:marTop w:val="0"/>
          <w:marBottom w:val="0"/>
          <w:divBdr>
            <w:top w:val="none" w:sz="0" w:space="0" w:color="auto"/>
            <w:left w:val="none" w:sz="0" w:space="0" w:color="auto"/>
            <w:bottom w:val="none" w:sz="0" w:space="0" w:color="auto"/>
            <w:right w:val="none" w:sz="0" w:space="0" w:color="auto"/>
          </w:divBdr>
          <w:divsChild>
            <w:div w:id="172113388">
              <w:marLeft w:val="0"/>
              <w:marRight w:val="0"/>
              <w:marTop w:val="0"/>
              <w:marBottom w:val="0"/>
              <w:divBdr>
                <w:top w:val="none" w:sz="0" w:space="0" w:color="auto"/>
                <w:left w:val="none" w:sz="0" w:space="0" w:color="auto"/>
                <w:bottom w:val="none" w:sz="0" w:space="0" w:color="auto"/>
                <w:right w:val="none" w:sz="0" w:space="0" w:color="auto"/>
              </w:divBdr>
            </w:div>
          </w:divsChild>
        </w:div>
        <w:div w:id="781610465">
          <w:marLeft w:val="0"/>
          <w:marRight w:val="0"/>
          <w:marTop w:val="0"/>
          <w:marBottom w:val="0"/>
          <w:divBdr>
            <w:top w:val="none" w:sz="0" w:space="0" w:color="auto"/>
            <w:left w:val="none" w:sz="0" w:space="0" w:color="auto"/>
            <w:bottom w:val="none" w:sz="0" w:space="0" w:color="auto"/>
            <w:right w:val="none" w:sz="0" w:space="0" w:color="auto"/>
          </w:divBdr>
          <w:divsChild>
            <w:div w:id="1853299355">
              <w:marLeft w:val="0"/>
              <w:marRight w:val="0"/>
              <w:marTop w:val="0"/>
              <w:marBottom w:val="0"/>
              <w:divBdr>
                <w:top w:val="none" w:sz="0" w:space="0" w:color="auto"/>
                <w:left w:val="none" w:sz="0" w:space="0" w:color="auto"/>
                <w:bottom w:val="none" w:sz="0" w:space="0" w:color="auto"/>
                <w:right w:val="none" w:sz="0" w:space="0" w:color="auto"/>
              </w:divBdr>
            </w:div>
          </w:divsChild>
        </w:div>
        <w:div w:id="911164624">
          <w:marLeft w:val="0"/>
          <w:marRight w:val="0"/>
          <w:marTop w:val="0"/>
          <w:marBottom w:val="0"/>
          <w:divBdr>
            <w:top w:val="none" w:sz="0" w:space="0" w:color="auto"/>
            <w:left w:val="none" w:sz="0" w:space="0" w:color="auto"/>
            <w:bottom w:val="none" w:sz="0" w:space="0" w:color="auto"/>
            <w:right w:val="none" w:sz="0" w:space="0" w:color="auto"/>
          </w:divBdr>
          <w:divsChild>
            <w:div w:id="962077086">
              <w:marLeft w:val="0"/>
              <w:marRight w:val="0"/>
              <w:marTop w:val="0"/>
              <w:marBottom w:val="0"/>
              <w:divBdr>
                <w:top w:val="none" w:sz="0" w:space="0" w:color="auto"/>
                <w:left w:val="none" w:sz="0" w:space="0" w:color="auto"/>
                <w:bottom w:val="none" w:sz="0" w:space="0" w:color="auto"/>
                <w:right w:val="none" w:sz="0" w:space="0" w:color="auto"/>
              </w:divBdr>
            </w:div>
          </w:divsChild>
        </w:div>
        <w:div w:id="960572996">
          <w:marLeft w:val="0"/>
          <w:marRight w:val="0"/>
          <w:marTop w:val="0"/>
          <w:marBottom w:val="0"/>
          <w:divBdr>
            <w:top w:val="none" w:sz="0" w:space="0" w:color="auto"/>
            <w:left w:val="none" w:sz="0" w:space="0" w:color="auto"/>
            <w:bottom w:val="none" w:sz="0" w:space="0" w:color="auto"/>
            <w:right w:val="none" w:sz="0" w:space="0" w:color="auto"/>
          </w:divBdr>
          <w:divsChild>
            <w:div w:id="396317673">
              <w:marLeft w:val="0"/>
              <w:marRight w:val="0"/>
              <w:marTop w:val="0"/>
              <w:marBottom w:val="0"/>
              <w:divBdr>
                <w:top w:val="none" w:sz="0" w:space="0" w:color="auto"/>
                <w:left w:val="none" w:sz="0" w:space="0" w:color="auto"/>
                <w:bottom w:val="none" w:sz="0" w:space="0" w:color="auto"/>
                <w:right w:val="none" w:sz="0" w:space="0" w:color="auto"/>
              </w:divBdr>
            </w:div>
          </w:divsChild>
        </w:div>
        <w:div w:id="981037378">
          <w:marLeft w:val="0"/>
          <w:marRight w:val="0"/>
          <w:marTop w:val="0"/>
          <w:marBottom w:val="0"/>
          <w:divBdr>
            <w:top w:val="none" w:sz="0" w:space="0" w:color="auto"/>
            <w:left w:val="none" w:sz="0" w:space="0" w:color="auto"/>
            <w:bottom w:val="none" w:sz="0" w:space="0" w:color="auto"/>
            <w:right w:val="none" w:sz="0" w:space="0" w:color="auto"/>
          </w:divBdr>
          <w:divsChild>
            <w:div w:id="1562399161">
              <w:marLeft w:val="0"/>
              <w:marRight w:val="0"/>
              <w:marTop w:val="0"/>
              <w:marBottom w:val="0"/>
              <w:divBdr>
                <w:top w:val="none" w:sz="0" w:space="0" w:color="auto"/>
                <w:left w:val="none" w:sz="0" w:space="0" w:color="auto"/>
                <w:bottom w:val="none" w:sz="0" w:space="0" w:color="auto"/>
                <w:right w:val="none" w:sz="0" w:space="0" w:color="auto"/>
              </w:divBdr>
            </w:div>
          </w:divsChild>
        </w:div>
        <w:div w:id="1058629340">
          <w:marLeft w:val="0"/>
          <w:marRight w:val="0"/>
          <w:marTop w:val="0"/>
          <w:marBottom w:val="0"/>
          <w:divBdr>
            <w:top w:val="none" w:sz="0" w:space="0" w:color="auto"/>
            <w:left w:val="none" w:sz="0" w:space="0" w:color="auto"/>
            <w:bottom w:val="none" w:sz="0" w:space="0" w:color="auto"/>
            <w:right w:val="none" w:sz="0" w:space="0" w:color="auto"/>
          </w:divBdr>
          <w:divsChild>
            <w:div w:id="107310953">
              <w:marLeft w:val="0"/>
              <w:marRight w:val="0"/>
              <w:marTop w:val="0"/>
              <w:marBottom w:val="0"/>
              <w:divBdr>
                <w:top w:val="none" w:sz="0" w:space="0" w:color="auto"/>
                <w:left w:val="none" w:sz="0" w:space="0" w:color="auto"/>
                <w:bottom w:val="none" w:sz="0" w:space="0" w:color="auto"/>
                <w:right w:val="none" w:sz="0" w:space="0" w:color="auto"/>
              </w:divBdr>
            </w:div>
          </w:divsChild>
        </w:div>
        <w:div w:id="1100754301">
          <w:marLeft w:val="0"/>
          <w:marRight w:val="0"/>
          <w:marTop w:val="0"/>
          <w:marBottom w:val="0"/>
          <w:divBdr>
            <w:top w:val="none" w:sz="0" w:space="0" w:color="auto"/>
            <w:left w:val="none" w:sz="0" w:space="0" w:color="auto"/>
            <w:bottom w:val="none" w:sz="0" w:space="0" w:color="auto"/>
            <w:right w:val="none" w:sz="0" w:space="0" w:color="auto"/>
          </w:divBdr>
          <w:divsChild>
            <w:div w:id="590361485">
              <w:marLeft w:val="0"/>
              <w:marRight w:val="0"/>
              <w:marTop w:val="0"/>
              <w:marBottom w:val="0"/>
              <w:divBdr>
                <w:top w:val="none" w:sz="0" w:space="0" w:color="auto"/>
                <w:left w:val="none" w:sz="0" w:space="0" w:color="auto"/>
                <w:bottom w:val="none" w:sz="0" w:space="0" w:color="auto"/>
                <w:right w:val="none" w:sz="0" w:space="0" w:color="auto"/>
              </w:divBdr>
            </w:div>
          </w:divsChild>
        </w:div>
        <w:div w:id="1137801692">
          <w:marLeft w:val="0"/>
          <w:marRight w:val="0"/>
          <w:marTop w:val="0"/>
          <w:marBottom w:val="0"/>
          <w:divBdr>
            <w:top w:val="none" w:sz="0" w:space="0" w:color="auto"/>
            <w:left w:val="none" w:sz="0" w:space="0" w:color="auto"/>
            <w:bottom w:val="none" w:sz="0" w:space="0" w:color="auto"/>
            <w:right w:val="none" w:sz="0" w:space="0" w:color="auto"/>
          </w:divBdr>
          <w:divsChild>
            <w:div w:id="1959755323">
              <w:marLeft w:val="0"/>
              <w:marRight w:val="0"/>
              <w:marTop w:val="0"/>
              <w:marBottom w:val="0"/>
              <w:divBdr>
                <w:top w:val="none" w:sz="0" w:space="0" w:color="auto"/>
                <w:left w:val="none" w:sz="0" w:space="0" w:color="auto"/>
                <w:bottom w:val="none" w:sz="0" w:space="0" w:color="auto"/>
                <w:right w:val="none" w:sz="0" w:space="0" w:color="auto"/>
              </w:divBdr>
            </w:div>
          </w:divsChild>
        </w:div>
        <w:div w:id="1146124062">
          <w:marLeft w:val="0"/>
          <w:marRight w:val="0"/>
          <w:marTop w:val="0"/>
          <w:marBottom w:val="0"/>
          <w:divBdr>
            <w:top w:val="none" w:sz="0" w:space="0" w:color="auto"/>
            <w:left w:val="none" w:sz="0" w:space="0" w:color="auto"/>
            <w:bottom w:val="none" w:sz="0" w:space="0" w:color="auto"/>
            <w:right w:val="none" w:sz="0" w:space="0" w:color="auto"/>
          </w:divBdr>
          <w:divsChild>
            <w:div w:id="1209491578">
              <w:marLeft w:val="0"/>
              <w:marRight w:val="0"/>
              <w:marTop w:val="0"/>
              <w:marBottom w:val="0"/>
              <w:divBdr>
                <w:top w:val="none" w:sz="0" w:space="0" w:color="auto"/>
                <w:left w:val="none" w:sz="0" w:space="0" w:color="auto"/>
                <w:bottom w:val="none" w:sz="0" w:space="0" w:color="auto"/>
                <w:right w:val="none" w:sz="0" w:space="0" w:color="auto"/>
              </w:divBdr>
            </w:div>
          </w:divsChild>
        </w:div>
        <w:div w:id="1156263729">
          <w:marLeft w:val="0"/>
          <w:marRight w:val="0"/>
          <w:marTop w:val="0"/>
          <w:marBottom w:val="0"/>
          <w:divBdr>
            <w:top w:val="none" w:sz="0" w:space="0" w:color="auto"/>
            <w:left w:val="none" w:sz="0" w:space="0" w:color="auto"/>
            <w:bottom w:val="none" w:sz="0" w:space="0" w:color="auto"/>
            <w:right w:val="none" w:sz="0" w:space="0" w:color="auto"/>
          </w:divBdr>
          <w:divsChild>
            <w:div w:id="1964537342">
              <w:marLeft w:val="0"/>
              <w:marRight w:val="0"/>
              <w:marTop w:val="0"/>
              <w:marBottom w:val="0"/>
              <w:divBdr>
                <w:top w:val="none" w:sz="0" w:space="0" w:color="auto"/>
                <w:left w:val="none" w:sz="0" w:space="0" w:color="auto"/>
                <w:bottom w:val="none" w:sz="0" w:space="0" w:color="auto"/>
                <w:right w:val="none" w:sz="0" w:space="0" w:color="auto"/>
              </w:divBdr>
            </w:div>
          </w:divsChild>
        </w:div>
        <w:div w:id="1167207907">
          <w:marLeft w:val="0"/>
          <w:marRight w:val="0"/>
          <w:marTop w:val="0"/>
          <w:marBottom w:val="0"/>
          <w:divBdr>
            <w:top w:val="none" w:sz="0" w:space="0" w:color="auto"/>
            <w:left w:val="none" w:sz="0" w:space="0" w:color="auto"/>
            <w:bottom w:val="none" w:sz="0" w:space="0" w:color="auto"/>
            <w:right w:val="none" w:sz="0" w:space="0" w:color="auto"/>
          </w:divBdr>
          <w:divsChild>
            <w:div w:id="41826503">
              <w:marLeft w:val="0"/>
              <w:marRight w:val="0"/>
              <w:marTop w:val="0"/>
              <w:marBottom w:val="0"/>
              <w:divBdr>
                <w:top w:val="none" w:sz="0" w:space="0" w:color="auto"/>
                <w:left w:val="none" w:sz="0" w:space="0" w:color="auto"/>
                <w:bottom w:val="none" w:sz="0" w:space="0" w:color="auto"/>
                <w:right w:val="none" w:sz="0" w:space="0" w:color="auto"/>
              </w:divBdr>
            </w:div>
          </w:divsChild>
        </w:div>
        <w:div w:id="1197545724">
          <w:marLeft w:val="0"/>
          <w:marRight w:val="0"/>
          <w:marTop w:val="0"/>
          <w:marBottom w:val="0"/>
          <w:divBdr>
            <w:top w:val="none" w:sz="0" w:space="0" w:color="auto"/>
            <w:left w:val="none" w:sz="0" w:space="0" w:color="auto"/>
            <w:bottom w:val="none" w:sz="0" w:space="0" w:color="auto"/>
            <w:right w:val="none" w:sz="0" w:space="0" w:color="auto"/>
          </w:divBdr>
          <w:divsChild>
            <w:div w:id="1864827963">
              <w:marLeft w:val="0"/>
              <w:marRight w:val="0"/>
              <w:marTop w:val="0"/>
              <w:marBottom w:val="0"/>
              <w:divBdr>
                <w:top w:val="none" w:sz="0" w:space="0" w:color="auto"/>
                <w:left w:val="none" w:sz="0" w:space="0" w:color="auto"/>
                <w:bottom w:val="none" w:sz="0" w:space="0" w:color="auto"/>
                <w:right w:val="none" w:sz="0" w:space="0" w:color="auto"/>
              </w:divBdr>
            </w:div>
          </w:divsChild>
        </w:div>
        <w:div w:id="1285698466">
          <w:marLeft w:val="0"/>
          <w:marRight w:val="0"/>
          <w:marTop w:val="0"/>
          <w:marBottom w:val="0"/>
          <w:divBdr>
            <w:top w:val="none" w:sz="0" w:space="0" w:color="auto"/>
            <w:left w:val="none" w:sz="0" w:space="0" w:color="auto"/>
            <w:bottom w:val="none" w:sz="0" w:space="0" w:color="auto"/>
            <w:right w:val="none" w:sz="0" w:space="0" w:color="auto"/>
          </w:divBdr>
          <w:divsChild>
            <w:div w:id="269314828">
              <w:marLeft w:val="0"/>
              <w:marRight w:val="0"/>
              <w:marTop w:val="0"/>
              <w:marBottom w:val="0"/>
              <w:divBdr>
                <w:top w:val="none" w:sz="0" w:space="0" w:color="auto"/>
                <w:left w:val="none" w:sz="0" w:space="0" w:color="auto"/>
                <w:bottom w:val="none" w:sz="0" w:space="0" w:color="auto"/>
                <w:right w:val="none" w:sz="0" w:space="0" w:color="auto"/>
              </w:divBdr>
            </w:div>
          </w:divsChild>
        </w:div>
        <w:div w:id="1303542066">
          <w:marLeft w:val="0"/>
          <w:marRight w:val="0"/>
          <w:marTop w:val="0"/>
          <w:marBottom w:val="0"/>
          <w:divBdr>
            <w:top w:val="none" w:sz="0" w:space="0" w:color="auto"/>
            <w:left w:val="none" w:sz="0" w:space="0" w:color="auto"/>
            <w:bottom w:val="none" w:sz="0" w:space="0" w:color="auto"/>
            <w:right w:val="none" w:sz="0" w:space="0" w:color="auto"/>
          </w:divBdr>
          <w:divsChild>
            <w:div w:id="1286734934">
              <w:marLeft w:val="0"/>
              <w:marRight w:val="0"/>
              <w:marTop w:val="0"/>
              <w:marBottom w:val="0"/>
              <w:divBdr>
                <w:top w:val="none" w:sz="0" w:space="0" w:color="auto"/>
                <w:left w:val="none" w:sz="0" w:space="0" w:color="auto"/>
                <w:bottom w:val="none" w:sz="0" w:space="0" w:color="auto"/>
                <w:right w:val="none" w:sz="0" w:space="0" w:color="auto"/>
              </w:divBdr>
            </w:div>
          </w:divsChild>
        </w:div>
        <w:div w:id="1304971139">
          <w:marLeft w:val="0"/>
          <w:marRight w:val="0"/>
          <w:marTop w:val="0"/>
          <w:marBottom w:val="0"/>
          <w:divBdr>
            <w:top w:val="none" w:sz="0" w:space="0" w:color="auto"/>
            <w:left w:val="none" w:sz="0" w:space="0" w:color="auto"/>
            <w:bottom w:val="none" w:sz="0" w:space="0" w:color="auto"/>
            <w:right w:val="none" w:sz="0" w:space="0" w:color="auto"/>
          </w:divBdr>
          <w:divsChild>
            <w:div w:id="55247584">
              <w:marLeft w:val="0"/>
              <w:marRight w:val="0"/>
              <w:marTop w:val="0"/>
              <w:marBottom w:val="0"/>
              <w:divBdr>
                <w:top w:val="none" w:sz="0" w:space="0" w:color="auto"/>
                <w:left w:val="none" w:sz="0" w:space="0" w:color="auto"/>
                <w:bottom w:val="none" w:sz="0" w:space="0" w:color="auto"/>
                <w:right w:val="none" w:sz="0" w:space="0" w:color="auto"/>
              </w:divBdr>
            </w:div>
          </w:divsChild>
        </w:div>
        <w:div w:id="1361515074">
          <w:marLeft w:val="0"/>
          <w:marRight w:val="0"/>
          <w:marTop w:val="0"/>
          <w:marBottom w:val="0"/>
          <w:divBdr>
            <w:top w:val="none" w:sz="0" w:space="0" w:color="auto"/>
            <w:left w:val="none" w:sz="0" w:space="0" w:color="auto"/>
            <w:bottom w:val="none" w:sz="0" w:space="0" w:color="auto"/>
            <w:right w:val="none" w:sz="0" w:space="0" w:color="auto"/>
          </w:divBdr>
          <w:divsChild>
            <w:div w:id="432015413">
              <w:marLeft w:val="0"/>
              <w:marRight w:val="0"/>
              <w:marTop w:val="0"/>
              <w:marBottom w:val="0"/>
              <w:divBdr>
                <w:top w:val="none" w:sz="0" w:space="0" w:color="auto"/>
                <w:left w:val="none" w:sz="0" w:space="0" w:color="auto"/>
                <w:bottom w:val="none" w:sz="0" w:space="0" w:color="auto"/>
                <w:right w:val="none" w:sz="0" w:space="0" w:color="auto"/>
              </w:divBdr>
            </w:div>
          </w:divsChild>
        </w:div>
        <w:div w:id="1416439277">
          <w:marLeft w:val="0"/>
          <w:marRight w:val="0"/>
          <w:marTop w:val="0"/>
          <w:marBottom w:val="0"/>
          <w:divBdr>
            <w:top w:val="none" w:sz="0" w:space="0" w:color="auto"/>
            <w:left w:val="none" w:sz="0" w:space="0" w:color="auto"/>
            <w:bottom w:val="none" w:sz="0" w:space="0" w:color="auto"/>
            <w:right w:val="none" w:sz="0" w:space="0" w:color="auto"/>
          </w:divBdr>
          <w:divsChild>
            <w:div w:id="846142131">
              <w:marLeft w:val="0"/>
              <w:marRight w:val="0"/>
              <w:marTop w:val="0"/>
              <w:marBottom w:val="0"/>
              <w:divBdr>
                <w:top w:val="none" w:sz="0" w:space="0" w:color="auto"/>
                <w:left w:val="none" w:sz="0" w:space="0" w:color="auto"/>
                <w:bottom w:val="none" w:sz="0" w:space="0" w:color="auto"/>
                <w:right w:val="none" w:sz="0" w:space="0" w:color="auto"/>
              </w:divBdr>
            </w:div>
          </w:divsChild>
        </w:div>
        <w:div w:id="1428426032">
          <w:marLeft w:val="0"/>
          <w:marRight w:val="0"/>
          <w:marTop w:val="0"/>
          <w:marBottom w:val="0"/>
          <w:divBdr>
            <w:top w:val="none" w:sz="0" w:space="0" w:color="auto"/>
            <w:left w:val="none" w:sz="0" w:space="0" w:color="auto"/>
            <w:bottom w:val="none" w:sz="0" w:space="0" w:color="auto"/>
            <w:right w:val="none" w:sz="0" w:space="0" w:color="auto"/>
          </w:divBdr>
          <w:divsChild>
            <w:div w:id="524056456">
              <w:marLeft w:val="0"/>
              <w:marRight w:val="0"/>
              <w:marTop w:val="0"/>
              <w:marBottom w:val="0"/>
              <w:divBdr>
                <w:top w:val="none" w:sz="0" w:space="0" w:color="auto"/>
                <w:left w:val="none" w:sz="0" w:space="0" w:color="auto"/>
                <w:bottom w:val="none" w:sz="0" w:space="0" w:color="auto"/>
                <w:right w:val="none" w:sz="0" w:space="0" w:color="auto"/>
              </w:divBdr>
            </w:div>
          </w:divsChild>
        </w:div>
        <w:div w:id="1438524278">
          <w:marLeft w:val="0"/>
          <w:marRight w:val="0"/>
          <w:marTop w:val="0"/>
          <w:marBottom w:val="0"/>
          <w:divBdr>
            <w:top w:val="none" w:sz="0" w:space="0" w:color="auto"/>
            <w:left w:val="none" w:sz="0" w:space="0" w:color="auto"/>
            <w:bottom w:val="none" w:sz="0" w:space="0" w:color="auto"/>
            <w:right w:val="none" w:sz="0" w:space="0" w:color="auto"/>
          </w:divBdr>
          <w:divsChild>
            <w:div w:id="155652593">
              <w:marLeft w:val="0"/>
              <w:marRight w:val="0"/>
              <w:marTop w:val="0"/>
              <w:marBottom w:val="0"/>
              <w:divBdr>
                <w:top w:val="none" w:sz="0" w:space="0" w:color="auto"/>
                <w:left w:val="none" w:sz="0" w:space="0" w:color="auto"/>
                <w:bottom w:val="none" w:sz="0" w:space="0" w:color="auto"/>
                <w:right w:val="none" w:sz="0" w:space="0" w:color="auto"/>
              </w:divBdr>
            </w:div>
          </w:divsChild>
        </w:div>
        <w:div w:id="1451391306">
          <w:marLeft w:val="0"/>
          <w:marRight w:val="0"/>
          <w:marTop w:val="0"/>
          <w:marBottom w:val="0"/>
          <w:divBdr>
            <w:top w:val="none" w:sz="0" w:space="0" w:color="auto"/>
            <w:left w:val="none" w:sz="0" w:space="0" w:color="auto"/>
            <w:bottom w:val="none" w:sz="0" w:space="0" w:color="auto"/>
            <w:right w:val="none" w:sz="0" w:space="0" w:color="auto"/>
          </w:divBdr>
          <w:divsChild>
            <w:div w:id="665597207">
              <w:marLeft w:val="0"/>
              <w:marRight w:val="0"/>
              <w:marTop w:val="0"/>
              <w:marBottom w:val="0"/>
              <w:divBdr>
                <w:top w:val="none" w:sz="0" w:space="0" w:color="auto"/>
                <w:left w:val="none" w:sz="0" w:space="0" w:color="auto"/>
                <w:bottom w:val="none" w:sz="0" w:space="0" w:color="auto"/>
                <w:right w:val="none" w:sz="0" w:space="0" w:color="auto"/>
              </w:divBdr>
            </w:div>
          </w:divsChild>
        </w:div>
        <w:div w:id="1566992752">
          <w:marLeft w:val="0"/>
          <w:marRight w:val="0"/>
          <w:marTop w:val="0"/>
          <w:marBottom w:val="0"/>
          <w:divBdr>
            <w:top w:val="none" w:sz="0" w:space="0" w:color="auto"/>
            <w:left w:val="none" w:sz="0" w:space="0" w:color="auto"/>
            <w:bottom w:val="none" w:sz="0" w:space="0" w:color="auto"/>
            <w:right w:val="none" w:sz="0" w:space="0" w:color="auto"/>
          </w:divBdr>
          <w:divsChild>
            <w:div w:id="510611033">
              <w:marLeft w:val="0"/>
              <w:marRight w:val="0"/>
              <w:marTop w:val="0"/>
              <w:marBottom w:val="0"/>
              <w:divBdr>
                <w:top w:val="none" w:sz="0" w:space="0" w:color="auto"/>
                <w:left w:val="none" w:sz="0" w:space="0" w:color="auto"/>
                <w:bottom w:val="none" w:sz="0" w:space="0" w:color="auto"/>
                <w:right w:val="none" w:sz="0" w:space="0" w:color="auto"/>
              </w:divBdr>
            </w:div>
          </w:divsChild>
        </w:div>
        <w:div w:id="1631746621">
          <w:marLeft w:val="0"/>
          <w:marRight w:val="0"/>
          <w:marTop w:val="0"/>
          <w:marBottom w:val="0"/>
          <w:divBdr>
            <w:top w:val="none" w:sz="0" w:space="0" w:color="auto"/>
            <w:left w:val="none" w:sz="0" w:space="0" w:color="auto"/>
            <w:bottom w:val="none" w:sz="0" w:space="0" w:color="auto"/>
            <w:right w:val="none" w:sz="0" w:space="0" w:color="auto"/>
          </w:divBdr>
          <w:divsChild>
            <w:div w:id="643317904">
              <w:marLeft w:val="0"/>
              <w:marRight w:val="0"/>
              <w:marTop w:val="0"/>
              <w:marBottom w:val="0"/>
              <w:divBdr>
                <w:top w:val="none" w:sz="0" w:space="0" w:color="auto"/>
                <w:left w:val="none" w:sz="0" w:space="0" w:color="auto"/>
                <w:bottom w:val="none" w:sz="0" w:space="0" w:color="auto"/>
                <w:right w:val="none" w:sz="0" w:space="0" w:color="auto"/>
              </w:divBdr>
            </w:div>
          </w:divsChild>
        </w:div>
        <w:div w:id="1633364520">
          <w:marLeft w:val="0"/>
          <w:marRight w:val="0"/>
          <w:marTop w:val="0"/>
          <w:marBottom w:val="0"/>
          <w:divBdr>
            <w:top w:val="none" w:sz="0" w:space="0" w:color="auto"/>
            <w:left w:val="none" w:sz="0" w:space="0" w:color="auto"/>
            <w:bottom w:val="none" w:sz="0" w:space="0" w:color="auto"/>
            <w:right w:val="none" w:sz="0" w:space="0" w:color="auto"/>
          </w:divBdr>
          <w:divsChild>
            <w:div w:id="1087656648">
              <w:marLeft w:val="0"/>
              <w:marRight w:val="0"/>
              <w:marTop w:val="0"/>
              <w:marBottom w:val="0"/>
              <w:divBdr>
                <w:top w:val="none" w:sz="0" w:space="0" w:color="auto"/>
                <w:left w:val="none" w:sz="0" w:space="0" w:color="auto"/>
                <w:bottom w:val="none" w:sz="0" w:space="0" w:color="auto"/>
                <w:right w:val="none" w:sz="0" w:space="0" w:color="auto"/>
              </w:divBdr>
            </w:div>
          </w:divsChild>
        </w:div>
        <w:div w:id="1638754858">
          <w:marLeft w:val="0"/>
          <w:marRight w:val="0"/>
          <w:marTop w:val="0"/>
          <w:marBottom w:val="0"/>
          <w:divBdr>
            <w:top w:val="none" w:sz="0" w:space="0" w:color="auto"/>
            <w:left w:val="none" w:sz="0" w:space="0" w:color="auto"/>
            <w:bottom w:val="none" w:sz="0" w:space="0" w:color="auto"/>
            <w:right w:val="none" w:sz="0" w:space="0" w:color="auto"/>
          </w:divBdr>
          <w:divsChild>
            <w:div w:id="649604392">
              <w:marLeft w:val="0"/>
              <w:marRight w:val="0"/>
              <w:marTop w:val="0"/>
              <w:marBottom w:val="0"/>
              <w:divBdr>
                <w:top w:val="none" w:sz="0" w:space="0" w:color="auto"/>
                <w:left w:val="none" w:sz="0" w:space="0" w:color="auto"/>
                <w:bottom w:val="none" w:sz="0" w:space="0" w:color="auto"/>
                <w:right w:val="none" w:sz="0" w:space="0" w:color="auto"/>
              </w:divBdr>
            </w:div>
          </w:divsChild>
        </w:div>
        <w:div w:id="1646621933">
          <w:marLeft w:val="0"/>
          <w:marRight w:val="0"/>
          <w:marTop w:val="0"/>
          <w:marBottom w:val="0"/>
          <w:divBdr>
            <w:top w:val="none" w:sz="0" w:space="0" w:color="auto"/>
            <w:left w:val="none" w:sz="0" w:space="0" w:color="auto"/>
            <w:bottom w:val="none" w:sz="0" w:space="0" w:color="auto"/>
            <w:right w:val="none" w:sz="0" w:space="0" w:color="auto"/>
          </w:divBdr>
          <w:divsChild>
            <w:div w:id="614676693">
              <w:marLeft w:val="0"/>
              <w:marRight w:val="0"/>
              <w:marTop w:val="0"/>
              <w:marBottom w:val="0"/>
              <w:divBdr>
                <w:top w:val="none" w:sz="0" w:space="0" w:color="auto"/>
                <w:left w:val="none" w:sz="0" w:space="0" w:color="auto"/>
                <w:bottom w:val="none" w:sz="0" w:space="0" w:color="auto"/>
                <w:right w:val="none" w:sz="0" w:space="0" w:color="auto"/>
              </w:divBdr>
            </w:div>
          </w:divsChild>
        </w:div>
        <w:div w:id="1696227429">
          <w:marLeft w:val="0"/>
          <w:marRight w:val="0"/>
          <w:marTop w:val="0"/>
          <w:marBottom w:val="0"/>
          <w:divBdr>
            <w:top w:val="none" w:sz="0" w:space="0" w:color="auto"/>
            <w:left w:val="none" w:sz="0" w:space="0" w:color="auto"/>
            <w:bottom w:val="none" w:sz="0" w:space="0" w:color="auto"/>
            <w:right w:val="none" w:sz="0" w:space="0" w:color="auto"/>
          </w:divBdr>
          <w:divsChild>
            <w:div w:id="1955358920">
              <w:marLeft w:val="0"/>
              <w:marRight w:val="0"/>
              <w:marTop w:val="0"/>
              <w:marBottom w:val="0"/>
              <w:divBdr>
                <w:top w:val="none" w:sz="0" w:space="0" w:color="auto"/>
                <w:left w:val="none" w:sz="0" w:space="0" w:color="auto"/>
                <w:bottom w:val="none" w:sz="0" w:space="0" w:color="auto"/>
                <w:right w:val="none" w:sz="0" w:space="0" w:color="auto"/>
              </w:divBdr>
            </w:div>
          </w:divsChild>
        </w:div>
        <w:div w:id="1780372694">
          <w:marLeft w:val="0"/>
          <w:marRight w:val="0"/>
          <w:marTop w:val="0"/>
          <w:marBottom w:val="0"/>
          <w:divBdr>
            <w:top w:val="none" w:sz="0" w:space="0" w:color="auto"/>
            <w:left w:val="none" w:sz="0" w:space="0" w:color="auto"/>
            <w:bottom w:val="none" w:sz="0" w:space="0" w:color="auto"/>
            <w:right w:val="none" w:sz="0" w:space="0" w:color="auto"/>
          </w:divBdr>
          <w:divsChild>
            <w:div w:id="1205559522">
              <w:marLeft w:val="0"/>
              <w:marRight w:val="0"/>
              <w:marTop w:val="0"/>
              <w:marBottom w:val="0"/>
              <w:divBdr>
                <w:top w:val="none" w:sz="0" w:space="0" w:color="auto"/>
                <w:left w:val="none" w:sz="0" w:space="0" w:color="auto"/>
                <w:bottom w:val="none" w:sz="0" w:space="0" w:color="auto"/>
                <w:right w:val="none" w:sz="0" w:space="0" w:color="auto"/>
              </w:divBdr>
            </w:div>
          </w:divsChild>
        </w:div>
        <w:div w:id="1799686853">
          <w:marLeft w:val="0"/>
          <w:marRight w:val="0"/>
          <w:marTop w:val="0"/>
          <w:marBottom w:val="0"/>
          <w:divBdr>
            <w:top w:val="none" w:sz="0" w:space="0" w:color="auto"/>
            <w:left w:val="none" w:sz="0" w:space="0" w:color="auto"/>
            <w:bottom w:val="none" w:sz="0" w:space="0" w:color="auto"/>
            <w:right w:val="none" w:sz="0" w:space="0" w:color="auto"/>
          </w:divBdr>
          <w:divsChild>
            <w:div w:id="446320148">
              <w:marLeft w:val="0"/>
              <w:marRight w:val="0"/>
              <w:marTop w:val="0"/>
              <w:marBottom w:val="0"/>
              <w:divBdr>
                <w:top w:val="none" w:sz="0" w:space="0" w:color="auto"/>
                <w:left w:val="none" w:sz="0" w:space="0" w:color="auto"/>
                <w:bottom w:val="none" w:sz="0" w:space="0" w:color="auto"/>
                <w:right w:val="none" w:sz="0" w:space="0" w:color="auto"/>
              </w:divBdr>
            </w:div>
          </w:divsChild>
        </w:div>
        <w:div w:id="1813133330">
          <w:marLeft w:val="0"/>
          <w:marRight w:val="0"/>
          <w:marTop w:val="0"/>
          <w:marBottom w:val="0"/>
          <w:divBdr>
            <w:top w:val="none" w:sz="0" w:space="0" w:color="auto"/>
            <w:left w:val="none" w:sz="0" w:space="0" w:color="auto"/>
            <w:bottom w:val="none" w:sz="0" w:space="0" w:color="auto"/>
            <w:right w:val="none" w:sz="0" w:space="0" w:color="auto"/>
          </w:divBdr>
          <w:divsChild>
            <w:div w:id="413478741">
              <w:marLeft w:val="0"/>
              <w:marRight w:val="0"/>
              <w:marTop w:val="0"/>
              <w:marBottom w:val="0"/>
              <w:divBdr>
                <w:top w:val="none" w:sz="0" w:space="0" w:color="auto"/>
                <w:left w:val="none" w:sz="0" w:space="0" w:color="auto"/>
                <w:bottom w:val="none" w:sz="0" w:space="0" w:color="auto"/>
                <w:right w:val="none" w:sz="0" w:space="0" w:color="auto"/>
              </w:divBdr>
            </w:div>
          </w:divsChild>
        </w:div>
        <w:div w:id="1854147153">
          <w:marLeft w:val="0"/>
          <w:marRight w:val="0"/>
          <w:marTop w:val="0"/>
          <w:marBottom w:val="0"/>
          <w:divBdr>
            <w:top w:val="none" w:sz="0" w:space="0" w:color="auto"/>
            <w:left w:val="none" w:sz="0" w:space="0" w:color="auto"/>
            <w:bottom w:val="none" w:sz="0" w:space="0" w:color="auto"/>
            <w:right w:val="none" w:sz="0" w:space="0" w:color="auto"/>
          </w:divBdr>
          <w:divsChild>
            <w:div w:id="1179469134">
              <w:marLeft w:val="0"/>
              <w:marRight w:val="0"/>
              <w:marTop w:val="0"/>
              <w:marBottom w:val="0"/>
              <w:divBdr>
                <w:top w:val="none" w:sz="0" w:space="0" w:color="auto"/>
                <w:left w:val="none" w:sz="0" w:space="0" w:color="auto"/>
                <w:bottom w:val="none" w:sz="0" w:space="0" w:color="auto"/>
                <w:right w:val="none" w:sz="0" w:space="0" w:color="auto"/>
              </w:divBdr>
            </w:div>
          </w:divsChild>
        </w:div>
        <w:div w:id="1863013149">
          <w:marLeft w:val="0"/>
          <w:marRight w:val="0"/>
          <w:marTop w:val="0"/>
          <w:marBottom w:val="0"/>
          <w:divBdr>
            <w:top w:val="none" w:sz="0" w:space="0" w:color="auto"/>
            <w:left w:val="none" w:sz="0" w:space="0" w:color="auto"/>
            <w:bottom w:val="none" w:sz="0" w:space="0" w:color="auto"/>
            <w:right w:val="none" w:sz="0" w:space="0" w:color="auto"/>
          </w:divBdr>
          <w:divsChild>
            <w:div w:id="113791495">
              <w:marLeft w:val="0"/>
              <w:marRight w:val="0"/>
              <w:marTop w:val="0"/>
              <w:marBottom w:val="0"/>
              <w:divBdr>
                <w:top w:val="none" w:sz="0" w:space="0" w:color="auto"/>
                <w:left w:val="none" w:sz="0" w:space="0" w:color="auto"/>
                <w:bottom w:val="none" w:sz="0" w:space="0" w:color="auto"/>
                <w:right w:val="none" w:sz="0" w:space="0" w:color="auto"/>
              </w:divBdr>
            </w:div>
          </w:divsChild>
        </w:div>
        <w:div w:id="1890796980">
          <w:marLeft w:val="0"/>
          <w:marRight w:val="0"/>
          <w:marTop w:val="0"/>
          <w:marBottom w:val="0"/>
          <w:divBdr>
            <w:top w:val="none" w:sz="0" w:space="0" w:color="auto"/>
            <w:left w:val="none" w:sz="0" w:space="0" w:color="auto"/>
            <w:bottom w:val="none" w:sz="0" w:space="0" w:color="auto"/>
            <w:right w:val="none" w:sz="0" w:space="0" w:color="auto"/>
          </w:divBdr>
          <w:divsChild>
            <w:div w:id="2018270044">
              <w:marLeft w:val="0"/>
              <w:marRight w:val="0"/>
              <w:marTop w:val="0"/>
              <w:marBottom w:val="0"/>
              <w:divBdr>
                <w:top w:val="none" w:sz="0" w:space="0" w:color="auto"/>
                <w:left w:val="none" w:sz="0" w:space="0" w:color="auto"/>
                <w:bottom w:val="none" w:sz="0" w:space="0" w:color="auto"/>
                <w:right w:val="none" w:sz="0" w:space="0" w:color="auto"/>
              </w:divBdr>
            </w:div>
          </w:divsChild>
        </w:div>
        <w:div w:id="2061855956">
          <w:marLeft w:val="0"/>
          <w:marRight w:val="0"/>
          <w:marTop w:val="0"/>
          <w:marBottom w:val="0"/>
          <w:divBdr>
            <w:top w:val="none" w:sz="0" w:space="0" w:color="auto"/>
            <w:left w:val="none" w:sz="0" w:space="0" w:color="auto"/>
            <w:bottom w:val="none" w:sz="0" w:space="0" w:color="auto"/>
            <w:right w:val="none" w:sz="0" w:space="0" w:color="auto"/>
          </w:divBdr>
          <w:divsChild>
            <w:div w:id="328869497">
              <w:marLeft w:val="0"/>
              <w:marRight w:val="0"/>
              <w:marTop w:val="0"/>
              <w:marBottom w:val="0"/>
              <w:divBdr>
                <w:top w:val="none" w:sz="0" w:space="0" w:color="auto"/>
                <w:left w:val="none" w:sz="0" w:space="0" w:color="auto"/>
                <w:bottom w:val="none" w:sz="0" w:space="0" w:color="auto"/>
                <w:right w:val="none" w:sz="0" w:space="0" w:color="auto"/>
              </w:divBdr>
            </w:div>
          </w:divsChild>
        </w:div>
        <w:div w:id="2121754138">
          <w:marLeft w:val="0"/>
          <w:marRight w:val="0"/>
          <w:marTop w:val="0"/>
          <w:marBottom w:val="0"/>
          <w:divBdr>
            <w:top w:val="none" w:sz="0" w:space="0" w:color="auto"/>
            <w:left w:val="none" w:sz="0" w:space="0" w:color="auto"/>
            <w:bottom w:val="none" w:sz="0" w:space="0" w:color="auto"/>
            <w:right w:val="none" w:sz="0" w:space="0" w:color="auto"/>
          </w:divBdr>
          <w:divsChild>
            <w:div w:id="44126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29117">
      <w:bodyDiv w:val="1"/>
      <w:marLeft w:val="0"/>
      <w:marRight w:val="0"/>
      <w:marTop w:val="0"/>
      <w:marBottom w:val="0"/>
      <w:divBdr>
        <w:top w:val="none" w:sz="0" w:space="0" w:color="auto"/>
        <w:left w:val="none" w:sz="0" w:space="0" w:color="auto"/>
        <w:bottom w:val="none" w:sz="0" w:space="0" w:color="auto"/>
        <w:right w:val="none" w:sz="0" w:space="0" w:color="auto"/>
      </w:divBdr>
      <w:divsChild>
        <w:div w:id="924531016">
          <w:marLeft w:val="547"/>
          <w:marRight w:val="0"/>
          <w:marTop w:val="0"/>
          <w:marBottom w:val="0"/>
          <w:divBdr>
            <w:top w:val="none" w:sz="0" w:space="0" w:color="auto"/>
            <w:left w:val="none" w:sz="0" w:space="0" w:color="auto"/>
            <w:bottom w:val="none" w:sz="0" w:space="0" w:color="auto"/>
            <w:right w:val="none" w:sz="0" w:space="0" w:color="auto"/>
          </w:divBdr>
        </w:div>
      </w:divsChild>
    </w:div>
    <w:div w:id="292176406">
      <w:bodyDiv w:val="1"/>
      <w:marLeft w:val="0"/>
      <w:marRight w:val="0"/>
      <w:marTop w:val="0"/>
      <w:marBottom w:val="0"/>
      <w:divBdr>
        <w:top w:val="none" w:sz="0" w:space="0" w:color="auto"/>
        <w:left w:val="none" w:sz="0" w:space="0" w:color="auto"/>
        <w:bottom w:val="none" w:sz="0" w:space="0" w:color="auto"/>
        <w:right w:val="none" w:sz="0" w:space="0" w:color="auto"/>
      </w:divBdr>
      <w:divsChild>
        <w:div w:id="1648168711">
          <w:marLeft w:val="547"/>
          <w:marRight w:val="0"/>
          <w:marTop w:val="0"/>
          <w:marBottom w:val="0"/>
          <w:divBdr>
            <w:top w:val="none" w:sz="0" w:space="0" w:color="auto"/>
            <w:left w:val="none" w:sz="0" w:space="0" w:color="auto"/>
            <w:bottom w:val="none" w:sz="0" w:space="0" w:color="auto"/>
            <w:right w:val="none" w:sz="0" w:space="0" w:color="auto"/>
          </w:divBdr>
        </w:div>
      </w:divsChild>
    </w:div>
    <w:div w:id="368067152">
      <w:bodyDiv w:val="1"/>
      <w:marLeft w:val="0"/>
      <w:marRight w:val="0"/>
      <w:marTop w:val="0"/>
      <w:marBottom w:val="0"/>
      <w:divBdr>
        <w:top w:val="none" w:sz="0" w:space="0" w:color="auto"/>
        <w:left w:val="none" w:sz="0" w:space="0" w:color="auto"/>
        <w:bottom w:val="none" w:sz="0" w:space="0" w:color="auto"/>
        <w:right w:val="none" w:sz="0" w:space="0" w:color="auto"/>
      </w:divBdr>
      <w:divsChild>
        <w:div w:id="139538905">
          <w:marLeft w:val="0"/>
          <w:marRight w:val="0"/>
          <w:marTop w:val="0"/>
          <w:marBottom w:val="0"/>
          <w:divBdr>
            <w:top w:val="none" w:sz="0" w:space="0" w:color="auto"/>
            <w:left w:val="none" w:sz="0" w:space="0" w:color="auto"/>
            <w:bottom w:val="none" w:sz="0" w:space="0" w:color="auto"/>
            <w:right w:val="none" w:sz="0" w:space="0" w:color="auto"/>
          </w:divBdr>
          <w:divsChild>
            <w:div w:id="68479342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sChild>
            <w:div w:id="1015696176">
              <w:marLeft w:val="0"/>
              <w:marRight w:val="0"/>
              <w:marTop w:val="0"/>
              <w:marBottom w:val="0"/>
              <w:divBdr>
                <w:top w:val="none" w:sz="0" w:space="0" w:color="auto"/>
                <w:left w:val="none" w:sz="0" w:space="0" w:color="auto"/>
                <w:bottom w:val="none" w:sz="0" w:space="0" w:color="auto"/>
                <w:right w:val="none" w:sz="0" w:space="0" w:color="auto"/>
              </w:divBdr>
            </w:div>
          </w:divsChild>
        </w:div>
        <w:div w:id="513693129">
          <w:marLeft w:val="0"/>
          <w:marRight w:val="0"/>
          <w:marTop w:val="0"/>
          <w:marBottom w:val="0"/>
          <w:divBdr>
            <w:top w:val="none" w:sz="0" w:space="0" w:color="auto"/>
            <w:left w:val="none" w:sz="0" w:space="0" w:color="auto"/>
            <w:bottom w:val="none" w:sz="0" w:space="0" w:color="auto"/>
            <w:right w:val="none" w:sz="0" w:space="0" w:color="auto"/>
          </w:divBdr>
          <w:divsChild>
            <w:div w:id="521474750">
              <w:marLeft w:val="0"/>
              <w:marRight w:val="0"/>
              <w:marTop w:val="0"/>
              <w:marBottom w:val="0"/>
              <w:divBdr>
                <w:top w:val="none" w:sz="0" w:space="0" w:color="auto"/>
                <w:left w:val="none" w:sz="0" w:space="0" w:color="auto"/>
                <w:bottom w:val="none" w:sz="0" w:space="0" w:color="auto"/>
                <w:right w:val="none" w:sz="0" w:space="0" w:color="auto"/>
              </w:divBdr>
            </w:div>
          </w:divsChild>
        </w:div>
        <w:div w:id="614023307">
          <w:marLeft w:val="0"/>
          <w:marRight w:val="0"/>
          <w:marTop w:val="0"/>
          <w:marBottom w:val="0"/>
          <w:divBdr>
            <w:top w:val="none" w:sz="0" w:space="0" w:color="auto"/>
            <w:left w:val="none" w:sz="0" w:space="0" w:color="auto"/>
            <w:bottom w:val="none" w:sz="0" w:space="0" w:color="auto"/>
            <w:right w:val="none" w:sz="0" w:space="0" w:color="auto"/>
          </w:divBdr>
          <w:divsChild>
            <w:div w:id="408964202">
              <w:marLeft w:val="0"/>
              <w:marRight w:val="0"/>
              <w:marTop w:val="0"/>
              <w:marBottom w:val="0"/>
              <w:divBdr>
                <w:top w:val="none" w:sz="0" w:space="0" w:color="auto"/>
                <w:left w:val="none" w:sz="0" w:space="0" w:color="auto"/>
                <w:bottom w:val="none" w:sz="0" w:space="0" w:color="auto"/>
                <w:right w:val="none" w:sz="0" w:space="0" w:color="auto"/>
              </w:divBdr>
            </w:div>
          </w:divsChild>
        </w:div>
        <w:div w:id="739523451">
          <w:marLeft w:val="0"/>
          <w:marRight w:val="0"/>
          <w:marTop w:val="0"/>
          <w:marBottom w:val="0"/>
          <w:divBdr>
            <w:top w:val="none" w:sz="0" w:space="0" w:color="auto"/>
            <w:left w:val="none" w:sz="0" w:space="0" w:color="auto"/>
            <w:bottom w:val="none" w:sz="0" w:space="0" w:color="auto"/>
            <w:right w:val="none" w:sz="0" w:space="0" w:color="auto"/>
          </w:divBdr>
          <w:divsChild>
            <w:div w:id="1485001168">
              <w:marLeft w:val="0"/>
              <w:marRight w:val="0"/>
              <w:marTop w:val="0"/>
              <w:marBottom w:val="0"/>
              <w:divBdr>
                <w:top w:val="none" w:sz="0" w:space="0" w:color="auto"/>
                <w:left w:val="none" w:sz="0" w:space="0" w:color="auto"/>
                <w:bottom w:val="none" w:sz="0" w:space="0" w:color="auto"/>
                <w:right w:val="none" w:sz="0" w:space="0" w:color="auto"/>
              </w:divBdr>
            </w:div>
          </w:divsChild>
        </w:div>
        <w:div w:id="766970780">
          <w:marLeft w:val="0"/>
          <w:marRight w:val="0"/>
          <w:marTop w:val="0"/>
          <w:marBottom w:val="0"/>
          <w:divBdr>
            <w:top w:val="none" w:sz="0" w:space="0" w:color="auto"/>
            <w:left w:val="none" w:sz="0" w:space="0" w:color="auto"/>
            <w:bottom w:val="none" w:sz="0" w:space="0" w:color="auto"/>
            <w:right w:val="none" w:sz="0" w:space="0" w:color="auto"/>
          </w:divBdr>
          <w:divsChild>
            <w:div w:id="612057360">
              <w:marLeft w:val="0"/>
              <w:marRight w:val="0"/>
              <w:marTop w:val="0"/>
              <w:marBottom w:val="0"/>
              <w:divBdr>
                <w:top w:val="none" w:sz="0" w:space="0" w:color="auto"/>
                <w:left w:val="none" w:sz="0" w:space="0" w:color="auto"/>
                <w:bottom w:val="none" w:sz="0" w:space="0" w:color="auto"/>
                <w:right w:val="none" w:sz="0" w:space="0" w:color="auto"/>
              </w:divBdr>
            </w:div>
          </w:divsChild>
        </w:div>
        <w:div w:id="1051346250">
          <w:marLeft w:val="0"/>
          <w:marRight w:val="0"/>
          <w:marTop w:val="0"/>
          <w:marBottom w:val="0"/>
          <w:divBdr>
            <w:top w:val="none" w:sz="0" w:space="0" w:color="auto"/>
            <w:left w:val="none" w:sz="0" w:space="0" w:color="auto"/>
            <w:bottom w:val="none" w:sz="0" w:space="0" w:color="auto"/>
            <w:right w:val="none" w:sz="0" w:space="0" w:color="auto"/>
          </w:divBdr>
          <w:divsChild>
            <w:div w:id="361059442">
              <w:marLeft w:val="0"/>
              <w:marRight w:val="0"/>
              <w:marTop w:val="0"/>
              <w:marBottom w:val="0"/>
              <w:divBdr>
                <w:top w:val="none" w:sz="0" w:space="0" w:color="auto"/>
                <w:left w:val="none" w:sz="0" w:space="0" w:color="auto"/>
                <w:bottom w:val="none" w:sz="0" w:space="0" w:color="auto"/>
                <w:right w:val="none" w:sz="0" w:space="0" w:color="auto"/>
              </w:divBdr>
            </w:div>
          </w:divsChild>
        </w:div>
        <w:div w:id="1391803187">
          <w:marLeft w:val="0"/>
          <w:marRight w:val="0"/>
          <w:marTop w:val="0"/>
          <w:marBottom w:val="0"/>
          <w:divBdr>
            <w:top w:val="none" w:sz="0" w:space="0" w:color="auto"/>
            <w:left w:val="none" w:sz="0" w:space="0" w:color="auto"/>
            <w:bottom w:val="none" w:sz="0" w:space="0" w:color="auto"/>
            <w:right w:val="none" w:sz="0" w:space="0" w:color="auto"/>
          </w:divBdr>
          <w:divsChild>
            <w:div w:id="883448163">
              <w:marLeft w:val="0"/>
              <w:marRight w:val="0"/>
              <w:marTop w:val="0"/>
              <w:marBottom w:val="0"/>
              <w:divBdr>
                <w:top w:val="none" w:sz="0" w:space="0" w:color="auto"/>
                <w:left w:val="none" w:sz="0" w:space="0" w:color="auto"/>
                <w:bottom w:val="none" w:sz="0" w:space="0" w:color="auto"/>
                <w:right w:val="none" w:sz="0" w:space="0" w:color="auto"/>
              </w:divBdr>
            </w:div>
          </w:divsChild>
        </w:div>
        <w:div w:id="1405377088">
          <w:marLeft w:val="0"/>
          <w:marRight w:val="0"/>
          <w:marTop w:val="0"/>
          <w:marBottom w:val="0"/>
          <w:divBdr>
            <w:top w:val="none" w:sz="0" w:space="0" w:color="auto"/>
            <w:left w:val="none" w:sz="0" w:space="0" w:color="auto"/>
            <w:bottom w:val="none" w:sz="0" w:space="0" w:color="auto"/>
            <w:right w:val="none" w:sz="0" w:space="0" w:color="auto"/>
          </w:divBdr>
          <w:divsChild>
            <w:div w:id="44723166">
              <w:marLeft w:val="0"/>
              <w:marRight w:val="0"/>
              <w:marTop w:val="0"/>
              <w:marBottom w:val="0"/>
              <w:divBdr>
                <w:top w:val="none" w:sz="0" w:space="0" w:color="auto"/>
                <w:left w:val="none" w:sz="0" w:space="0" w:color="auto"/>
                <w:bottom w:val="none" w:sz="0" w:space="0" w:color="auto"/>
                <w:right w:val="none" w:sz="0" w:space="0" w:color="auto"/>
              </w:divBdr>
            </w:div>
          </w:divsChild>
        </w:div>
        <w:div w:id="1568879316">
          <w:marLeft w:val="0"/>
          <w:marRight w:val="0"/>
          <w:marTop w:val="0"/>
          <w:marBottom w:val="0"/>
          <w:divBdr>
            <w:top w:val="none" w:sz="0" w:space="0" w:color="auto"/>
            <w:left w:val="none" w:sz="0" w:space="0" w:color="auto"/>
            <w:bottom w:val="none" w:sz="0" w:space="0" w:color="auto"/>
            <w:right w:val="none" w:sz="0" w:space="0" w:color="auto"/>
          </w:divBdr>
          <w:divsChild>
            <w:div w:id="1871604629">
              <w:marLeft w:val="0"/>
              <w:marRight w:val="0"/>
              <w:marTop w:val="0"/>
              <w:marBottom w:val="0"/>
              <w:divBdr>
                <w:top w:val="none" w:sz="0" w:space="0" w:color="auto"/>
                <w:left w:val="none" w:sz="0" w:space="0" w:color="auto"/>
                <w:bottom w:val="none" w:sz="0" w:space="0" w:color="auto"/>
                <w:right w:val="none" w:sz="0" w:space="0" w:color="auto"/>
              </w:divBdr>
            </w:div>
          </w:divsChild>
        </w:div>
        <w:div w:id="1753578581">
          <w:marLeft w:val="0"/>
          <w:marRight w:val="0"/>
          <w:marTop w:val="0"/>
          <w:marBottom w:val="0"/>
          <w:divBdr>
            <w:top w:val="none" w:sz="0" w:space="0" w:color="auto"/>
            <w:left w:val="none" w:sz="0" w:space="0" w:color="auto"/>
            <w:bottom w:val="none" w:sz="0" w:space="0" w:color="auto"/>
            <w:right w:val="none" w:sz="0" w:space="0" w:color="auto"/>
          </w:divBdr>
          <w:divsChild>
            <w:div w:id="805584086">
              <w:marLeft w:val="0"/>
              <w:marRight w:val="0"/>
              <w:marTop w:val="0"/>
              <w:marBottom w:val="0"/>
              <w:divBdr>
                <w:top w:val="none" w:sz="0" w:space="0" w:color="auto"/>
                <w:left w:val="none" w:sz="0" w:space="0" w:color="auto"/>
                <w:bottom w:val="none" w:sz="0" w:space="0" w:color="auto"/>
                <w:right w:val="none" w:sz="0" w:space="0" w:color="auto"/>
              </w:divBdr>
            </w:div>
          </w:divsChild>
        </w:div>
        <w:div w:id="1835146933">
          <w:marLeft w:val="0"/>
          <w:marRight w:val="0"/>
          <w:marTop w:val="0"/>
          <w:marBottom w:val="0"/>
          <w:divBdr>
            <w:top w:val="none" w:sz="0" w:space="0" w:color="auto"/>
            <w:left w:val="none" w:sz="0" w:space="0" w:color="auto"/>
            <w:bottom w:val="none" w:sz="0" w:space="0" w:color="auto"/>
            <w:right w:val="none" w:sz="0" w:space="0" w:color="auto"/>
          </w:divBdr>
          <w:divsChild>
            <w:div w:id="1953169734">
              <w:marLeft w:val="0"/>
              <w:marRight w:val="0"/>
              <w:marTop w:val="0"/>
              <w:marBottom w:val="0"/>
              <w:divBdr>
                <w:top w:val="none" w:sz="0" w:space="0" w:color="auto"/>
                <w:left w:val="none" w:sz="0" w:space="0" w:color="auto"/>
                <w:bottom w:val="none" w:sz="0" w:space="0" w:color="auto"/>
                <w:right w:val="none" w:sz="0" w:space="0" w:color="auto"/>
              </w:divBdr>
            </w:div>
          </w:divsChild>
        </w:div>
        <w:div w:id="1839151693">
          <w:marLeft w:val="0"/>
          <w:marRight w:val="0"/>
          <w:marTop w:val="0"/>
          <w:marBottom w:val="0"/>
          <w:divBdr>
            <w:top w:val="none" w:sz="0" w:space="0" w:color="auto"/>
            <w:left w:val="none" w:sz="0" w:space="0" w:color="auto"/>
            <w:bottom w:val="none" w:sz="0" w:space="0" w:color="auto"/>
            <w:right w:val="none" w:sz="0" w:space="0" w:color="auto"/>
          </w:divBdr>
          <w:divsChild>
            <w:div w:id="39213745">
              <w:marLeft w:val="0"/>
              <w:marRight w:val="0"/>
              <w:marTop w:val="0"/>
              <w:marBottom w:val="0"/>
              <w:divBdr>
                <w:top w:val="none" w:sz="0" w:space="0" w:color="auto"/>
                <w:left w:val="none" w:sz="0" w:space="0" w:color="auto"/>
                <w:bottom w:val="none" w:sz="0" w:space="0" w:color="auto"/>
                <w:right w:val="none" w:sz="0" w:space="0" w:color="auto"/>
              </w:divBdr>
            </w:div>
          </w:divsChild>
        </w:div>
        <w:div w:id="2002387950">
          <w:marLeft w:val="0"/>
          <w:marRight w:val="0"/>
          <w:marTop w:val="0"/>
          <w:marBottom w:val="0"/>
          <w:divBdr>
            <w:top w:val="none" w:sz="0" w:space="0" w:color="auto"/>
            <w:left w:val="none" w:sz="0" w:space="0" w:color="auto"/>
            <w:bottom w:val="none" w:sz="0" w:space="0" w:color="auto"/>
            <w:right w:val="none" w:sz="0" w:space="0" w:color="auto"/>
          </w:divBdr>
          <w:divsChild>
            <w:div w:id="15380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5170">
      <w:bodyDiv w:val="1"/>
      <w:marLeft w:val="0"/>
      <w:marRight w:val="0"/>
      <w:marTop w:val="0"/>
      <w:marBottom w:val="0"/>
      <w:divBdr>
        <w:top w:val="none" w:sz="0" w:space="0" w:color="auto"/>
        <w:left w:val="none" w:sz="0" w:space="0" w:color="auto"/>
        <w:bottom w:val="none" w:sz="0" w:space="0" w:color="auto"/>
        <w:right w:val="none" w:sz="0" w:space="0" w:color="auto"/>
      </w:divBdr>
      <w:divsChild>
        <w:div w:id="15889933">
          <w:marLeft w:val="0"/>
          <w:marRight w:val="0"/>
          <w:marTop w:val="0"/>
          <w:marBottom w:val="0"/>
          <w:divBdr>
            <w:top w:val="none" w:sz="0" w:space="0" w:color="auto"/>
            <w:left w:val="none" w:sz="0" w:space="0" w:color="auto"/>
            <w:bottom w:val="none" w:sz="0" w:space="0" w:color="auto"/>
            <w:right w:val="none" w:sz="0" w:space="0" w:color="auto"/>
          </w:divBdr>
          <w:divsChild>
            <w:div w:id="671183163">
              <w:marLeft w:val="0"/>
              <w:marRight w:val="0"/>
              <w:marTop w:val="0"/>
              <w:marBottom w:val="0"/>
              <w:divBdr>
                <w:top w:val="none" w:sz="0" w:space="0" w:color="auto"/>
                <w:left w:val="none" w:sz="0" w:space="0" w:color="auto"/>
                <w:bottom w:val="none" w:sz="0" w:space="0" w:color="auto"/>
                <w:right w:val="none" w:sz="0" w:space="0" w:color="auto"/>
              </w:divBdr>
            </w:div>
          </w:divsChild>
        </w:div>
        <w:div w:id="426271635">
          <w:marLeft w:val="0"/>
          <w:marRight w:val="0"/>
          <w:marTop w:val="0"/>
          <w:marBottom w:val="0"/>
          <w:divBdr>
            <w:top w:val="none" w:sz="0" w:space="0" w:color="auto"/>
            <w:left w:val="none" w:sz="0" w:space="0" w:color="auto"/>
            <w:bottom w:val="none" w:sz="0" w:space="0" w:color="auto"/>
            <w:right w:val="none" w:sz="0" w:space="0" w:color="auto"/>
          </w:divBdr>
          <w:divsChild>
            <w:div w:id="574439529">
              <w:marLeft w:val="0"/>
              <w:marRight w:val="0"/>
              <w:marTop w:val="0"/>
              <w:marBottom w:val="0"/>
              <w:divBdr>
                <w:top w:val="none" w:sz="0" w:space="0" w:color="auto"/>
                <w:left w:val="none" w:sz="0" w:space="0" w:color="auto"/>
                <w:bottom w:val="none" w:sz="0" w:space="0" w:color="auto"/>
                <w:right w:val="none" w:sz="0" w:space="0" w:color="auto"/>
              </w:divBdr>
            </w:div>
          </w:divsChild>
        </w:div>
        <w:div w:id="538131977">
          <w:marLeft w:val="0"/>
          <w:marRight w:val="0"/>
          <w:marTop w:val="0"/>
          <w:marBottom w:val="0"/>
          <w:divBdr>
            <w:top w:val="none" w:sz="0" w:space="0" w:color="auto"/>
            <w:left w:val="none" w:sz="0" w:space="0" w:color="auto"/>
            <w:bottom w:val="none" w:sz="0" w:space="0" w:color="auto"/>
            <w:right w:val="none" w:sz="0" w:space="0" w:color="auto"/>
          </w:divBdr>
          <w:divsChild>
            <w:div w:id="623929492">
              <w:marLeft w:val="0"/>
              <w:marRight w:val="0"/>
              <w:marTop w:val="0"/>
              <w:marBottom w:val="0"/>
              <w:divBdr>
                <w:top w:val="none" w:sz="0" w:space="0" w:color="auto"/>
                <w:left w:val="none" w:sz="0" w:space="0" w:color="auto"/>
                <w:bottom w:val="none" w:sz="0" w:space="0" w:color="auto"/>
                <w:right w:val="none" w:sz="0" w:space="0" w:color="auto"/>
              </w:divBdr>
            </w:div>
          </w:divsChild>
        </w:div>
        <w:div w:id="749959100">
          <w:marLeft w:val="0"/>
          <w:marRight w:val="0"/>
          <w:marTop w:val="0"/>
          <w:marBottom w:val="0"/>
          <w:divBdr>
            <w:top w:val="none" w:sz="0" w:space="0" w:color="auto"/>
            <w:left w:val="none" w:sz="0" w:space="0" w:color="auto"/>
            <w:bottom w:val="none" w:sz="0" w:space="0" w:color="auto"/>
            <w:right w:val="none" w:sz="0" w:space="0" w:color="auto"/>
          </w:divBdr>
          <w:divsChild>
            <w:div w:id="1838574667">
              <w:marLeft w:val="0"/>
              <w:marRight w:val="0"/>
              <w:marTop w:val="0"/>
              <w:marBottom w:val="0"/>
              <w:divBdr>
                <w:top w:val="none" w:sz="0" w:space="0" w:color="auto"/>
                <w:left w:val="none" w:sz="0" w:space="0" w:color="auto"/>
                <w:bottom w:val="none" w:sz="0" w:space="0" w:color="auto"/>
                <w:right w:val="none" w:sz="0" w:space="0" w:color="auto"/>
              </w:divBdr>
            </w:div>
          </w:divsChild>
        </w:div>
        <w:div w:id="752244029">
          <w:marLeft w:val="0"/>
          <w:marRight w:val="0"/>
          <w:marTop w:val="0"/>
          <w:marBottom w:val="0"/>
          <w:divBdr>
            <w:top w:val="none" w:sz="0" w:space="0" w:color="auto"/>
            <w:left w:val="none" w:sz="0" w:space="0" w:color="auto"/>
            <w:bottom w:val="none" w:sz="0" w:space="0" w:color="auto"/>
            <w:right w:val="none" w:sz="0" w:space="0" w:color="auto"/>
          </w:divBdr>
          <w:divsChild>
            <w:div w:id="772212471">
              <w:marLeft w:val="0"/>
              <w:marRight w:val="0"/>
              <w:marTop w:val="0"/>
              <w:marBottom w:val="0"/>
              <w:divBdr>
                <w:top w:val="none" w:sz="0" w:space="0" w:color="auto"/>
                <w:left w:val="none" w:sz="0" w:space="0" w:color="auto"/>
                <w:bottom w:val="none" w:sz="0" w:space="0" w:color="auto"/>
                <w:right w:val="none" w:sz="0" w:space="0" w:color="auto"/>
              </w:divBdr>
            </w:div>
          </w:divsChild>
        </w:div>
        <w:div w:id="843516092">
          <w:marLeft w:val="0"/>
          <w:marRight w:val="0"/>
          <w:marTop w:val="0"/>
          <w:marBottom w:val="0"/>
          <w:divBdr>
            <w:top w:val="none" w:sz="0" w:space="0" w:color="auto"/>
            <w:left w:val="none" w:sz="0" w:space="0" w:color="auto"/>
            <w:bottom w:val="none" w:sz="0" w:space="0" w:color="auto"/>
            <w:right w:val="none" w:sz="0" w:space="0" w:color="auto"/>
          </w:divBdr>
          <w:divsChild>
            <w:div w:id="171989790">
              <w:marLeft w:val="0"/>
              <w:marRight w:val="0"/>
              <w:marTop w:val="0"/>
              <w:marBottom w:val="0"/>
              <w:divBdr>
                <w:top w:val="none" w:sz="0" w:space="0" w:color="auto"/>
                <w:left w:val="none" w:sz="0" w:space="0" w:color="auto"/>
                <w:bottom w:val="none" w:sz="0" w:space="0" w:color="auto"/>
                <w:right w:val="none" w:sz="0" w:space="0" w:color="auto"/>
              </w:divBdr>
            </w:div>
          </w:divsChild>
        </w:div>
        <w:div w:id="912738246">
          <w:marLeft w:val="0"/>
          <w:marRight w:val="0"/>
          <w:marTop w:val="0"/>
          <w:marBottom w:val="0"/>
          <w:divBdr>
            <w:top w:val="none" w:sz="0" w:space="0" w:color="auto"/>
            <w:left w:val="none" w:sz="0" w:space="0" w:color="auto"/>
            <w:bottom w:val="none" w:sz="0" w:space="0" w:color="auto"/>
            <w:right w:val="none" w:sz="0" w:space="0" w:color="auto"/>
          </w:divBdr>
          <w:divsChild>
            <w:div w:id="626400726">
              <w:marLeft w:val="0"/>
              <w:marRight w:val="0"/>
              <w:marTop w:val="0"/>
              <w:marBottom w:val="0"/>
              <w:divBdr>
                <w:top w:val="none" w:sz="0" w:space="0" w:color="auto"/>
                <w:left w:val="none" w:sz="0" w:space="0" w:color="auto"/>
                <w:bottom w:val="none" w:sz="0" w:space="0" w:color="auto"/>
                <w:right w:val="none" w:sz="0" w:space="0" w:color="auto"/>
              </w:divBdr>
            </w:div>
          </w:divsChild>
        </w:div>
        <w:div w:id="920598328">
          <w:marLeft w:val="0"/>
          <w:marRight w:val="0"/>
          <w:marTop w:val="0"/>
          <w:marBottom w:val="0"/>
          <w:divBdr>
            <w:top w:val="none" w:sz="0" w:space="0" w:color="auto"/>
            <w:left w:val="none" w:sz="0" w:space="0" w:color="auto"/>
            <w:bottom w:val="none" w:sz="0" w:space="0" w:color="auto"/>
            <w:right w:val="none" w:sz="0" w:space="0" w:color="auto"/>
          </w:divBdr>
          <w:divsChild>
            <w:div w:id="809126820">
              <w:marLeft w:val="0"/>
              <w:marRight w:val="0"/>
              <w:marTop w:val="0"/>
              <w:marBottom w:val="0"/>
              <w:divBdr>
                <w:top w:val="none" w:sz="0" w:space="0" w:color="auto"/>
                <w:left w:val="none" w:sz="0" w:space="0" w:color="auto"/>
                <w:bottom w:val="none" w:sz="0" w:space="0" w:color="auto"/>
                <w:right w:val="none" w:sz="0" w:space="0" w:color="auto"/>
              </w:divBdr>
            </w:div>
            <w:div w:id="1580335476">
              <w:marLeft w:val="0"/>
              <w:marRight w:val="0"/>
              <w:marTop w:val="0"/>
              <w:marBottom w:val="0"/>
              <w:divBdr>
                <w:top w:val="none" w:sz="0" w:space="0" w:color="auto"/>
                <w:left w:val="none" w:sz="0" w:space="0" w:color="auto"/>
                <w:bottom w:val="none" w:sz="0" w:space="0" w:color="auto"/>
                <w:right w:val="none" w:sz="0" w:space="0" w:color="auto"/>
              </w:divBdr>
            </w:div>
            <w:div w:id="2130317211">
              <w:marLeft w:val="0"/>
              <w:marRight w:val="0"/>
              <w:marTop w:val="0"/>
              <w:marBottom w:val="0"/>
              <w:divBdr>
                <w:top w:val="none" w:sz="0" w:space="0" w:color="auto"/>
                <w:left w:val="none" w:sz="0" w:space="0" w:color="auto"/>
                <w:bottom w:val="none" w:sz="0" w:space="0" w:color="auto"/>
                <w:right w:val="none" w:sz="0" w:space="0" w:color="auto"/>
              </w:divBdr>
            </w:div>
          </w:divsChild>
        </w:div>
        <w:div w:id="1101878132">
          <w:marLeft w:val="0"/>
          <w:marRight w:val="0"/>
          <w:marTop w:val="0"/>
          <w:marBottom w:val="0"/>
          <w:divBdr>
            <w:top w:val="none" w:sz="0" w:space="0" w:color="auto"/>
            <w:left w:val="none" w:sz="0" w:space="0" w:color="auto"/>
            <w:bottom w:val="none" w:sz="0" w:space="0" w:color="auto"/>
            <w:right w:val="none" w:sz="0" w:space="0" w:color="auto"/>
          </w:divBdr>
          <w:divsChild>
            <w:div w:id="137457487">
              <w:marLeft w:val="0"/>
              <w:marRight w:val="0"/>
              <w:marTop w:val="0"/>
              <w:marBottom w:val="0"/>
              <w:divBdr>
                <w:top w:val="none" w:sz="0" w:space="0" w:color="auto"/>
                <w:left w:val="none" w:sz="0" w:space="0" w:color="auto"/>
                <w:bottom w:val="none" w:sz="0" w:space="0" w:color="auto"/>
                <w:right w:val="none" w:sz="0" w:space="0" w:color="auto"/>
              </w:divBdr>
            </w:div>
          </w:divsChild>
        </w:div>
        <w:div w:id="1203904258">
          <w:marLeft w:val="0"/>
          <w:marRight w:val="0"/>
          <w:marTop w:val="0"/>
          <w:marBottom w:val="0"/>
          <w:divBdr>
            <w:top w:val="none" w:sz="0" w:space="0" w:color="auto"/>
            <w:left w:val="none" w:sz="0" w:space="0" w:color="auto"/>
            <w:bottom w:val="none" w:sz="0" w:space="0" w:color="auto"/>
            <w:right w:val="none" w:sz="0" w:space="0" w:color="auto"/>
          </w:divBdr>
          <w:divsChild>
            <w:div w:id="824857194">
              <w:marLeft w:val="0"/>
              <w:marRight w:val="0"/>
              <w:marTop w:val="0"/>
              <w:marBottom w:val="0"/>
              <w:divBdr>
                <w:top w:val="none" w:sz="0" w:space="0" w:color="auto"/>
                <w:left w:val="none" w:sz="0" w:space="0" w:color="auto"/>
                <w:bottom w:val="none" w:sz="0" w:space="0" w:color="auto"/>
                <w:right w:val="none" w:sz="0" w:space="0" w:color="auto"/>
              </w:divBdr>
            </w:div>
          </w:divsChild>
        </w:div>
        <w:div w:id="1273441386">
          <w:marLeft w:val="0"/>
          <w:marRight w:val="0"/>
          <w:marTop w:val="0"/>
          <w:marBottom w:val="0"/>
          <w:divBdr>
            <w:top w:val="none" w:sz="0" w:space="0" w:color="auto"/>
            <w:left w:val="none" w:sz="0" w:space="0" w:color="auto"/>
            <w:bottom w:val="none" w:sz="0" w:space="0" w:color="auto"/>
            <w:right w:val="none" w:sz="0" w:space="0" w:color="auto"/>
          </w:divBdr>
          <w:divsChild>
            <w:div w:id="705300352">
              <w:marLeft w:val="0"/>
              <w:marRight w:val="0"/>
              <w:marTop w:val="0"/>
              <w:marBottom w:val="0"/>
              <w:divBdr>
                <w:top w:val="none" w:sz="0" w:space="0" w:color="auto"/>
                <w:left w:val="none" w:sz="0" w:space="0" w:color="auto"/>
                <w:bottom w:val="none" w:sz="0" w:space="0" w:color="auto"/>
                <w:right w:val="none" w:sz="0" w:space="0" w:color="auto"/>
              </w:divBdr>
            </w:div>
          </w:divsChild>
        </w:div>
        <w:div w:id="1589072286">
          <w:marLeft w:val="0"/>
          <w:marRight w:val="0"/>
          <w:marTop w:val="0"/>
          <w:marBottom w:val="0"/>
          <w:divBdr>
            <w:top w:val="none" w:sz="0" w:space="0" w:color="auto"/>
            <w:left w:val="none" w:sz="0" w:space="0" w:color="auto"/>
            <w:bottom w:val="none" w:sz="0" w:space="0" w:color="auto"/>
            <w:right w:val="none" w:sz="0" w:space="0" w:color="auto"/>
          </w:divBdr>
          <w:divsChild>
            <w:div w:id="349377803">
              <w:marLeft w:val="0"/>
              <w:marRight w:val="0"/>
              <w:marTop w:val="0"/>
              <w:marBottom w:val="0"/>
              <w:divBdr>
                <w:top w:val="none" w:sz="0" w:space="0" w:color="auto"/>
                <w:left w:val="none" w:sz="0" w:space="0" w:color="auto"/>
                <w:bottom w:val="none" w:sz="0" w:space="0" w:color="auto"/>
                <w:right w:val="none" w:sz="0" w:space="0" w:color="auto"/>
              </w:divBdr>
            </w:div>
          </w:divsChild>
        </w:div>
        <w:div w:id="1638606654">
          <w:marLeft w:val="0"/>
          <w:marRight w:val="0"/>
          <w:marTop w:val="0"/>
          <w:marBottom w:val="0"/>
          <w:divBdr>
            <w:top w:val="none" w:sz="0" w:space="0" w:color="auto"/>
            <w:left w:val="none" w:sz="0" w:space="0" w:color="auto"/>
            <w:bottom w:val="none" w:sz="0" w:space="0" w:color="auto"/>
            <w:right w:val="none" w:sz="0" w:space="0" w:color="auto"/>
          </w:divBdr>
          <w:divsChild>
            <w:div w:id="1667976170">
              <w:marLeft w:val="0"/>
              <w:marRight w:val="0"/>
              <w:marTop w:val="0"/>
              <w:marBottom w:val="0"/>
              <w:divBdr>
                <w:top w:val="none" w:sz="0" w:space="0" w:color="auto"/>
                <w:left w:val="none" w:sz="0" w:space="0" w:color="auto"/>
                <w:bottom w:val="none" w:sz="0" w:space="0" w:color="auto"/>
                <w:right w:val="none" w:sz="0" w:space="0" w:color="auto"/>
              </w:divBdr>
            </w:div>
          </w:divsChild>
        </w:div>
        <w:div w:id="1667048796">
          <w:marLeft w:val="0"/>
          <w:marRight w:val="0"/>
          <w:marTop w:val="0"/>
          <w:marBottom w:val="0"/>
          <w:divBdr>
            <w:top w:val="none" w:sz="0" w:space="0" w:color="auto"/>
            <w:left w:val="none" w:sz="0" w:space="0" w:color="auto"/>
            <w:bottom w:val="none" w:sz="0" w:space="0" w:color="auto"/>
            <w:right w:val="none" w:sz="0" w:space="0" w:color="auto"/>
          </w:divBdr>
          <w:divsChild>
            <w:div w:id="934938881">
              <w:marLeft w:val="0"/>
              <w:marRight w:val="0"/>
              <w:marTop w:val="0"/>
              <w:marBottom w:val="0"/>
              <w:divBdr>
                <w:top w:val="none" w:sz="0" w:space="0" w:color="auto"/>
                <w:left w:val="none" w:sz="0" w:space="0" w:color="auto"/>
                <w:bottom w:val="none" w:sz="0" w:space="0" w:color="auto"/>
                <w:right w:val="none" w:sz="0" w:space="0" w:color="auto"/>
              </w:divBdr>
            </w:div>
          </w:divsChild>
        </w:div>
        <w:div w:id="1827237241">
          <w:marLeft w:val="0"/>
          <w:marRight w:val="0"/>
          <w:marTop w:val="0"/>
          <w:marBottom w:val="0"/>
          <w:divBdr>
            <w:top w:val="none" w:sz="0" w:space="0" w:color="auto"/>
            <w:left w:val="none" w:sz="0" w:space="0" w:color="auto"/>
            <w:bottom w:val="none" w:sz="0" w:space="0" w:color="auto"/>
            <w:right w:val="none" w:sz="0" w:space="0" w:color="auto"/>
          </w:divBdr>
          <w:divsChild>
            <w:div w:id="608590437">
              <w:marLeft w:val="0"/>
              <w:marRight w:val="0"/>
              <w:marTop w:val="0"/>
              <w:marBottom w:val="0"/>
              <w:divBdr>
                <w:top w:val="none" w:sz="0" w:space="0" w:color="auto"/>
                <w:left w:val="none" w:sz="0" w:space="0" w:color="auto"/>
                <w:bottom w:val="none" w:sz="0" w:space="0" w:color="auto"/>
                <w:right w:val="none" w:sz="0" w:space="0" w:color="auto"/>
              </w:divBdr>
            </w:div>
          </w:divsChild>
        </w:div>
        <w:div w:id="1896701017">
          <w:marLeft w:val="0"/>
          <w:marRight w:val="0"/>
          <w:marTop w:val="0"/>
          <w:marBottom w:val="0"/>
          <w:divBdr>
            <w:top w:val="none" w:sz="0" w:space="0" w:color="auto"/>
            <w:left w:val="none" w:sz="0" w:space="0" w:color="auto"/>
            <w:bottom w:val="none" w:sz="0" w:space="0" w:color="auto"/>
            <w:right w:val="none" w:sz="0" w:space="0" w:color="auto"/>
          </w:divBdr>
          <w:divsChild>
            <w:div w:id="1941180980">
              <w:marLeft w:val="0"/>
              <w:marRight w:val="0"/>
              <w:marTop w:val="0"/>
              <w:marBottom w:val="0"/>
              <w:divBdr>
                <w:top w:val="none" w:sz="0" w:space="0" w:color="auto"/>
                <w:left w:val="none" w:sz="0" w:space="0" w:color="auto"/>
                <w:bottom w:val="none" w:sz="0" w:space="0" w:color="auto"/>
                <w:right w:val="none" w:sz="0" w:space="0" w:color="auto"/>
              </w:divBdr>
            </w:div>
          </w:divsChild>
        </w:div>
        <w:div w:id="1962345163">
          <w:marLeft w:val="0"/>
          <w:marRight w:val="0"/>
          <w:marTop w:val="0"/>
          <w:marBottom w:val="0"/>
          <w:divBdr>
            <w:top w:val="none" w:sz="0" w:space="0" w:color="auto"/>
            <w:left w:val="none" w:sz="0" w:space="0" w:color="auto"/>
            <w:bottom w:val="none" w:sz="0" w:space="0" w:color="auto"/>
            <w:right w:val="none" w:sz="0" w:space="0" w:color="auto"/>
          </w:divBdr>
          <w:divsChild>
            <w:div w:id="28802110">
              <w:marLeft w:val="0"/>
              <w:marRight w:val="0"/>
              <w:marTop w:val="0"/>
              <w:marBottom w:val="0"/>
              <w:divBdr>
                <w:top w:val="none" w:sz="0" w:space="0" w:color="auto"/>
                <w:left w:val="none" w:sz="0" w:space="0" w:color="auto"/>
                <w:bottom w:val="none" w:sz="0" w:space="0" w:color="auto"/>
                <w:right w:val="none" w:sz="0" w:space="0" w:color="auto"/>
              </w:divBdr>
            </w:div>
          </w:divsChild>
        </w:div>
        <w:div w:id="1999183643">
          <w:marLeft w:val="0"/>
          <w:marRight w:val="0"/>
          <w:marTop w:val="0"/>
          <w:marBottom w:val="0"/>
          <w:divBdr>
            <w:top w:val="none" w:sz="0" w:space="0" w:color="auto"/>
            <w:left w:val="none" w:sz="0" w:space="0" w:color="auto"/>
            <w:bottom w:val="none" w:sz="0" w:space="0" w:color="auto"/>
            <w:right w:val="none" w:sz="0" w:space="0" w:color="auto"/>
          </w:divBdr>
          <w:divsChild>
            <w:div w:id="1879584754">
              <w:marLeft w:val="0"/>
              <w:marRight w:val="0"/>
              <w:marTop w:val="0"/>
              <w:marBottom w:val="0"/>
              <w:divBdr>
                <w:top w:val="none" w:sz="0" w:space="0" w:color="auto"/>
                <w:left w:val="none" w:sz="0" w:space="0" w:color="auto"/>
                <w:bottom w:val="none" w:sz="0" w:space="0" w:color="auto"/>
                <w:right w:val="none" w:sz="0" w:space="0" w:color="auto"/>
              </w:divBdr>
            </w:div>
          </w:divsChild>
        </w:div>
        <w:div w:id="2116632435">
          <w:marLeft w:val="0"/>
          <w:marRight w:val="0"/>
          <w:marTop w:val="0"/>
          <w:marBottom w:val="0"/>
          <w:divBdr>
            <w:top w:val="none" w:sz="0" w:space="0" w:color="auto"/>
            <w:left w:val="none" w:sz="0" w:space="0" w:color="auto"/>
            <w:bottom w:val="none" w:sz="0" w:space="0" w:color="auto"/>
            <w:right w:val="none" w:sz="0" w:space="0" w:color="auto"/>
          </w:divBdr>
          <w:divsChild>
            <w:div w:id="672755866">
              <w:marLeft w:val="0"/>
              <w:marRight w:val="0"/>
              <w:marTop w:val="0"/>
              <w:marBottom w:val="0"/>
              <w:divBdr>
                <w:top w:val="none" w:sz="0" w:space="0" w:color="auto"/>
                <w:left w:val="none" w:sz="0" w:space="0" w:color="auto"/>
                <w:bottom w:val="none" w:sz="0" w:space="0" w:color="auto"/>
                <w:right w:val="none" w:sz="0" w:space="0" w:color="auto"/>
              </w:divBdr>
            </w:div>
          </w:divsChild>
        </w:div>
        <w:div w:id="2127774103">
          <w:marLeft w:val="0"/>
          <w:marRight w:val="0"/>
          <w:marTop w:val="0"/>
          <w:marBottom w:val="0"/>
          <w:divBdr>
            <w:top w:val="none" w:sz="0" w:space="0" w:color="auto"/>
            <w:left w:val="none" w:sz="0" w:space="0" w:color="auto"/>
            <w:bottom w:val="none" w:sz="0" w:space="0" w:color="auto"/>
            <w:right w:val="none" w:sz="0" w:space="0" w:color="auto"/>
          </w:divBdr>
          <w:divsChild>
            <w:div w:id="5297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35577">
      <w:bodyDiv w:val="1"/>
      <w:marLeft w:val="0"/>
      <w:marRight w:val="0"/>
      <w:marTop w:val="0"/>
      <w:marBottom w:val="0"/>
      <w:divBdr>
        <w:top w:val="none" w:sz="0" w:space="0" w:color="auto"/>
        <w:left w:val="none" w:sz="0" w:space="0" w:color="auto"/>
        <w:bottom w:val="none" w:sz="0" w:space="0" w:color="auto"/>
        <w:right w:val="none" w:sz="0" w:space="0" w:color="auto"/>
      </w:divBdr>
      <w:divsChild>
        <w:div w:id="20061191">
          <w:marLeft w:val="0"/>
          <w:marRight w:val="0"/>
          <w:marTop w:val="0"/>
          <w:marBottom w:val="0"/>
          <w:divBdr>
            <w:top w:val="none" w:sz="0" w:space="0" w:color="auto"/>
            <w:left w:val="none" w:sz="0" w:space="0" w:color="auto"/>
            <w:bottom w:val="none" w:sz="0" w:space="0" w:color="auto"/>
            <w:right w:val="none" w:sz="0" w:space="0" w:color="auto"/>
          </w:divBdr>
        </w:div>
        <w:div w:id="1173959621">
          <w:marLeft w:val="0"/>
          <w:marRight w:val="0"/>
          <w:marTop w:val="0"/>
          <w:marBottom w:val="0"/>
          <w:divBdr>
            <w:top w:val="none" w:sz="0" w:space="0" w:color="auto"/>
            <w:left w:val="none" w:sz="0" w:space="0" w:color="auto"/>
            <w:bottom w:val="none" w:sz="0" w:space="0" w:color="auto"/>
            <w:right w:val="none" w:sz="0" w:space="0" w:color="auto"/>
          </w:divBdr>
          <w:divsChild>
            <w:div w:id="16665714">
              <w:marLeft w:val="0"/>
              <w:marRight w:val="0"/>
              <w:marTop w:val="0"/>
              <w:marBottom w:val="0"/>
              <w:divBdr>
                <w:top w:val="none" w:sz="0" w:space="0" w:color="auto"/>
                <w:left w:val="none" w:sz="0" w:space="0" w:color="auto"/>
                <w:bottom w:val="none" w:sz="0" w:space="0" w:color="auto"/>
                <w:right w:val="none" w:sz="0" w:space="0" w:color="auto"/>
              </w:divBdr>
            </w:div>
            <w:div w:id="280694626">
              <w:marLeft w:val="0"/>
              <w:marRight w:val="0"/>
              <w:marTop w:val="0"/>
              <w:marBottom w:val="0"/>
              <w:divBdr>
                <w:top w:val="none" w:sz="0" w:space="0" w:color="auto"/>
                <w:left w:val="none" w:sz="0" w:space="0" w:color="auto"/>
                <w:bottom w:val="none" w:sz="0" w:space="0" w:color="auto"/>
                <w:right w:val="none" w:sz="0" w:space="0" w:color="auto"/>
              </w:divBdr>
            </w:div>
            <w:div w:id="1737438612">
              <w:marLeft w:val="0"/>
              <w:marRight w:val="0"/>
              <w:marTop w:val="0"/>
              <w:marBottom w:val="0"/>
              <w:divBdr>
                <w:top w:val="none" w:sz="0" w:space="0" w:color="auto"/>
                <w:left w:val="none" w:sz="0" w:space="0" w:color="auto"/>
                <w:bottom w:val="none" w:sz="0" w:space="0" w:color="auto"/>
                <w:right w:val="none" w:sz="0" w:space="0" w:color="auto"/>
              </w:divBdr>
            </w:div>
          </w:divsChild>
        </w:div>
        <w:div w:id="1237084587">
          <w:marLeft w:val="0"/>
          <w:marRight w:val="0"/>
          <w:marTop w:val="0"/>
          <w:marBottom w:val="0"/>
          <w:divBdr>
            <w:top w:val="none" w:sz="0" w:space="0" w:color="auto"/>
            <w:left w:val="none" w:sz="0" w:space="0" w:color="auto"/>
            <w:bottom w:val="none" w:sz="0" w:space="0" w:color="auto"/>
            <w:right w:val="none" w:sz="0" w:space="0" w:color="auto"/>
          </w:divBdr>
          <w:divsChild>
            <w:div w:id="1225608259">
              <w:marLeft w:val="-75"/>
              <w:marRight w:val="0"/>
              <w:marTop w:val="30"/>
              <w:marBottom w:val="30"/>
              <w:divBdr>
                <w:top w:val="none" w:sz="0" w:space="0" w:color="auto"/>
                <w:left w:val="none" w:sz="0" w:space="0" w:color="auto"/>
                <w:bottom w:val="none" w:sz="0" w:space="0" w:color="auto"/>
                <w:right w:val="none" w:sz="0" w:space="0" w:color="auto"/>
              </w:divBdr>
              <w:divsChild>
                <w:div w:id="154995673">
                  <w:marLeft w:val="0"/>
                  <w:marRight w:val="0"/>
                  <w:marTop w:val="0"/>
                  <w:marBottom w:val="0"/>
                  <w:divBdr>
                    <w:top w:val="none" w:sz="0" w:space="0" w:color="auto"/>
                    <w:left w:val="none" w:sz="0" w:space="0" w:color="auto"/>
                    <w:bottom w:val="none" w:sz="0" w:space="0" w:color="auto"/>
                    <w:right w:val="none" w:sz="0" w:space="0" w:color="auto"/>
                  </w:divBdr>
                  <w:divsChild>
                    <w:div w:id="1655328730">
                      <w:marLeft w:val="0"/>
                      <w:marRight w:val="0"/>
                      <w:marTop w:val="0"/>
                      <w:marBottom w:val="0"/>
                      <w:divBdr>
                        <w:top w:val="none" w:sz="0" w:space="0" w:color="auto"/>
                        <w:left w:val="none" w:sz="0" w:space="0" w:color="auto"/>
                        <w:bottom w:val="none" w:sz="0" w:space="0" w:color="auto"/>
                        <w:right w:val="none" w:sz="0" w:space="0" w:color="auto"/>
                      </w:divBdr>
                    </w:div>
                  </w:divsChild>
                </w:div>
                <w:div w:id="177696358">
                  <w:marLeft w:val="0"/>
                  <w:marRight w:val="0"/>
                  <w:marTop w:val="0"/>
                  <w:marBottom w:val="0"/>
                  <w:divBdr>
                    <w:top w:val="none" w:sz="0" w:space="0" w:color="auto"/>
                    <w:left w:val="none" w:sz="0" w:space="0" w:color="auto"/>
                    <w:bottom w:val="none" w:sz="0" w:space="0" w:color="auto"/>
                    <w:right w:val="none" w:sz="0" w:space="0" w:color="auto"/>
                  </w:divBdr>
                  <w:divsChild>
                    <w:div w:id="1136609192">
                      <w:marLeft w:val="0"/>
                      <w:marRight w:val="0"/>
                      <w:marTop w:val="0"/>
                      <w:marBottom w:val="0"/>
                      <w:divBdr>
                        <w:top w:val="none" w:sz="0" w:space="0" w:color="auto"/>
                        <w:left w:val="none" w:sz="0" w:space="0" w:color="auto"/>
                        <w:bottom w:val="none" w:sz="0" w:space="0" w:color="auto"/>
                        <w:right w:val="none" w:sz="0" w:space="0" w:color="auto"/>
                      </w:divBdr>
                    </w:div>
                  </w:divsChild>
                </w:div>
                <w:div w:id="320160130">
                  <w:marLeft w:val="0"/>
                  <w:marRight w:val="0"/>
                  <w:marTop w:val="0"/>
                  <w:marBottom w:val="0"/>
                  <w:divBdr>
                    <w:top w:val="none" w:sz="0" w:space="0" w:color="auto"/>
                    <w:left w:val="none" w:sz="0" w:space="0" w:color="auto"/>
                    <w:bottom w:val="none" w:sz="0" w:space="0" w:color="auto"/>
                    <w:right w:val="none" w:sz="0" w:space="0" w:color="auto"/>
                  </w:divBdr>
                  <w:divsChild>
                    <w:div w:id="2044288587">
                      <w:marLeft w:val="0"/>
                      <w:marRight w:val="0"/>
                      <w:marTop w:val="0"/>
                      <w:marBottom w:val="0"/>
                      <w:divBdr>
                        <w:top w:val="none" w:sz="0" w:space="0" w:color="auto"/>
                        <w:left w:val="none" w:sz="0" w:space="0" w:color="auto"/>
                        <w:bottom w:val="none" w:sz="0" w:space="0" w:color="auto"/>
                        <w:right w:val="none" w:sz="0" w:space="0" w:color="auto"/>
                      </w:divBdr>
                    </w:div>
                  </w:divsChild>
                </w:div>
                <w:div w:id="508787479">
                  <w:marLeft w:val="0"/>
                  <w:marRight w:val="0"/>
                  <w:marTop w:val="0"/>
                  <w:marBottom w:val="0"/>
                  <w:divBdr>
                    <w:top w:val="none" w:sz="0" w:space="0" w:color="auto"/>
                    <w:left w:val="none" w:sz="0" w:space="0" w:color="auto"/>
                    <w:bottom w:val="none" w:sz="0" w:space="0" w:color="auto"/>
                    <w:right w:val="none" w:sz="0" w:space="0" w:color="auto"/>
                  </w:divBdr>
                  <w:divsChild>
                    <w:div w:id="1949384496">
                      <w:marLeft w:val="0"/>
                      <w:marRight w:val="0"/>
                      <w:marTop w:val="0"/>
                      <w:marBottom w:val="0"/>
                      <w:divBdr>
                        <w:top w:val="none" w:sz="0" w:space="0" w:color="auto"/>
                        <w:left w:val="none" w:sz="0" w:space="0" w:color="auto"/>
                        <w:bottom w:val="none" w:sz="0" w:space="0" w:color="auto"/>
                        <w:right w:val="none" w:sz="0" w:space="0" w:color="auto"/>
                      </w:divBdr>
                    </w:div>
                  </w:divsChild>
                </w:div>
                <w:div w:id="646322743">
                  <w:marLeft w:val="0"/>
                  <w:marRight w:val="0"/>
                  <w:marTop w:val="0"/>
                  <w:marBottom w:val="0"/>
                  <w:divBdr>
                    <w:top w:val="none" w:sz="0" w:space="0" w:color="auto"/>
                    <w:left w:val="none" w:sz="0" w:space="0" w:color="auto"/>
                    <w:bottom w:val="none" w:sz="0" w:space="0" w:color="auto"/>
                    <w:right w:val="none" w:sz="0" w:space="0" w:color="auto"/>
                  </w:divBdr>
                  <w:divsChild>
                    <w:div w:id="1223296728">
                      <w:marLeft w:val="0"/>
                      <w:marRight w:val="0"/>
                      <w:marTop w:val="0"/>
                      <w:marBottom w:val="0"/>
                      <w:divBdr>
                        <w:top w:val="none" w:sz="0" w:space="0" w:color="auto"/>
                        <w:left w:val="none" w:sz="0" w:space="0" w:color="auto"/>
                        <w:bottom w:val="none" w:sz="0" w:space="0" w:color="auto"/>
                        <w:right w:val="none" w:sz="0" w:space="0" w:color="auto"/>
                      </w:divBdr>
                    </w:div>
                  </w:divsChild>
                </w:div>
                <w:div w:id="694504338">
                  <w:marLeft w:val="0"/>
                  <w:marRight w:val="0"/>
                  <w:marTop w:val="0"/>
                  <w:marBottom w:val="0"/>
                  <w:divBdr>
                    <w:top w:val="none" w:sz="0" w:space="0" w:color="auto"/>
                    <w:left w:val="none" w:sz="0" w:space="0" w:color="auto"/>
                    <w:bottom w:val="none" w:sz="0" w:space="0" w:color="auto"/>
                    <w:right w:val="none" w:sz="0" w:space="0" w:color="auto"/>
                  </w:divBdr>
                  <w:divsChild>
                    <w:div w:id="395788310">
                      <w:marLeft w:val="0"/>
                      <w:marRight w:val="0"/>
                      <w:marTop w:val="0"/>
                      <w:marBottom w:val="0"/>
                      <w:divBdr>
                        <w:top w:val="none" w:sz="0" w:space="0" w:color="auto"/>
                        <w:left w:val="none" w:sz="0" w:space="0" w:color="auto"/>
                        <w:bottom w:val="none" w:sz="0" w:space="0" w:color="auto"/>
                        <w:right w:val="none" w:sz="0" w:space="0" w:color="auto"/>
                      </w:divBdr>
                    </w:div>
                  </w:divsChild>
                </w:div>
                <w:div w:id="782652437">
                  <w:marLeft w:val="0"/>
                  <w:marRight w:val="0"/>
                  <w:marTop w:val="0"/>
                  <w:marBottom w:val="0"/>
                  <w:divBdr>
                    <w:top w:val="none" w:sz="0" w:space="0" w:color="auto"/>
                    <w:left w:val="none" w:sz="0" w:space="0" w:color="auto"/>
                    <w:bottom w:val="none" w:sz="0" w:space="0" w:color="auto"/>
                    <w:right w:val="none" w:sz="0" w:space="0" w:color="auto"/>
                  </w:divBdr>
                  <w:divsChild>
                    <w:div w:id="1238125805">
                      <w:marLeft w:val="0"/>
                      <w:marRight w:val="0"/>
                      <w:marTop w:val="0"/>
                      <w:marBottom w:val="0"/>
                      <w:divBdr>
                        <w:top w:val="none" w:sz="0" w:space="0" w:color="auto"/>
                        <w:left w:val="none" w:sz="0" w:space="0" w:color="auto"/>
                        <w:bottom w:val="none" w:sz="0" w:space="0" w:color="auto"/>
                        <w:right w:val="none" w:sz="0" w:space="0" w:color="auto"/>
                      </w:divBdr>
                    </w:div>
                  </w:divsChild>
                </w:div>
                <w:div w:id="925848571">
                  <w:marLeft w:val="0"/>
                  <w:marRight w:val="0"/>
                  <w:marTop w:val="0"/>
                  <w:marBottom w:val="0"/>
                  <w:divBdr>
                    <w:top w:val="none" w:sz="0" w:space="0" w:color="auto"/>
                    <w:left w:val="none" w:sz="0" w:space="0" w:color="auto"/>
                    <w:bottom w:val="none" w:sz="0" w:space="0" w:color="auto"/>
                    <w:right w:val="none" w:sz="0" w:space="0" w:color="auto"/>
                  </w:divBdr>
                  <w:divsChild>
                    <w:div w:id="666440673">
                      <w:marLeft w:val="0"/>
                      <w:marRight w:val="0"/>
                      <w:marTop w:val="0"/>
                      <w:marBottom w:val="0"/>
                      <w:divBdr>
                        <w:top w:val="none" w:sz="0" w:space="0" w:color="auto"/>
                        <w:left w:val="none" w:sz="0" w:space="0" w:color="auto"/>
                        <w:bottom w:val="none" w:sz="0" w:space="0" w:color="auto"/>
                        <w:right w:val="none" w:sz="0" w:space="0" w:color="auto"/>
                      </w:divBdr>
                    </w:div>
                  </w:divsChild>
                </w:div>
                <w:div w:id="981076281">
                  <w:marLeft w:val="0"/>
                  <w:marRight w:val="0"/>
                  <w:marTop w:val="0"/>
                  <w:marBottom w:val="0"/>
                  <w:divBdr>
                    <w:top w:val="none" w:sz="0" w:space="0" w:color="auto"/>
                    <w:left w:val="none" w:sz="0" w:space="0" w:color="auto"/>
                    <w:bottom w:val="none" w:sz="0" w:space="0" w:color="auto"/>
                    <w:right w:val="none" w:sz="0" w:space="0" w:color="auto"/>
                  </w:divBdr>
                  <w:divsChild>
                    <w:div w:id="198208568">
                      <w:marLeft w:val="0"/>
                      <w:marRight w:val="0"/>
                      <w:marTop w:val="0"/>
                      <w:marBottom w:val="0"/>
                      <w:divBdr>
                        <w:top w:val="none" w:sz="0" w:space="0" w:color="auto"/>
                        <w:left w:val="none" w:sz="0" w:space="0" w:color="auto"/>
                        <w:bottom w:val="none" w:sz="0" w:space="0" w:color="auto"/>
                        <w:right w:val="none" w:sz="0" w:space="0" w:color="auto"/>
                      </w:divBdr>
                    </w:div>
                  </w:divsChild>
                </w:div>
                <w:div w:id="1127312302">
                  <w:marLeft w:val="0"/>
                  <w:marRight w:val="0"/>
                  <w:marTop w:val="0"/>
                  <w:marBottom w:val="0"/>
                  <w:divBdr>
                    <w:top w:val="none" w:sz="0" w:space="0" w:color="auto"/>
                    <w:left w:val="none" w:sz="0" w:space="0" w:color="auto"/>
                    <w:bottom w:val="none" w:sz="0" w:space="0" w:color="auto"/>
                    <w:right w:val="none" w:sz="0" w:space="0" w:color="auto"/>
                  </w:divBdr>
                  <w:divsChild>
                    <w:div w:id="607350450">
                      <w:marLeft w:val="0"/>
                      <w:marRight w:val="0"/>
                      <w:marTop w:val="0"/>
                      <w:marBottom w:val="0"/>
                      <w:divBdr>
                        <w:top w:val="none" w:sz="0" w:space="0" w:color="auto"/>
                        <w:left w:val="none" w:sz="0" w:space="0" w:color="auto"/>
                        <w:bottom w:val="none" w:sz="0" w:space="0" w:color="auto"/>
                        <w:right w:val="none" w:sz="0" w:space="0" w:color="auto"/>
                      </w:divBdr>
                    </w:div>
                  </w:divsChild>
                </w:div>
                <w:div w:id="1282761272">
                  <w:marLeft w:val="0"/>
                  <w:marRight w:val="0"/>
                  <w:marTop w:val="0"/>
                  <w:marBottom w:val="0"/>
                  <w:divBdr>
                    <w:top w:val="none" w:sz="0" w:space="0" w:color="auto"/>
                    <w:left w:val="none" w:sz="0" w:space="0" w:color="auto"/>
                    <w:bottom w:val="none" w:sz="0" w:space="0" w:color="auto"/>
                    <w:right w:val="none" w:sz="0" w:space="0" w:color="auto"/>
                  </w:divBdr>
                  <w:divsChild>
                    <w:div w:id="1477838934">
                      <w:marLeft w:val="0"/>
                      <w:marRight w:val="0"/>
                      <w:marTop w:val="0"/>
                      <w:marBottom w:val="0"/>
                      <w:divBdr>
                        <w:top w:val="none" w:sz="0" w:space="0" w:color="auto"/>
                        <w:left w:val="none" w:sz="0" w:space="0" w:color="auto"/>
                        <w:bottom w:val="none" w:sz="0" w:space="0" w:color="auto"/>
                        <w:right w:val="none" w:sz="0" w:space="0" w:color="auto"/>
                      </w:divBdr>
                    </w:div>
                  </w:divsChild>
                </w:div>
                <w:div w:id="1590964144">
                  <w:marLeft w:val="0"/>
                  <w:marRight w:val="0"/>
                  <w:marTop w:val="0"/>
                  <w:marBottom w:val="0"/>
                  <w:divBdr>
                    <w:top w:val="none" w:sz="0" w:space="0" w:color="auto"/>
                    <w:left w:val="none" w:sz="0" w:space="0" w:color="auto"/>
                    <w:bottom w:val="none" w:sz="0" w:space="0" w:color="auto"/>
                    <w:right w:val="none" w:sz="0" w:space="0" w:color="auto"/>
                  </w:divBdr>
                  <w:divsChild>
                    <w:div w:id="1993487876">
                      <w:marLeft w:val="0"/>
                      <w:marRight w:val="0"/>
                      <w:marTop w:val="0"/>
                      <w:marBottom w:val="0"/>
                      <w:divBdr>
                        <w:top w:val="none" w:sz="0" w:space="0" w:color="auto"/>
                        <w:left w:val="none" w:sz="0" w:space="0" w:color="auto"/>
                        <w:bottom w:val="none" w:sz="0" w:space="0" w:color="auto"/>
                        <w:right w:val="none" w:sz="0" w:space="0" w:color="auto"/>
                      </w:divBdr>
                    </w:div>
                  </w:divsChild>
                </w:div>
                <w:div w:id="1671828420">
                  <w:marLeft w:val="0"/>
                  <w:marRight w:val="0"/>
                  <w:marTop w:val="0"/>
                  <w:marBottom w:val="0"/>
                  <w:divBdr>
                    <w:top w:val="none" w:sz="0" w:space="0" w:color="auto"/>
                    <w:left w:val="none" w:sz="0" w:space="0" w:color="auto"/>
                    <w:bottom w:val="none" w:sz="0" w:space="0" w:color="auto"/>
                    <w:right w:val="none" w:sz="0" w:space="0" w:color="auto"/>
                  </w:divBdr>
                  <w:divsChild>
                    <w:div w:id="500393667">
                      <w:marLeft w:val="0"/>
                      <w:marRight w:val="0"/>
                      <w:marTop w:val="0"/>
                      <w:marBottom w:val="0"/>
                      <w:divBdr>
                        <w:top w:val="none" w:sz="0" w:space="0" w:color="auto"/>
                        <w:left w:val="none" w:sz="0" w:space="0" w:color="auto"/>
                        <w:bottom w:val="none" w:sz="0" w:space="0" w:color="auto"/>
                        <w:right w:val="none" w:sz="0" w:space="0" w:color="auto"/>
                      </w:divBdr>
                    </w:div>
                  </w:divsChild>
                </w:div>
                <w:div w:id="2044859631">
                  <w:marLeft w:val="0"/>
                  <w:marRight w:val="0"/>
                  <w:marTop w:val="0"/>
                  <w:marBottom w:val="0"/>
                  <w:divBdr>
                    <w:top w:val="none" w:sz="0" w:space="0" w:color="auto"/>
                    <w:left w:val="none" w:sz="0" w:space="0" w:color="auto"/>
                    <w:bottom w:val="none" w:sz="0" w:space="0" w:color="auto"/>
                    <w:right w:val="none" w:sz="0" w:space="0" w:color="auto"/>
                  </w:divBdr>
                  <w:divsChild>
                    <w:div w:id="121773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5496">
          <w:marLeft w:val="0"/>
          <w:marRight w:val="0"/>
          <w:marTop w:val="0"/>
          <w:marBottom w:val="0"/>
          <w:divBdr>
            <w:top w:val="none" w:sz="0" w:space="0" w:color="auto"/>
            <w:left w:val="none" w:sz="0" w:space="0" w:color="auto"/>
            <w:bottom w:val="none" w:sz="0" w:space="0" w:color="auto"/>
            <w:right w:val="none" w:sz="0" w:space="0" w:color="auto"/>
          </w:divBdr>
        </w:div>
        <w:div w:id="1531844854">
          <w:marLeft w:val="0"/>
          <w:marRight w:val="0"/>
          <w:marTop w:val="0"/>
          <w:marBottom w:val="0"/>
          <w:divBdr>
            <w:top w:val="none" w:sz="0" w:space="0" w:color="auto"/>
            <w:left w:val="none" w:sz="0" w:space="0" w:color="auto"/>
            <w:bottom w:val="none" w:sz="0" w:space="0" w:color="auto"/>
            <w:right w:val="none" w:sz="0" w:space="0" w:color="auto"/>
          </w:divBdr>
        </w:div>
      </w:divsChild>
    </w:div>
    <w:div w:id="488207544">
      <w:bodyDiv w:val="1"/>
      <w:marLeft w:val="0"/>
      <w:marRight w:val="0"/>
      <w:marTop w:val="0"/>
      <w:marBottom w:val="0"/>
      <w:divBdr>
        <w:top w:val="none" w:sz="0" w:space="0" w:color="auto"/>
        <w:left w:val="none" w:sz="0" w:space="0" w:color="auto"/>
        <w:bottom w:val="none" w:sz="0" w:space="0" w:color="auto"/>
        <w:right w:val="none" w:sz="0" w:space="0" w:color="auto"/>
      </w:divBdr>
      <w:divsChild>
        <w:div w:id="248078482">
          <w:marLeft w:val="0"/>
          <w:marRight w:val="0"/>
          <w:marTop w:val="0"/>
          <w:marBottom w:val="0"/>
          <w:divBdr>
            <w:top w:val="none" w:sz="0" w:space="0" w:color="auto"/>
            <w:left w:val="none" w:sz="0" w:space="0" w:color="auto"/>
            <w:bottom w:val="none" w:sz="0" w:space="0" w:color="auto"/>
            <w:right w:val="none" w:sz="0" w:space="0" w:color="auto"/>
          </w:divBdr>
        </w:div>
        <w:div w:id="609970322">
          <w:marLeft w:val="0"/>
          <w:marRight w:val="0"/>
          <w:marTop w:val="0"/>
          <w:marBottom w:val="0"/>
          <w:divBdr>
            <w:top w:val="none" w:sz="0" w:space="0" w:color="auto"/>
            <w:left w:val="none" w:sz="0" w:space="0" w:color="auto"/>
            <w:bottom w:val="none" w:sz="0" w:space="0" w:color="auto"/>
            <w:right w:val="none" w:sz="0" w:space="0" w:color="auto"/>
          </w:divBdr>
        </w:div>
        <w:div w:id="1375813807">
          <w:marLeft w:val="0"/>
          <w:marRight w:val="0"/>
          <w:marTop w:val="0"/>
          <w:marBottom w:val="0"/>
          <w:divBdr>
            <w:top w:val="none" w:sz="0" w:space="0" w:color="auto"/>
            <w:left w:val="none" w:sz="0" w:space="0" w:color="auto"/>
            <w:bottom w:val="none" w:sz="0" w:space="0" w:color="auto"/>
            <w:right w:val="none" w:sz="0" w:space="0" w:color="auto"/>
          </w:divBdr>
        </w:div>
        <w:div w:id="1650592275">
          <w:marLeft w:val="0"/>
          <w:marRight w:val="0"/>
          <w:marTop w:val="0"/>
          <w:marBottom w:val="0"/>
          <w:divBdr>
            <w:top w:val="none" w:sz="0" w:space="0" w:color="auto"/>
            <w:left w:val="none" w:sz="0" w:space="0" w:color="auto"/>
            <w:bottom w:val="none" w:sz="0" w:space="0" w:color="auto"/>
            <w:right w:val="none" w:sz="0" w:space="0" w:color="auto"/>
          </w:divBdr>
        </w:div>
        <w:div w:id="2017465273">
          <w:marLeft w:val="0"/>
          <w:marRight w:val="0"/>
          <w:marTop w:val="0"/>
          <w:marBottom w:val="0"/>
          <w:divBdr>
            <w:top w:val="none" w:sz="0" w:space="0" w:color="auto"/>
            <w:left w:val="none" w:sz="0" w:space="0" w:color="auto"/>
            <w:bottom w:val="none" w:sz="0" w:space="0" w:color="auto"/>
            <w:right w:val="none" w:sz="0" w:space="0" w:color="auto"/>
          </w:divBdr>
        </w:div>
      </w:divsChild>
    </w:div>
    <w:div w:id="541139955">
      <w:bodyDiv w:val="1"/>
      <w:marLeft w:val="0"/>
      <w:marRight w:val="0"/>
      <w:marTop w:val="0"/>
      <w:marBottom w:val="0"/>
      <w:divBdr>
        <w:top w:val="none" w:sz="0" w:space="0" w:color="auto"/>
        <w:left w:val="none" w:sz="0" w:space="0" w:color="auto"/>
        <w:bottom w:val="none" w:sz="0" w:space="0" w:color="auto"/>
        <w:right w:val="none" w:sz="0" w:space="0" w:color="auto"/>
      </w:divBdr>
      <w:divsChild>
        <w:div w:id="63454750">
          <w:marLeft w:val="0"/>
          <w:marRight w:val="0"/>
          <w:marTop w:val="0"/>
          <w:marBottom w:val="0"/>
          <w:divBdr>
            <w:top w:val="none" w:sz="0" w:space="0" w:color="auto"/>
            <w:left w:val="none" w:sz="0" w:space="0" w:color="auto"/>
            <w:bottom w:val="none" w:sz="0" w:space="0" w:color="auto"/>
            <w:right w:val="none" w:sz="0" w:space="0" w:color="auto"/>
          </w:divBdr>
        </w:div>
        <w:div w:id="83377292">
          <w:marLeft w:val="0"/>
          <w:marRight w:val="0"/>
          <w:marTop w:val="0"/>
          <w:marBottom w:val="0"/>
          <w:divBdr>
            <w:top w:val="none" w:sz="0" w:space="0" w:color="auto"/>
            <w:left w:val="none" w:sz="0" w:space="0" w:color="auto"/>
            <w:bottom w:val="none" w:sz="0" w:space="0" w:color="auto"/>
            <w:right w:val="none" w:sz="0" w:space="0" w:color="auto"/>
          </w:divBdr>
        </w:div>
        <w:div w:id="83963228">
          <w:marLeft w:val="0"/>
          <w:marRight w:val="0"/>
          <w:marTop w:val="0"/>
          <w:marBottom w:val="0"/>
          <w:divBdr>
            <w:top w:val="none" w:sz="0" w:space="0" w:color="auto"/>
            <w:left w:val="none" w:sz="0" w:space="0" w:color="auto"/>
            <w:bottom w:val="none" w:sz="0" w:space="0" w:color="auto"/>
            <w:right w:val="none" w:sz="0" w:space="0" w:color="auto"/>
          </w:divBdr>
        </w:div>
        <w:div w:id="150369839">
          <w:marLeft w:val="0"/>
          <w:marRight w:val="0"/>
          <w:marTop w:val="0"/>
          <w:marBottom w:val="0"/>
          <w:divBdr>
            <w:top w:val="none" w:sz="0" w:space="0" w:color="auto"/>
            <w:left w:val="none" w:sz="0" w:space="0" w:color="auto"/>
            <w:bottom w:val="none" w:sz="0" w:space="0" w:color="auto"/>
            <w:right w:val="none" w:sz="0" w:space="0" w:color="auto"/>
          </w:divBdr>
        </w:div>
        <w:div w:id="192309574">
          <w:marLeft w:val="0"/>
          <w:marRight w:val="0"/>
          <w:marTop w:val="0"/>
          <w:marBottom w:val="0"/>
          <w:divBdr>
            <w:top w:val="none" w:sz="0" w:space="0" w:color="auto"/>
            <w:left w:val="none" w:sz="0" w:space="0" w:color="auto"/>
            <w:bottom w:val="none" w:sz="0" w:space="0" w:color="auto"/>
            <w:right w:val="none" w:sz="0" w:space="0" w:color="auto"/>
          </w:divBdr>
        </w:div>
        <w:div w:id="228464671">
          <w:marLeft w:val="0"/>
          <w:marRight w:val="0"/>
          <w:marTop w:val="0"/>
          <w:marBottom w:val="0"/>
          <w:divBdr>
            <w:top w:val="none" w:sz="0" w:space="0" w:color="auto"/>
            <w:left w:val="none" w:sz="0" w:space="0" w:color="auto"/>
            <w:bottom w:val="none" w:sz="0" w:space="0" w:color="auto"/>
            <w:right w:val="none" w:sz="0" w:space="0" w:color="auto"/>
          </w:divBdr>
        </w:div>
        <w:div w:id="239097088">
          <w:marLeft w:val="0"/>
          <w:marRight w:val="0"/>
          <w:marTop w:val="0"/>
          <w:marBottom w:val="0"/>
          <w:divBdr>
            <w:top w:val="none" w:sz="0" w:space="0" w:color="auto"/>
            <w:left w:val="none" w:sz="0" w:space="0" w:color="auto"/>
            <w:bottom w:val="none" w:sz="0" w:space="0" w:color="auto"/>
            <w:right w:val="none" w:sz="0" w:space="0" w:color="auto"/>
          </w:divBdr>
        </w:div>
        <w:div w:id="247689792">
          <w:marLeft w:val="0"/>
          <w:marRight w:val="0"/>
          <w:marTop w:val="0"/>
          <w:marBottom w:val="0"/>
          <w:divBdr>
            <w:top w:val="none" w:sz="0" w:space="0" w:color="auto"/>
            <w:left w:val="none" w:sz="0" w:space="0" w:color="auto"/>
            <w:bottom w:val="none" w:sz="0" w:space="0" w:color="auto"/>
            <w:right w:val="none" w:sz="0" w:space="0" w:color="auto"/>
          </w:divBdr>
        </w:div>
        <w:div w:id="256333035">
          <w:marLeft w:val="0"/>
          <w:marRight w:val="0"/>
          <w:marTop w:val="0"/>
          <w:marBottom w:val="0"/>
          <w:divBdr>
            <w:top w:val="none" w:sz="0" w:space="0" w:color="auto"/>
            <w:left w:val="none" w:sz="0" w:space="0" w:color="auto"/>
            <w:bottom w:val="none" w:sz="0" w:space="0" w:color="auto"/>
            <w:right w:val="none" w:sz="0" w:space="0" w:color="auto"/>
          </w:divBdr>
        </w:div>
        <w:div w:id="262760176">
          <w:marLeft w:val="0"/>
          <w:marRight w:val="0"/>
          <w:marTop w:val="0"/>
          <w:marBottom w:val="0"/>
          <w:divBdr>
            <w:top w:val="none" w:sz="0" w:space="0" w:color="auto"/>
            <w:left w:val="none" w:sz="0" w:space="0" w:color="auto"/>
            <w:bottom w:val="none" w:sz="0" w:space="0" w:color="auto"/>
            <w:right w:val="none" w:sz="0" w:space="0" w:color="auto"/>
          </w:divBdr>
        </w:div>
        <w:div w:id="321936924">
          <w:marLeft w:val="0"/>
          <w:marRight w:val="0"/>
          <w:marTop w:val="0"/>
          <w:marBottom w:val="0"/>
          <w:divBdr>
            <w:top w:val="none" w:sz="0" w:space="0" w:color="auto"/>
            <w:left w:val="none" w:sz="0" w:space="0" w:color="auto"/>
            <w:bottom w:val="none" w:sz="0" w:space="0" w:color="auto"/>
            <w:right w:val="none" w:sz="0" w:space="0" w:color="auto"/>
          </w:divBdr>
        </w:div>
        <w:div w:id="394743100">
          <w:marLeft w:val="0"/>
          <w:marRight w:val="0"/>
          <w:marTop w:val="0"/>
          <w:marBottom w:val="0"/>
          <w:divBdr>
            <w:top w:val="none" w:sz="0" w:space="0" w:color="auto"/>
            <w:left w:val="none" w:sz="0" w:space="0" w:color="auto"/>
            <w:bottom w:val="none" w:sz="0" w:space="0" w:color="auto"/>
            <w:right w:val="none" w:sz="0" w:space="0" w:color="auto"/>
          </w:divBdr>
        </w:div>
        <w:div w:id="422726542">
          <w:marLeft w:val="0"/>
          <w:marRight w:val="0"/>
          <w:marTop w:val="0"/>
          <w:marBottom w:val="0"/>
          <w:divBdr>
            <w:top w:val="none" w:sz="0" w:space="0" w:color="auto"/>
            <w:left w:val="none" w:sz="0" w:space="0" w:color="auto"/>
            <w:bottom w:val="none" w:sz="0" w:space="0" w:color="auto"/>
            <w:right w:val="none" w:sz="0" w:space="0" w:color="auto"/>
          </w:divBdr>
        </w:div>
        <w:div w:id="461659113">
          <w:marLeft w:val="0"/>
          <w:marRight w:val="0"/>
          <w:marTop w:val="0"/>
          <w:marBottom w:val="0"/>
          <w:divBdr>
            <w:top w:val="none" w:sz="0" w:space="0" w:color="auto"/>
            <w:left w:val="none" w:sz="0" w:space="0" w:color="auto"/>
            <w:bottom w:val="none" w:sz="0" w:space="0" w:color="auto"/>
            <w:right w:val="none" w:sz="0" w:space="0" w:color="auto"/>
          </w:divBdr>
        </w:div>
        <w:div w:id="496769434">
          <w:marLeft w:val="0"/>
          <w:marRight w:val="0"/>
          <w:marTop w:val="0"/>
          <w:marBottom w:val="0"/>
          <w:divBdr>
            <w:top w:val="none" w:sz="0" w:space="0" w:color="auto"/>
            <w:left w:val="none" w:sz="0" w:space="0" w:color="auto"/>
            <w:bottom w:val="none" w:sz="0" w:space="0" w:color="auto"/>
            <w:right w:val="none" w:sz="0" w:space="0" w:color="auto"/>
          </w:divBdr>
        </w:div>
        <w:div w:id="513760986">
          <w:marLeft w:val="0"/>
          <w:marRight w:val="0"/>
          <w:marTop w:val="0"/>
          <w:marBottom w:val="0"/>
          <w:divBdr>
            <w:top w:val="none" w:sz="0" w:space="0" w:color="auto"/>
            <w:left w:val="none" w:sz="0" w:space="0" w:color="auto"/>
            <w:bottom w:val="none" w:sz="0" w:space="0" w:color="auto"/>
            <w:right w:val="none" w:sz="0" w:space="0" w:color="auto"/>
          </w:divBdr>
        </w:div>
        <w:div w:id="543636677">
          <w:marLeft w:val="0"/>
          <w:marRight w:val="0"/>
          <w:marTop w:val="0"/>
          <w:marBottom w:val="0"/>
          <w:divBdr>
            <w:top w:val="none" w:sz="0" w:space="0" w:color="auto"/>
            <w:left w:val="none" w:sz="0" w:space="0" w:color="auto"/>
            <w:bottom w:val="none" w:sz="0" w:space="0" w:color="auto"/>
            <w:right w:val="none" w:sz="0" w:space="0" w:color="auto"/>
          </w:divBdr>
        </w:div>
        <w:div w:id="629631524">
          <w:marLeft w:val="0"/>
          <w:marRight w:val="0"/>
          <w:marTop w:val="0"/>
          <w:marBottom w:val="0"/>
          <w:divBdr>
            <w:top w:val="none" w:sz="0" w:space="0" w:color="auto"/>
            <w:left w:val="none" w:sz="0" w:space="0" w:color="auto"/>
            <w:bottom w:val="none" w:sz="0" w:space="0" w:color="auto"/>
            <w:right w:val="none" w:sz="0" w:space="0" w:color="auto"/>
          </w:divBdr>
        </w:div>
        <w:div w:id="649210235">
          <w:marLeft w:val="0"/>
          <w:marRight w:val="0"/>
          <w:marTop w:val="0"/>
          <w:marBottom w:val="0"/>
          <w:divBdr>
            <w:top w:val="none" w:sz="0" w:space="0" w:color="auto"/>
            <w:left w:val="none" w:sz="0" w:space="0" w:color="auto"/>
            <w:bottom w:val="none" w:sz="0" w:space="0" w:color="auto"/>
            <w:right w:val="none" w:sz="0" w:space="0" w:color="auto"/>
          </w:divBdr>
        </w:div>
        <w:div w:id="680547056">
          <w:marLeft w:val="0"/>
          <w:marRight w:val="0"/>
          <w:marTop w:val="0"/>
          <w:marBottom w:val="0"/>
          <w:divBdr>
            <w:top w:val="none" w:sz="0" w:space="0" w:color="auto"/>
            <w:left w:val="none" w:sz="0" w:space="0" w:color="auto"/>
            <w:bottom w:val="none" w:sz="0" w:space="0" w:color="auto"/>
            <w:right w:val="none" w:sz="0" w:space="0" w:color="auto"/>
          </w:divBdr>
        </w:div>
        <w:div w:id="691685086">
          <w:marLeft w:val="0"/>
          <w:marRight w:val="0"/>
          <w:marTop w:val="0"/>
          <w:marBottom w:val="0"/>
          <w:divBdr>
            <w:top w:val="none" w:sz="0" w:space="0" w:color="auto"/>
            <w:left w:val="none" w:sz="0" w:space="0" w:color="auto"/>
            <w:bottom w:val="none" w:sz="0" w:space="0" w:color="auto"/>
            <w:right w:val="none" w:sz="0" w:space="0" w:color="auto"/>
          </w:divBdr>
        </w:div>
        <w:div w:id="692531369">
          <w:marLeft w:val="0"/>
          <w:marRight w:val="0"/>
          <w:marTop w:val="0"/>
          <w:marBottom w:val="0"/>
          <w:divBdr>
            <w:top w:val="none" w:sz="0" w:space="0" w:color="auto"/>
            <w:left w:val="none" w:sz="0" w:space="0" w:color="auto"/>
            <w:bottom w:val="none" w:sz="0" w:space="0" w:color="auto"/>
            <w:right w:val="none" w:sz="0" w:space="0" w:color="auto"/>
          </w:divBdr>
        </w:div>
        <w:div w:id="719284822">
          <w:marLeft w:val="0"/>
          <w:marRight w:val="0"/>
          <w:marTop w:val="0"/>
          <w:marBottom w:val="0"/>
          <w:divBdr>
            <w:top w:val="none" w:sz="0" w:space="0" w:color="auto"/>
            <w:left w:val="none" w:sz="0" w:space="0" w:color="auto"/>
            <w:bottom w:val="none" w:sz="0" w:space="0" w:color="auto"/>
            <w:right w:val="none" w:sz="0" w:space="0" w:color="auto"/>
          </w:divBdr>
        </w:div>
        <w:div w:id="804200741">
          <w:marLeft w:val="0"/>
          <w:marRight w:val="0"/>
          <w:marTop w:val="0"/>
          <w:marBottom w:val="0"/>
          <w:divBdr>
            <w:top w:val="none" w:sz="0" w:space="0" w:color="auto"/>
            <w:left w:val="none" w:sz="0" w:space="0" w:color="auto"/>
            <w:bottom w:val="none" w:sz="0" w:space="0" w:color="auto"/>
            <w:right w:val="none" w:sz="0" w:space="0" w:color="auto"/>
          </w:divBdr>
        </w:div>
        <w:div w:id="897470303">
          <w:marLeft w:val="0"/>
          <w:marRight w:val="0"/>
          <w:marTop w:val="0"/>
          <w:marBottom w:val="0"/>
          <w:divBdr>
            <w:top w:val="none" w:sz="0" w:space="0" w:color="auto"/>
            <w:left w:val="none" w:sz="0" w:space="0" w:color="auto"/>
            <w:bottom w:val="none" w:sz="0" w:space="0" w:color="auto"/>
            <w:right w:val="none" w:sz="0" w:space="0" w:color="auto"/>
          </w:divBdr>
        </w:div>
        <w:div w:id="897670424">
          <w:marLeft w:val="0"/>
          <w:marRight w:val="0"/>
          <w:marTop w:val="0"/>
          <w:marBottom w:val="0"/>
          <w:divBdr>
            <w:top w:val="none" w:sz="0" w:space="0" w:color="auto"/>
            <w:left w:val="none" w:sz="0" w:space="0" w:color="auto"/>
            <w:bottom w:val="none" w:sz="0" w:space="0" w:color="auto"/>
            <w:right w:val="none" w:sz="0" w:space="0" w:color="auto"/>
          </w:divBdr>
        </w:div>
        <w:div w:id="908343423">
          <w:marLeft w:val="0"/>
          <w:marRight w:val="0"/>
          <w:marTop w:val="0"/>
          <w:marBottom w:val="0"/>
          <w:divBdr>
            <w:top w:val="none" w:sz="0" w:space="0" w:color="auto"/>
            <w:left w:val="none" w:sz="0" w:space="0" w:color="auto"/>
            <w:bottom w:val="none" w:sz="0" w:space="0" w:color="auto"/>
            <w:right w:val="none" w:sz="0" w:space="0" w:color="auto"/>
          </w:divBdr>
        </w:div>
        <w:div w:id="931939416">
          <w:marLeft w:val="0"/>
          <w:marRight w:val="0"/>
          <w:marTop w:val="0"/>
          <w:marBottom w:val="0"/>
          <w:divBdr>
            <w:top w:val="none" w:sz="0" w:space="0" w:color="auto"/>
            <w:left w:val="none" w:sz="0" w:space="0" w:color="auto"/>
            <w:bottom w:val="none" w:sz="0" w:space="0" w:color="auto"/>
            <w:right w:val="none" w:sz="0" w:space="0" w:color="auto"/>
          </w:divBdr>
        </w:div>
        <w:div w:id="992563772">
          <w:marLeft w:val="0"/>
          <w:marRight w:val="0"/>
          <w:marTop w:val="0"/>
          <w:marBottom w:val="0"/>
          <w:divBdr>
            <w:top w:val="none" w:sz="0" w:space="0" w:color="auto"/>
            <w:left w:val="none" w:sz="0" w:space="0" w:color="auto"/>
            <w:bottom w:val="none" w:sz="0" w:space="0" w:color="auto"/>
            <w:right w:val="none" w:sz="0" w:space="0" w:color="auto"/>
          </w:divBdr>
        </w:div>
        <w:div w:id="1070998281">
          <w:marLeft w:val="0"/>
          <w:marRight w:val="0"/>
          <w:marTop w:val="0"/>
          <w:marBottom w:val="0"/>
          <w:divBdr>
            <w:top w:val="none" w:sz="0" w:space="0" w:color="auto"/>
            <w:left w:val="none" w:sz="0" w:space="0" w:color="auto"/>
            <w:bottom w:val="none" w:sz="0" w:space="0" w:color="auto"/>
            <w:right w:val="none" w:sz="0" w:space="0" w:color="auto"/>
          </w:divBdr>
        </w:div>
        <w:div w:id="1248461037">
          <w:marLeft w:val="0"/>
          <w:marRight w:val="0"/>
          <w:marTop w:val="0"/>
          <w:marBottom w:val="0"/>
          <w:divBdr>
            <w:top w:val="none" w:sz="0" w:space="0" w:color="auto"/>
            <w:left w:val="none" w:sz="0" w:space="0" w:color="auto"/>
            <w:bottom w:val="none" w:sz="0" w:space="0" w:color="auto"/>
            <w:right w:val="none" w:sz="0" w:space="0" w:color="auto"/>
          </w:divBdr>
        </w:div>
        <w:div w:id="1277328986">
          <w:marLeft w:val="0"/>
          <w:marRight w:val="0"/>
          <w:marTop w:val="0"/>
          <w:marBottom w:val="0"/>
          <w:divBdr>
            <w:top w:val="none" w:sz="0" w:space="0" w:color="auto"/>
            <w:left w:val="none" w:sz="0" w:space="0" w:color="auto"/>
            <w:bottom w:val="none" w:sz="0" w:space="0" w:color="auto"/>
            <w:right w:val="none" w:sz="0" w:space="0" w:color="auto"/>
          </w:divBdr>
        </w:div>
        <w:div w:id="1417167934">
          <w:marLeft w:val="0"/>
          <w:marRight w:val="0"/>
          <w:marTop w:val="0"/>
          <w:marBottom w:val="0"/>
          <w:divBdr>
            <w:top w:val="none" w:sz="0" w:space="0" w:color="auto"/>
            <w:left w:val="none" w:sz="0" w:space="0" w:color="auto"/>
            <w:bottom w:val="none" w:sz="0" w:space="0" w:color="auto"/>
            <w:right w:val="none" w:sz="0" w:space="0" w:color="auto"/>
          </w:divBdr>
        </w:div>
        <w:div w:id="1567494085">
          <w:marLeft w:val="0"/>
          <w:marRight w:val="0"/>
          <w:marTop w:val="0"/>
          <w:marBottom w:val="0"/>
          <w:divBdr>
            <w:top w:val="none" w:sz="0" w:space="0" w:color="auto"/>
            <w:left w:val="none" w:sz="0" w:space="0" w:color="auto"/>
            <w:bottom w:val="none" w:sz="0" w:space="0" w:color="auto"/>
            <w:right w:val="none" w:sz="0" w:space="0" w:color="auto"/>
          </w:divBdr>
        </w:div>
        <w:div w:id="1687512497">
          <w:marLeft w:val="0"/>
          <w:marRight w:val="0"/>
          <w:marTop w:val="0"/>
          <w:marBottom w:val="0"/>
          <w:divBdr>
            <w:top w:val="none" w:sz="0" w:space="0" w:color="auto"/>
            <w:left w:val="none" w:sz="0" w:space="0" w:color="auto"/>
            <w:bottom w:val="none" w:sz="0" w:space="0" w:color="auto"/>
            <w:right w:val="none" w:sz="0" w:space="0" w:color="auto"/>
          </w:divBdr>
        </w:div>
        <w:div w:id="1693843651">
          <w:marLeft w:val="0"/>
          <w:marRight w:val="0"/>
          <w:marTop w:val="0"/>
          <w:marBottom w:val="0"/>
          <w:divBdr>
            <w:top w:val="none" w:sz="0" w:space="0" w:color="auto"/>
            <w:left w:val="none" w:sz="0" w:space="0" w:color="auto"/>
            <w:bottom w:val="none" w:sz="0" w:space="0" w:color="auto"/>
            <w:right w:val="none" w:sz="0" w:space="0" w:color="auto"/>
          </w:divBdr>
        </w:div>
        <w:div w:id="1701008782">
          <w:marLeft w:val="0"/>
          <w:marRight w:val="0"/>
          <w:marTop w:val="0"/>
          <w:marBottom w:val="0"/>
          <w:divBdr>
            <w:top w:val="none" w:sz="0" w:space="0" w:color="auto"/>
            <w:left w:val="none" w:sz="0" w:space="0" w:color="auto"/>
            <w:bottom w:val="none" w:sz="0" w:space="0" w:color="auto"/>
            <w:right w:val="none" w:sz="0" w:space="0" w:color="auto"/>
          </w:divBdr>
        </w:div>
        <w:div w:id="1818306244">
          <w:marLeft w:val="0"/>
          <w:marRight w:val="0"/>
          <w:marTop w:val="0"/>
          <w:marBottom w:val="0"/>
          <w:divBdr>
            <w:top w:val="none" w:sz="0" w:space="0" w:color="auto"/>
            <w:left w:val="none" w:sz="0" w:space="0" w:color="auto"/>
            <w:bottom w:val="none" w:sz="0" w:space="0" w:color="auto"/>
            <w:right w:val="none" w:sz="0" w:space="0" w:color="auto"/>
          </w:divBdr>
        </w:div>
        <w:div w:id="1836649571">
          <w:marLeft w:val="0"/>
          <w:marRight w:val="0"/>
          <w:marTop w:val="0"/>
          <w:marBottom w:val="0"/>
          <w:divBdr>
            <w:top w:val="none" w:sz="0" w:space="0" w:color="auto"/>
            <w:left w:val="none" w:sz="0" w:space="0" w:color="auto"/>
            <w:bottom w:val="none" w:sz="0" w:space="0" w:color="auto"/>
            <w:right w:val="none" w:sz="0" w:space="0" w:color="auto"/>
          </w:divBdr>
        </w:div>
        <w:div w:id="1842039756">
          <w:marLeft w:val="0"/>
          <w:marRight w:val="0"/>
          <w:marTop w:val="0"/>
          <w:marBottom w:val="0"/>
          <w:divBdr>
            <w:top w:val="none" w:sz="0" w:space="0" w:color="auto"/>
            <w:left w:val="none" w:sz="0" w:space="0" w:color="auto"/>
            <w:bottom w:val="none" w:sz="0" w:space="0" w:color="auto"/>
            <w:right w:val="none" w:sz="0" w:space="0" w:color="auto"/>
          </w:divBdr>
        </w:div>
        <w:div w:id="1881360816">
          <w:marLeft w:val="0"/>
          <w:marRight w:val="0"/>
          <w:marTop w:val="0"/>
          <w:marBottom w:val="0"/>
          <w:divBdr>
            <w:top w:val="none" w:sz="0" w:space="0" w:color="auto"/>
            <w:left w:val="none" w:sz="0" w:space="0" w:color="auto"/>
            <w:bottom w:val="none" w:sz="0" w:space="0" w:color="auto"/>
            <w:right w:val="none" w:sz="0" w:space="0" w:color="auto"/>
          </w:divBdr>
        </w:div>
        <w:div w:id="1980064766">
          <w:marLeft w:val="0"/>
          <w:marRight w:val="0"/>
          <w:marTop w:val="0"/>
          <w:marBottom w:val="0"/>
          <w:divBdr>
            <w:top w:val="none" w:sz="0" w:space="0" w:color="auto"/>
            <w:left w:val="none" w:sz="0" w:space="0" w:color="auto"/>
            <w:bottom w:val="none" w:sz="0" w:space="0" w:color="auto"/>
            <w:right w:val="none" w:sz="0" w:space="0" w:color="auto"/>
          </w:divBdr>
        </w:div>
        <w:div w:id="1982076132">
          <w:marLeft w:val="0"/>
          <w:marRight w:val="0"/>
          <w:marTop w:val="0"/>
          <w:marBottom w:val="0"/>
          <w:divBdr>
            <w:top w:val="none" w:sz="0" w:space="0" w:color="auto"/>
            <w:left w:val="none" w:sz="0" w:space="0" w:color="auto"/>
            <w:bottom w:val="none" w:sz="0" w:space="0" w:color="auto"/>
            <w:right w:val="none" w:sz="0" w:space="0" w:color="auto"/>
          </w:divBdr>
        </w:div>
        <w:div w:id="1984046556">
          <w:marLeft w:val="0"/>
          <w:marRight w:val="0"/>
          <w:marTop w:val="0"/>
          <w:marBottom w:val="0"/>
          <w:divBdr>
            <w:top w:val="none" w:sz="0" w:space="0" w:color="auto"/>
            <w:left w:val="none" w:sz="0" w:space="0" w:color="auto"/>
            <w:bottom w:val="none" w:sz="0" w:space="0" w:color="auto"/>
            <w:right w:val="none" w:sz="0" w:space="0" w:color="auto"/>
          </w:divBdr>
        </w:div>
        <w:div w:id="1995178138">
          <w:marLeft w:val="0"/>
          <w:marRight w:val="0"/>
          <w:marTop w:val="0"/>
          <w:marBottom w:val="0"/>
          <w:divBdr>
            <w:top w:val="none" w:sz="0" w:space="0" w:color="auto"/>
            <w:left w:val="none" w:sz="0" w:space="0" w:color="auto"/>
            <w:bottom w:val="none" w:sz="0" w:space="0" w:color="auto"/>
            <w:right w:val="none" w:sz="0" w:space="0" w:color="auto"/>
          </w:divBdr>
        </w:div>
        <w:div w:id="2019654326">
          <w:marLeft w:val="0"/>
          <w:marRight w:val="0"/>
          <w:marTop w:val="0"/>
          <w:marBottom w:val="0"/>
          <w:divBdr>
            <w:top w:val="none" w:sz="0" w:space="0" w:color="auto"/>
            <w:left w:val="none" w:sz="0" w:space="0" w:color="auto"/>
            <w:bottom w:val="none" w:sz="0" w:space="0" w:color="auto"/>
            <w:right w:val="none" w:sz="0" w:space="0" w:color="auto"/>
          </w:divBdr>
        </w:div>
        <w:div w:id="2027553943">
          <w:marLeft w:val="0"/>
          <w:marRight w:val="0"/>
          <w:marTop w:val="0"/>
          <w:marBottom w:val="0"/>
          <w:divBdr>
            <w:top w:val="none" w:sz="0" w:space="0" w:color="auto"/>
            <w:left w:val="none" w:sz="0" w:space="0" w:color="auto"/>
            <w:bottom w:val="none" w:sz="0" w:space="0" w:color="auto"/>
            <w:right w:val="none" w:sz="0" w:space="0" w:color="auto"/>
          </w:divBdr>
        </w:div>
      </w:divsChild>
    </w:div>
    <w:div w:id="867186619">
      <w:bodyDiv w:val="1"/>
      <w:marLeft w:val="0"/>
      <w:marRight w:val="0"/>
      <w:marTop w:val="0"/>
      <w:marBottom w:val="0"/>
      <w:divBdr>
        <w:top w:val="none" w:sz="0" w:space="0" w:color="auto"/>
        <w:left w:val="none" w:sz="0" w:space="0" w:color="auto"/>
        <w:bottom w:val="none" w:sz="0" w:space="0" w:color="auto"/>
        <w:right w:val="none" w:sz="0" w:space="0" w:color="auto"/>
      </w:divBdr>
      <w:divsChild>
        <w:div w:id="23335772">
          <w:marLeft w:val="0"/>
          <w:marRight w:val="0"/>
          <w:marTop w:val="0"/>
          <w:marBottom w:val="0"/>
          <w:divBdr>
            <w:top w:val="none" w:sz="0" w:space="0" w:color="auto"/>
            <w:left w:val="none" w:sz="0" w:space="0" w:color="auto"/>
            <w:bottom w:val="none" w:sz="0" w:space="0" w:color="auto"/>
            <w:right w:val="none" w:sz="0" w:space="0" w:color="auto"/>
          </w:divBdr>
          <w:divsChild>
            <w:div w:id="542059743">
              <w:marLeft w:val="0"/>
              <w:marRight w:val="0"/>
              <w:marTop w:val="0"/>
              <w:marBottom w:val="0"/>
              <w:divBdr>
                <w:top w:val="none" w:sz="0" w:space="0" w:color="auto"/>
                <w:left w:val="none" w:sz="0" w:space="0" w:color="auto"/>
                <w:bottom w:val="none" w:sz="0" w:space="0" w:color="auto"/>
                <w:right w:val="none" w:sz="0" w:space="0" w:color="auto"/>
              </w:divBdr>
            </w:div>
          </w:divsChild>
        </w:div>
        <w:div w:id="108210381">
          <w:marLeft w:val="0"/>
          <w:marRight w:val="0"/>
          <w:marTop w:val="0"/>
          <w:marBottom w:val="0"/>
          <w:divBdr>
            <w:top w:val="none" w:sz="0" w:space="0" w:color="auto"/>
            <w:left w:val="none" w:sz="0" w:space="0" w:color="auto"/>
            <w:bottom w:val="none" w:sz="0" w:space="0" w:color="auto"/>
            <w:right w:val="none" w:sz="0" w:space="0" w:color="auto"/>
          </w:divBdr>
          <w:divsChild>
            <w:div w:id="1520926282">
              <w:marLeft w:val="0"/>
              <w:marRight w:val="0"/>
              <w:marTop w:val="0"/>
              <w:marBottom w:val="0"/>
              <w:divBdr>
                <w:top w:val="none" w:sz="0" w:space="0" w:color="auto"/>
                <w:left w:val="none" w:sz="0" w:space="0" w:color="auto"/>
                <w:bottom w:val="none" w:sz="0" w:space="0" w:color="auto"/>
                <w:right w:val="none" w:sz="0" w:space="0" w:color="auto"/>
              </w:divBdr>
            </w:div>
          </w:divsChild>
        </w:div>
        <w:div w:id="174074003">
          <w:marLeft w:val="0"/>
          <w:marRight w:val="0"/>
          <w:marTop w:val="0"/>
          <w:marBottom w:val="0"/>
          <w:divBdr>
            <w:top w:val="none" w:sz="0" w:space="0" w:color="auto"/>
            <w:left w:val="none" w:sz="0" w:space="0" w:color="auto"/>
            <w:bottom w:val="none" w:sz="0" w:space="0" w:color="auto"/>
            <w:right w:val="none" w:sz="0" w:space="0" w:color="auto"/>
          </w:divBdr>
          <w:divsChild>
            <w:div w:id="2090275104">
              <w:marLeft w:val="0"/>
              <w:marRight w:val="0"/>
              <w:marTop w:val="0"/>
              <w:marBottom w:val="0"/>
              <w:divBdr>
                <w:top w:val="none" w:sz="0" w:space="0" w:color="auto"/>
                <w:left w:val="none" w:sz="0" w:space="0" w:color="auto"/>
                <w:bottom w:val="none" w:sz="0" w:space="0" w:color="auto"/>
                <w:right w:val="none" w:sz="0" w:space="0" w:color="auto"/>
              </w:divBdr>
            </w:div>
          </w:divsChild>
        </w:div>
        <w:div w:id="181474420">
          <w:marLeft w:val="0"/>
          <w:marRight w:val="0"/>
          <w:marTop w:val="0"/>
          <w:marBottom w:val="0"/>
          <w:divBdr>
            <w:top w:val="none" w:sz="0" w:space="0" w:color="auto"/>
            <w:left w:val="none" w:sz="0" w:space="0" w:color="auto"/>
            <w:bottom w:val="none" w:sz="0" w:space="0" w:color="auto"/>
            <w:right w:val="none" w:sz="0" w:space="0" w:color="auto"/>
          </w:divBdr>
          <w:divsChild>
            <w:div w:id="1029531409">
              <w:marLeft w:val="0"/>
              <w:marRight w:val="0"/>
              <w:marTop w:val="0"/>
              <w:marBottom w:val="0"/>
              <w:divBdr>
                <w:top w:val="none" w:sz="0" w:space="0" w:color="auto"/>
                <w:left w:val="none" w:sz="0" w:space="0" w:color="auto"/>
                <w:bottom w:val="none" w:sz="0" w:space="0" w:color="auto"/>
                <w:right w:val="none" w:sz="0" w:space="0" w:color="auto"/>
              </w:divBdr>
            </w:div>
          </w:divsChild>
        </w:div>
        <w:div w:id="194928918">
          <w:marLeft w:val="0"/>
          <w:marRight w:val="0"/>
          <w:marTop w:val="0"/>
          <w:marBottom w:val="0"/>
          <w:divBdr>
            <w:top w:val="none" w:sz="0" w:space="0" w:color="auto"/>
            <w:left w:val="none" w:sz="0" w:space="0" w:color="auto"/>
            <w:bottom w:val="none" w:sz="0" w:space="0" w:color="auto"/>
            <w:right w:val="none" w:sz="0" w:space="0" w:color="auto"/>
          </w:divBdr>
          <w:divsChild>
            <w:div w:id="1503275008">
              <w:marLeft w:val="0"/>
              <w:marRight w:val="0"/>
              <w:marTop w:val="0"/>
              <w:marBottom w:val="0"/>
              <w:divBdr>
                <w:top w:val="none" w:sz="0" w:space="0" w:color="auto"/>
                <w:left w:val="none" w:sz="0" w:space="0" w:color="auto"/>
                <w:bottom w:val="none" w:sz="0" w:space="0" w:color="auto"/>
                <w:right w:val="none" w:sz="0" w:space="0" w:color="auto"/>
              </w:divBdr>
            </w:div>
          </w:divsChild>
        </w:div>
        <w:div w:id="201333748">
          <w:marLeft w:val="0"/>
          <w:marRight w:val="0"/>
          <w:marTop w:val="0"/>
          <w:marBottom w:val="0"/>
          <w:divBdr>
            <w:top w:val="none" w:sz="0" w:space="0" w:color="auto"/>
            <w:left w:val="none" w:sz="0" w:space="0" w:color="auto"/>
            <w:bottom w:val="none" w:sz="0" w:space="0" w:color="auto"/>
            <w:right w:val="none" w:sz="0" w:space="0" w:color="auto"/>
          </w:divBdr>
          <w:divsChild>
            <w:div w:id="1852601482">
              <w:marLeft w:val="0"/>
              <w:marRight w:val="0"/>
              <w:marTop w:val="0"/>
              <w:marBottom w:val="0"/>
              <w:divBdr>
                <w:top w:val="none" w:sz="0" w:space="0" w:color="auto"/>
                <w:left w:val="none" w:sz="0" w:space="0" w:color="auto"/>
                <w:bottom w:val="none" w:sz="0" w:space="0" w:color="auto"/>
                <w:right w:val="none" w:sz="0" w:space="0" w:color="auto"/>
              </w:divBdr>
            </w:div>
          </w:divsChild>
        </w:div>
        <w:div w:id="207883560">
          <w:marLeft w:val="0"/>
          <w:marRight w:val="0"/>
          <w:marTop w:val="0"/>
          <w:marBottom w:val="0"/>
          <w:divBdr>
            <w:top w:val="none" w:sz="0" w:space="0" w:color="auto"/>
            <w:left w:val="none" w:sz="0" w:space="0" w:color="auto"/>
            <w:bottom w:val="none" w:sz="0" w:space="0" w:color="auto"/>
            <w:right w:val="none" w:sz="0" w:space="0" w:color="auto"/>
          </w:divBdr>
          <w:divsChild>
            <w:div w:id="495533317">
              <w:marLeft w:val="0"/>
              <w:marRight w:val="0"/>
              <w:marTop w:val="0"/>
              <w:marBottom w:val="0"/>
              <w:divBdr>
                <w:top w:val="none" w:sz="0" w:space="0" w:color="auto"/>
                <w:left w:val="none" w:sz="0" w:space="0" w:color="auto"/>
                <w:bottom w:val="none" w:sz="0" w:space="0" w:color="auto"/>
                <w:right w:val="none" w:sz="0" w:space="0" w:color="auto"/>
              </w:divBdr>
            </w:div>
          </w:divsChild>
        </w:div>
        <w:div w:id="394399273">
          <w:marLeft w:val="0"/>
          <w:marRight w:val="0"/>
          <w:marTop w:val="0"/>
          <w:marBottom w:val="0"/>
          <w:divBdr>
            <w:top w:val="none" w:sz="0" w:space="0" w:color="auto"/>
            <w:left w:val="none" w:sz="0" w:space="0" w:color="auto"/>
            <w:bottom w:val="none" w:sz="0" w:space="0" w:color="auto"/>
            <w:right w:val="none" w:sz="0" w:space="0" w:color="auto"/>
          </w:divBdr>
          <w:divsChild>
            <w:div w:id="861018077">
              <w:marLeft w:val="0"/>
              <w:marRight w:val="0"/>
              <w:marTop w:val="0"/>
              <w:marBottom w:val="0"/>
              <w:divBdr>
                <w:top w:val="none" w:sz="0" w:space="0" w:color="auto"/>
                <w:left w:val="none" w:sz="0" w:space="0" w:color="auto"/>
                <w:bottom w:val="none" w:sz="0" w:space="0" w:color="auto"/>
                <w:right w:val="none" w:sz="0" w:space="0" w:color="auto"/>
              </w:divBdr>
            </w:div>
          </w:divsChild>
        </w:div>
        <w:div w:id="402264142">
          <w:marLeft w:val="0"/>
          <w:marRight w:val="0"/>
          <w:marTop w:val="0"/>
          <w:marBottom w:val="0"/>
          <w:divBdr>
            <w:top w:val="none" w:sz="0" w:space="0" w:color="auto"/>
            <w:left w:val="none" w:sz="0" w:space="0" w:color="auto"/>
            <w:bottom w:val="none" w:sz="0" w:space="0" w:color="auto"/>
            <w:right w:val="none" w:sz="0" w:space="0" w:color="auto"/>
          </w:divBdr>
          <w:divsChild>
            <w:div w:id="1966543554">
              <w:marLeft w:val="0"/>
              <w:marRight w:val="0"/>
              <w:marTop w:val="0"/>
              <w:marBottom w:val="0"/>
              <w:divBdr>
                <w:top w:val="none" w:sz="0" w:space="0" w:color="auto"/>
                <w:left w:val="none" w:sz="0" w:space="0" w:color="auto"/>
                <w:bottom w:val="none" w:sz="0" w:space="0" w:color="auto"/>
                <w:right w:val="none" w:sz="0" w:space="0" w:color="auto"/>
              </w:divBdr>
            </w:div>
          </w:divsChild>
        </w:div>
        <w:div w:id="420610577">
          <w:marLeft w:val="0"/>
          <w:marRight w:val="0"/>
          <w:marTop w:val="0"/>
          <w:marBottom w:val="0"/>
          <w:divBdr>
            <w:top w:val="none" w:sz="0" w:space="0" w:color="auto"/>
            <w:left w:val="none" w:sz="0" w:space="0" w:color="auto"/>
            <w:bottom w:val="none" w:sz="0" w:space="0" w:color="auto"/>
            <w:right w:val="none" w:sz="0" w:space="0" w:color="auto"/>
          </w:divBdr>
          <w:divsChild>
            <w:div w:id="588730971">
              <w:marLeft w:val="0"/>
              <w:marRight w:val="0"/>
              <w:marTop w:val="0"/>
              <w:marBottom w:val="0"/>
              <w:divBdr>
                <w:top w:val="none" w:sz="0" w:space="0" w:color="auto"/>
                <w:left w:val="none" w:sz="0" w:space="0" w:color="auto"/>
                <w:bottom w:val="none" w:sz="0" w:space="0" w:color="auto"/>
                <w:right w:val="none" w:sz="0" w:space="0" w:color="auto"/>
              </w:divBdr>
            </w:div>
          </w:divsChild>
        </w:div>
        <w:div w:id="453789292">
          <w:marLeft w:val="0"/>
          <w:marRight w:val="0"/>
          <w:marTop w:val="0"/>
          <w:marBottom w:val="0"/>
          <w:divBdr>
            <w:top w:val="none" w:sz="0" w:space="0" w:color="auto"/>
            <w:left w:val="none" w:sz="0" w:space="0" w:color="auto"/>
            <w:bottom w:val="none" w:sz="0" w:space="0" w:color="auto"/>
            <w:right w:val="none" w:sz="0" w:space="0" w:color="auto"/>
          </w:divBdr>
          <w:divsChild>
            <w:div w:id="1485511069">
              <w:marLeft w:val="0"/>
              <w:marRight w:val="0"/>
              <w:marTop w:val="0"/>
              <w:marBottom w:val="0"/>
              <w:divBdr>
                <w:top w:val="none" w:sz="0" w:space="0" w:color="auto"/>
                <w:left w:val="none" w:sz="0" w:space="0" w:color="auto"/>
                <w:bottom w:val="none" w:sz="0" w:space="0" w:color="auto"/>
                <w:right w:val="none" w:sz="0" w:space="0" w:color="auto"/>
              </w:divBdr>
            </w:div>
          </w:divsChild>
        </w:div>
        <w:div w:id="548691060">
          <w:marLeft w:val="0"/>
          <w:marRight w:val="0"/>
          <w:marTop w:val="0"/>
          <w:marBottom w:val="0"/>
          <w:divBdr>
            <w:top w:val="none" w:sz="0" w:space="0" w:color="auto"/>
            <w:left w:val="none" w:sz="0" w:space="0" w:color="auto"/>
            <w:bottom w:val="none" w:sz="0" w:space="0" w:color="auto"/>
            <w:right w:val="none" w:sz="0" w:space="0" w:color="auto"/>
          </w:divBdr>
          <w:divsChild>
            <w:div w:id="193924391">
              <w:marLeft w:val="0"/>
              <w:marRight w:val="0"/>
              <w:marTop w:val="0"/>
              <w:marBottom w:val="0"/>
              <w:divBdr>
                <w:top w:val="none" w:sz="0" w:space="0" w:color="auto"/>
                <w:left w:val="none" w:sz="0" w:space="0" w:color="auto"/>
                <w:bottom w:val="none" w:sz="0" w:space="0" w:color="auto"/>
                <w:right w:val="none" w:sz="0" w:space="0" w:color="auto"/>
              </w:divBdr>
            </w:div>
          </w:divsChild>
        </w:div>
        <w:div w:id="604268098">
          <w:marLeft w:val="0"/>
          <w:marRight w:val="0"/>
          <w:marTop w:val="0"/>
          <w:marBottom w:val="0"/>
          <w:divBdr>
            <w:top w:val="none" w:sz="0" w:space="0" w:color="auto"/>
            <w:left w:val="none" w:sz="0" w:space="0" w:color="auto"/>
            <w:bottom w:val="none" w:sz="0" w:space="0" w:color="auto"/>
            <w:right w:val="none" w:sz="0" w:space="0" w:color="auto"/>
          </w:divBdr>
          <w:divsChild>
            <w:div w:id="2026247851">
              <w:marLeft w:val="0"/>
              <w:marRight w:val="0"/>
              <w:marTop w:val="0"/>
              <w:marBottom w:val="0"/>
              <w:divBdr>
                <w:top w:val="none" w:sz="0" w:space="0" w:color="auto"/>
                <w:left w:val="none" w:sz="0" w:space="0" w:color="auto"/>
                <w:bottom w:val="none" w:sz="0" w:space="0" w:color="auto"/>
                <w:right w:val="none" w:sz="0" w:space="0" w:color="auto"/>
              </w:divBdr>
            </w:div>
          </w:divsChild>
        </w:div>
        <w:div w:id="658533165">
          <w:marLeft w:val="0"/>
          <w:marRight w:val="0"/>
          <w:marTop w:val="0"/>
          <w:marBottom w:val="0"/>
          <w:divBdr>
            <w:top w:val="none" w:sz="0" w:space="0" w:color="auto"/>
            <w:left w:val="none" w:sz="0" w:space="0" w:color="auto"/>
            <w:bottom w:val="none" w:sz="0" w:space="0" w:color="auto"/>
            <w:right w:val="none" w:sz="0" w:space="0" w:color="auto"/>
          </w:divBdr>
          <w:divsChild>
            <w:div w:id="2090690685">
              <w:marLeft w:val="0"/>
              <w:marRight w:val="0"/>
              <w:marTop w:val="0"/>
              <w:marBottom w:val="0"/>
              <w:divBdr>
                <w:top w:val="none" w:sz="0" w:space="0" w:color="auto"/>
                <w:left w:val="none" w:sz="0" w:space="0" w:color="auto"/>
                <w:bottom w:val="none" w:sz="0" w:space="0" w:color="auto"/>
                <w:right w:val="none" w:sz="0" w:space="0" w:color="auto"/>
              </w:divBdr>
            </w:div>
          </w:divsChild>
        </w:div>
        <w:div w:id="693002818">
          <w:marLeft w:val="0"/>
          <w:marRight w:val="0"/>
          <w:marTop w:val="0"/>
          <w:marBottom w:val="0"/>
          <w:divBdr>
            <w:top w:val="none" w:sz="0" w:space="0" w:color="auto"/>
            <w:left w:val="none" w:sz="0" w:space="0" w:color="auto"/>
            <w:bottom w:val="none" w:sz="0" w:space="0" w:color="auto"/>
            <w:right w:val="none" w:sz="0" w:space="0" w:color="auto"/>
          </w:divBdr>
          <w:divsChild>
            <w:div w:id="1505171035">
              <w:marLeft w:val="0"/>
              <w:marRight w:val="0"/>
              <w:marTop w:val="0"/>
              <w:marBottom w:val="0"/>
              <w:divBdr>
                <w:top w:val="none" w:sz="0" w:space="0" w:color="auto"/>
                <w:left w:val="none" w:sz="0" w:space="0" w:color="auto"/>
                <w:bottom w:val="none" w:sz="0" w:space="0" w:color="auto"/>
                <w:right w:val="none" w:sz="0" w:space="0" w:color="auto"/>
              </w:divBdr>
            </w:div>
          </w:divsChild>
        </w:div>
        <w:div w:id="718238014">
          <w:marLeft w:val="0"/>
          <w:marRight w:val="0"/>
          <w:marTop w:val="0"/>
          <w:marBottom w:val="0"/>
          <w:divBdr>
            <w:top w:val="none" w:sz="0" w:space="0" w:color="auto"/>
            <w:left w:val="none" w:sz="0" w:space="0" w:color="auto"/>
            <w:bottom w:val="none" w:sz="0" w:space="0" w:color="auto"/>
            <w:right w:val="none" w:sz="0" w:space="0" w:color="auto"/>
          </w:divBdr>
          <w:divsChild>
            <w:div w:id="1685940713">
              <w:marLeft w:val="0"/>
              <w:marRight w:val="0"/>
              <w:marTop w:val="0"/>
              <w:marBottom w:val="0"/>
              <w:divBdr>
                <w:top w:val="none" w:sz="0" w:space="0" w:color="auto"/>
                <w:left w:val="none" w:sz="0" w:space="0" w:color="auto"/>
                <w:bottom w:val="none" w:sz="0" w:space="0" w:color="auto"/>
                <w:right w:val="none" w:sz="0" w:space="0" w:color="auto"/>
              </w:divBdr>
            </w:div>
          </w:divsChild>
        </w:div>
        <w:div w:id="866910598">
          <w:marLeft w:val="0"/>
          <w:marRight w:val="0"/>
          <w:marTop w:val="0"/>
          <w:marBottom w:val="0"/>
          <w:divBdr>
            <w:top w:val="none" w:sz="0" w:space="0" w:color="auto"/>
            <w:left w:val="none" w:sz="0" w:space="0" w:color="auto"/>
            <w:bottom w:val="none" w:sz="0" w:space="0" w:color="auto"/>
            <w:right w:val="none" w:sz="0" w:space="0" w:color="auto"/>
          </w:divBdr>
          <w:divsChild>
            <w:div w:id="157305526">
              <w:marLeft w:val="0"/>
              <w:marRight w:val="0"/>
              <w:marTop w:val="0"/>
              <w:marBottom w:val="0"/>
              <w:divBdr>
                <w:top w:val="none" w:sz="0" w:space="0" w:color="auto"/>
                <w:left w:val="none" w:sz="0" w:space="0" w:color="auto"/>
                <w:bottom w:val="none" w:sz="0" w:space="0" w:color="auto"/>
                <w:right w:val="none" w:sz="0" w:space="0" w:color="auto"/>
              </w:divBdr>
            </w:div>
          </w:divsChild>
        </w:div>
        <w:div w:id="867138065">
          <w:marLeft w:val="0"/>
          <w:marRight w:val="0"/>
          <w:marTop w:val="0"/>
          <w:marBottom w:val="0"/>
          <w:divBdr>
            <w:top w:val="none" w:sz="0" w:space="0" w:color="auto"/>
            <w:left w:val="none" w:sz="0" w:space="0" w:color="auto"/>
            <w:bottom w:val="none" w:sz="0" w:space="0" w:color="auto"/>
            <w:right w:val="none" w:sz="0" w:space="0" w:color="auto"/>
          </w:divBdr>
          <w:divsChild>
            <w:div w:id="922033362">
              <w:marLeft w:val="0"/>
              <w:marRight w:val="0"/>
              <w:marTop w:val="0"/>
              <w:marBottom w:val="0"/>
              <w:divBdr>
                <w:top w:val="none" w:sz="0" w:space="0" w:color="auto"/>
                <w:left w:val="none" w:sz="0" w:space="0" w:color="auto"/>
                <w:bottom w:val="none" w:sz="0" w:space="0" w:color="auto"/>
                <w:right w:val="none" w:sz="0" w:space="0" w:color="auto"/>
              </w:divBdr>
            </w:div>
          </w:divsChild>
        </w:div>
        <w:div w:id="974483237">
          <w:marLeft w:val="0"/>
          <w:marRight w:val="0"/>
          <w:marTop w:val="0"/>
          <w:marBottom w:val="0"/>
          <w:divBdr>
            <w:top w:val="none" w:sz="0" w:space="0" w:color="auto"/>
            <w:left w:val="none" w:sz="0" w:space="0" w:color="auto"/>
            <w:bottom w:val="none" w:sz="0" w:space="0" w:color="auto"/>
            <w:right w:val="none" w:sz="0" w:space="0" w:color="auto"/>
          </w:divBdr>
          <w:divsChild>
            <w:div w:id="883642558">
              <w:marLeft w:val="0"/>
              <w:marRight w:val="0"/>
              <w:marTop w:val="0"/>
              <w:marBottom w:val="0"/>
              <w:divBdr>
                <w:top w:val="none" w:sz="0" w:space="0" w:color="auto"/>
                <w:left w:val="none" w:sz="0" w:space="0" w:color="auto"/>
                <w:bottom w:val="none" w:sz="0" w:space="0" w:color="auto"/>
                <w:right w:val="none" w:sz="0" w:space="0" w:color="auto"/>
              </w:divBdr>
            </w:div>
          </w:divsChild>
        </w:div>
        <w:div w:id="1014113168">
          <w:marLeft w:val="0"/>
          <w:marRight w:val="0"/>
          <w:marTop w:val="0"/>
          <w:marBottom w:val="0"/>
          <w:divBdr>
            <w:top w:val="none" w:sz="0" w:space="0" w:color="auto"/>
            <w:left w:val="none" w:sz="0" w:space="0" w:color="auto"/>
            <w:bottom w:val="none" w:sz="0" w:space="0" w:color="auto"/>
            <w:right w:val="none" w:sz="0" w:space="0" w:color="auto"/>
          </w:divBdr>
          <w:divsChild>
            <w:div w:id="341012212">
              <w:marLeft w:val="0"/>
              <w:marRight w:val="0"/>
              <w:marTop w:val="0"/>
              <w:marBottom w:val="0"/>
              <w:divBdr>
                <w:top w:val="none" w:sz="0" w:space="0" w:color="auto"/>
                <w:left w:val="none" w:sz="0" w:space="0" w:color="auto"/>
                <w:bottom w:val="none" w:sz="0" w:space="0" w:color="auto"/>
                <w:right w:val="none" w:sz="0" w:space="0" w:color="auto"/>
              </w:divBdr>
            </w:div>
          </w:divsChild>
        </w:div>
        <w:div w:id="1026950107">
          <w:marLeft w:val="0"/>
          <w:marRight w:val="0"/>
          <w:marTop w:val="0"/>
          <w:marBottom w:val="0"/>
          <w:divBdr>
            <w:top w:val="none" w:sz="0" w:space="0" w:color="auto"/>
            <w:left w:val="none" w:sz="0" w:space="0" w:color="auto"/>
            <w:bottom w:val="none" w:sz="0" w:space="0" w:color="auto"/>
            <w:right w:val="none" w:sz="0" w:space="0" w:color="auto"/>
          </w:divBdr>
          <w:divsChild>
            <w:div w:id="154885478">
              <w:marLeft w:val="0"/>
              <w:marRight w:val="0"/>
              <w:marTop w:val="0"/>
              <w:marBottom w:val="0"/>
              <w:divBdr>
                <w:top w:val="none" w:sz="0" w:space="0" w:color="auto"/>
                <w:left w:val="none" w:sz="0" w:space="0" w:color="auto"/>
                <w:bottom w:val="none" w:sz="0" w:space="0" w:color="auto"/>
                <w:right w:val="none" w:sz="0" w:space="0" w:color="auto"/>
              </w:divBdr>
            </w:div>
          </w:divsChild>
        </w:div>
        <w:div w:id="1072702192">
          <w:marLeft w:val="0"/>
          <w:marRight w:val="0"/>
          <w:marTop w:val="0"/>
          <w:marBottom w:val="0"/>
          <w:divBdr>
            <w:top w:val="none" w:sz="0" w:space="0" w:color="auto"/>
            <w:left w:val="none" w:sz="0" w:space="0" w:color="auto"/>
            <w:bottom w:val="none" w:sz="0" w:space="0" w:color="auto"/>
            <w:right w:val="none" w:sz="0" w:space="0" w:color="auto"/>
          </w:divBdr>
          <w:divsChild>
            <w:div w:id="1875383449">
              <w:marLeft w:val="0"/>
              <w:marRight w:val="0"/>
              <w:marTop w:val="0"/>
              <w:marBottom w:val="0"/>
              <w:divBdr>
                <w:top w:val="none" w:sz="0" w:space="0" w:color="auto"/>
                <w:left w:val="none" w:sz="0" w:space="0" w:color="auto"/>
                <w:bottom w:val="none" w:sz="0" w:space="0" w:color="auto"/>
                <w:right w:val="none" w:sz="0" w:space="0" w:color="auto"/>
              </w:divBdr>
            </w:div>
          </w:divsChild>
        </w:div>
        <w:div w:id="1146822191">
          <w:marLeft w:val="0"/>
          <w:marRight w:val="0"/>
          <w:marTop w:val="0"/>
          <w:marBottom w:val="0"/>
          <w:divBdr>
            <w:top w:val="none" w:sz="0" w:space="0" w:color="auto"/>
            <w:left w:val="none" w:sz="0" w:space="0" w:color="auto"/>
            <w:bottom w:val="none" w:sz="0" w:space="0" w:color="auto"/>
            <w:right w:val="none" w:sz="0" w:space="0" w:color="auto"/>
          </w:divBdr>
          <w:divsChild>
            <w:div w:id="434635484">
              <w:marLeft w:val="0"/>
              <w:marRight w:val="0"/>
              <w:marTop w:val="0"/>
              <w:marBottom w:val="0"/>
              <w:divBdr>
                <w:top w:val="none" w:sz="0" w:space="0" w:color="auto"/>
                <w:left w:val="none" w:sz="0" w:space="0" w:color="auto"/>
                <w:bottom w:val="none" w:sz="0" w:space="0" w:color="auto"/>
                <w:right w:val="none" w:sz="0" w:space="0" w:color="auto"/>
              </w:divBdr>
            </w:div>
          </w:divsChild>
        </w:div>
        <w:div w:id="1156384426">
          <w:marLeft w:val="0"/>
          <w:marRight w:val="0"/>
          <w:marTop w:val="0"/>
          <w:marBottom w:val="0"/>
          <w:divBdr>
            <w:top w:val="none" w:sz="0" w:space="0" w:color="auto"/>
            <w:left w:val="none" w:sz="0" w:space="0" w:color="auto"/>
            <w:bottom w:val="none" w:sz="0" w:space="0" w:color="auto"/>
            <w:right w:val="none" w:sz="0" w:space="0" w:color="auto"/>
          </w:divBdr>
          <w:divsChild>
            <w:div w:id="794448643">
              <w:marLeft w:val="0"/>
              <w:marRight w:val="0"/>
              <w:marTop w:val="0"/>
              <w:marBottom w:val="0"/>
              <w:divBdr>
                <w:top w:val="none" w:sz="0" w:space="0" w:color="auto"/>
                <w:left w:val="none" w:sz="0" w:space="0" w:color="auto"/>
                <w:bottom w:val="none" w:sz="0" w:space="0" w:color="auto"/>
                <w:right w:val="none" w:sz="0" w:space="0" w:color="auto"/>
              </w:divBdr>
            </w:div>
          </w:divsChild>
        </w:div>
        <w:div w:id="1189175008">
          <w:marLeft w:val="0"/>
          <w:marRight w:val="0"/>
          <w:marTop w:val="0"/>
          <w:marBottom w:val="0"/>
          <w:divBdr>
            <w:top w:val="none" w:sz="0" w:space="0" w:color="auto"/>
            <w:left w:val="none" w:sz="0" w:space="0" w:color="auto"/>
            <w:bottom w:val="none" w:sz="0" w:space="0" w:color="auto"/>
            <w:right w:val="none" w:sz="0" w:space="0" w:color="auto"/>
          </w:divBdr>
          <w:divsChild>
            <w:div w:id="710762615">
              <w:marLeft w:val="0"/>
              <w:marRight w:val="0"/>
              <w:marTop w:val="0"/>
              <w:marBottom w:val="0"/>
              <w:divBdr>
                <w:top w:val="none" w:sz="0" w:space="0" w:color="auto"/>
                <w:left w:val="none" w:sz="0" w:space="0" w:color="auto"/>
                <w:bottom w:val="none" w:sz="0" w:space="0" w:color="auto"/>
                <w:right w:val="none" w:sz="0" w:space="0" w:color="auto"/>
              </w:divBdr>
            </w:div>
          </w:divsChild>
        </w:div>
        <w:div w:id="1207720954">
          <w:marLeft w:val="0"/>
          <w:marRight w:val="0"/>
          <w:marTop w:val="0"/>
          <w:marBottom w:val="0"/>
          <w:divBdr>
            <w:top w:val="none" w:sz="0" w:space="0" w:color="auto"/>
            <w:left w:val="none" w:sz="0" w:space="0" w:color="auto"/>
            <w:bottom w:val="none" w:sz="0" w:space="0" w:color="auto"/>
            <w:right w:val="none" w:sz="0" w:space="0" w:color="auto"/>
          </w:divBdr>
          <w:divsChild>
            <w:div w:id="198320662">
              <w:marLeft w:val="0"/>
              <w:marRight w:val="0"/>
              <w:marTop w:val="0"/>
              <w:marBottom w:val="0"/>
              <w:divBdr>
                <w:top w:val="none" w:sz="0" w:space="0" w:color="auto"/>
                <w:left w:val="none" w:sz="0" w:space="0" w:color="auto"/>
                <w:bottom w:val="none" w:sz="0" w:space="0" w:color="auto"/>
                <w:right w:val="none" w:sz="0" w:space="0" w:color="auto"/>
              </w:divBdr>
            </w:div>
          </w:divsChild>
        </w:div>
        <w:div w:id="1261988905">
          <w:marLeft w:val="0"/>
          <w:marRight w:val="0"/>
          <w:marTop w:val="0"/>
          <w:marBottom w:val="0"/>
          <w:divBdr>
            <w:top w:val="none" w:sz="0" w:space="0" w:color="auto"/>
            <w:left w:val="none" w:sz="0" w:space="0" w:color="auto"/>
            <w:bottom w:val="none" w:sz="0" w:space="0" w:color="auto"/>
            <w:right w:val="none" w:sz="0" w:space="0" w:color="auto"/>
          </w:divBdr>
          <w:divsChild>
            <w:div w:id="1236089145">
              <w:marLeft w:val="0"/>
              <w:marRight w:val="0"/>
              <w:marTop w:val="0"/>
              <w:marBottom w:val="0"/>
              <w:divBdr>
                <w:top w:val="none" w:sz="0" w:space="0" w:color="auto"/>
                <w:left w:val="none" w:sz="0" w:space="0" w:color="auto"/>
                <w:bottom w:val="none" w:sz="0" w:space="0" w:color="auto"/>
                <w:right w:val="none" w:sz="0" w:space="0" w:color="auto"/>
              </w:divBdr>
            </w:div>
          </w:divsChild>
        </w:div>
        <w:div w:id="1312296871">
          <w:marLeft w:val="0"/>
          <w:marRight w:val="0"/>
          <w:marTop w:val="0"/>
          <w:marBottom w:val="0"/>
          <w:divBdr>
            <w:top w:val="none" w:sz="0" w:space="0" w:color="auto"/>
            <w:left w:val="none" w:sz="0" w:space="0" w:color="auto"/>
            <w:bottom w:val="none" w:sz="0" w:space="0" w:color="auto"/>
            <w:right w:val="none" w:sz="0" w:space="0" w:color="auto"/>
          </w:divBdr>
          <w:divsChild>
            <w:div w:id="938099138">
              <w:marLeft w:val="0"/>
              <w:marRight w:val="0"/>
              <w:marTop w:val="0"/>
              <w:marBottom w:val="0"/>
              <w:divBdr>
                <w:top w:val="none" w:sz="0" w:space="0" w:color="auto"/>
                <w:left w:val="none" w:sz="0" w:space="0" w:color="auto"/>
                <w:bottom w:val="none" w:sz="0" w:space="0" w:color="auto"/>
                <w:right w:val="none" w:sz="0" w:space="0" w:color="auto"/>
              </w:divBdr>
            </w:div>
          </w:divsChild>
        </w:div>
        <w:div w:id="1359307755">
          <w:marLeft w:val="0"/>
          <w:marRight w:val="0"/>
          <w:marTop w:val="0"/>
          <w:marBottom w:val="0"/>
          <w:divBdr>
            <w:top w:val="none" w:sz="0" w:space="0" w:color="auto"/>
            <w:left w:val="none" w:sz="0" w:space="0" w:color="auto"/>
            <w:bottom w:val="none" w:sz="0" w:space="0" w:color="auto"/>
            <w:right w:val="none" w:sz="0" w:space="0" w:color="auto"/>
          </w:divBdr>
          <w:divsChild>
            <w:div w:id="1267418916">
              <w:marLeft w:val="0"/>
              <w:marRight w:val="0"/>
              <w:marTop w:val="0"/>
              <w:marBottom w:val="0"/>
              <w:divBdr>
                <w:top w:val="none" w:sz="0" w:space="0" w:color="auto"/>
                <w:left w:val="none" w:sz="0" w:space="0" w:color="auto"/>
                <w:bottom w:val="none" w:sz="0" w:space="0" w:color="auto"/>
                <w:right w:val="none" w:sz="0" w:space="0" w:color="auto"/>
              </w:divBdr>
            </w:div>
          </w:divsChild>
        </w:div>
        <w:div w:id="1482890436">
          <w:marLeft w:val="0"/>
          <w:marRight w:val="0"/>
          <w:marTop w:val="0"/>
          <w:marBottom w:val="0"/>
          <w:divBdr>
            <w:top w:val="none" w:sz="0" w:space="0" w:color="auto"/>
            <w:left w:val="none" w:sz="0" w:space="0" w:color="auto"/>
            <w:bottom w:val="none" w:sz="0" w:space="0" w:color="auto"/>
            <w:right w:val="none" w:sz="0" w:space="0" w:color="auto"/>
          </w:divBdr>
          <w:divsChild>
            <w:div w:id="23332583">
              <w:marLeft w:val="0"/>
              <w:marRight w:val="0"/>
              <w:marTop w:val="0"/>
              <w:marBottom w:val="0"/>
              <w:divBdr>
                <w:top w:val="none" w:sz="0" w:space="0" w:color="auto"/>
                <w:left w:val="none" w:sz="0" w:space="0" w:color="auto"/>
                <w:bottom w:val="none" w:sz="0" w:space="0" w:color="auto"/>
                <w:right w:val="none" w:sz="0" w:space="0" w:color="auto"/>
              </w:divBdr>
            </w:div>
          </w:divsChild>
        </w:div>
        <w:div w:id="1516308741">
          <w:marLeft w:val="0"/>
          <w:marRight w:val="0"/>
          <w:marTop w:val="0"/>
          <w:marBottom w:val="0"/>
          <w:divBdr>
            <w:top w:val="none" w:sz="0" w:space="0" w:color="auto"/>
            <w:left w:val="none" w:sz="0" w:space="0" w:color="auto"/>
            <w:bottom w:val="none" w:sz="0" w:space="0" w:color="auto"/>
            <w:right w:val="none" w:sz="0" w:space="0" w:color="auto"/>
          </w:divBdr>
          <w:divsChild>
            <w:div w:id="233663821">
              <w:marLeft w:val="0"/>
              <w:marRight w:val="0"/>
              <w:marTop w:val="0"/>
              <w:marBottom w:val="0"/>
              <w:divBdr>
                <w:top w:val="none" w:sz="0" w:space="0" w:color="auto"/>
                <w:left w:val="none" w:sz="0" w:space="0" w:color="auto"/>
                <w:bottom w:val="none" w:sz="0" w:space="0" w:color="auto"/>
                <w:right w:val="none" w:sz="0" w:space="0" w:color="auto"/>
              </w:divBdr>
            </w:div>
          </w:divsChild>
        </w:div>
        <w:div w:id="1536651402">
          <w:marLeft w:val="0"/>
          <w:marRight w:val="0"/>
          <w:marTop w:val="0"/>
          <w:marBottom w:val="0"/>
          <w:divBdr>
            <w:top w:val="none" w:sz="0" w:space="0" w:color="auto"/>
            <w:left w:val="none" w:sz="0" w:space="0" w:color="auto"/>
            <w:bottom w:val="none" w:sz="0" w:space="0" w:color="auto"/>
            <w:right w:val="none" w:sz="0" w:space="0" w:color="auto"/>
          </w:divBdr>
          <w:divsChild>
            <w:div w:id="1981224974">
              <w:marLeft w:val="0"/>
              <w:marRight w:val="0"/>
              <w:marTop w:val="0"/>
              <w:marBottom w:val="0"/>
              <w:divBdr>
                <w:top w:val="none" w:sz="0" w:space="0" w:color="auto"/>
                <w:left w:val="none" w:sz="0" w:space="0" w:color="auto"/>
                <w:bottom w:val="none" w:sz="0" w:space="0" w:color="auto"/>
                <w:right w:val="none" w:sz="0" w:space="0" w:color="auto"/>
              </w:divBdr>
            </w:div>
          </w:divsChild>
        </w:div>
        <w:div w:id="1594898437">
          <w:marLeft w:val="0"/>
          <w:marRight w:val="0"/>
          <w:marTop w:val="0"/>
          <w:marBottom w:val="0"/>
          <w:divBdr>
            <w:top w:val="none" w:sz="0" w:space="0" w:color="auto"/>
            <w:left w:val="none" w:sz="0" w:space="0" w:color="auto"/>
            <w:bottom w:val="none" w:sz="0" w:space="0" w:color="auto"/>
            <w:right w:val="none" w:sz="0" w:space="0" w:color="auto"/>
          </w:divBdr>
          <w:divsChild>
            <w:div w:id="529879482">
              <w:marLeft w:val="0"/>
              <w:marRight w:val="0"/>
              <w:marTop w:val="0"/>
              <w:marBottom w:val="0"/>
              <w:divBdr>
                <w:top w:val="none" w:sz="0" w:space="0" w:color="auto"/>
                <w:left w:val="none" w:sz="0" w:space="0" w:color="auto"/>
                <w:bottom w:val="none" w:sz="0" w:space="0" w:color="auto"/>
                <w:right w:val="none" w:sz="0" w:space="0" w:color="auto"/>
              </w:divBdr>
            </w:div>
          </w:divsChild>
        </w:div>
        <w:div w:id="1603026453">
          <w:marLeft w:val="0"/>
          <w:marRight w:val="0"/>
          <w:marTop w:val="0"/>
          <w:marBottom w:val="0"/>
          <w:divBdr>
            <w:top w:val="none" w:sz="0" w:space="0" w:color="auto"/>
            <w:left w:val="none" w:sz="0" w:space="0" w:color="auto"/>
            <w:bottom w:val="none" w:sz="0" w:space="0" w:color="auto"/>
            <w:right w:val="none" w:sz="0" w:space="0" w:color="auto"/>
          </w:divBdr>
          <w:divsChild>
            <w:div w:id="2107185193">
              <w:marLeft w:val="0"/>
              <w:marRight w:val="0"/>
              <w:marTop w:val="0"/>
              <w:marBottom w:val="0"/>
              <w:divBdr>
                <w:top w:val="none" w:sz="0" w:space="0" w:color="auto"/>
                <w:left w:val="none" w:sz="0" w:space="0" w:color="auto"/>
                <w:bottom w:val="none" w:sz="0" w:space="0" w:color="auto"/>
                <w:right w:val="none" w:sz="0" w:space="0" w:color="auto"/>
              </w:divBdr>
            </w:div>
          </w:divsChild>
        </w:div>
        <w:div w:id="1606376378">
          <w:marLeft w:val="0"/>
          <w:marRight w:val="0"/>
          <w:marTop w:val="0"/>
          <w:marBottom w:val="0"/>
          <w:divBdr>
            <w:top w:val="none" w:sz="0" w:space="0" w:color="auto"/>
            <w:left w:val="none" w:sz="0" w:space="0" w:color="auto"/>
            <w:bottom w:val="none" w:sz="0" w:space="0" w:color="auto"/>
            <w:right w:val="none" w:sz="0" w:space="0" w:color="auto"/>
          </w:divBdr>
          <w:divsChild>
            <w:div w:id="2032561169">
              <w:marLeft w:val="0"/>
              <w:marRight w:val="0"/>
              <w:marTop w:val="0"/>
              <w:marBottom w:val="0"/>
              <w:divBdr>
                <w:top w:val="none" w:sz="0" w:space="0" w:color="auto"/>
                <w:left w:val="none" w:sz="0" w:space="0" w:color="auto"/>
                <w:bottom w:val="none" w:sz="0" w:space="0" w:color="auto"/>
                <w:right w:val="none" w:sz="0" w:space="0" w:color="auto"/>
              </w:divBdr>
            </w:div>
          </w:divsChild>
        </w:div>
        <w:div w:id="1639529389">
          <w:marLeft w:val="0"/>
          <w:marRight w:val="0"/>
          <w:marTop w:val="0"/>
          <w:marBottom w:val="0"/>
          <w:divBdr>
            <w:top w:val="none" w:sz="0" w:space="0" w:color="auto"/>
            <w:left w:val="none" w:sz="0" w:space="0" w:color="auto"/>
            <w:bottom w:val="none" w:sz="0" w:space="0" w:color="auto"/>
            <w:right w:val="none" w:sz="0" w:space="0" w:color="auto"/>
          </w:divBdr>
          <w:divsChild>
            <w:div w:id="359823961">
              <w:marLeft w:val="0"/>
              <w:marRight w:val="0"/>
              <w:marTop w:val="0"/>
              <w:marBottom w:val="0"/>
              <w:divBdr>
                <w:top w:val="none" w:sz="0" w:space="0" w:color="auto"/>
                <w:left w:val="none" w:sz="0" w:space="0" w:color="auto"/>
                <w:bottom w:val="none" w:sz="0" w:space="0" w:color="auto"/>
                <w:right w:val="none" w:sz="0" w:space="0" w:color="auto"/>
              </w:divBdr>
            </w:div>
          </w:divsChild>
        </w:div>
        <w:div w:id="1673756134">
          <w:marLeft w:val="0"/>
          <w:marRight w:val="0"/>
          <w:marTop w:val="0"/>
          <w:marBottom w:val="0"/>
          <w:divBdr>
            <w:top w:val="none" w:sz="0" w:space="0" w:color="auto"/>
            <w:left w:val="none" w:sz="0" w:space="0" w:color="auto"/>
            <w:bottom w:val="none" w:sz="0" w:space="0" w:color="auto"/>
            <w:right w:val="none" w:sz="0" w:space="0" w:color="auto"/>
          </w:divBdr>
          <w:divsChild>
            <w:div w:id="1019821313">
              <w:marLeft w:val="0"/>
              <w:marRight w:val="0"/>
              <w:marTop w:val="0"/>
              <w:marBottom w:val="0"/>
              <w:divBdr>
                <w:top w:val="none" w:sz="0" w:space="0" w:color="auto"/>
                <w:left w:val="none" w:sz="0" w:space="0" w:color="auto"/>
                <w:bottom w:val="none" w:sz="0" w:space="0" w:color="auto"/>
                <w:right w:val="none" w:sz="0" w:space="0" w:color="auto"/>
              </w:divBdr>
            </w:div>
          </w:divsChild>
        </w:div>
        <w:div w:id="1677146072">
          <w:marLeft w:val="0"/>
          <w:marRight w:val="0"/>
          <w:marTop w:val="0"/>
          <w:marBottom w:val="0"/>
          <w:divBdr>
            <w:top w:val="none" w:sz="0" w:space="0" w:color="auto"/>
            <w:left w:val="none" w:sz="0" w:space="0" w:color="auto"/>
            <w:bottom w:val="none" w:sz="0" w:space="0" w:color="auto"/>
            <w:right w:val="none" w:sz="0" w:space="0" w:color="auto"/>
          </w:divBdr>
          <w:divsChild>
            <w:div w:id="573970329">
              <w:marLeft w:val="0"/>
              <w:marRight w:val="0"/>
              <w:marTop w:val="0"/>
              <w:marBottom w:val="0"/>
              <w:divBdr>
                <w:top w:val="none" w:sz="0" w:space="0" w:color="auto"/>
                <w:left w:val="none" w:sz="0" w:space="0" w:color="auto"/>
                <w:bottom w:val="none" w:sz="0" w:space="0" w:color="auto"/>
                <w:right w:val="none" w:sz="0" w:space="0" w:color="auto"/>
              </w:divBdr>
            </w:div>
          </w:divsChild>
        </w:div>
        <w:div w:id="1713386907">
          <w:marLeft w:val="0"/>
          <w:marRight w:val="0"/>
          <w:marTop w:val="0"/>
          <w:marBottom w:val="0"/>
          <w:divBdr>
            <w:top w:val="none" w:sz="0" w:space="0" w:color="auto"/>
            <w:left w:val="none" w:sz="0" w:space="0" w:color="auto"/>
            <w:bottom w:val="none" w:sz="0" w:space="0" w:color="auto"/>
            <w:right w:val="none" w:sz="0" w:space="0" w:color="auto"/>
          </w:divBdr>
          <w:divsChild>
            <w:div w:id="219709051">
              <w:marLeft w:val="0"/>
              <w:marRight w:val="0"/>
              <w:marTop w:val="0"/>
              <w:marBottom w:val="0"/>
              <w:divBdr>
                <w:top w:val="none" w:sz="0" w:space="0" w:color="auto"/>
                <w:left w:val="none" w:sz="0" w:space="0" w:color="auto"/>
                <w:bottom w:val="none" w:sz="0" w:space="0" w:color="auto"/>
                <w:right w:val="none" w:sz="0" w:space="0" w:color="auto"/>
              </w:divBdr>
            </w:div>
          </w:divsChild>
        </w:div>
        <w:div w:id="1753352641">
          <w:marLeft w:val="0"/>
          <w:marRight w:val="0"/>
          <w:marTop w:val="0"/>
          <w:marBottom w:val="0"/>
          <w:divBdr>
            <w:top w:val="none" w:sz="0" w:space="0" w:color="auto"/>
            <w:left w:val="none" w:sz="0" w:space="0" w:color="auto"/>
            <w:bottom w:val="none" w:sz="0" w:space="0" w:color="auto"/>
            <w:right w:val="none" w:sz="0" w:space="0" w:color="auto"/>
          </w:divBdr>
          <w:divsChild>
            <w:div w:id="1484077153">
              <w:marLeft w:val="0"/>
              <w:marRight w:val="0"/>
              <w:marTop w:val="0"/>
              <w:marBottom w:val="0"/>
              <w:divBdr>
                <w:top w:val="none" w:sz="0" w:space="0" w:color="auto"/>
                <w:left w:val="none" w:sz="0" w:space="0" w:color="auto"/>
                <w:bottom w:val="none" w:sz="0" w:space="0" w:color="auto"/>
                <w:right w:val="none" w:sz="0" w:space="0" w:color="auto"/>
              </w:divBdr>
            </w:div>
          </w:divsChild>
        </w:div>
        <w:div w:id="1796027106">
          <w:marLeft w:val="0"/>
          <w:marRight w:val="0"/>
          <w:marTop w:val="0"/>
          <w:marBottom w:val="0"/>
          <w:divBdr>
            <w:top w:val="none" w:sz="0" w:space="0" w:color="auto"/>
            <w:left w:val="none" w:sz="0" w:space="0" w:color="auto"/>
            <w:bottom w:val="none" w:sz="0" w:space="0" w:color="auto"/>
            <w:right w:val="none" w:sz="0" w:space="0" w:color="auto"/>
          </w:divBdr>
          <w:divsChild>
            <w:div w:id="1943370199">
              <w:marLeft w:val="0"/>
              <w:marRight w:val="0"/>
              <w:marTop w:val="0"/>
              <w:marBottom w:val="0"/>
              <w:divBdr>
                <w:top w:val="none" w:sz="0" w:space="0" w:color="auto"/>
                <w:left w:val="none" w:sz="0" w:space="0" w:color="auto"/>
                <w:bottom w:val="none" w:sz="0" w:space="0" w:color="auto"/>
                <w:right w:val="none" w:sz="0" w:space="0" w:color="auto"/>
              </w:divBdr>
            </w:div>
          </w:divsChild>
        </w:div>
        <w:div w:id="1805536551">
          <w:marLeft w:val="0"/>
          <w:marRight w:val="0"/>
          <w:marTop w:val="0"/>
          <w:marBottom w:val="0"/>
          <w:divBdr>
            <w:top w:val="none" w:sz="0" w:space="0" w:color="auto"/>
            <w:left w:val="none" w:sz="0" w:space="0" w:color="auto"/>
            <w:bottom w:val="none" w:sz="0" w:space="0" w:color="auto"/>
            <w:right w:val="none" w:sz="0" w:space="0" w:color="auto"/>
          </w:divBdr>
          <w:divsChild>
            <w:div w:id="1661690269">
              <w:marLeft w:val="0"/>
              <w:marRight w:val="0"/>
              <w:marTop w:val="0"/>
              <w:marBottom w:val="0"/>
              <w:divBdr>
                <w:top w:val="none" w:sz="0" w:space="0" w:color="auto"/>
                <w:left w:val="none" w:sz="0" w:space="0" w:color="auto"/>
                <w:bottom w:val="none" w:sz="0" w:space="0" w:color="auto"/>
                <w:right w:val="none" w:sz="0" w:space="0" w:color="auto"/>
              </w:divBdr>
            </w:div>
          </w:divsChild>
        </w:div>
        <w:div w:id="1898084343">
          <w:marLeft w:val="0"/>
          <w:marRight w:val="0"/>
          <w:marTop w:val="0"/>
          <w:marBottom w:val="0"/>
          <w:divBdr>
            <w:top w:val="none" w:sz="0" w:space="0" w:color="auto"/>
            <w:left w:val="none" w:sz="0" w:space="0" w:color="auto"/>
            <w:bottom w:val="none" w:sz="0" w:space="0" w:color="auto"/>
            <w:right w:val="none" w:sz="0" w:space="0" w:color="auto"/>
          </w:divBdr>
          <w:divsChild>
            <w:div w:id="839344511">
              <w:marLeft w:val="0"/>
              <w:marRight w:val="0"/>
              <w:marTop w:val="0"/>
              <w:marBottom w:val="0"/>
              <w:divBdr>
                <w:top w:val="none" w:sz="0" w:space="0" w:color="auto"/>
                <w:left w:val="none" w:sz="0" w:space="0" w:color="auto"/>
                <w:bottom w:val="none" w:sz="0" w:space="0" w:color="auto"/>
                <w:right w:val="none" w:sz="0" w:space="0" w:color="auto"/>
              </w:divBdr>
            </w:div>
          </w:divsChild>
        </w:div>
        <w:div w:id="1901675640">
          <w:marLeft w:val="0"/>
          <w:marRight w:val="0"/>
          <w:marTop w:val="0"/>
          <w:marBottom w:val="0"/>
          <w:divBdr>
            <w:top w:val="none" w:sz="0" w:space="0" w:color="auto"/>
            <w:left w:val="none" w:sz="0" w:space="0" w:color="auto"/>
            <w:bottom w:val="none" w:sz="0" w:space="0" w:color="auto"/>
            <w:right w:val="none" w:sz="0" w:space="0" w:color="auto"/>
          </w:divBdr>
          <w:divsChild>
            <w:div w:id="2039621898">
              <w:marLeft w:val="0"/>
              <w:marRight w:val="0"/>
              <w:marTop w:val="0"/>
              <w:marBottom w:val="0"/>
              <w:divBdr>
                <w:top w:val="none" w:sz="0" w:space="0" w:color="auto"/>
                <w:left w:val="none" w:sz="0" w:space="0" w:color="auto"/>
                <w:bottom w:val="none" w:sz="0" w:space="0" w:color="auto"/>
                <w:right w:val="none" w:sz="0" w:space="0" w:color="auto"/>
              </w:divBdr>
            </w:div>
          </w:divsChild>
        </w:div>
        <w:div w:id="1928805771">
          <w:marLeft w:val="0"/>
          <w:marRight w:val="0"/>
          <w:marTop w:val="0"/>
          <w:marBottom w:val="0"/>
          <w:divBdr>
            <w:top w:val="none" w:sz="0" w:space="0" w:color="auto"/>
            <w:left w:val="none" w:sz="0" w:space="0" w:color="auto"/>
            <w:bottom w:val="none" w:sz="0" w:space="0" w:color="auto"/>
            <w:right w:val="none" w:sz="0" w:space="0" w:color="auto"/>
          </w:divBdr>
          <w:divsChild>
            <w:div w:id="384067534">
              <w:marLeft w:val="0"/>
              <w:marRight w:val="0"/>
              <w:marTop w:val="0"/>
              <w:marBottom w:val="0"/>
              <w:divBdr>
                <w:top w:val="none" w:sz="0" w:space="0" w:color="auto"/>
                <w:left w:val="none" w:sz="0" w:space="0" w:color="auto"/>
                <w:bottom w:val="none" w:sz="0" w:space="0" w:color="auto"/>
                <w:right w:val="none" w:sz="0" w:space="0" w:color="auto"/>
              </w:divBdr>
            </w:div>
          </w:divsChild>
        </w:div>
        <w:div w:id="2060742676">
          <w:marLeft w:val="0"/>
          <w:marRight w:val="0"/>
          <w:marTop w:val="0"/>
          <w:marBottom w:val="0"/>
          <w:divBdr>
            <w:top w:val="none" w:sz="0" w:space="0" w:color="auto"/>
            <w:left w:val="none" w:sz="0" w:space="0" w:color="auto"/>
            <w:bottom w:val="none" w:sz="0" w:space="0" w:color="auto"/>
            <w:right w:val="none" w:sz="0" w:space="0" w:color="auto"/>
          </w:divBdr>
          <w:divsChild>
            <w:div w:id="662247899">
              <w:marLeft w:val="0"/>
              <w:marRight w:val="0"/>
              <w:marTop w:val="0"/>
              <w:marBottom w:val="0"/>
              <w:divBdr>
                <w:top w:val="none" w:sz="0" w:space="0" w:color="auto"/>
                <w:left w:val="none" w:sz="0" w:space="0" w:color="auto"/>
                <w:bottom w:val="none" w:sz="0" w:space="0" w:color="auto"/>
                <w:right w:val="none" w:sz="0" w:space="0" w:color="auto"/>
              </w:divBdr>
            </w:div>
          </w:divsChild>
        </w:div>
        <w:div w:id="2110156948">
          <w:marLeft w:val="0"/>
          <w:marRight w:val="0"/>
          <w:marTop w:val="0"/>
          <w:marBottom w:val="0"/>
          <w:divBdr>
            <w:top w:val="none" w:sz="0" w:space="0" w:color="auto"/>
            <w:left w:val="none" w:sz="0" w:space="0" w:color="auto"/>
            <w:bottom w:val="none" w:sz="0" w:space="0" w:color="auto"/>
            <w:right w:val="none" w:sz="0" w:space="0" w:color="auto"/>
          </w:divBdr>
          <w:divsChild>
            <w:div w:id="1357317674">
              <w:marLeft w:val="0"/>
              <w:marRight w:val="0"/>
              <w:marTop w:val="0"/>
              <w:marBottom w:val="0"/>
              <w:divBdr>
                <w:top w:val="none" w:sz="0" w:space="0" w:color="auto"/>
                <w:left w:val="none" w:sz="0" w:space="0" w:color="auto"/>
                <w:bottom w:val="none" w:sz="0" w:space="0" w:color="auto"/>
                <w:right w:val="none" w:sz="0" w:space="0" w:color="auto"/>
              </w:divBdr>
            </w:div>
          </w:divsChild>
        </w:div>
        <w:div w:id="2130313510">
          <w:marLeft w:val="0"/>
          <w:marRight w:val="0"/>
          <w:marTop w:val="0"/>
          <w:marBottom w:val="0"/>
          <w:divBdr>
            <w:top w:val="none" w:sz="0" w:space="0" w:color="auto"/>
            <w:left w:val="none" w:sz="0" w:space="0" w:color="auto"/>
            <w:bottom w:val="none" w:sz="0" w:space="0" w:color="auto"/>
            <w:right w:val="none" w:sz="0" w:space="0" w:color="auto"/>
          </w:divBdr>
          <w:divsChild>
            <w:div w:id="20087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5822">
      <w:bodyDiv w:val="1"/>
      <w:marLeft w:val="0"/>
      <w:marRight w:val="0"/>
      <w:marTop w:val="0"/>
      <w:marBottom w:val="0"/>
      <w:divBdr>
        <w:top w:val="none" w:sz="0" w:space="0" w:color="auto"/>
        <w:left w:val="none" w:sz="0" w:space="0" w:color="auto"/>
        <w:bottom w:val="none" w:sz="0" w:space="0" w:color="auto"/>
        <w:right w:val="none" w:sz="0" w:space="0" w:color="auto"/>
      </w:divBdr>
      <w:divsChild>
        <w:div w:id="24410598">
          <w:marLeft w:val="0"/>
          <w:marRight w:val="0"/>
          <w:marTop w:val="0"/>
          <w:marBottom w:val="0"/>
          <w:divBdr>
            <w:top w:val="none" w:sz="0" w:space="0" w:color="auto"/>
            <w:left w:val="none" w:sz="0" w:space="0" w:color="auto"/>
            <w:bottom w:val="none" w:sz="0" w:space="0" w:color="auto"/>
            <w:right w:val="none" w:sz="0" w:space="0" w:color="auto"/>
          </w:divBdr>
        </w:div>
        <w:div w:id="72707815">
          <w:marLeft w:val="0"/>
          <w:marRight w:val="0"/>
          <w:marTop w:val="0"/>
          <w:marBottom w:val="0"/>
          <w:divBdr>
            <w:top w:val="none" w:sz="0" w:space="0" w:color="auto"/>
            <w:left w:val="none" w:sz="0" w:space="0" w:color="auto"/>
            <w:bottom w:val="none" w:sz="0" w:space="0" w:color="auto"/>
            <w:right w:val="none" w:sz="0" w:space="0" w:color="auto"/>
          </w:divBdr>
        </w:div>
        <w:div w:id="278224013">
          <w:marLeft w:val="0"/>
          <w:marRight w:val="0"/>
          <w:marTop w:val="0"/>
          <w:marBottom w:val="0"/>
          <w:divBdr>
            <w:top w:val="none" w:sz="0" w:space="0" w:color="auto"/>
            <w:left w:val="none" w:sz="0" w:space="0" w:color="auto"/>
            <w:bottom w:val="none" w:sz="0" w:space="0" w:color="auto"/>
            <w:right w:val="none" w:sz="0" w:space="0" w:color="auto"/>
          </w:divBdr>
        </w:div>
        <w:div w:id="283466592">
          <w:marLeft w:val="0"/>
          <w:marRight w:val="0"/>
          <w:marTop w:val="0"/>
          <w:marBottom w:val="0"/>
          <w:divBdr>
            <w:top w:val="none" w:sz="0" w:space="0" w:color="auto"/>
            <w:left w:val="none" w:sz="0" w:space="0" w:color="auto"/>
            <w:bottom w:val="none" w:sz="0" w:space="0" w:color="auto"/>
            <w:right w:val="none" w:sz="0" w:space="0" w:color="auto"/>
          </w:divBdr>
        </w:div>
        <w:div w:id="318340220">
          <w:marLeft w:val="0"/>
          <w:marRight w:val="0"/>
          <w:marTop w:val="0"/>
          <w:marBottom w:val="0"/>
          <w:divBdr>
            <w:top w:val="none" w:sz="0" w:space="0" w:color="auto"/>
            <w:left w:val="none" w:sz="0" w:space="0" w:color="auto"/>
            <w:bottom w:val="none" w:sz="0" w:space="0" w:color="auto"/>
            <w:right w:val="none" w:sz="0" w:space="0" w:color="auto"/>
          </w:divBdr>
        </w:div>
        <w:div w:id="394015826">
          <w:marLeft w:val="0"/>
          <w:marRight w:val="0"/>
          <w:marTop w:val="0"/>
          <w:marBottom w:val="0"/>
          <w:divBdr>
            <w:top w:val="none" w:sz="0" w:space="0" w:color="auto"/>
            <w:left w:val="none" w:sz="0" w:space="0" w:color="auto"/>
            <w:bottom w:val="none" w:sz="0" w:space="0" w:color="auto"/>
            <w:right w:val="none" w:sz="0" w:space="0" w:color="auto"/>
          </w:divBdr>
        </w:div>
        <w:div w:id="395396210">
          <w:marLeft w:val="0"/>
          <w:marRight w:val="0"/>
          <w:marTop w:val="0"/>
          <w:marBottom w:val="0"/>
          <w:divBdr>
            <w:top w:val="none" w:sz="0" w:space="0" w:color="auto"/>
            <w:left w:val="none" w:sz="0" w:space="0" w:color="auto"/>
            <w:bottom w:val="none" w:sz="0" w:space="0" w:color="auto"/>
            <w:right w:val="none" w:sz="0" w:space="0" w:color="auto"/>
          </w:divBdr>
        </w:div>
        <w:div w:id="473572849">
          <w:marLeft w:val="0"/>
          <w:marRight w:val="0"/>
          <w:marTop w:val="0"/>
          <w:marBottom w:val="0"/>
          <w:divBdr>
            <w:top w:val="none" w:sz="0" w:space="0" w:color="auto"/>
            <w:left w:val="none" w:sz="0" w:space="0" w:color="auto"/>
            <w:bottom w:val="none" w:sz="0" w:space="0" w:color="auto"/>
            <w:right w:val="none" w:sz="0" w:space="0" w:color="auto"/>
          </w:divBdr>
        </w:div>
        <w:div w:id="494762223">
          <w:marLeft w:val="0"/>
          <w:marRight w:val="0"/>
          <w:marTop w:val="0"/>
          <w:marBottom w:val="0"/>
          <w:divBdr>
            <w:top w:val="none" w:sz="0" w:space="0" w:color="auto"/>
            <w:left w:val="none" w:sz="0" w:space="0" w:color="auto"/>
            <w:bottom w:val="none" w:sz="0" w:space="0" w:color="auto"/>
            <w:right w:val="none" w:sz="0" w:space="0" w:color="auto"/>
          </w:divBdr>
        </w:div>
        <w:div w:id="543370013">
          <w:marLeft w:val="0"/>
          <w:marRight w:val="0"/>
          <w:marTop w:val="0"/>
          <w:marBottom w:val="0"/>
          <w:divBdr>
            <w:top w:val="none" w:sz="0" w:space="0" w:color="auto"/>
            <w:left w:val="none" w:sz="0" w:space="0" w:color="auto"/>
            <w:bottom w:val="none" w:sz="0" w:space="0" w:color="auto"/>
            <w:right w:val="none" w:sz="0" w:space="0" w:color="auto"/>
          </w:divBdr>
        </w:div>
        <w:div w:id="601567034">
          <w:marLeft w:val="0"/>
          <w:marRight w:val="0"/>
          <w:marTop w:val="0"/>
          <w:marBottom w:val="0"/>
          <w:divBdr>
            <w:top w:val="none" w:sz="0" w:space="0" w:color="auto"/>
            <w:left w:val="none" w:sz="0" w:space="0" w:color="auto"/>
            <w:bottom w:val="none" w:sz="0" w:space="0" w:color="auto"/>
            <w:right w:val="none" w:sz="0" w:space="0" w:color="auto"/>
          </w:divBdr>
        </w:div>
        <w:div w:id="710570161">
          <w:marLeft w:val="0"/>
          <w:marRight w:val="0"/>
          <w:marTop w:val="0"/>
          <w:marBottom w:val="0"/>
          <w:divBdr>
            <w:top w:val="none" w:sz="0" w:space="0" w:color="auto"/>
            <w:left w:val="none" w:sz="0" w:space="0" w:color="auto"/>
            <w:bottom w:val="none" w:sz="0" w:space="0" w:color="auto"/>
            <w:right w:val="none" w:sz="0" w:space="0" w:color="auto"/>
          </w:divBdr>
        </w:div>
        <w:div w:id="719400101">
          <w:marLeft w:val="0"/>
          <w:marRight w:val="0"/>
          <w:marTop w:val="0"/>
          <w:marBottom w:val="0"/>
          <w:divBdr>
            <w:top w:val="none" w:sz="0" w:space="0" w:color="auto"/>
            <w:left w:val="none" w:sz="0" w:space="0" w:color="auto"/>
            <w:bottom w:val="none" w:sz="0" w:space="0" w:color="auto"/>
            <w:right w:val="none" w:sz="0" w:space="0" w:color="auto"/>
          </w:divBdr>
        </w:div>
        <w:div w:id="988553484">
          <w:marLeft w:val="0"/>
          <w:marRight w:val="0"/>
          <w:marTop w:val="0"/>
          <w:marBottom w:val="0"/>
          <w:divBdr>
            <w:top w:val="none" w:sz="0" w:space="0" w:color="auto"/>
            <w:left w:val="none" w:sz="0" w:space="0" w:color="auto"/>
            <w:bottom w:val="none" w:sz="0" w:space="0" w:color="auto"/>
            <w:right w:val="none" w:sz="0" w:space="0" w:color="auto"/>
          </w:divBdr>
          <w:divsChild>
            <w:div w:id="97019582">
              <w:marLeft w:val="0"/>
              <w:marRight w:val="0"/>
              <w:marTop w:val="0"/>
              <w:marBottom w:val="0"/>
              <w:divBdr>
                <w:top w:val="none" w:sz="0" w:space="0" w:color="auto"/>
                <w:left w:val="none" w:sz="0" w:space="0" w:color="auto"/>
                <w:bottom w:val="none" w:sz="0" w:space="0" w:color="auto"/>
                <w:right w:val="none" w:sz="0" w:space="0" w:color="auto"/>
              </w:divBdr>
            </w:div>
            <w:div w:id="151065029">
              <w:marLeft w:val="0"/>
              <w:marRight w:val="0"/>
              <w:marTop w:val="0"/>
              <w:marBottom w:val="0"/>
              <w:divBdr>
                <w:top w:val="none" w:sz="0" w:space="0" w:color="auto"/>
                <w:left w:val="none" w:sz="0" w:space="0" w:color="auto"/>
                <w:bottom w:val="none" w:sz="0" w:space="0" w:color="auto"/>
                <w:right w:val="none" w:sz="0" w:space="0" w:color="auto"/>
              </w:divBdr>
            </w:div>
            <w:div w:id="190724443">
              <w:marLeft w:val="0"/>
              <w:marRight w:val="0"/>
              <w:marTop w:val="0"/>
              <w:marBottom w:val="0"/>
              <w:divBdr>
                <w:top w:val="none" w:sz="0" w:space="0" w:color="auto"/>
                <w:left w:val="none" w:sz="0" w:space="0" w:color="auto"/>
                <w:bottom w:val="none" w:sz="0" w:space="0" w:color="auto"/>
                <w:right w:val="none" w:sz="0" w:space="0" w:color="auto"/>
              </w:divBdr>
            </w:div>
            <w:div w:id="316887574">
              <w:marLeft w:val="0"/>
              <w:marRight w:val="0"/>
              <w:marTop w:val="0"/>
              <w:marBottom w:val="0"/>
              <w:divBdr>
                <w:top w:val="none" w:sz="0" w:space="0" w:color="auto"/>
                <w:left w:val="none" w:sz="0" w:space="0" w:color="auto"/>
                <w:bottom w:val="none" w:sz="0" w:space="0" w:color="auto"/>
                <w:right w:val="none" w:sz="0" w:space="0" w:color="auto"/>
              </w:divBdr>
            </w:div>
            <w:div w:id="622999066">
              <w:marLeft w:val="0"/>
              <w:marRight w:val="0"/>
              <w:marTop w:val="0"/>
              <w:marBottom w:val="0"/>
              <w:divBdr>
                <w:top w:val="none" w:sz="0" w:space="0" w:color="auto"/>
                <w:left w:val="none" w:sz="0" w:space="0" w:color="auto"/>
                <w:bottom w:val="none" w:sz="0" w:space="0" w:color="auto"/>
                <w:right w:val="none" w:sz="0" w:space="0" w:color="auto"/>
              </w:divBdr>
            </w:div>
            <w:div w:id="713432184">
              <w:marLeft w:val="0"/>
              <w:marRight w:val="0"/>
              <w:marTop w:val="0"/>
              <w:marBottom w:val="0"/>
              <w:divBdr>
                <w:top w:val="none" w:sz="0" w:space="0" w:color="auto"/>
                <w:left w:val="none" w:sz="0" w:space="0" w:color="auto"/>
                <w:bottom w:val="none" w:sz="0" w:space="0" w:color="auto"/>
                <w:right w:val="none" w:sz="0" w:space="0" w:color="auto"/>
              </w:divBdr>
            </w:div>
            <w:div w:id="844976967">
              <w:marLeft w:val="0"/>
              <w:marRight w:val="0"/>
              <w:marTop w:val="0"/>
              <w:marBottom w:val="0"/>
              <w:divBdr>
                <w:top w:val="none" w:sz="0" w:space="0" w:color="auto"/>
                <w:left w:val="none" w:sz="0" w:space="0" w:color="auto"/>
                <w:bottom w:val="none" w:sz="0" w:space="0" w:color="auto"/>
                <w:right w:val="none" w:sz="0" w:space="0" w:color="auto"/>
              </w:divBdr>
            </w:div>
            <w:div w:id="868493630">
              <w:marLeft w:val="0"/>
              <w:marRight w:val="0"/>
              <w:marTop w:val="0"/>
              <w:marBottom w:val="0"/>
              <w:divBdr>
                <w:top w:val="none" w:sz="0" w:space="0" w:color="auto"/>
                <w:left w:val="none" w:sz="0" w:space="0" w:color="auto"/>
                <w:bottom w:val="none" w:sz="0" w:space="0" w:color="auto"/>
                <w:right w:val="none" w:sz="0" w:space="0" w:color="auto"/>
              </w:divBdr>
            </w:div>
            <w:div w:id="979769098">
              <w:marLeft w:val="0"/>
              <w:marRight w:val="0"/>
              <w:marTop w:val="0"/>
              <w:marBottom w:val="0"/>
              <w:divBdr>
                <w:top w:val="none" w:sz="0" w:space="0" w:color="auto"/>
                <w:left w:val="none" w:sz="0" w:space="0" w:color="auto"/>
                <w:bottom w:val="none" w:sz="0" w:space="0" w:color="auto"/>
                <w:right w:val="none" w:sz="0" w:space="0" w:color="auto"/>
              </w:divBdr>
            </w:div>
            <w:div w:id="1025252547">
              <w:marLeft w:val="0"/>
              <w:marRight w:val="0"/>
              <w:marTop w:val="0"/>
              <w:marBottom w:val="0"/>
              <w:divBdr>
                <w:top w:val="none" w:sz="0" w:space="0" w:color="auto"/>
                <w:left w:val="none" w:sz="0" w:space="0" w:color="auto"/>
                <w:bottom w:val="none" w:sz="0" w:space="0" w:color="auto"/>
                <w:right w:val="none" w:sz="0" w:space="0" w:color="auto"/>
              </w:divBdr>
            </w:div>
            <w:div w:id="1203133815">
              <w:marLeft w:val="0"/>
              <w:marRight w:val="0"/>
              <w:marTop w:val="0"/>
              <w:marBottom w:val="0"/>
              <w:divBdr>
                <w:top w:val="none" w:sz="0" w:space="0" w:color="auto"/>
                <w:left w:val="none" w:sz="0" w:space="0" w:color="auto"/>
                <w:bottom w:val="none" w:sz="0" w:space="0" w:color="auto"/>
                <w:right w:val="none" w:sz="0" w:space="0" w:color="auto"/>
              </w:divBdr>
            </w:div>
            <w:div w:id="1297681670">
              <w:marLeft w:val="0"/>
              <w:marRight w:val="0"/>
              <w:marTop w:val="0"/>
              <w:marBottom w:val="0"/>
              <w:divBdr>
                <w:top w:val="none" w:sz="0" w:space="0" w:color="auto"/>
                <w:left w:val="none" w:sz="0" w:space="0" w:color="auto"/>
                <w:bottom w:val="none" w:sz="0" w:space="0" w:color="auto"/>
                <w:right w:val="none" w:sz="0" w:space="0" w:color="auto"/>
              </w:divBdr>
            </w:div>
            <w:div w:id="1334721532">
              <w:marLeft w:val="0"/>
              <w:marRight w:val="0"/>
              <w:marTop w:val="0"/>
              <w:marBottom w:val="0"/>
              <w:divBdr>
                <w:top w:val="none" w:sz="0" w:space="0" w:color="auto"/>
                <w:left w:val="none" w:sz="0" w:space="0" w:color="auto"/>
                <w:bottom w:val="none" w:sz="0" w:space="0" w:color="auto"/>
                <w:right w:val="none" w:sz="0" w:space="0" w:color="auto"/>
              </w:divBdr>
            </w:div>
            <w:div w:id="1502694831">
              <w:marLeft w:val="0"/>
              <w:marRight w:val="0"/>
              <w:marTop w:val="0"/>
              <w:marBottom w:val="0"/>
              <w:divBdr>
                <w:top w:val="none" w:sz="0" w:space="0" w:color="auto"/>
                <w:left w:val="none" w:sz="0" w:space="0" w:color="auto"/>
                <w:bottom w:val="none" w:sz="0" w:space="0" w:color="auto"/>
                <w:right w:val="none" w:sz="0" w:space="0" w:color="auto"/>
              </w:divBdr>
            </w:div>
            <w:div w:id="1543907770">
              <w:marLeft w:val="0"/>
              <w:marRight w:val="0"/>
              <w:marTop w:val="0"/>
              <w:marBottom w:val="0"/>
              <w:divBdr>
                <w:top w:val="none" w:sz="0" w:space="0" w:color="auto"/>
                <w:left w:val="none" w:sz="0" w:space="0" w:color="auto"/>
                <w:bottom w:val="none" w:sz="0" w:space="0" w:color="auto"/>
                <w:right w:val="none" w:sz="0" w:space="0" w:color="auto"/>
              </w:divBdr>
            </w:div>
            <w:div w:id="1592735747">
              <w:marLeft w:val="0"/>
              <w:marRight w:val="0"/>
              <w:marTop w:val="0"/>
              <w:marBottom w:val="0"/>
              <w:divBdr>
                <w:top w:val="none" w:sz="0" w:space="0" w:color="auto"/>
                <w:left w:val="none" w:sz="0" w:space="0" w:color="auto"/>
                <w:bottom w:val="none" w:sz="0" w:space="0" w:color="auto"/>
                <w:right w:val="none" w:sz="0" w:space="0" w:color="auto"/>
              </w:divBdr>
            </w:div>
            <w:div w:id="1683358262">
              <w:marLeft w:val="0"/>
              <w:marRight w:val="0"/>
              <w:marTop w:val="0"/>
              <w:marBottom w:val="0"/>
              <w:divBdr>
                <w:top w:val="none" w:sz="0" w:space="0" w:color="auto"/>
                <w:left w:val="none" w:sz="0" w:space="0" w:color="auto"/>
                <w:bottom w:val="none" w:sz="0" w:space="0" w:color="auto"/>
                <w:right w:val="none" w:sz="0" w:space="0" w:color="auto"/>
              </w:divBdr>
            </w:div>
            <w:div w:id="1775979581">
              <w:marLeft w:val="0"/>
              <w:marRight w:val="0"/>
              <w:marTop w:val="0"/>
              <w:marBottom w:val="0"/>
              <w:divBdr>
                <w:top w:val="none" w:sz="0" w:space="0" w:color="auto"/>
                <w:left w:val="none" w:sz="0" w:space="0" w:color="auto"/>
                <w:bottom w:val="none" w:sz="0" w:space="0" w:color="auto"/>
                <w:right w:val="none" w:sz="0" w:space="0" w:color="auto"/>
              </w:divBdr>
            </w:div>
            <w:div w:id="2108113057">
              <w:marLeft w:val="0"/>
              <w:marRight w:val="0"/>
              <w:marTop w:val="0"/>
              <w:marBottom w:val="0"/>
              <w:divBdr>
                <w:top w:val="none" w:sz="0" w:space="0" w:color="auto"/>
                <w:left w:val="none" w:sz="0" w:space="0" w:color="auto"/>
                <w:bottom w:val="none" w:sz="0" w:space="0" w:color="auto"/>
                <w:right w:val="none" w:sz="0" w:space="0" w:color="auto"/>
              </w:divBdr>
            </w:div>
          </w:divsChild>
        </w:div>
        <w:div w:id="1170947698">
          <w:marLeft w:val="0"/>
          <w:marRight w:val="0"/>
          <w:marTop w:val="0"/>
          <w:marBottom w:val="0"/>
          <w:divBdr>
            <w:top w:val="none" w:sz="0" w:space="0" w:color="auto"/>
            <w:left w:val="none" w:sz="0" w:space="0" w:color="auto"/>
            <w:bottom w:val="none" w:sz="0" w:space="0" w:color="auto"/>
            <w:right w:val="none" w:sz="0" w:space="0" w:color="auto"/>
          </w:divBdr>
          <w:divsChild>
            <w:div w:id="5714779">
              <w:marLeft w:val="0"/>
              <w:marRight w:val="0"/>
              <w:marTop w:val="0"/>
              <w:marBottom w:val="0"/>
              <w:divBdr>
                <w:top w:val="none" w:sz="0" w:space="0" w:color="auto"/>
                <w:left w:val="none" w:sz="0" w:space="0" w:color="auto"/>
                <w:bottom w:val="none" w:sz="0" w:space="0" w:color="auto"/>
                <w:right w:val="none" w:sz="0" w:space="0" w:color="auto"/>
              </w:divBdr>
            </w:div>
            <w:div w:id="240411865">
              <w:marLeft w:val="0"/>
              <w:marRight w:val="0"/>
              <w:marTop w:val="0"/>
              <w:marBottom w:val="0"/>
              <w:divBdr>
                <w:top w:val="none" w:sz="0" w:space="0" w:color="auto"/>
                <w:left w:val="none" w:sz="0" w:space="0" w:color="auto"/>
                <w:bottom w:val="none" w:sz="0" w:space="0" w:color="auto"/>
                <w:right w:val="none" w:sz="0" w:space="0" w:color="auto"/>
              </w:divBdr>
            </w:div>
            <w:div w:id="362049741">
              <w:marLeft w:val="0"/>
              <w:marRight w:val="0"/>
              <w:marTop w:val="0"/>
              <w:marBottom w:val="0"/>
              <w:divBdr>
                <w:top w:val="none" w:sz="0" w:space="0" w:color="auto"/>
                <w:left w:val="none" w:sz="0" w:space="0" w:color="auto"/>
                <w:bottom w:val="none" w:sz="0" w:space="0" w:color="auto"/>
                <w:right w:val="none" w:sz="0" w:space="0" w:color="auto"/>
              </w:divBdr>
            </w:div>
            <w:div w:id="384380678">
              <w:marLeft w:val="0"/>
              <w:marRight w:val="0"/>
              <w:marTop w:val="0"/>
              <w:marBottom w:val="0"/>
              <w:divBdr>
                <w:top w:val="none" w:sz="0" w:space="0" w:color="auto"/>
                <w:left w:val="none" w:sz="0" w:space="0" w:color="auto"/>
                <w:bottom w:val="none" w:sz="0" w:space="0" w:color="auto"/>
                <w:right w:val="none" w:sz="0" w:space="0" w:color="auto"/>
              </w:divBdr>
            </w:div>
            <w:div w:id="466430919">
              <w:marLeft w:val="0"/>
              <w:marRight w:val="0"/>
              <w:marTop w:val="0"/>
              <w:marBottom w:val="0"/>
              <w:divBdr>
                <w:top w:val="none" w:sz="0" w:space="0" w:color="auto"/>
                <w:left w:val="none" w:sz="0" w:space="0" w:color="auto"/>
                <w:bottom w:val="none" w:sz="0" w:space="0" w:color="auto"/>
                <w:right w:val="none" w:sz="0" w:space="0" w:color="auto"/>
              </w:divBdr>
            </w:div>
            <w:div w:id="471680328">
              <w:marLeft w:val="0"/>
              <w:marRight w:val="0"/>
              <w:marTop w:val="0"/>
              <w:marBottom w:val="0"/>
              <w:divBdr>
                <w:top w:val="none" w:sz="0" w:space="0" w:color="auto"/>
                <w:left w:val="none" w:sz="0" w:space="0" w:color="auto"/>
                <w:bottom w:val="none" w:sz="0" w:space="0" w:color="auto"/>
                <w:right w:val="none" w:sz="0" w:space="0" w:color="auto"/>
              </w:divBdr>
            </w:div>
            <w:div w:id="491485498">
              <w:marLeft w:val="0"/>
              <w:marRight w:val="0"/>
              <w:marTop w:val="0"/>
              <w:marBottom w:val="0"/>
              <w:divBdr>
                <w:top w:val="none" w:sz="0" w:space="0" w:color="auto"/>
                <w:left w:val="none" w:sz="0" w:space="0" w:color="auto"/>
                <w:bottom w:val="none" w:sz="0" w:space="0" w:color="auto"/>
                <w:right w:val="none" w:sz="0" w:space="0" w:color="auto"/>
              </w:divBdr>
            </w:div>
            <w:div w:id="523785387">
              <w:marLeft w:val="0"/>
              <w:marRight w:val="0"/>
              <w:marTop w:val="0"/>
              <w:marBottom w:val="0"/>
              <w:divBdr>
                <w:top w:val="none" w:sz="0" w:space="0" w:color="auto"/>
                <w:left w:val="none" w:sz="0" w:space="0" w:color="auto"/>
                <w:bottom w:val="none" w:sz="0" w:space="0" w:color="auto"/>
                <w:right w:val="none" w:sz="0" w:space="0" w:color="auto"/>
              </w:divBdr>
            </w:div>
            <w:div w:id="582372771">
              <w:marLeft w:val="0"/>
              <w:marRight w:val="0"/>
              <w:marTop w:val="0"/>
              <w:marBottom w:val="0"/>
              <w:divBdr>
                <w:top w:val="none" w:sz="0" w:space="0" w:color="auto"/>
                <w:left w:val="none" w:sz="0" w:space="0" w:color="auto"/>
                <w:bottom w:val="none" w:sz="0" w:space="0" w:color="auto"/>
                <w:right w:val="none" w:sz="0" w:space="0" w:color="auto"/>
              </w:divBdr>
            </w:div>
            <w:div w:id="779103391">
              <w:marLeft w:val="0"/>
              <w:marRight w:val="0"/>
              <w:marTop w:val="0"/>
              <w:marBottom w:val="0"/>
              <w:divBdr>
                <w:top w:val="none" w:sz="0" w:space="0" w:color="auto"/>
                <w:left w:val="none" w:sz="0" w:space="0" w:color="auto"/>
                <w:bottom w:val="none" w:sz="0" w:space="0" w:color="auto"/>
                <w:right w:val="none" w:sz="0" w:space="0" w:color="auto"/>
              </w:divBdr>
            </w:div>
            <w:div w:id="839808441">
              <w:marLeft w:val="0"/>
              <w:marRight w:val="0"/>
              <w:marTop w:val="0"/>
              <w:marBottom w:val="0"/>
              <w:divBdr>
                <w:top w:val="none" w:sz="0" w:space="0" w:color="auto"/>
                <w:left w:val="none" w:sz="0" w:space="0" w:color="auto"/>
                <w:bottom w:val="none" w:sz="0" w:space="0" w:color="auto"/>
                <w:right w:val="none" w:sz="0" w:space="0" w:color="auto"/>
              </w:divBdr>
            </w:div>
            <w:div w:id="927231383">
              <w:marLeft w:val="0"/>
              <w:marRight w:val="0"/>
              <w:marTop w:val="0"/>
              <w:marBottom w:val="0"/>
              <w:divBdr>
                <w:top w:val="none" w:sz="0" w:space="0" w:color="auto"/>
                <w:left w:val="none" w:sz="0" w:space="0" w:color="auto"/>
                <w:bottom w:val="none" w:sz="0" w:space="0" w:color="auto"/>
                <w:right w:val="none" w:sz="0" w:space="0" w:color="auto"/>
              </w:divBdr>
            </w:div>
            <w:div w:id="928272772">
              <w:marLeft w:val="0"/>
              <w:marRight w:val="0"/>
              <w:marTop w:val="0"/>
              <w:marBottom w:val="0"/>
              <w:divBdr>
                <w:top w:val="none" w:sz="0" w:space="0" w:color="auto"/>
                <w:left w:val="none" w:sz="0" w:space="0" w:color="auto"/>
                <w:bottom w:val="none" w:sz="0" w:space="0" w:color="auto"/>
                <w:right w:val="none" w:sz="0" w:space="0" w:color="auto"/>
              </w:divBdr>
            </w:div>
            <w:div w:id="1105464899">
              <w:marLeft w:val="0"/>
              <w:marRight w:val="0"/>
              <w:marTop w:val="0"/>
              <w:marBottom w:val="0"/>
              <w:divBdr>
                <w:top w:val="none" w:sz="0" w:space="0" w:color="auto"/>
                <w:left w:val="none" w:sz="0" w:space="0" w:color="auto"/>
                <w:bottom w:val="none" w:sz="0" w:space="0" w:color="auto"/>
                <w:right w:val="none" w:sz="0" w:space="0" w:color="auto"/>
              </w:divBdr>
            </w:div>
            <w:div w:id="1148207576">
              <w:marLeft w:val="0"/>
              <w:marRight w:val="0"/>
              <w:marTop w:val="0"/>
              <w:marBottom w:val="0"/>
              <w:divBdr>
                <w:top w:val="none" w:sz="0" w:space="0" w:color="auto"/>
                <w:left w:val="none" w:sz="0" w:space="0" w:color="auto"/>
                <w:bottom w:val="none" w:sz="0" w:space="0" w:color="auto"/>
                <w:right w:val="none" w:sz="0" w:space="0" w:color="auto"/>
              </w:divBdr>
            </w:div>
            <w:div w:id="1419717443">
              <w:marLeft w:val="0"/>
              <w:marRight w:val="0"/>
              <w:marTop w:val="0"/>
              <w:marBottom w:val="0"/>
              <w:divBdr>
                <w:top w:val="none" w:sz="0" w:space="0" w:color="auto"/>
                <w:left w:val="none" w:sz="0" w:space="0" w:color="auto"/>
                <w:bottom w:val="none" w:sz="0" w:space="0" w:color="auto"/>
                <w:right w:val="none" w:sz="0" w:space="0" w:color="auto"/>
              </w:divBdr>
            </w:div>
            <w:div w:id="1524249032">
              <w:marLeft w:val="0"/>
              <w:marRight w:val="0"/>
              <w:marTop w:val="0"/>
              <w:marBottom w:val="0"/>
              <w:divBdr>
                <w:top w:val="none" w:sz="0" w:space="0" w:color="auto"/>
                <w:left w:val="none" w:sz="0" w:space="0" w:color="auto"/>
                <w:bottom w:val="none" w:sz="0" w:space="0" w:color="auto"/>
                <w:right w:val="none" w:sz="0" w:space="0" w:color="auto"/>
              </w:divBdr>
            </w:div>
            <w:div w:id="1619489795">
              <w:marLeft w:val="0"/>
              <w:marRight w:val="0"/>
              <w:marTop w:val="0"/>
              <w:marBottom w:val="0"/>
              <w:divBdr>
                <w:top w:val="none" w:sz="0" w:space="0" w:color="auto"/>
                <w:left w:val="none" w:sz="0" w:space="0" w:color="auto"/>
                <w:bottom w:val="none" w:sz="0" w:space="0" w:color="auto"/>
                <w:right w:val="none" w:sz="0" w:space="0" w:color="auto"/>
              </w:divBdr>
            </w:div>
            <w:div w:id="1688172913">
              <w:marLeft w:val="0"/>
              <w:marRight w:val="0"/>
              <w:marTop w:val="0"/>
              <w:marBottom w:val="0"/>
              <w:divBdr>
                <w:top w:val="none" w:sz="0" w:space="0" w:color="auto"/>
                <w:left w:val="none" w:sz="0" w:space="0" w:color="auto"/>
                <w:bottom w:val="none" w:sz="0" w:space="0" w:color="auto"/>
                <w:right w:val="none" w:sz="0" w:space="0" w:color="auto"/>
              </w:divBdr>
            </w:div>
            <w:div w:id="2008626615">
              <w:marLeft w:val="0"/>
              <w:marRight w:val="0"/>
              <w:marTop w:val="0"/>
              <w:marBottom w:val="0"/>
              <w:divBdr>
                <w:top w:val="none" w:sz="0" w:space="0" w:color="auto"/>
                <w:left w:val="none" w:sz="0" w:space="0" w:color="auto"/>
                <w:bottom w:val="none" w:sz="0" w:space="0" w:color="auto"/>
                <w:right w:val="none" w:sz="0" w:space="0" w:color="auto"/>
              </w:divBdr>
            </w:div>
          </w:divsChild>
        </w:div>
        <w:div w:id="1175146786">
          <w:marLeft w:val="0"/>
          <w:marRight w:val="0"/>
          <w:marTop w:val="0"/>
          <w:marBottom w:val="0"/>
          <w:divBdr>
            <w:top w:val="none" w:sz="0" w:space="0" w:color="auto"/>
            <w:left w:val="none" w:sz="0" w:space="0" w:color="auto"/>
            <w:bottom w:val="none" w:sz="0" w:space="0" w:color="auto"/>
            <w:right w:val="none" w:sz="0" w:space="0" w:color="auto"/>
          </w:divBdr>
        </w:div>
        <w:div w:id="1233808969">
          <w:marLeft w:val="0"/>
          <w:marRight w:val="0"/>
          <w:marTop w:val="0"/>
          <w:marBottom w:val="0"/>
          <w:divBdr>
            <w:top w:val="none" w:sz="0" w:space="0" w:color="auto"/>
            <w:left w:val="none" w:sz="0" w:space="0" w:color="auto"/>
            <w:bottom w:val="none" w:sz="0" w:space="0" w:color="auto"/>
            <w:right w:val="none" w:sz="0" w:space="0" w:color="auto"/>
          </w:divBdr>
          <w:divsChild>
            <w:div w:id="88088605">
              <w:marLeft w:val="0"/>
              <w:marRight w:val="0"/>
              <w:marTop w:val="0"/>
              <w:marBottom w:val="0"/>
              <w:divBdr>
                <w:top w:val="none" w:sz="0" w:space="0" w:color="auto"/>
                <w:left w:val="none" w:sz="0" w:space="0" w:color="auto"/>
                <w:bottom w:val="none" w:sz="0" w:space="0" w:color="auto"/>
                <w:right w:val="none" w:sz="0" w:space="0" w:color="auto"/>
              </w:divBdr>
            </w:div>
            <w:div w:id="160389057">
              <w:marLeft w:val="0"/>
              <w:marRight w:val="0"/>
              <w:marTop w:val="0"/>
              <w:marBottom w:val="0"/>
              <w:divBdr>
                <w:top w:val="none" w:sz="0" w:space="0" w:color="auto"/>
                <w:left w:val="none" w:sz="0" w:space="0" w:color="auto"/>
                <w:bottom w:val="none" w:sz="0" w:space="0" w:color="auto"/>
                <w:right w:val="none" w:sz="0" w:space="0" w:color="auto"/>
              </w:divBdr>
            </w:div>
            <w:div w:id="261769068">
              <w:marLeft w:val="0"/>
              <w:marRight w:val="0"/>
              <w:marTop w:val="0"/>
              <w:marBottom w:val="0"/>
              <w:divBdr>
                <w:top w:val="none" w:sz="0" w:space="0" w:color="auto"/>
                <w:left w:val="none" w:sz="0" w:space="0" w:color="auto"/>
                <w:bottom w:val="none" w:sz="0" w:space="0" w:color="auto"/>
                <w:right w:val="none" w:sz="0" w:space="0" w:color="auto"/>
              </w:divBdr>
            </w:div>
            <w:div w:id="305478666">
              <w:marLeft w:val="0"/>
              <w:marRight w:val="0"/>
              <w:marTop w:val="0"/>
              <w:marBottom w:val="0"/>
              <w:divBdr>
                <w:top w:val="none" w:sz="0" w:space="0" w:color="auto"/>
                <w:left w:val="none" w:sz="0" w:space="0" w:color="auto"/>
                <w:bottom w:val="none" w:sz="0" w:space="0" w:color="auto"/>
                <w:right w:val="none" w:sz="0" w:space="0" w:color="auto"/>
              </w:divBdr>
            </w:div>
            <w:div w:id="398481272">
              <w:marLeft w:val="0"/>
              <w:marRight w:val="0"/>
              <w:marTop w:val="0"/>
              <w:marBottom w:val="0"/>
              <w:divBdr>
                <w:top w:val="none" w:sz="0" w:space="0" w:color="auto"/>
                <w:left w:val="none" w:sz="0" w:space="0" w:color="auto"/>
                <w:bottom w:val="none" w:sz="0" w:space="0" w:color="auto"/>
                <w:right w:val="none" w:sz="0" w:space="0" w:color="auto"/>
              </w:divBdr>
            </w:div>
            <w:div w:id="406610798">
              <w:marLeft w:val="0"/>
              <w:marRight w:val="0"/>
              <w:marTop w:val="0"/>
              <w:marBottom w:val="0"/>
              <w:divBdr>
                <w:top w:val="none" w:sz="0" w:space="0" w:color="auto"/>
                <w:left w:val="none" w:sz="0" w:space="0" w:color="auto"/>
                <w:bottom w:val="none" w:sz="0" w:space="0" w:color="auto"/>
                <w:right w:val="none" w:sz="0" w:space="0" w:color="auto"/>
              </w:divBdr>
            </w:div>
            <w:div w:id="436758218">
              <w:marLeft w:val="0"/>
              <w:marRight w:val="0"/>
              <w:marTop w:val="0"/>
              <w:marBottom w:val="0"/>
              <w:divBdr>
                <w:top w:val="none" w:sz="0" w:space="0" w:color="auto"/>
                <w:left w:val="none" w:sz="0" w:space="0" w:color="auto"/>
                <w:bottom w:val="none" w:sz="0" w:space="0" w:color="auto"/>
                <w:right w:val="none" w:sz="0" w:space="0" w:color="auto"/>
              </w:divBdr>
            </w:div>
            <w:div w:id="574172947">
              <w:marLeft w:val="0"/>
              <w:marRight w:val="0"/>
              <w:marTop w:val="0"/>
              <w:marBottom w:val="0"/>
              <w:divBdr>
                <w:top w:val="none" w:sz="0" w:space="0" w:color="auto"/>
                <w:left w:val="none" w:sz="0" w:space="0" w:color="auto"/>
                <w:bottom w:val="none" w:sz="0" w:space="0" w:color="auto"/>
                <w:right w:val="none" w:sz="0" w:space="0" w:color="auto"/>
              </w:divBdr>
            </w:div>
            <w:div w:id="709383333">
              <w:marLeft w:val="0"/>
              <w:marRight w:val="0"/>
              <w:marTop w:val="0"/>
              <w:marBottom w:val="0"/>
              <w:divBdr>
                <w:top w:val="none" w:sz="0" w:space="0" w:color="auto"/>
                <w:left w:val="none" w:sz="0" w:space="0" w:color="auto"/>
                <w:bottom w:val="none" w:sz="0" w:space="0" w:color="auto"/>
                <w:right w:val="none" w:sz="0" w:space="0" w:color="auto"/>
              </w:divBdr>
            </w:div>
            <w:div w:id="833836571">
              <w:marLeft w:val="0"/>
              <w:marRight w:val="0"/>
              <w:marTop w:val="0"/>
              <w:marBottom w:val="0"/>
              <w:divBdr>
                <w:top w:val="none" w:sz="0" w:space="0" w:color="auto"/>
                <w:left w:val="none" w:sz="0" w:space="0" w:color="auto"/>
                <w:bottom w:val="none" w:sz="0" w:space="0" w:color="auto"/>
                <w:right w:val="none" w:sz="0" w:space="0" w:color="auto"/>
              </w:divBdr>
            </w:div>
            <w:div w:id="966937476">
              <w:marLeft w:val="0"/>
              <w:marRight w:val="0"/>
              <w:marTop w:val="0"/>
              <w:marBottom w:val="0"/>
              <w:divBdr>
                <w:top w:val="none" w:sz="0" w:space="0" w:color="auto"/>
                <w:left w:val="none" w:sz="0" w:space="0" w:color="auto"/>
                <w:bottom w:val="none" w:sz="0" w:space="0" w:color="auto"/>
                <w:right w:val="none" w:sz="0" w:space="0" w:color="auto"/>
              </w:divBdr>
            </w:div>
            <w:div w:id="1078943965">
              <w:marLeft w:val="0"/>
              <w:marRight w:val="0"/>
              <w:marTop w:val="0"/>
              <w:marBottom w:val="0"/>
              <w:divBdr>
                <w:top w:val="none" w:sz="0" w:space="0" w:color="auto"/>
                <w:left w:val="none" w:sz="0" w:space="0" w:color="auto"/>
                <w:bottom w:val="none" w:sz="0" w:space="0" w:color="auto"/>
                <w:right w:val="none" w:sz="0" w:space="0" w:color="auto"/>
              </w:divBdr>
            </w:div>
            <w:div w:id="1289975102">
              <w:marLeft w:val="0"/>
              <w:marRight w:val="0"/>
              <w:marTop w:val="0"/>
              <w:marBottom w:val="0"/>
              <w:divBdr>
                <w:top w:val="none" w:sz="0" w:space="0" w:color="auto"/>
                <w:left w:val="none" w:sz="0" w:space="0" w:color="auto"/>
                <w:bottom w:val="none" w:sz="0" w:space="0" w:color="auto"/>
                <w:right w:val="none" w:sz="0" w:space="0" w:color="auto"/>
              </w:divBdr>
            </w:div>
            <w:div w:id="1405300391">
              <w:marLeft w:val="0"/>
              <w:marRight w:val="0"/>
              <w:marTop w:val="0"/>
              <w:marBottom w:val="0"/>
              <w:divBdr>
                <w:top w:val="none" w:sz="0" w:space="0" w:color="auto"/>
                <w:left w:val="none" w:sz="0" w:space="0" w:color="auto"/>
                <w:bottom w:val="none" w:sz="0" w:space="0" w:color="auto"/>
                <w:right w:val="none" w:sz="0" w:space="0" w:color="auto"/>
              </w:divBdr>
            </w:div>
            <w:div w:id="1440949715">
              <w:marLeft w:val="0"/>
              <w:marRight w:val="0"/>
              <w:marTop w:val="0"/>
              <w:marBottom w:val="0"/>
              <w:divBdr>
                <w:top w:val="none" w:sz="0" w:space="0" w:color="auto"/>
                <w:left w:val="none" w:sz="0" w:space="0" w:color="auto"/>
                <w:bottom w:val="none" w:sz="0" w:space="0" w:color="auto"/>
                <w:right w:val="none" w:sz="0" w:space="0" w:color="auto"/>
              </w:divBdr>
            </w:div>
            <w:div w:id="1744138751">
              <w:marLeft w:val="0"/>
              <w:marRight w:val="0"/>
              <w:marTop w:val="0"/>
              <w:marBottom w:val="0"/>
              <w:divBdr>
                <w:top w:val="none" w:sz="0" w:space="0" w:color="auto"/>
                <w:left w:val="none" w:sz="0" w:space="0" w:color="auto"/>
                <w:bottom w:val="none" w:sz="0" w:space="0" w:color="auto"/>
                <w:right w:val="none" w:sz="0" w:space="0" w:color="auto"/>
              </w:divBdr>
            </w:div>
            <w:div w:id="1763641150">
              <w:marLeft w:val="0"/>
              <w:marRight w:val="0"/>
              <w:marTop w:val="0"/>
              <w:marBottom w:val="0"/>
              <w:divBdr>
                <w:top w:val="none" w:sz="0" w:space="0" w:color="auto"/>
                <w:left w:val="none" w:sz="0" w:space="0" w:color="auto"/>
                <w:bottom w:val="none" w:sz="0" w:space="0" w:color="auto"/>
                <w:right w:val="none" w:sz="0" w:space="0" w:color="auto"/>
              </w:divBdr>
            </w:div>
            <w:div w:id="1766605853">
              <w:marLeft w:val="0"/>
              <w:marRight w:val="0"/>
              <w:marTop w:val="0"/>
              <w:marBottom w:val="0"/>
              <w:divBdr>
                <w:top w:val="none" w:sz="0" w:space="0" w:color="auto"/>
                <w:left w:val="none" w:sz="0" w:space="0" w:color="auto"/>
                <w:bottom w:val="none" w:sz="0" w:space="0" w:color="auto"/>
                <w:right w:val="none" w:sz="0" w:space="0" w:color="auto"/>
              </w:divBdr>
            </w:div>
            <w:div w:id="1801416859">
              <w:marLeft w:val="0"/>
              <w:marRight w:val="0"/>
              <w:marTop w:val="0"/>
              <w:marBottom w:val="0"/>
              <w:divBdr>
                <w:top w:val="none" w:sz="0" w:space="0" w:color="auto"/>
                <w:left w:val="none" w:sz="0" w:space="0" w:color="auto"/>
                <w:bottom w:val="none" w:sz="0" w:space="0" w:color="auto"/>
                <w:right w:val="none" w:sz="0" w:space="0" w:color="auto"/>
              </w:divBdr>
            </w:div>
            <w:div w:id="1919096593">
              <w:marLeft w:val="0"/>
              <w:marRight w:val="0"/>
              <w:marTop w:val="0"/>
              <w:marBottom w:val="0"/>
              <w:divBdr>
                <w:top w:val="none" w:sz="0" w:space="0" w:color="auto"/>
                <w:left w:val="none" w:sz="0" w:space="0" w:color="auto"/>
                <w:bottom w:val="none" w:sz="0" w:space="0" w:color="auto"/>
                <w:right w:val="none" w:sz="0" w:space="0" w:color="auto"/>
              </w:divBdr>
            </w:div>
          </w:divsChild>
        </w:div>
        <w:div w:id="1340736953">
          <w:marLeft w:val="0"/>
          <w:marRight w:val="0"/>
          <w:marTop w:val="0"/>
          <w:marBottom w:val="0"/>
          <w:divBdr>
            <w:top w:val="none" w:sz="0" w:space="0" w:color="auto"/>
            <w:left w:val="none" w:sz="0" w:space="0" w:color="auto"/>
            <w:bottom w:val="none" w:sz="0" w:space="0" w:color="auto"/>
            <w:right w:val="none" w:sz="0" w:space="0" w:color="auto"/>
          </w:divBdr>
        </w:div>
        <w:div w:id="1386679589">
          <w:marLeft w:val="0"/>
          <w:marRight w:val="0"/>
          <w:marTop w:val="0"/>
          <w:marBottom w:val="0"/>
          <w:divBdr>
            <w:top w:val="none" w:sz="0" w:space="0" w:color="auto"/>
            <w:left w:val="none" w:sz="0" w:space="0" w:color="auto"/>
            <w:bottom w:val="none" w:sz="0" w:space="0" w:color="auto"/>
            <w:right w:val="none" w:sz="0" w:space="0" w:color="auto"/>
          </w:divBdr>
          <w:divsChild>
            <w:div w:id="240994878">
              <w:marLeft w:val="0"/>
              <w:marRight w:val="0"/>
              <w:marTop w:val="0"/>
              <w:marBottom w:val="0"/>
              <w:divBdr>
                <w:top w:val="none" w:sz="0" w:space="0" w:color="auto"/>
                <w:left w:val="none" w:sz="0" w:space="0" w:color="auto"/>
                <w:bottom w:val="none" w:sz="0" w:space="0" w:color="auto"/>
                <w:right w:val="none" w:sz="0" w:space="0" w:color="auto"/>
              </w:divBdr>
            </w:div>
            <w:div w:id="413356982">
              <w:marLeft w:val="0"/>
              <w:marRight w:val="0"/>
              <w:marTop w:val="0"/>
              <w:marBottom w:val="0"/>
              <w:divBdr>
                <w:top w:val="none" w:sz="0" w:space="0" w:color="auto"/>
                <w:left w:val="none" w:sz="0" w:space="0" w:color="auto"/>
                <w:bottom w:val="none" w:sz="0" w:space="0" w:color="auto"/>
                <w:right w:val="none" w:sz="0" w:space="0" w:color="auto"/>
              </w:divBdr>
            </w:div>
            <w:div w:id="547306890">
              <w:marLeft w:val="0"/>
              <w:marRight w:val="0"/>
              <w:marTop w:val="0"/>
              <w:marBottom w:val="0"/>
              <w:divBdr>
                <w:top w:val="none" w:sz="0" w:space="0" w:color="auto"/>
                <w:left w:val="none" w:sz="0" w:space="0" w:color="auto"/>
                <w:bottom w:val="none" w:sz="0" w:space="0" w:color="auto"/>
                <w:right w:val="none" w:sz="0" w:space="0" w:color="auto"/>
              </w:divBdr>
            </w:div>
            <w:div w:id="1005402068">
              <w:marLeft w:val="0"/>
              <w:marRight w:val="0"/>
              <w:marTop w:val="0"/>
              <w:marBottom w:val="0"/>
              <w:divBdr>
                <w:top w:val="none" w:sz="0" w:space="0" w:color="auto"/>
                <w:left w:val="none" w:sz="0" w:space="0" w:color="auto"/>
                <w:bottom w:val="none" w:sz="0" w:space="0" w:color="auto"/>
                <w:right w:val="none" w:sz="0" w:space="0" w:color="auto"/>
              </w:divBdr>
            </w:div>
            <w:div w:id="1618219894">
              <w:marLeft w:val="0"/>
              <w:marRight w:val="0"/>
              <w:marTop w:val="0"/>
              <w:marBottom w:val="0"/>
              <w:divBdr>
                <w:top w:val="none" w:sz="0" w:space="0" w:color="auto"/>
                <w:left w:val="none" w:sz="0" w:space="0" w:color="auto"/>
                <w:bottom w:val="none" w:sz="0" w:space="0" w:color="auto"/>
                <w:right w:val="none" w:sz="0" w:space="0" w:color="auto"/>
              </w:divBdr>
            </w:div>
            <w:div w:id="1717390951">
              <w:marLeft w:val="0"/>
              <w:marRight w:val="0"/>
              <w:marTop w:val="0"/>
              <w:marBottom w:val="0"/>
              <w:divBdr>
                <w:top w:val="none" w:sz="0" w:space="0" w:color="auto"/>
                <w:left w:val="none" w:sz="0" w:space="0" w:color="auto"/>
                <w:bottom w:val="none" w:sz="0" w:space="0" w:color="auto"/>
                <w:right w:val="none" w:sz="0" w:space="0" w:color="auto"/>
              </w:divBdr>
            </w:div>
          </w:divsChild>
        </w:div>
        <w:div w:id="1445617945">
          <w:marLeft w:val="0"/>
          <w:marRight w:val="0"/>
          <w:marTop w:val="0"/>
          <w:marBottom w:val="0"/>
          <w:divBdr>
            <w:top w:val="none" w:sz="0" w:space="0" w:color="auto"/>
            <w:left w:val="none" w:sz="0" w:space="0" w:color="auto"/>
            <w:bottom w:val="none" w:sz="0" w:space="0" w:color="auto"/>
            <w:right w:val="none" w:sz="0" w:space="0" w:color="auto"/>
          </w:divBdr>
        </w:div>
        <w:div w:id="1448282220">
          <w:marLeft w:val="0"/>
          <w:marRight w:val="0"/>
          <w:marTop w:val="0"/>
          <w:marBottom w:val="0"/>
          <w:divBdr>
            <w:top w:val="none" w:sz="0" w:space="0" w:color="auto"/>
            <w:left w:val="none" w:sz="0" w:space="0" w:color="auto"/>
            <w:bottom w:val="none" w:sz="0" w:space="0" w:color="auto"/>
            <w:right w:val="none" w:sz="0" w:space="0" w:color="auto"/>
          </w:divBdr>
          <w:divsChild>
            <w:div w:id="17244811">
              <w:marLeft w:val="0"/>
              <w:marRight w:val="0"/>
              <w:marTop w:val="0"/>
              <w:marBottom w:val="0"/>
              <w:divBdr>
                <w:top w:val="none" w:sz="0" w:space="0" w:color="auto"/>
                <w:left w:val="none" w:sz="0" w:space="0" w:color="auto"/>
                <w:bottom w:val="none" w:sz="0" w:space="0" w:color="auto"/>
                <w:right w:val="none" w:sz="0" w:space="0" w:color="auto"/>
              </w:divBdr>
            </w:div>
            <w:div w:id="134224333">
              <w:marLeft w:val="0"/>
              <w:marRight w:val="0"/>
              <w:marTop w:val="0"/>
              <w:marBottom w:val="0"/>
              <w:divBdr>
                <w:top w:val="none" w:sz="0" w:space="0" w:color="auto"/>
                <w:left w:val="none" w:sz="0" w:space="0" w:color="auto"/>
                <w:bottom w:val="none" w:sz="0" w:space="0" w:color="auto"/>
                <w:right w:val="none" w:sz="0" w:space="0" w:color="auto"/>
              </w:divBdr>
            </w:div>
            <w:div w:id="348919029">
              <w:marLeft w:val="0"/>
              <w:marRight w:val="0"/>
              <w:marTop w:val="0"/>
              <w:marBottom w:val="0"/>
              <w:divBdr>
                <w:top w:val="none" w:sz="0" w:space="0" w:color="auto"/>
                <w:left w:val="none" w:sz="0" w:space="0" w:color="auto"/>
                <w:bottom w:val="none" w:sz="0" w:space="0" w:color="auto"/>
                <w:right w:val="none" w:sz="0" w:space="0" w:color="auto"/>
              </w:divBdr>
            </w:div>
            <w:div w:id="462121452">
              <w:marLeft w:val="0"/>
              <w:marRight w:val="0"/>
              <w:marTop w:val="0"/>
              <w:marBottom w:val="0"/>
              <w:divBdr>
                <w:top w:val="none" w:sz="0" w:space="0" w:color="auto"/>
                <w:left w:val="none" w:sz="0" w:space="0" w:color="auto"/>
                <w:bottom w:val="none" w:sz="0" w:space="0" w:color="auto"/>
                <w:right w:val="none" w:sz="0" w:space="0" w:color="auto"/>
              </w:divBdr>
            </w:div>
            <w:div w:id="554854578">
              <w:marLeft w:val="0"/>
              <w:marRight w:val="0"/>
              <w:marTop w:val="0"/>
              <w:marBottom w:val="0"/>
              <w:divBdr>
                <w:top w:val="none" w:sz="0" w:space="0" w:color="auto"/>
                <w:left w:val="none" w:sz="0" w:space="0" w:color="auto"/>
                <w:bottom w:val="none" w:sz="0" w:space="0" w:color="auto"/>
                <w:right w:val="none" w:sz="0" w:space="0" w:color="auto"/>
              </w:divBdr>
            </w:div>
            <w:div w:id="641425008">
              <w:marLeft w:val="0"/>
              <w:marRight w:val="0"/>
              <w:marTop w:val="0"/>
              <w:marBottom w:val="0"/>
              <w:divBdr>
                <w:top w:val="none" w:sz="0" w:space="0" w:color="auto"/>
                <w:left w:val="none" w:sz="0" w:space="0" w:color="auto"/>
                <w:bottom w:val="none" w:sz="0" w:space="0" w:color="auto"/>
                <w:right w:val="none" w:sz="0" w:space="0" w:color="auto"/>
              </w:divBdr>
            </w:div>
            <w:div w:id="765807499">
              <w:marLeft w:val="0"/>
              <w:marRight w:val="0"/>
              <w:marTop w:val="0"/>
              <w:marBottom w:val="0"/>
              <w:divBdr>
                <w:top w:val="none" w:sz="0" w:space="0" w:color="auto"/>
                <w:left w:val="none" w:sz="0" w:space="0" w:color="auto"/>
                <w:bottom w:val="none" w:sz="0" w:space="0" w:color="auto"/>
                <w:right w:val="none" w:sz="0" w:space="0" w:color="auto"/>
              </w:divBdr>
            </w:div>
            <w:div w:id="833837669">
              <w:marLeft w:val="0"/>
              <w:marRight w:val="0"/>
              <w:marTop w:val="0"/>
              <w:marBottom w:val="0"/>
              <w:divBdr>
                <w:top w:val="none" w:sz="0" w:space="0" w:color="auto"/>
                <w:left w:val="none" w:sz="0" w:space="0" w:color="auto"/>
                <w:bottom w:val="none" w:sz="0" w:space="0" w:color="auto"/>
                <w:right w:val="none" w:sz="0" w:space="0" w:color="auto"/>
              </w:divBdr>
            </w:div>
            <w:div w:id="839393514">
              <w:marLeft w:val="0"/>
              <w:marRight w:val="0"/>
              <w:marTop w:val="0"/>
              <w:marBottom w:val="0"/>
              <w:divBdr>
                <w:top w:val="none" w:sz="0" w:space="0" w:color="auto"/>
                <w:left w:val="none" w:sz="0" w:space="0" w:color="auto"/>
                <w:bottom w:val="none" w:sz="0" w:space="0" w:color="auto"/>
                <w:right w:val="none" w:sz="0" w:space="0" w:color="auto"/>
              </w:divBdr>
            </w:div>
            <w:div w:id="983660259">
              <w:marLeft w:val="0"/>
              <w:marRight w:val="0"/>
              <w:marTop w:val="0"/>
              <w:marBottom w:val="0"/>
              <w:divBdr>
                <w:top w:val="none" w:sz="0" w:space="0" w:color="auto"/>
                <w:left w:val="none" w:sz="0" w:space="0" w:color="auto"/>
                <w:bottom w:val="none" w:sz="0" w:space="0" w:color="auto"/>
                <w:right w:val="none" w:sz="0" w:space="0" w:color="auto"/>
              </w:divBdr>
            </w:div>
            <w:div w:id="1012563590">
              <w:marLeft w:val="0"/>
              <w:marRight w:val="0"/>
              <w:marTop w:val="0"/>
              <w:marBottom w:val="0"/>
              <w:divBdr>
                <w:top w:val="none" w:sz="0" w:space="0" w:color="auto"/>
                <w:left w:val="none" w:sz="0" w:space="0" w:color="auto"/>
                <w:bottom w:val="none" w:sz="0" w:space="0" w:color="auto"/>
                <w:right w:val="none" w:sz="0" w:space="0" w:color="auto"/>
              </w:divBdr>
            </w:div>
            <w:div w:id="1289899318">
              <w:marLeft w:val="0"/>
              <w:marRight w:val="0"/>
              <w:marTop w:val="0"/>
              <w:marBottom w:val="0"/>
              <w:divBdr>
                <w:top w:val="none" w:sz="0" w:space="0" w:color="auto"/>
                <w:left w:val="none" w:sz="0" w:space="0" w:color="auto"/>
                <w:bottom w:val="none" w:sz="0" w:space="0" w:color="auto"/>
                <w:right w:val="none" w:sz="0" w:space="0" w:color="auto"/>
              </w:divBdr>
            </w:div>
            <w:div w:id="1436098123">
              <w:marLeft w:val="0"/>
              <w:marRight w:val="0"/>
              <w:marTop w:val="0"/>
              <w:marBottom w:val="0"/>
              <w:divBdr>
                <w:top w:val="none" w:sz="0" w:space="0" w:color="auto"/>
                <w:left w:val="none" w:sz="0" w:space="0" w:color="auto"/>
                <w:bottom w:val="none" w:sz="0" w:space="0" w:color="auto"/>
                <w:right w:val="none" w:sz="0" w:space="0" w:color="auto"/>
              </w:divBdr>
            </w:div>
            <w:div w:id="1459110554">
              <w:marLeft w:val="0"/>
              <w:marRight w:val="0"/>
              <w:marTop w:val="0"/>
              <w:marBottom w:val="0"/>
              <w:divBdr>
                <w:top w:val="none" w:sz="0" w:space="0" w:color="auto"/>
                <w:left w:val="none" w:sz="0" w:space="0" w:color="auto"/>
                <w:bottom w:val="none" w:sz="0" w:space="0" w:color="auto"/>
                <w:right w:val="none" w:sz="0" w:space="0" w:color="auto"/>
              </w:divBdr>
            </w:div>
            <w:div w:id="2104908275">
              <w:marLeft w:val="0"/>
              <w:marRight w:val="0"/>
              <w:marTop w:val="0"/>
              <w:marBottom w:val="0"/>
              <w:divBdr>
                <w:top w:val="none" w:sz="0" w:space="0" w:color="auto"/>
                <w:left w:val="none" w:sz="0" w:space="0" w:color="auto"/>
                <w:bottom w:val="none" w:sz="0" w:space="0" w:color="auto"/>
                <w:right w:val="none" w:sz="0" w:space="0" w:color="auto"/>
              </w:divBdr>
            </w:div>
          </w:divsChild>
        </w:div>
        <w:div w:id="1508015470">
          <w:marLeft w:val="0"/>
          <w:marRight w:val="0"/>
          <w:marTop w:val="0"/>
          <w:marBottom w:val="0"/>
          <w:divBdr>
            <w:top w:val="none" w:sz="0" w:space="0" w:color="auto"/>
            <w:left w:val="none" w:sz="0" w:space="0" w:color="auto"/>
            <w:bottom w:val="none" w:sz="0" w:space="0" w:color="auto"/>
            <w:right w:val="none" w:sz="0" w:space="0" w:color="auto"/>
          </w:divBdr>
        </w:div>
        <w:div w:id="1584756525">
          <w:marLeft w:val="0"/>
          <w:marRight w:val="0"/>
          <w:marTop w:val="0"/>
          <w:marBottom w:val="0"/>
          <w:divBdr>
            <w:top w:val="none" w:sz="0" w:space="0" w:color="auto"/>
            <w:left w:val="none" w:sz="0" w:space="0" w:color="auto"/>
            <w:bottom w:val="none" w:sz="0" w:space="0" w:color="auto"/>
            <w:right w:val="none" w:sz="0" w:space="0" w:color="auto"/>
          </w:divBdr>
        </w:div>
        <w:div w:id="1638221640">
          <w:marLeft w:val="0"/>
          <w:marRight w:val="0"/>
          <w:marTop w:val="0"/>
          <w:marBottom w:val="0"/>
          <w:divBdr>
            <w:top w:val="none" w:sz="0" w:space="0" w:color="auto"/>
            <w:left w:val="none" w:sz="0" w:space="0" w:color="auto"/>
            <w:bottom w:val="none" w:sz="0" w:space="0" w:color="auto"/>
            <w:right w:val="none" w:sz="0" w:space="0" w:color="auto"/>
          </w:divBdr>
        </w:div>
        <w:div w:id="1818455433">
          <w:marLeft w:val="0"/>
          <w:marRight w:val="0"/>
          <w:marTop w:val="0"/>
          <w:marBottom w:val="0"/>
          <w:divBdr>
            <w:top w:val="none" w:sz="0" w:space="0" w:color="auto"/>
            <w:left w:val="none" w:sz="0" w:space="0" w:color="auto"/>
            <w:bottom w:val="none" w:sz="0" w:space="0" w:color="auto"/>
            <w:right w:val="none" w:sz="0" w:space="0" w:color="auto"/>
          </w:divBdr>
        </w:div>
        <w:div w:id="1881938522">
          <w:marLeft w:val="0"/>
          <w:marRight w:val="0"/>
          <w:marTop w:val="0"/>
          <w:marBottom w:val="0"/>
          <w:divBdr>
            <w:top w:val="none" w:sz="0" w:space="0" w:color="auto"/>
            <w:left w:val="none" w:sz="0" w:space="0" w:color="auto"/>
            <w:bottom w:val="none" w:sz="0" w:space="0" w:color="auto"/>
            <w:right w:val="none" w:sz="0" w:space="0" w:color="auto"/>
          </w:divBdr>
          <w:divsChild>
            <w:div w:id="146287560">
              <w:marLeft w:val="0"/>
              <w:marRight w:val="0"/>
              <w:marTop w:val="0"/>
              <w:marBottom w:val="0"/>
              <w:divBdr>
                <w:top w:val="none" w:sz="0" w:space="0" w:color="auto"/>
                <w:left w:val="none" w:sz="0" w:space="0" w:color="auto"/>
                <w:bottom w:val="none" w:sz="0" w:space="0" w:color="auto"/>
                <w:right w:val="none" w:sz="0" w:space="0" w:color="auto"/>
              </w:divBdr>
            </w:div>
            <w:div w:id="574243513">
              <w:marLeft w:val="0"/>
              <w:marRight w:val="0"/>
              <w:marTop w:val="0"/>
              <w:marBottom w:val="0"/>
              <w:divBdr>
                <w:top w:val="none" w:sz="0" w:space="0" w:color="auto"/>
                <w:left w:val="none" w:sz="0" w:space="0" w:color="auto"/>
                <w:bottom w:val="none" w:sz="0" w:space="0" w:color="auto"/>
                <w:right w:val="none" w:sz="0" w:space="0" w:color="auto"/>
              </w:divBdr>
            </w:div>
            <w:div w:id="622267743">
              <w:marLeft w:val="0"/>
              <w:marRight w:val="0"/>
              <w:marTop w:val="0"/>
              <w:marBottom w:val="0"/>
              <w:divBdr>
                <w:top w:val="none" w:sz="0" w:space="0" w:color="auto"/>
                <w:left w:val="none" w:sz="0" w:space="0" w:color="auto"/>
                <w:bottom w:val="none" w:sz="0" w:space="0" w:color="auto"/>
                <w:right w:val="none" w:sz="0" w:space="0" w:color="auto"/>
              </w:divBdr>
            </w:div>
            <w:div w:id="806168469">
              <w:marLeft w:val="0"/>
              <w:marRight w:val="0"/>
              <w:marTop w:val="0"/>
              <w:marBottom w:val="0"/>
              <w:divBdr>
                <w:top w:val="none" w:sz="0" w:space="0" w:color="auto"/>
                <w:left w:val="none" w:sz="0" w:space="0" w:color="auto"/>
                <w:bottom w:val="none" w:sz="0" w:space="0" w:color="auto"/>
                <w:right w:val="none" w:sz="0" w:space="0" w:color="auto"/>
              </w:divBdr>
            </w:div>
            <w:div w:id="819930074">
              <w:marLeft w:val="0"/>
              <w:marRight w:val="0"/>
              <w:marTop w:val="0"/>
              <w:marBottom w:val="0"/>
              <w:divBdr>
                <w:top w:val="none" w:sz="0" w:space="0" w:color="auto"/>
                <w:left w:val="none" w:sz="0" w:space="0" w:color="auto"/>
                <w:bottom w:val="none" w:sz="0" w:space="0" w:color="auto"/>
                <w:right w:val="none" w:sz="0" w:space="0" w:color="auto"/>
              </w:divBdr>
            </w:div>
            <w:div w:id="909576370">
              <w:marLeft w:val="0"/>
              <w:marRight w:val="0"/>
              <w:marTop w:val="0"/>
              <w:marBottom w:val="0"/>
              <w:divBdr>
                <w:top w:val="none" w:sz="0" w:space="0" w:color="auto"/>
                <w:left w:val="none" w:sz="0" w:space="0" w:color="auto"/>
                <w:bottom w:val="none" w:sz="0" w:space="0" w:color="auto"/>
                <w:right w:val="none" w:sz="0" w:space="0" w:color="auto"/>
              </w:divBdr>
            </w:div>
            <w:div w:id="931085422">
              <w:marLeft w:val="0"/>
              <w:marRight w:val="0"/>
              <w:marTop w:val="0"/>
              <w:marBottom w:val="0"/>
              <w:divBdr>
                <w:top w:val="none" w:sz="0" w:space="0" w:color="auto"/>
                <w:left w:val="none" w:sz="0" w:space="0" w:color="auto"/>
                <w:bottom w:val="none" w:sz="0" w:space="0" w:color="auto"/>
                <w:right w:val="none" w:sz="0" w:space="0" w:color="auto"/>
              </w:divBdr>
            </w:div>
            <w:div w:id="1212230505">
              <w:marLeft w:val="0"/>
              <w:marRight w:val="0"/>
              <w:marTop w:val="0"/>
              <w:marBottom w:val="0"/>
              <w:divBdr>
                <w:top w:val="none" w:sz="0" w:space="0" w:color="auto"/>
                <w:left w:val="none" w:sz="0" w:space="0" w:color="auto"/>
                <w:bottom w:val="none" w:sz="0" w:space="0" w:color="auto"/>
                <w:right w:val="none" w:sz="0" w:space="0" w:color="auto"/>
              </w:divBdr>
            </w:div>
            <w:div w:id="1272783937">
              <w:marLeft w:val="0"/>
              <w:marRight w:val="0"/>
              <w:marTop w:val="0"/>
              <w:marBottom w:val="0"/>
              <w:divBdr>
                <w:top w:val="none" w:sz="0" w:space="0" w:color="auto"/>
                <w:left w:val="none" w:sz="0" w:space="0" w:color="auto"/>
                <w:bottom w:val="none" w:sz="0" w:space="0" w:color="auto"/>
                <w:right w:val="none" w:sz="0" w:space="0" w:color="auto"/>
              </w:divBdr>
            </w:div>
            <w:div w:id="1486359324">
              <w:marLeft w:val="0"/>
              <w:marRight w:val="0"/>
              <w:marTop w:val="0"/>
              <w:marBottom w:val="0"/>
              <w:divBdr>
                <w:top w:val="none" w:sz="0" w:space="0" w:color="auto"/>
                <w:left w:val="none" w:sz="0" w:space="0" w:color="auto"/>
                <w:bottom w:val="none" w:sz="0" w:space="0" w:color="auto"/>
                <w:right w:val="none" w:sz="0" w:space="0" w:color="auto"/>
              </w:divBdr>
            </w:div>
            <w:div w:id="1500731252">
              <w:marLeft w:val="0"/>
              <w:marRight w:val="0"/>
              <w:marTop w:val="0"/>
              <w:marBottom w:val="0"/>
              <w:divBdr>
                <w:top w:val="none" w:sz="0" w:space="0" w:color="auto"/>
                <w:left w:val="none" w:sz="0" w:space="0" w:color="auto"/>
                <w:bottom w:val="none" w:sz="0" w:space="0" w:color="auto"/>
                <w:right w:val="none" w:sz="0" w:space="0" w:color="auto"/>
              </w:divBdr>
            </w:div>
            <w:div w:id="1550416969">
              <w:marLeft w:val="0"/>
              <w:marRight w:val="0"/>
              <w:marTop w:val="0"/>
              <w:marBottom w:val="0"/>
              <w:divBdr>
                <w:top w:val="none" w:sz="0" w:space="0" w:color="auto"/>
                <w:left w:val="none" w:sz="0" w:space="0" w:color="auto"/>
                <w:bottom w:val="none" w:sz="0" w:space="0" w:color="auto"/>
                <w:right w:val="none" w:sz="0" w:space="0" w:color="auto"/>
              </w:divBdr>
            </w:div>
            <w:div w:id="1873180886">
              <w:marLeft w:val="0"/>
              <w:marRight w:val="0"/>
              <w:marTop w:val="0"/>
              <w:marBottom w:val="0"/>
              <w:divBdr>
                <w:top w:val="none" w:sz="0" w:space="0" w:color="auto"/>
                <w:left w:val="none" w:sz="0" w:space="0" w:color="auto"/>
                <w:bottom w:val="none" w:sz="0" w:space="0" w:color="auto"/>
                <w:right w:val="none" w:sz="0" w:space="0" w:color="auto"/>
              </w:divBdr>
            </w:div>
            <w:div w:id="1997373273">
              <w:marLeft w:val="0"/>
              <w:marRight w:val="0"/>
              <w:marTop w:val="0"/>
              <w:marBottom w:val="0"/>
              <w:divBdr>
                <w:top w:val="none" w:sz="0" w:space="0" w:color="auto"/>
                <w:left w:val="none" w:sz="0" w:space="0" w:color="auto"/>
                <w:bottom w:val="none" w:sz="0" w:space="0" w:color="auto"/>
                <w:right w:val="none" w:sz="0" w:space="0" w:color="auto"/>
              </w:divBdr>
            </w:div>
            <w:div w:id="2117628290">
              <w:marLeft w:val="0"/>
              <w:marRight w:val="0"/>
              <w:marTop w:val="0"/>
              <w:marBottom w:val="0"/>
              <w:divBdr>
                <w:top w:val="none" w:sz="0" w:space="0" w:color="auto"/>
                <w:left w:val="none" w:sz="0" w:space="0" w:color="auto"/>
                <w:bottom w:val="none" w:sz="0" w:space="0" w:color="auto"/>
                <w:right w:val="none" w:sz="0" w:space="0" w:color="auto"/>
              </w:divBdr>
            </w:div>
          </w:divsChild>
        </w:div>
        <w:div w:id="2113695659">
          <w:marLeft w:val="0"/>
          <w:marRight w:val="0"/>
          <w:marTop w:val="0"/>
          <w:marBottom w:val="0"/>
          <w:divBdr>
            <w:top w:val="none" w:sz="0" w:space="0" w:color="auto"/>
            <w:left w:val="none" w:sz="0" w:space="0" w:color="auto"/>
            <w:bottom w:val="none" w:sz="0" w:space="0" w:color="auto"/>
            <w:right w:val="none" w:sz="0" w:space="0" w:color="auto"/>
          </w:divBdr>
        </w:div>
      </w:divsChild>
    </w:div>
    <w:div w:id="964891058">
      <w:bodyDiv w:val="1"/>
      <w:marLeft w:val="0"/>
      <w:marRight w:val="0"/>
      <w:marTop w:val="0"/>
      <w:marBottom w:val="0"/>
      <w:divBdr>
        <w:top w:val="none" w:sz="0" w:space="0" w:color="auto"/>
        <w:left w:val="none" w:sz="0" w:space="0" w:color="auto"/>
        <w:bottom w:val="none" w:sz="0" w:space="0" w:color="auto"/>
        <w:right w:val="none" w:sz="0" w:space="0" w:color="auto"/>
      </w:divBdr>
      <w:divsChild>
        <w:div w:id="49310922">
          <w:marLeft w:val="547"/>
          <w:marRight w:val="0"/>
          <w:marTop w:val="0"/>
          <w:marBottom w:val="0"/>
          <w:divBdr>
            <w:top w:val="none" w:sz="0" w:space="0" w:color="auto"/>
            <w:left w:val="none" w:sz="0" w:space="0" w:color="auto"/>
            <w:bottom w:val="none" w:sz="0" w:space="0" w:color="auto"/>
            <w:right w:val="none" w:sz="0" w:space="0" w:color="auto"/>
          </w:divBdr>
        </w:div>
      </w:divsChild>
    </w:div>
    <w:div w:id="1122919393">
      <w:bodyDiv w:val="1"/>
      <w:marLeft w:val="0"/>
      <w:marRight w:val="0"/>
      <w:marTop w:val="0"/>
      <w:marBottom w:val="0"/>
      <w:divBdr>
        <w:top w:val="none" w:sz="0" w:space="0" w:color="auto"/>
        <w:left w:val="none" w:sz="0" w:space="0" w:color="auto"/>
        <w:bottom w:val="none" w:sz="0" w:space="0" w:color="auto"/>
        <w:right w:val="none" w:sz="0" w:space="0" w:color="auto"/>
      </w:divBdr>
      <w:divsChild>
        <w:div w:id="314262396">
          <w:marLeft w:val="0"/>
          <w:marRight w:val="0"/>
          <w:marTop w:val="0"/>
          <w:marBottom w:val="0"/>
          <w:divBdr>
            <w:top w:val="none" w:sz="0" w:space="0" w:color="auto"/>
            <w:left w:val="none" w:sz="0" w:space="0" w:color="auto"/>
            <w:bottom w:val="none" w:sz="0" w:space="0" w:color="auto"/>
            <w:right w:val="none" w:sz="0" w:space="0" w:color="auto"/>
          </w:divBdr>
          <w:divsChild>
            <w:div w:id="1034311767">
              <w:marLeft w:val="-75"/>
              <w:marRight w:val="0"/>
              <w:marTop w:val="30"/>
              <w:marBottom w:val="30"/>
              <w:divBdr>
                <w:top w:val="none" w:sz="0" w:space="0" w:color="auto"/>
                <w:left w:val="none" w:sz="0" w:space="0" w:color="auto"/>
                <w:bottom w:val="none" w:sz="0" w:space="0" w:color="auto"/>
                <w:right w:val="none" w:sz="0" w:space="0" w:color="auto"/>
              </w:divBdr>
              <w:divsChild>
                <w:div w:id="182327833">
                  <w:marLeft w:val="0"/>
                  <w:marRight w:val="0"/>
                  <w:marTop w:val="0"/>
                  <w:marBottom w:val="0"/>
                  <w:divBdr>
                    <w:top w:val="none" w:sz="0" w:space="0" w:color="auto"/>
                    <w:left w:val="none" w:sz="0" w:space="0" w:color="auto"/>
                    <w:bottom w:val="none" w:sz="0" w:space="0" w:color="auto"/>
                    <w:right w:val="none" w:sz="0" w:space="0" w:color="auto"/>
                  </w:divBdr>
                  <w:divsChild>
                    <w:div w:id="950627963">
                      <w:marLeft w:val="0"/>
                      <w:marRight w:val="0"/>
                      <w:marTop w:val="0"/>
                      <w:marBottom w:val="0"/>
                      <w:divBdr>
                        <w:top w:val="none" w:sz="0" w:space="0" w:color="auto"/>
                        <w:left w:val="none" w:sz="0" w:space="0" w:color="auto"/>
                        <w:bottom w:val="none" w:sz="0" w:space="0" w:color="auto"/>
                        <w:right w:val="none" w:sz="0" w:space="0" w:color="auto"/>
                      </w:divBdr>
                    </w:div>
                  </w:divsChild>
                </w:div>
                <w:div w:id="260918426">
                  <w:marLeft w:val="0"/>
                  <w:marRight w:val="0"/>
                  <w:marTop w:val="0"/>
                  <w:marBottom w:val="0"/>
                  <w:divBdr>
                    <w:top w:val="none" w:sz="0" w:space="0" w:color="auto"/>
                    <w:left w:val="none" w:sz="0" w:space="0" w:color="auto"/>
                    <w:bottom w:val="none" w:sz="0" w:space="0" w:color="auto"/>
                    <w:right w:val="none" w:sz="0" w:space="0" w:color="auto"/>
                  </w:divBdr>
                  <w:divsChild>
                    <w:div w:id="1063482545">
                      <w:marLeft w:val="0"/>
                      <w:marRight w:val="0"/>
                      <w:marTop w:val="0"/>
                      <w:marBottom w:val="0"/>
                      <w:divBdr>
                        <w:top w:val="none" w:sz="0" w:space="0" w:color="auto"/>
                        <w:left w:val="none" w:sz="0" w:space="0" w:color="auto"/>
                        <w:bottom w:val="none" w:sz="0" w:space="0" w:color="auto"/>
                        <w:right w:val="none" w:sz="0" w:space="0" w:color="auto"/>
                      </w:divBdr>
                    </w:div>
                    <w:div w:id="1738934193">
                      <w:marLeft w:val="0"/>
                      <w:marRight w:val="0"/>
                      <w:marTop w:val="0"/>
                      <w:marBottom w:val="0"/>
                      <w:divBdr>
                        <w:top w:val="none" w:sz="0" w:space="0" w:color="auto"/>
                        <w:left w:val="none" w:sz="0" w:space="0" w:color="auto"/>
                        <w:bottom w:val="none" w:sz="0" w:space="0" w:color="auto"/>
                        <w:right w:val="none" w:sz="0" w:space="0" w:color="auto"/>
                      </w:divBdr>
                    </w:div>
                  </w:divsChild>
                </w:div>
                <w:div w:id="542133429">
                  <w:marLeft w:val="0"/>
                  <w:marRight w:val="0"/>
                  <w:marTop w:val="0"/>
                  <w:marBottom w:val="0"/>
                  <w:divBdr>
                    <w:top w:val="none" w:sz="0" w:space="0" w:color="auto"/>
                    <w:left w:val="none" w:sz="0" w:space="0" w:color="auto"/>
                    <w:bottom w:val="none" w:sz="0" w:space="0" w:color="auto"/>
                    <w:right w:val="none" w:sz="0" w:space="0" w:color="auto"/>
                  </w:divBdr>
                  <w:divsChild>
                    <w:div w:id="562106527">
                      <w:marLeft w:val="0"/>
                      <w:marRight w:val="0"/>
                      <w:marTop w:val="0"/>
                      <w:marBottom w:val="0"/>
                      <w:divBdr>
                        <w:top w:val="none" w:sz="0" w:space="0" w:color="auto"/>
                        <w:left w:val="none" w:sz="0" w:space="0" w:color="auto"/>
                        <w:bottom w:val="none" w:sz="0" w:space="0" w:color="auto"/>
                        <w:right w:val="none" w:sz="0" w:space="0" w:color="auto"/>
                      </w:divBdr>
                    </w:div>
                  </w:divsChild>
                </w:div>
                <w:div w:id="901142045">
                  <w:marLeft w:val="0"/>
                  <w:marRight w:val="0"/>
                  <w:marTop w:val="0"/>
                  <w:marBottom w:val="0"/>
                  <w:divBdr>
                    <w:top w:val="none" w:sz="0" w:space="0" w:color="auto"/>
                    <w:left w:val="none" w:sz="0" w:space="0" w:color="auto"/>
                    <w:bottom w:val="none" w:sz="0" w:space="0" w:color="auto"/>
                    <w:right w:val="none" w:sz="0" w:space="0" w:color="auto"/>
                  </w:divBdr>
                  <w:divsChild>
                    <w:div w:id="1819957843">
                      <w:marLeft w:val="0"/>
                      <w:marRight w:val="0"/>
                      <w:marTop w:val="0"/>
                      <w:marBottom w:val="0"/>
                      <w:divBdr>
                        <w:top w:val="none" w:sz="0" w:space="0" w:color="auto"/>
                        <w:left w:val="none" w:sz="0" w:space="0" w:color="auto"/>
                        <w:bottom w:val="none" w:sz="0" w:space="0" w:color="auto"/>
                        <w:right w:val="none" w:sz="0" w:space="0" w:color="auto"/>
                      </w:divBdr>
                    </w:div>
                  </w:divsChild>
                </w:div>
                <w:div w:id="994843610">
                  <w:marLeft w:val="0"/>
                  <w:marRight w:val="0"/>
                  <w:marTop w:val="0"/>
                  <w:marBottom w:val="0"/>
                  <w:divBdr>
                    <w:top w:val="none" w:sz="0" w:space="0" w:color="auto"/>
                    <w:left w:val="none" w:sz="0" w:space="0" w:color="auto"/>
                    <w:bottom w:val="none" w:sz="0" w:space="0" w:color="auto"/>
                    <w:right w:val="none" w:sz="0" w:space="0" w:color="auto"/>
                  </w:divBdr>
                  <w:divsChild>
                    <w:div w:id="944771121">
                      <w:marLeft w:val="0"/>
                      <w:marRight w:val="0"/>
                      <w:marTop w:val="0"/>
                      <w:marBottom w:val="0"/>
                      <w:divBdr>
                        <w:top w:val="none" w:sz="0" w:space="0" w:color="auto"/>
                        <w:left w:val="none" w:sz="0" w:space="0" w:color="auto"/>
                        <w:bottom w:val="none" w:sz="0" w:space="0" w:color="auto"/>
                        <w:right w:val="none" w:sz="0" w:space="0" w:color="auto"/>
                      </w:divBdr>
                    </w:div>
                  </w:divsChild>
                </w:div>
                <w:div w:id="997348449">
                  <w:marLeft w:val="0"/>
                  <w:marRight w:val="0"/>
                  <w:marTop w:val="0"/>
                  <w:marBottom w:val="0"/>
                  <w:divBdr>
                    <w:top w:val="none" w:sz="0" w:space="0" w:color="auto"/>
                    <w:left w:val="none" w:sz="0" w:space="0" w:color="auto"/>
                    <w:bottom w:val="none" w:sz="0" w:space="0" w:color="auto"/>
                    <w:right w:val="none" w:sz="0" w:space="0" w:color="auto"/>
                  </w:divBdr>
                  <w:divsChild>
                    <w:div w:id="1434940766">
                      <w:marLeft w:val="0"/>
                      <w:marRight w:val="0"/>
                      <w:marTop w:val="0"/>
                      <w:marBottom w:val="0"/>
                      <w:divBdr>
                        <w:top w:val="none" w:sz="0" w:space="0" w:color="auto"/>
                        <w:left w:val="none" w:sz="0" w:space="0" w:color="auto"/>
                        <w:bottom w:val="none" w:sz="0" w:space="0" w:color="auto"/>
                        <w:right w:val="none" w:sz="0" w:space="0" w:color="auto"/>
                      </w:divBdr>
                    </w:div>
                  </w:divsChild>
                </w:div>
                <w:div w:id="1042901899">
                  <w:marLeft w:val="0"/>
                  <w:marRight w:val="0"/>
                  <w:marTop w:val="0"/>
                  <w:marBottom w:val="0"/>
                  <w:divBdr>
                    <w:top w:val="none" w:sz="0" w:space="0" w:color="auto"/>
                    <w:left w:val="none" w:sz="0" w:space="0" w:color="auto"/>
                    <w:bottom w:val="none" w:sz="0" w:space="0" w:color="auto"/>
                    <w:right w:val="none" w:sz="0" w:space="0" w:color="auto"/>
                  </w:divBdr>
                  <w:divsChild>
                    <w:div w:id="479618204">
                      <w:marLeft w:val="0"/>
                      <w:marRight w:val="0"/>
                      <w:marTop w:val="0"/>
                      <w:marBottom w:val="0"/>
                      <w:divBdr>
                        <w:top w:val="none" w:sz="0" w:space="0" w:color="auto"/>
                        <w:left w:val="none" w:sz="0" w:space="0" w:color="auto"/>
                        <w:bottom w:val="none" w:sz="0" w:space="0" w:color="auto"/>
                        <w:right w:val="none" w:sz="0" w:space="0" w:color="auto"/>
                      </w:divBdr>
                    </w:div>
                    <w:div w:id="1376732667">
                      <w:marLeft w:val="0"/>
                      <w:marRight w:val="0"/>
                      <w:marTop w:val="0"/>
                      <w:marBottom w:val="0"/>
                      <w:divBdr>
                        <w:top w:val="none" w:sz="0" w:space="0" w:color="auto"/>
                        <w:left w:val="none" w:sz="0" w:space="0" w:color="auto"/>
                        <w:bottom w:val="none" w:sz="0" w:space="0" w:color="auto"/>
                        <w:right w:val="none" w:sz="0" w:space="0" w:color="auto"/>
                      </w:divBdr>
                    </w:div>
                  </w:divsChild>
                </w:div>
                <w:div w:id="1282611469">
                  <w:marLeft w:val="0"/>
                  <w:marRight w:val="0"/>
                  <w:marTop w:val="0"/>
                  <w:marBottom w:val="0"/>
                  <w:divBdr>
                    <w:top w:val="none" w:sz="0" w:space="0" w:color="auto"/>
                    <w:left w:val="none" w:sz="0" w:space="0" w:color="auto"/>
                    <w:bottom w:val="none" w:sz="0" w:space="0" w:color="auto"/>
                    <w:right w:val="none" w:sz="0" w:space="0" w:color="auto"/>
                  </w:divBdr>
                  <w:divsChild>
                    <w:div w:id="1346785411">
                      <w:marLeft w:val="0"/>
                      <w:marRight w:val="0"/>
                      <w:marTop w:val="0"/>
                      <w:marBottom w:val="0"/>
                      <w:divBdr>
                        <w:top w:val="none" w:sz="0" w:space="0" w:color="auto"/>
                        <w:left w:val="none" w:sz="0" w:space="0" w:color="auto"/>
                        <w:bottom w:val="none" w:sz="0" w:space="0" w:color="auto"/>
                        <w:right w:val="none" w:sz="0" w:space="0" w:color="auto"/>
                      </w:divBdr>
                    </w:div>
                    <w:div w:id="1823811245">
                      <w:marLeft w:val="0"/>
                      <w:marRight w:val="0"/>
                      <w:marTop w:val="0"/>
                      <w:marBottom w:val="0"/>
                      <w:divBdr>
                        <w:top w:val="none" w:sz="0" w:space="0" w:color="auto"/>
                        <w:left w:val="none" w:sz="0" w:space="0" w:color="auto"/>
                        <w:bottom w:val="none" w:sz="0" w:space="0" w:color="auto"/>
                        <w:right w:val="none" w:sz="0" w:space="0" w:color="auto"/>
                      </w:divBdr>
                    </w:div>
                  </w:divsChild>
                </w:div>
                <w:div w:id="1534147457">
                  <w:marLeft w:val="0"/>
                  <w:marRight w:val="0"/>
                  <w:marTop w:val="0"/>
                  <w:marBottom w:val="0"/>
                  <w:divBdr>
                    <w:top w:val="none" w:sz="0" w:space="0" w:color="auto"/>
                    <w:left w:val="none" w:sz="0" w:space="0" w:color="auto"/>
                    <w:bottom w:val="none" w:sz="0" w:space="0" w:color="auto"/>
                    <w:right w:val="none" w:sz="0" w:space="0" w:color="auto"/>
                  </w:divBdr>
                  <w:divsChild>
                    <w:div w:id="266085895">
                      <w:marLeft w:val="0"/>
                      <w:marRight w:val="0"/>
                      <w:marTop w:val="0"/>
                      <w:marBottom w:val="0"/>
                      <w:divBdr>
                        <w:top w:val="none" w:sz="0" w:space="0" w:color="auto"/>
                        <w:left w:val="none" w:sz="0" w:space="0" w:color="auto"/>
                        <w:bottom w:val="none" w:sz="0" w:space="0" w:color="auto"/>
                        <w:right w:val="none" w:sz="0" w:space="0" w:color="auto"/>
                      </w:divBdr>
                    </w:div>
                  </w:divsChild>
                </w:div>
                <w:div w:id="1861044414">
                  <w:marLeft w:val="0"/>
                  <w:marRight w:val="0"/>
                  <w:marTop w:val="0"/>
                  <w:marBottom w:val="0"/>
                  <w:divBdr>
                    <w:top w:val="none" w:sz="0" w:space="0" w:color="auto"/>
                    <w:left w:val="none" w:sz="0" w:space="0" w:color="auto"/>
                    <w:bottom w:val="none" w:sz="0" w:space="0" w:color="auto"/>
                    <w:right w:val="none" w:sz="0" w:space="0" w:color="auto"/>
                  </w:divBdr>
                  <w:divsChild>
                    <w:div w:id="778766840">
                      <w:marLeft w:val="0"/>
                      <w:marRight w:val="0"/>
                      <w:marTop w:val="0"/>
                      <w:marBottom w:val="0"/>
                      <w:divBdr>
                        <w:top w:val="none" w:sz="0" w:space="0" w:color="auto"/>
                        <w:left w:val="none" w:sz="0" w:space="0" w:color="auto"/>
                        <w:bottom w:val="none" w:sz="0" w:space="0" w:color="auto"/>
                        <w:right w:val="none" w:sz="0" w:space="0" w:color="auto"/>
                      </w:divBdr>
                    </w:div>
                  </w:divsChild>
                </w:div>
                <w:div w:id="2045398107">
                  <w:marLeft w:val="0"/>
                  <w:marRight w:val="0"/>
                  <w:marTop w:val="0"/>
                  <w:marBottom w:val="0"/>
                  <w:divBdr>
                    <w:top w:val="none" w:sz="0" w:space="0" w:color="auto"/>
                    <w:left w:val="none" w:sz="0" w:space="0" w:color="auto"/>
                    <w:bottom w:val="none" w:sz="0" w:space="0" w:color="auto"/>
                    <w:right w:val="none" w:sz="0" w:space="0" w:color="auto"/>
                  </w:divBdr>
                  <w:divsChild>
                    <w:div w:id="835415144">
                      <w:marLeft w:val="0"/>
                      <w:marRight w:val="0"/>
                      <w:marTop w:val="0"/>
                      <w:marBottom w:val="0"/>
                      <w:divBdr>
                        <w:top w:val="none" w:sz="0" w:space="0" w:color="auto"/>
                        <w:left w:val="none" w:sz="0" w:space="0" w:color="auto"/>
                        <w:bottom w:val="none" w:sz="0" w:space="0" w:color="auto"/>
                        <w:right w:val="none" w:sz="0" w:space="0" w:color="auto"/>
                      </w:divBdr>
                    </w:div>
                  </w:divsChild>
                </w:div>
                <w:div w:id="2067143550">
                  <w:marLeft w:val="0"/>
                  <w:marRight w:val="0"/>
                  <w:marTop w:val="0"/>
                  <w:marBottom w:val="0"/>
                  <w:divBdr>
                    <w:top w:val="none" w:sz="0" w:space="0" w:color="auto"/>
                    <w:left w:val="none" w:sz="0" w:space="0" w:color="auto"/>
                    <w:bottom w:val="none" w:sz="0" w:space="0" w:color="auto"/>
                    <w:right w:val="none" w:sz="0" w:space="0" w:color="auto"/>
                  </w:divBdr>
                  <w:divsChild>
                    <w:div w:id="15834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7547">
          <w:marLeft w:val="0"/>
          <w:marRight w:val="0"/>
          <w:marTop w:val="0"/>
          <w:marBottom w:val="0"/>
          <w:divBdr>
            <w:top w:val="none" w:sz="0" w:space="0" w:color="auto"/>
            <w:left w:val="none" w:sz="0" w:space="0" w:color="auto"/>
            <w:bottom w:val="none" w:sz="0" w:space="0" w:color="auto"/>
            <w:right w:val="none" w:sz="0" w:space="0" w:color="auto"/>
          </w:divBdr>
        </w:div>
        <w:div w:id="450251566">
          <w:marLeft w:val="0"/>
          <w:marRight w:val="0"/>
          <w:marTop w:val="0"/>
          <w:marBottom w:val="0"/>
          <w:divBdr>
            <w:top w:val="none" w:sz="0" w:space="0" w:color="auto"/>
            <w:left w:val="none" w:sz="0" w:space="0" w:color="auto"/>
            <w:bottom w:val="none" w:sz="0" w:space="0" w:color="auto"/>
            <w:right w:val="none" w:sz="0" w:space="0" w:color="auto"/>
          </w:divBdr>
        </w:div>
        <w:div w:id="938218263">
          <w:marLeft w:val="0"/>
          <w:marRight w:val="0"/>
          <w:marTop w:val="0"/>
          <w:marBottom w:val="0"/>
          <w:divBdr>
            <w:top w:val="none" w:sz="0" w:space="0" w:color="auto"/>
            <w:left w:val="none" w:sz="0" w:space="0" w:color="auto"/>
            <w:bottom w:val="none" w:sz="0" w:space="0" w:color="auto"/>
            <w:right w:val="none" w:sz="0" w:space="0" w:color="auto"/>
          </w:divBdr>
          <w:divsChild>
            <w:div w:id="104814783">
              <w:marLeft w:val="-75"/>
              <w:marRight w:val="0"/>
              <w:marTop w:val="30"/>
              <w:marBottom w:val="30"/>
              <w:divBdr>
                <w:top w:val="none" w:sz="0" w:space="0" w:color="auto"/>
                <w:left w:val="none" w:sz="0" w:space="0" w:color="auto"/>
                <w:bottom w:val="none" w:sz="0" w:space="0" w:color="auto"/>
                <w:right w:val="none" w:sz="0" w:space="0" w:color="auto"/>
              </w:divBdr>
              <w:divsChild>
                <w:div w:id="55709255">
                  <w:marLeft w:val="0"/>
                  <w:marRight w:val="0"/>
                  <w:marTop w:val="0"/>
                  <w:marBottom w:val="0"/>
                  <w:divBdr>
                    <w:top w:val="none" w:sz="0" w:space="0" w:color="auto"/>
                    <w:left w:val="none" w:sz="0" w:space="0" w:color="auto"/>
                    <w:bottom w:val="none" w:sz="0" w:space="0" w:color="auto"/>
                    <w:right w:val="none" w:sz="0" w:space="0" w:color="auto"/>
                  </w:divBdr>
                  <w:divsChild>
                    <w:div w:id="1576477849">
                      <w:marLeft w:val="0"/>
                      <w:marRight w:val="0"/>
                      <w:marTop w:val="0"/>
                      <w:marBottom w:val="0"/>
                      <w:divBdr>
                        <w:top w:val="none" w:sz="0" w:space="0" w:color="auto"/>
                        <w:left w:val="none" w:sz="0" w:space="0" w:color="auto"/>
                        <w:bottom w:val="none" w:sz="0" w:space="0" w:color="auto"/>
                        <w:right w:val="none" w:sz="0" w:space="0" w:color="auto"/>
                      </w:divBdr>
                    </w:div>
                  </w:divsChild>
                </w:div>
                <w:div w:id="291600771">
                  <w:marLeft w:val="0"/>
                  <w:marRight w:val="0"/>
                  <w:marTop w:val="0"/>
                  <w:marBottom w:val="0"/>
                  <w:divBdr>
                    <w:top w:val="none" w:sz="0" w:space="0" w:color="auto"/>
                    <w:left w:val="none" w:sz="0" w:space="0" w:color="auto"/>
                    <w:bottom w:val="none" w:sz="0" w:space="0" w:color="auto"/>
                    <w:right w:val="none" w:sz="0" w:space="0" w:color="auto"/>
                  </w:divBdr>
                  <w:divsChild>
                    <w:div w:id="111367414">
                      <w:marLeft w:val="0"/>
                      <w:marRight w:val="0"/>
                      <w:marTop w:val="0"/>
                      <w:marBottom w:val="0"/>
                      <w:divBdr>
                        <w:top w:val="none" w:sz="0" w:space="0" w:color="auto"/>
                        <w:left w:val="none" w:sz="0" w:space="0" w:color="auto"/>
                        <w:bottom w:val="none" w:sz="0" w:space="0" w:color="auto"/>
                        <w:right w:val="none" w:sz="0" w:space="0" w:color="auto"/>
                      </w:divBdr>
                    </w:div>
                  </w:divsChild>
                </w:div>
                <w:div w:id="310716039">
                  <w:marLeft w:val="0"/>
                  <w:marRight w:val="0"/>
                  <w:marTop w:val="0"/>
                  <w:marBottom w:val="0"/>
                  <w:divBdr>
                    <w:top w:val="none" w:sz="0" w:space="0" w:color="auto"/>
                    <w:left w:val="none" w:sz="0" w:space="0" w:color="auto"/>
                    <w:bottom w:val="none" w:sz="0" w:space="0" w:color="auto"/>
                    <w:right w:val="none" w:sz="0" w:space="0" w:color="auto"/>
                  </w:divBdr>
                  <w:divsChild>
                    <w:div w:id="1171141826">
                      <w:marLeft w:val="0"/>
                      <w:marRight w:val="0"/>
                      <w:marTop w:val="0"/>
                      <w:marBottom w:val="0"/>
                      <w:divBdr>
                        <w:top w:val="none" w:sz="0" w:space="0" w:color="auto"/>
                        <w:left w:val="none" w:sz="0" w:space="0" w:color="auto"/>
                        <w:bottom w:val="none" w:sz="0" w:space="0" w:color="auto"/>
                        <w:right w:val="none" w:sz="0" w:space="0" w:color="auto"/>
                      </w:divBdr>
                    </w:div>
                  </w:divsChild>
                </w:div>
                <w:div w:id="319697225">
                  <w:marLeft w:val="0"/>
                  <w:marRight w:val="0"/>
                  <w:marTop w:val="0"/>
                  <w:marBottom w:val="0"/>
                  <w:divBdr>
                    <w:top w:val="none" w:sz="0" w:space="0" w:color="auto"/>
                    <w:left w:val="none" w:sz="0" w:space="0" w:color="auto"/>
                    <w:bottom w:val="none" w:sz="0" w:space="0" w:color="auto"/>
                    <w:right w:val="none" w:sz="0" w:space="0" w:color="auto"/>
                  </w:divBdr>
                  <w:divsChild>
                    <w:div w:id="1999335566">
                      <w:marLeft w:val="0"/>
                      <w:marRight w:val="0"/>
                      <w:marTop w:val="0"/>
                      <w:marBottom w:val="0"/>
                      <w:divBdr>
                        <w:top w:val="none" w:sz="0" w:space="0" w:color="auto"/>
                        <w:left w:val="none" w:sz="0" w:space="0" w:color="auto"/>
                        <w:bottom w:val="none" w:sz="0" w:space="0" w:color="auto"/>
                        <w:right w:val="none" w:sz="0" w:space="0" w:color="auto"/>
                      </w:divBdr>
                    </w:div>
                  </w:divsChild>
                </w:div>
                <w:div w:id="966592739">
                  <w:marLeft w:val="0"/>
                  <w:marRight w:val="0"/>
                  <w:marTop w:val="0"/>
                  <w:marBottom w:val="0"/>
                  <w:divBdr>
                    <w:top w:val="none" w:sz="0" w:space="0" w:color="auto"/>
                    <w:left w:val="none" w:sz="0" w:space="0" w:color="auto"/>
                    <w:bottom w:val="none" w:sz="0" w:space="0" w:color="auto"/>
                    <w:right w:val="none" w:sz="0" w:space="0" w:color="auto"/>
                  </w:divBdr>
                  <w:divsChild>
                    <w:div w:id="1352297167">
                      <w:marLeft w:val="0"/>
                      <w:marRight w:val="0"/>
                      <w:marTop w:val="0"/>
                      <w:marBottom w:val="0"/>
                      <w:divBdr>
                        <w:top w:val="none" w:sz="0" w:space="0" w:color="auto"/>
                        <w:left w:val="none" w:sz="0" w:space="0" w:color="auto"/>
                        <w:bottom w:val="none" w:sz="0" w:space="0" w:color="auto"/>
                        <w:right w:val="none" w:sz="0" w:space="0" w:color="auto"/>
                      </w:divBdr>
                    </w:div>
                  </w:divsChild>
                </w:div>
                <w:div w:id="1088842906">
                  <w:marLeft w:val="0"/>
                  <w:marRight w:val="0"/>
                  <w:marTop w:val="0"/>
                  <w:marBottom w:val="0"/>
                  <w:divBdr>
                    <w:top w:val="none" w:sz="0" w:space="0" w:color="auto"/>
                    <w:left w:val="none" w:sz="0" w:space="0" w:color="auto"/>
                    <w:bottom w:val="none" w:sz="0" w:space="0" w:color="auto"/>
                    <w:right w:val="none" w:sz="0" w:space="0" w:color="auto"/>
                  </w:divBdr>
                  <w:divsChild>
                    <w:div w:id="1544975787">
                      <w:marLeft w:val="0"/>
                      <w:marRight w:val="0"/>
                      <w:marTop w:val="0"/>
                      <w:marBottom w:val="0"/>
                      <w:divBdr>
                        <w:top w:val="none" w:sz="0" w:space="0" w:color="auto"/>
                        <w:left w:val="none" w:sz="0" w:space="0" w:color="auto"/>
                        <w:bottom w:val="none" w:sz="0" w:space="0" w:color="auto"/>
                        <w:right w:val="none" w:sz="0" w:space="0" w:color="auto"/>
                      </w:divBdr>
                    </w:div>
                  </w:divsChild>
                </w:div>
                <w:div w:id="1199244881">
                  <w:marLeft w:val="0"/>
                  <w:marRight w:val="0"/>
                  <w:marTop w:val="0"/>
                  <w:marBottom w:val="0"/>
                  <w:divBdr>
                    <w:top w:val="none" w:sz="0" w:space="0" w:color="auto"/>
                    <w:left w:val="none" w:sz="0" w:space="0" w:color="auto"/>
                    <w:bottom w:val="none" w:sz="0" w:space="0" w:color="auto"/>
                    <w:right w:val="none" w:sz="0" w:space="0" w:color="auto"/>
                  </w:divBdr>
                  <w:divsChild>
                    <w:div w:id="2139258664">
                      <w:marLeft w:val="0"/>
                      <w:marRight w:val="0"/>
                      <w:marTop w:val="0"/>
                      <w:marBottom w:val="0"/>
                      <w:divBdr>
                        <w:top w:val="none" w:sz="0" w:space="0" w:color="auto"/>
                        <w:left w:val="none" w:sz="0" w:space="0" w:color="auto"/>
                        <w:bottom w:val="none" w:sz="0" w:space="0" w:color="auto"/>
                        <w:right w:val="none" w:sz="0" w:space="0" w:color="auto"/>
                      </w:divBdr>
                    </w:div>
                  </w:divsChild>
                </w:div>
                <w:div w:id="1234702688">
                  <w:marLeft w:val="0"/>
                  <w:marRight w:val="0"/>
                  <w:marTop w:val="0"/>
                  <w:marBottom w:val="0"/>
                  <w:divBdr>
                    <w:top w:val="none" w:sz="0" w:space="0" w:color="auto"/>
                    <w:left w:val="none" w:sz="0" w:space="0" w:color="auto"/>
                    <w:bottom w:val="none" w:sz="0" w:space="0" w:color="auto"/>
                    <w:right w:val="none" w:sz="0" w:space="0" w:color="auto"/>
                  </w:divBdr>
                  <w:divsChild>
                    <w:div w:id="1835872968">
                      <w:marLeft w:val="0"/>
                      <w:marRight w:val="0"/>
                      <w:marTop w:val="0"/>
                      <w:marBottom w:val="0"/>
                      <w:divBdr>
                        <w:top w:val="none" w:sz="0" w:space="0" w:color="auto"/>
                        <w:left w:val="none" w:sz="0" w:space="0" w:color="auto"/>
                        <w:bottom w:val="none" w:sz="0" w:space="0" w:color="auto"/>
                        <w:right w:val="none" w:sz="0" w:space="0" w:color="auto"/>
                      </w:divBdr>
                    </w:div>
                  </w:divsChild>
                </w:div>
                <w:div w:id="1482884026">
                  <w:marLeft w:val="0"/>
                  <w:marRight w:val="0"/>
                  <w:marTop w:val="0"/>
                  <w:marBottom w:val="0"/>
                  <w:divBdr>
                    <w:top w:val="none" w:sz="0" w:space="0" w:color="auto"/>
                    <w:left w:val="none" w:sz="0" w:space="0" w:color="auto"/>
                    <w:bottom w:val="none" w:sz="0" w:space="0" w:color="auto"/>
                    <w:right w:val="none" w:sz="0" w:space="0" w:color="auto"/>
                  </w:divBdr>
                  <w:divsChild>
                    <w:div w:id="1283342253">
                      <w:marLeft w:val="0"/>
                      <w:marRight w:val="0"/>
                      <w:marTop w:val="0"/>
                      <w:marBottom w:val="0"/>
                      <w:divBdr>
                        <w:top w:val="none" w:sz="0" w:space="0" w:color="auto"/>
                        <w:left w:val="none" w:sz="0" w:space="0" w:color="auto"/>
                        <w:bottom w:val="none" w:sz="0" w:space="0" w:color="auto"/>
                        <w:right w:val="none" w:sz="0" w:space="0" w:color="auto"/>
                      </w:divBdr>
                    </w:div>
                  </w:divsChild>
                </w:div>
                <w:div w:id="1716346449">
                  <w:marLeft w:val="0"/>
                  <w:marRight w:val="0"/>
                  <w:marTop w:val="0"/>
                  <w:marBottom w:val="0"/>
                  <w:divBdr>
                    <w:top w:val="none" w:sz="0" w:space="0" w:color="auto"/>
                    <w:left w:val="none" w:sz="0" w:space="0" w:color="auto"/>
                    <w:bottom w:val="none" w:sz="0" w:space="0" w:color="auto"/>
                    <w:right w:val="none" w:sz="0" w:space="0" w:color="auto"/>
                  </w:divBdr>
                  <w:divsChild>
                    <w:div w:id="136193686">
                      <w:marLeft w:val="0"/>
                      <w:marRight w:val="0"/>
                      <w:marTop w:val="0"/>
                      <w:marBottom w:val="0"/>
                      <w:divBdr>
                        <w:top w:val="none" w:sz="0" w:space="0" w:color="auto"/>
                        <w:left w:val="none" w:sz="0" w:space="0" w:color="auto"/>
                        <w:bottom w:val="none" w:sz="0" w:space="0" w:color="auto"/>
                        <w:right w:val="none" w:sz="0" w:space="0" w:color="auto"/>
                      </w:divBdr>
                    </w:div>
                  </w:divsChild>
                </w:div>
                <w:div w:id="1948081986">
                  <w:marLeft w:val="0"/>
                  <w:marRight w:val="0"/>
                  <w:marTop w:val="0"/>
                  <w:marBottom w:val="0"/>
                  <w:divBdr>
                    <w:top w:val="none" w:sz="0" w:space="0" w:color="auto"/>
                    <w:left w:val="none" w:sz="0" w:space="0" w:color="auto"/>
                    <w:bottom w:val="none" w:sz="0" w:space="0" w:color="auto"/>
                    <w:right w:val="none" w:sz="0" w:space="0" w:color="auto"/>
                  </w:divBdr>
                  <w:divsChild>
                    <w:div w:id="1505126147">
                      <w:marLeft w:val="0"/>
                      <w:marRight w:val="0"/>
                      <w:marTop w:val="0"/>
                      <w:marBottom w:val="0"/>
                      <w:divBdr>
                        <w:top w:val="none" w:sz="0" w:space="0" w:color="auto"/>
                        <w:left w:val="none" w:sz="0" w:space="0" w:color="auto"/>
                        <w:bottom w:val="none" w:sz="0" w:space="0" w:color="auto"/>
                        <w:right w:val="none" w:sz="0" w:space="0" w:color="auto"/>
                      </w:divBdr>
                    </w:div>
                  </w:divsChild>
                </w:div>
                <w:div w:id="2064870550">
                  <w:marLeft w:val="0"/>
                  <w:marRight w:val="0"/>
                  <w:marTop w:val="0"/>
                  <w:marBottom w:val="0"/>
                  <w:divBdr>
                    <w:top w:val="none" w:sz="0" w:space="0" w:color="auto"/>
                    <w:left w:val="none" w:sz="0" w:space="0" w:color="auto"/>
                    <w:bottom w:val="none" w:sz="0" w:space="0" w:color="auto"/>
                    <w:right w:val="none" w:sz="0" w:space="0" w:color="auto"/>
                  </w:divBdr>
                  <w:divsChild>
                    <w:div w:id="12441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0296">
          <w:marLeft w:val="0"/>
          <w:marRight w:val="0"/>
          <w:marTop w:val="0"/>
          <w:marBottom w:val="0"/>
          <w:divBdr>
            <w:top w:val="none" w:sz="0" w:space="0" w:color="auto"/>
            <w:left w:val="none" w:sz="0" w:space="0" w:color="auto"/>
            <w:bottom w:val="none" w:sz="0" w:space="0" w:color="auto"/>
            <w:right w:val="none" w:sz="0" w:space="0" w:color="auto"/>
          </w:divBdr>
        </w:div>
        <w:div w:id="990719185">
          <w:marLeft w:val="0"/>
          <w:marRight w:val="0"/>
          <w:marTop w:val="0"/>
          <w:marBottom w:val="0"/>
          <w:divBdr>
            <w:top w:val="none" w:sz="0" w:space="0" w:color="auto"/>
            <w:left w:val="none" w:sz="0" w:space="0" w:color="auto"/>
            <w:bottom w:val="none" w:sz="0" w:space="0" w:color="auto"/>
            <w:right w:val="none" w:sz="0" w:space="0" w:color="auto"/>
          </w:divBdr>
          <w:divsChild>
            <w:div w:id="1867675895">
              <w:marLeft w:val="-75"/>
              <w:marRight w:val="0"/>
              <w:marTop w:val="30"/>
              <w:marBottom w:val="30"/>
              <w:divBdr>
                <w:top w:val="none" w:sz="0" w:space="0" w:color="auto"/>
                <w:left w:val="none" w:sz="0" w:space="0" w:color="auto"/>
                <w:bottom w:val="none" w:sz="0" w:space="0" w:color="auto"/>
                <w:right w:val="none" w:sz="0" w:space="0" w:color="auto"/>
              </w:divBdr>
              <w:divsChild>
                <w:div w:id="173418993">
                  <w:marLeft w:val="0"/>
                  <w:marRight w:val="0"/>
                  <w:marTop w:val="0"/>
                  <w:marBottom w:val="0"/>
                  <w:divBdr>
                    <w:top w:val="none" w:sz="0" w:space="0" w:color="auto"/>
                    <w:left w:val="none" w:sz="0" w:space="0" w:color="auto"/>
                    <w:bottom w:val="none" w:sz="0" w:space="0" w:color="auto"/>
                    <w:right w:val="none" w:sz="0" w:space="0" w:color="auto"/>
                  </w:divBdr>
                  <w:divsChild>
                    <w:div w:id="744717211">
                      <w:marLeft w:val="0"/>
                      <w:marRight w:val="0"/>
                      <w:marTop w:val="0"/>
                      <w:marBottom w:val="0"/>
                      <w:divBdr>
                        <w:top w:val="none" w:sz="0" w:space="0" w:color="auto"/>
                        <w:left w:val="none" w:sz="0" w:space="0" w:color="auto"/>
                        <w:bottom w:val="none" w:sz="0" w:space="0" w:color="auto"/>
                        <w:right w:val="none" w:sz="0" w:space="0" w:color="auto"/>
                      </w:divBdr>
                    </w:div>
                  </w:divsChild>
                </w:div>
                <w:div w:id="642202088">
                  <w:marLeft w:val="0"/>
                  <w:marRight w:val="0"/>
                  <w:marTop w:val="0"/>
                  <w:marBottom w:val="0"/>
                  <w:divBdr>
                    <w:top w:val="none" w:sz="0" w:space="0" w:color="auto"/>
                    <w:left w:val="none" w:sz="0" w:space="0" w:color="auto"/>
                    <w:bottom w:val="none" w:sz="0" w:space="0" w:color="auto"/>
                    <w:right w:val="none" w:sz="0" w:space="0" w:color="auto"/>
                  </w:divBdr>
                  <w:divsChild>
                    <w:div w:id="95297746">
                      <w:marLeft w:val="0"/>
                      <w:marRight w:val="0"/>
                      <w:marTop w:val="0"/>
                      <w:marBottom w:val="0"/>
                      <w:divBdr>
                        <w:top w:val="none" w:sz="0" w:space="0" w:color="auto"/>
                        <w:left w:val="none" w:sz="0" w:space="0" w:color="auto"/>
                        <w:bottom w:val="none" w:sz="0" w:space="0" w:color="auto"/>
                        <w:right w:val="none" w:sz="0" w:space="0" w:color="auto"/>
                      </w:divBdr>
                    </w:div>
                    <w:div w:id="114831026">
                      <w:marLeft w:val="0"/>
                      <w:marRight w:val="0"/>
                      <w:marTop w:val="0"/>
                      <w:marBottom w:val="0"/>
                      <w:divBdr>
                        <w:top w:val="none" w:sz="0" w:space="0" w:color="auto"/>
                        <w:left w:val="none" w:sz="0" w:space="0" w:color="auto"/>
                        <w:bottom w:val="none" w:sz="0" w:space="0" w:color="auto"/>
                        <w:right w:val="none" w:sz="0" w:space="0" w:color="auto"/>
                      </w:divBdr>
                    </w:div>
                    <w:div w:id="535429753">
                      <w:marLeft w:val="0"/>
                      <w:marRight w:val="0"/>
                      <w:marTop w:val="0"/>
                      <w:marBottom w:val="0"/>
                      <w:divBdr>
                        <w:top w:val="none" w:sz="0" w:space="0" w:color="auto"/>
                        <w:left w:val="none" w:sz="0" w:space="0" w:color="auto"/>
                        <w:bottom w:val="none" w:sz="0" w:space="0" w:color="auto"/>
                        <w:right w:val="none" w:sz="0" w:space="0" w:color="auto"/>
                      </w:divBdr>
                    </w:div>
                    <w:div w:id="1498183261">
                      <w:marLeft w:val="0"/>
                      <w:marRight w:val="0"/>
                      <w:marTop w:val="0"/>
                      <w:marBottom w:val="0"/>
                      <w:divBdr>
                        <w:top w:val="none" w:sz="0" w:space="0" w:color="auto"/>
                        <w:left w:val="none" w:sz="0" w:space="0" w:color="auto"/>
                        <w:bottom w:val="none" w:sz="0" w:space="0" w:color="auto"/>
                        <w:right w:val="none" w:sz="0" w:space="0" w:color="auto"/>
                      </w:divBdr>
                    </w:div>
                    <w:div w:id="1937787847">
                      <w:marLeft w:val="0"/>
                      <w:marRight w:val="0"/>
                      <w:marTop w:val="0"/>
                      <w:marBottom w:val="0"/>
                      <w:divBdr>
                        <w:top w:val="none" w:sz="0" w:space="0" w:color="auto"/>
                        <w:left w:val="none" w:sz="0" w:space="0" w:color="auto"/>
                        <w:bottom w:val="none" w:sz="0" w:space="0" w:color="auto"/>
                        <w:right w:val="none" w:sz="0" w:space="0" w:color="auto"/>
                      </w:divBdr>
                    </w:div>
                  </w:divsChild>
                </w:div>
                <w:div w:id="824587584">
                  <w:marLeft w:val="0"/>
                  <w:marRight w:val="0"/>
                  <w:marTop w:val="0"/>
                  <w:marBottom w:val="0"/>
                  <w:divBdr>
                    <w:top w:val="none" w:sz="0" w:space="0" w:color="auto"/>
                    <w:left w:val="none" w:sz="0" w:space="0" w:color="auto"/>
                    <w:bottom w:val="none" w:sz="0" w:space="0" w:color="auto"/>
                    <w:right w:val="none" w:sz="0" w:space="0" w:color="auto"/>
                  </w:divBdr>
                  <w:divsChild>
                    <w:div w:id="1200901280">
                      <w:marLeft w:val="0"/>
                      <w:marRight w:val="0"/>
                      <w:marTop w:val="0"/>
                      <w:marBottom w:val="0"/>
                      <w:divBdr>
                        <w:top w:val="none" w:sz="0" w:space="0" w:color="auto"/>
                        <w:left w:val="none" w:sz="0" w:space="0" w:color="auto"/>
                        <w:bottom w:val="none" w:sz="0" w:space="0" w:color="auto"/>
                        <w:right w:val="none" w:sz="0" w:space="0" w:color="auto"/>
                      </w:divBdr>
                    </w:div>
                  </w:divsChild>
                </w:div>
                <w:div w:id="856382850">
                  <w:marLeft w:val="0"/>
                  <w:marRight w:val="0"/>
                  <w:marTop w:val="0"/>
                  <w:marBottom w:val="0"/>
                  <w:divBdr>
                    <w:top w:val="none" w:sz="0" w:space="0" w:color="auto"/>
                    <w:left w:val="none" w:sz="0" w:space="0" w:color="auto"/>
                    <w:bottom w:val="none" w:sz="0" w:space="0" w:color="auto"/>
                    <w:right w:val="none" w:sz="0" w:space="0" w:color="auto"/>
                  </w:divBdr>
                  <w:divsChild>
                    <w:div w:id="698774220">
                      <w:marLeft w:val="0"/>
                      <w:marRight w:val="0"/>
                      <w:marTop w:val="0"/>
                      <w:marBottom w:val="0"/>
                      <w:divBdr>
                        <w:top w:val="none" w:sz="0" w:space="0" w:color="auto"/>
                        <w:left w:val="none" w:sz="0" w:space="0" w:color="auto"/>
                        <w:bottom w:val="none" w:sz="0" w:space="0" w:color="auto"/>
                        <w:right w:val="none" w:sz="0" w:space="0" w:color="auto"/>
                      </w:divBdr>
                    </w:div>
                  </w:divsChild>
                </w:div>
                <w:div w:id="1052969019">
                  <w:marLeft w:val="0"/>
                  <w:marRight w:val="0"/>
                  <w:marTop w:val="0"/>
                  <w:marBottom w:val="0"/>
                  <w:divBdr>
                    <w:top w:val="none" w:sz="0" w:space="0" w:color="auto"/>
                    <w:left w:val="none" w:sz="0" w:space="0" w:color="auto"/>
                    <w:bottom w:val="none" w:sz="0" w:space="0" w:color="auto"/>
                    <w:right w:val="none" w:sz="0" w:space="0" w:color="auto"/>
                  </w:divBdr>
                  <w:divsChild>
                    <w:div w:id="517550462">
                      <w:marLeft w:val="0"/>
                      <w:marRight w:val="0"/>
                      <w:marTop w:val="0"/>
                      <w:marBottom w:val="0"/>
                      <w:divBdr>
                        <w:top w:val="none" w:sz="0" w:space="0" w:color="auto"/>
                        <w:left w:val="none" w:sz="0" w:space="0" w:color="auto"/>
                        <w:bottom w:val="none" w:sz="0" w:space="0" w:color="auto"/>
                        <w:right w:val="none" w:sz="0" w:space="0" w:color="auto"/>
                      </w:divBdr>
                    </w:div>
                    <w:div w:id="769159879">
                      <w:marLeft w:val="0"/>
                      <w:marRight w:val="0"/>
                      <w:marTop w:val="0"/>
                      <w:marBottom w:val="0"/>
                      <w:divBdr>
                        <w:top w:val="none" w:sz="0" w:space="0" w:color="auto"/>
                        <w:left w:val="none" w:sz="0" w:space="0" w:color="auto"/>
                        <w:bottom w:val="none" w:sz="0" w:space="0" w:color="auto"/>
                        <w:right w:val="none" w:sz="0" w:space="0" w:color="auto"/>
                      </w:divBdr>
                    </w:div>
                    <w:div w:id="1001203296">
                      <w:marLeft w:val="0"/>
                      <w:marRight w:val="0"/>
                      <w:marTop w:val="0"/>
                      <w:marBottom w:val="0"/>
                      <w:divBdr>
                        <w:top w:val="none" w:sz="0" w:space="0" w:color="auto"/>
                        <w:left w:val="none" w:sz="0" w:space="0" w:color="auto"/>
                        <w:bottom w:val="none" w:sz="0" w:space="0" w:color="auto"/>
                        <w:right w:val="none" w:sz="0" w:space="0" w:color="auto"/>
                      </w:divBdr>
                    </w:div>
                    <w:div w:id="1062488657">
                      <w:marLeft w:val="0"/>
                      <w:marRight w:val="0"/>
                      <w:marTop w:val="0"/>
                      <w:marBottom w:val="0"/>
                      <w:divBdr>
                        <w:top w:val="none" w:sz="0" w:space="0" w:color="auto"/>
                        <w:left w:val="none" w:sz="0" w:space="0" w:color="auto"/>
                        <w:bottom w:val="none" w:sz="0" w:space="0" w:color="auto"/>
                        <w:right w:val="none" w:sz="0" w:space="0" w:color="auto"/>
                      </w:divBdr>
                    </w:div>
                    <w:div w:id="1159930078">
                      <w:marLeft w:val="0"/>
                      <w:marRight w:val="0"/>
                      <w:marTop w:val="0"/>
                      <w:marBottom w:val="0"/>
                      <w:divBdr>
                        <w:top w:val="none" w:sz="0" w:space="0" w:color="auto"/>
                        <w:left w:val="none" w:sz="0" w:space="0" w:color="auto"/>
                        <w:bottom w:val="none" w:sz="0" w:space="0" w:color="auto"/>
                        <w:right w:val="none" w:sz="0" w:space="0" w:color="auto"/>
                      </w:divBdr>
                    </w:div>
                    <w:div w:id="1583830994">
                      <w:marLeft w:val="0"/>
                      <w:marRight w:val="0"/>
                      <w:marTop w:val="0"/>
                      <w:marBottom w:val="0"/>
                      <w:divBdr>
                        <w:top w:val="none" w:sz="0" w:space="0" w:color="auto"/>
                        <w:left w:val="none" w:sz="0" w:space="0" w:color="auto"/>
                        <w:bottom w:val="none" w:sz="0" w:space="0" w:color="auto"/>
                        <w:right w:val="none" w:sz="0" w:space="0" w:color="auto"/>
                      </w:divBdr>
                    </w:div>
                  </w:divsChild>
                </w:div>
                <w:div w:id="1169519269">
                  <w:marLeft w:val="0"/>
                  <w:marRight w:val="0"/>
                  <w:marTop w:val="0"/>
                  <w:marBottom w:val="0"/>
                  <w:divBdr>
                    <w:top w:val="none" w:sz="0" w:space="0" w:color="auto"/>
                    <w:left w:val="none" w:sz="0" w:space="0" w:color="auto"/>
                    <w:bottom w:val="none" w:sz="0" w:space="0" w:color="auto"/>
                    <w:right w:val="none" w:sz="0" w:space="0" w:color="auto"/>
                  </w:divBdr>
                  <w:divsChild>
                    <w:div w:id="83648694">
                      <w:marLeft w:val="0"/>
                      <w:marRight w:val="0"/>
                      <w:marTop w:val="0"/>
                      <w:marBottom w:val="0"/>
                      <w:divBdr>
                        <w:top w:val="none" w:sz="0" w:space="0" w:color="auto"/>
                        <w:left w:val="none" w:sz="0" w:space="0" w:color="auto"/>
                        <w:bottom w:val="none" w:sz="0" w:space="0" w:color="auto"/>
                        <w:right w:val="none" w:sz="0" w:space="0" w:color="auto"/>
                      </w:divBdr>
                    </w:div>
                  </w:divsChild>
                </w:div>
                <w:div w:id="1276523919">
                  <w:marLeft w:val="0"/>
                  <w:marRight w:val="0"/>
                  <w:marTop w:val="0"/>
                  <w:marBottom w:val="0"/>
                  <w:divBdr>
                    <w:top w:val="none" w:sz="0" w:space="0" w:color="auto"/>
                    <w:left w:val="none" w:sz="0" w:space="0" w:color="auto"/>
                    <w:bottom w:val="none" w:sz="0" w:space="0" w:color="auto"/>
                    <w:right w:val="none" w:sz="0" w:space="0" w:color="auto"/>
                  </w:divBdr>
                  <w:divsChild>
                    <w:div w:id="572550767">
                      <w:marLeft w:val="0"/>
                      <w:marRight w:val="0"/>
                      <w:marTop w:val="0"/>
                      <w:marBottom w:val="0"/>
                      <w:divBdr>
                        <w:top w:val="none" w:sz="0" w:space="0" w:color="auto"/>
                        <w:left w:val="none" w:sz="0" w:space="0" w:color="auto"/>
                        <w:bottom w:val="none" w:sz="0" w:space="0" w:color="auto"/>
                        <w:right w:val="none" w:sz="0" w:space="0" w:color="auto"/>
                      </w:divBdr>
                    </w:div>
                  </w:divsChild>
                </w:div>
                <w:div w:id="1370106793">
                  <w:marLeft w:val="0"/>
                  <w:marRight w:val="0"/>
                  <w:marTop w:val="0"/>
                  <w:marBottom w:val="0"/>
                  <w:divBdr>
                    <w:top w:val="none" w:sz="0" w:space="0" w:color="auto"/>
                    <w:left w:val="none" w:sz="0" w:space="0" w:color="auto"/>
                    <w:bottom w:val="none" w:sz="0" w:space="0" w:color="auto"/>
                    <w:right w:val="none" w:sz="0" w:space="0" w:color="auto"/>
                  </w:divBdr>
                  <w:divsChild>
                    <w:div w:id="276758643">
                      <w:marLeft w:val="0"/>
                      <w:marRight w:val="0"/>
                      <w:marTop w:val="0"/>
                      <w:marBottom w:val="0"/>
                      <w:divBdr>
                        <w:top w:val="none" w:sz="0" w:space="0" w:color="auto"/>
                        <w:left w:val="none" w:sz="0" w:space="0" w:color="auto"/>
                        <w:bottom w:val="none" w:sz="0" w:space="0" w:color="auto"/>
                        <w:right w:val="none" w:sz="0" w:space="0" w:color="auto"/>
                      </w:divBdr>
                    </w:div>
                  </w:divsChild>
                </w:div>
                <w:div w:id="1425877385">
                  <w:marLeft w:val="0"/>
                  <w:marRight w:val="0"/>
                  <w:marTop w:val="0"/>
                  <w:marBottom w:val="0"/>
                  <w:divBdr>
                    <w:top w:val="none" w:sz="0" w:space="0" w:color="auto"/>
                    <w:left w:val="none" w:sz="0" w:space="0" w:color="auto"/>
                    <w:bottom w:val="none" w:sz="0" w:space="0" w:color="auto"/>
                    <w:right w:val="none" w:sz="0" w:space="0" w:color="auto"/>
                  </w:divBdr>
                  <w:divsChild>
                    <w:div w:id="301734509">
                      <w:marLeft w:val="0"/>
                      <w:marRight w:val="0"/>
                      <w:marTop w:val="0"/>
                      <w:marBottom w:val="0"/>
                      <w:divBdr>
                        <w:top w:val="none" w:sz="0" w:space="0" w:color="auto"/>
                        <w:left w:val="none" w:sz="0" w:space="0" w:color="auto"/>
                        <w:bottom w:val="none" w:sz="0" w:space="0" w:color="auto"/>
                        <w:right w:val="none" w:sz="0" w:space="0" w:color="auto"/>
                      </w:divBdr>
                    </w:div>
                  </w:divsChild>
                </w:div>
                <w:div w:id="1539244059">
                  <w:marLeft w:val="0"/>
                  <w:marRight w:val="0"/>
                  <w:marTop w:val="0"/>
                  <w:marBottom w:val="0"/>
                  <w:divBdr>
                    <w:top w:val="none" w:sz="0" w:space="0" w:color="auto"/>
                    <w:left w:val="none" w:sz="0" w:space="0" w:color="auto"/>
                    <w:bottom w:val="none" w:sz="0" w:space="0" w:color="auto"/>
                    <w:right w:val="none" w:sz="0" w:space="0" w:color="auto"/>
                  </w:divBdr>
                  <w:divsChild>
                    <w:div w:id="1754886217">
                      <w:marLeft w:val="0"/>
                      <w:marRight w:val="0"/>
                      <w:marTop w:val="0"/>
                      <w:marBottom w:val="0"/>
                      <w:divBdr>
                        <w:top w:val="none" w:sz="0" w:space="0" w:color="auto"/>
                        <w:left w:val="none" w:sz="0" w:space="0" w:color="auto"/>
                        <w:bottom w:val="none" w:sz="0" w:space="0" w:color="auto"/>
                        <w:right w:val="none" w:sz="0" w:space="0" w:color="auto"/>
                      </w:divBdr>
                    </w:div>
                  </w:divsChild>
                </w:div>
                <w:div w:id="1552645968">
                  <w:marLeft w:val="0"/>
                  <w:marRight w:val="0"/>
                  <w:marTop w:val="0"/>
                  <w:marBottom w:val="0"/>
                  <w:divBdr>
                    <w:top w:val="none" w:sz="0" w:space="0" w:color="auto"/>
                    <w:left w:val="none" w:sz="0" w:space="0" w:color="auto"/>
                    <w:bottom w:val="none" w:sz="0" w:space="0" w:color="auto"/>
                    <w:right w:val="none" w:sz="0" w:space="0" w:color="auto"/>
                  </w:divBdr>
                  <w:divsChild>
                    <w:div w:id="494607251">
                      <w:marLeft w:val="0"/>
                      <w:marRight w:val="0"/>
                      <w:marTop w:val="0"/>
                      <w:marBottom w:val="0"/>
                      <w:divBdr>
                        <w:top w:val="none" w:sz="0" w:space="0" w:color="auto"/>
                        <w:left w:val="none" w:sz="0" w:space="0" w:color="auto"/>
                        <w:bottom w:val="none" w:sz="0" w:space="0" w:color="auto"/>
                        <w:right w:val="none" w:sz="0" w:space="0" w:color="auto"/>
                      </w:divBdr>
                    </w:div>
                  </w:divsChild>
                </w:div>
                <w:div w:id="1630894797">
                  <w:marLeft w:val="0"/>
                  <w:marRight w:val="0"/>
                  <w:marTop w:val="0"/>
                  <w:marBottom w:val="0"/>
                  <w:divBdr>
                    <w:top w:val="none" w:sz="0" w:space="0" w:color="auto"/>
                    <w:left w:val="none" w:sz="0" w:space="0" w:color="auto"/>
                    <w:bottom w:val="none" w:sz="0" w:space="0" w:color="auto"/>
                    <w:right w:val="none" w:sz="0" w:space="0" w:color="auto"/>
                  </w:divBdr>
                  <w:divsChild>
                    <w:div w:id="1022702411">
                      <w:marLeft w:val="0"/>
                      <w:marRight w:val="0"/>
                      <w:marTop w:val="0"/>
                      <w:marBottom w:val="0"/>
                      <w:divBdr>
                        <w:top w:val="none" w:sz="0" w:space="0" w:color="auto"/>
                        <w:left w:val="none" w:sz="0" w:space="0" w:color="auto"/>
                        <w:bottom w:val="none" w:sz="0" w:space="0" w:color="auto"/>
                        <w:right w:val="none" w:sz="0" w:space="0" w:color="auto"/>
                      </w:divBdr>
                    </w:div>
                  </w:divsChild>
                </w:div>
                <w:div w:id="1711689518">
                  <w:marLeft w:val="0"/>
                  <w:marRight w:val="0"/>
                  <w:marTop w:val="0"/>
                  <w:marBottom w:val="0"/>
                  <w:divBdr>
                    <w:top w:val="none" w:sz="0" w:space="0" w:color="auto"/>
                    <w:left w:val="none" w:sz="0" w:space="0" w:color="auto"/>
                    <w:bottom w:val="none" w:sz="0" w:space="0" w:color="auto"/>
                    <w:right w:val="none" w:sz="0" w:space="0" w:color="auto"/>
                  </w:divBdr>
                  <w:divsChild>
                    <w:div w:id="226888874">
                      <w:marLeft w:val="0"/>
                      <w:marRight w:val="0"/>
                      <w:marTop w:val="0"/>
                      <w:marBottom w:val="0"/>
                      <w:divBdr>
                        <w:top w:val="none" w:sz="0" w:space="0" w:color="auto"/>
                        <w:left w:val="none" w:sz="0" w:space="0" w:color="auto"/>
                        <w:bottom w:val="none" w:sz="0" w:space="0" w:color="auto"/>
                        <w:right w:val="none" w:sz="0" w:space="0" w:color="auto"/>
                      </w:divBdr>
                    </w:div>
                    <w:div w:id="1668901142">
                      <w:marLeft w:val="0"/>
                      <w:marRight w:val="0"/>
                      <w:marTop w:val="0"/>
                      <w:marBottom w:val="0"/>
                      <w:divBdr>
                        <w:top w:val="none" w:sz="0" w:space="0" w:color="auto"/>
                        <w:left w:val="none" w:sz="0" w:space="0" w:color="auto"/>
                        <w:bottom w:val="none" w:sz="0" w:space="0" w:color="auto"/>
                        <w:right w:val="none" w:sz="0" w:space="0" w:color="auto"/>
                      </w:divBdr>
                    </w:div>
                  </w:divsChild>
                </w:div>
                <w:div w:id="1872113144">
                  <w:marLeft w:val="0"/>
                  <w:marRight w:val="0"/>
                  <w:marTop w:val="0"/>
                  <w:marBottom w:val="0"/>
                  <w:divBdr>
                    <w:top w:val="none" w:sz="0" w:space="0" w:color="auto"/>
                    <w:left w:val="none" w:sz="0" w:space="0" w:color="auto"/>
                    <w:bottom w:val="none" w:sz="0" w:space="0" w:color="auto"/>
                    <w:right w:val="none" w:sz="0" w:space="0" w:color="auto"/>
                  </w:divBdr>
                  <w:divsChild>
                    <w:div w:id="1844542829">
                      <w:marLeft w:val="0"/>
                      <w:marRight w:val="0"/>
                      <w:marTop w:val="0"/>
                      <w:marBottom w:val="0"/>
                      <w:divBdr>
                        <w:top w:val="none" w:sz="0" w:space="0" w:color="auto"/>
                        <w:left w:val="none" w:sz="0" w:space="0" w:color="auto"/>
                        <w:bottom w:val="none" w:sz="0" w:space="0" w:color="auto"/>
                        <w:right w:val="none" w:sz="0" w:space="0" w:color="auto"/>
                      </w:divBdr>
                    </w:div>
                  </w:divsChild>
                </w:div>
                <w:div w:id="1961568044">
                  <w:marLeft w:val="0"/>
                  <w:marRight w:val="0"/>
                  <w:marTop w:val="0"/>
                  <w:marBottom w:val="0"/>
                  <w:divBdr>
                    <w:top w:val="none" w:sz="0" w:space="0" w:color="auto"/>
                    <w:left w:val="none" w:sz="0" w:space="0" w:color="auto"/>
                    <w:bottom w:val="none" w:sz="0" w:space="0" w:color="auto"/>
                    <w:right w:val="none" w:sz="0" w:space="0" w:color="auto"/>
                  </w:divBdr>
                  <w:divsChild>
                    <w:div w:id="4194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47680">
          <w:marLeft w:val="0"/>
          <w:marRight w:val="0"/>
          <w:marTop w:val="0"/>
          <w:marBottom w:val="0"/>
          <w:divBdr>
            <w:top w:val="none" w:sz="0" w:space="0" w:color="auto"/>
            <w:left w:val="none" w:sz="0" w:space="0" w:color="auto"/>
            <w:bottom w:val="none" w:sz="0" w:space="0" w:color="auto"/>
            <w:right w:val="none" w:sz="0" w:space="0" w:color="auto"/>
          </w:divBdr>
        </w:div>
        <w:div w:id="1175001677">
          <w:marLeft w:val="0"/>
          <w:marRight w:val="0"/>
          <w:marTop w:val="0"/>
          <w:marBottom w:val="0"/>
          <w:divBdr>
            <w:top w:val="none" w:sz="0" w:space="0" w:color="auto"/>
            <w:left w:val="none" w:sz="0" w:space="0" w:color="auto"/>
            <w:bottom w:val="none" w:sz="0" w:space="0" w:color="auto"/>
            <w:right w:val="none" w:sz="0" w:space="0" w:color="auto"/>
          </w:divBdr>
          <w:divsChild>
            <w:div w:id="278223089">
              <w:marLeft w:val="-75"/>
              <w:marRight w:val="0"/>
              <w:marTop w:val="30"/>
              <w:marBottom w:val="30"/>
              <w:divBdr>
                <w:top w:val="none" w:sz="0" w:space="0" w:color="auto"/>
                <w:left w:val="none" w:sz="0" w:space="0" w:color="auto"/>
                <w:bottom w:val="none" w:sz="0" w:space="0" w:color="auto"/>
                <w:right w:val="none" w:sz="0" w:space="0" w:color="auto"/>
              </w:divBdr>
              <w:divsChild>
                <w:div w:id="11030084">
                  <w:marLeft w:val="0"/>
                  <w:marRight w:val="0"/>
                  <w:marTop w:val="0"/>
                  <w:marBottom w:val="0"/>
                  <w:divBdr>
                    <w:top w:val="none" w:sz="0" w:space="0" w:color="auto"/>
                    <w:left w:val="none" w:sz="0" w:space="0" w:color="auto"/>
                    <w:bottom w:val="none" w:sz="0" w:space="0" w:color="auto"/>
                    <w:right w:val="none" w:sz="0" w:space="0" w:color="auto"/>
                  </w:divBdr>
                  <w:divsChild>
                    <w:div w:id="127941066">
                      <w:marLeft w:val="0"/>
                      <w:marRight w:val="0"/>
                      <w:marTop w:val="0"/>
                      <w:marBottom w:val="0"/>
                      <w:divBdr>
                        <w:top w:val="none" w:sz="0" w:space="0" w:color="auto"/>
                        <w:left w:val="none" w:sz="0" w:space="0" w:color="auto"/>
                        <w:bottom w:val="none" w:sz="0" w:space="0" w:color="auto"/>
                        <w:right w:val="none" w:sz="0" w:space="0" w:color="auto"/>
                      </w:divBdr>
                    </w:div>
                    <w:div w:id="601492267">
                      <w:marLeft w:val="0"/>
                      <w:marRight w:val="0"/>
                      <w:marTop w:val="0"/>
                      <w:marBottom w:val="0"/>
                      <w:divBdr>
                        <w:top w:val="none" w:sz="0" w:space="0" w:color="auto"/>
                        <w:left w:val="none" w:sz="0" w:space="0" w:color="auto"/>
                        <w:bottom w:val="none" w:sz="0" w:space="0" w:color="auto"/>
                        <w:right w:val="none" w:sz="0" w:space="0" w:color="auto"/>
                      </w:divBdr>
                    </w:div>
                  </w:divsChild>
                </w:div>
                <w:div w:id="135538229">
                  <w:marLeft w:val="0"/>
                  <w:marRight w:val="0"/>
                  <w:marTop w:val="0"/>
                  <w:marBottom w:val="0"/>
                  <w:divBdr>
                    <w:top w:val="none" w:sz="0" w:space="0" w:color="auto"/>
                    <w:left w:val="none" w:sz="0" w:space="0" w:color="auto"/>
                    <w:bottom w:val="none" w:sz="0" w:space="0" w:color="auto"/>
                    <w:right w:val="none" w:sz="0" w:space="0" w:color="auto"/>
                  </w:divBdr>
                  <w:divsChild>
                    <w:div w:id="1857841056">
                      <w:marLeft w:val="0"/>
                      <w:marRight w:val="0"/>
                      <w:marTop w:val="0"/>
                      <w:marBottom w:val="0"/>
                      <w:divBdr>
                        <w:top w:val="none" w:sz="0" w:space="0" w:color="auto"/>
                        <w:left w:val="none" w:sz="0" w:space="0" w:color="auto"/>
                        <w:bottom w:val="none" w:sz="0" w:space="0" w:color="auto"/>
                        <w:right w:val="none" w:sz="0" w:space="0" w:color="auto"/>
                      </w:divBdr>
                    </w:div>
                  </w:divsChild>
                </w:div>
                <w:div w:id="354035917">
                  <w:marLeft w:val="0"/>
                  <w:marRight w:val="0"/>
                  <w:marTop w:val="0"/>
                  <w:marBottom w:val="0"/>
                  <w:divBdr>
                    <w:top w:val="none" w:sz="0" w:space="0" w:color="auto"/>
                    <w:left w:val="none" w:sz="0" w:space="0" w:color="auto"/>
                    <w:bottom w:val="none" w:sz="0" w:space="0" w:color="auto"/>
                    <w:right w:val="none" w:sz="0" w:space="0" w:color="auto"/>
                  </w:divBdr>
                  <w:divsChild>
                    <w:div w:id="1832135030">
                      <w:marLeft w:val="0"/>
                      <w:marRight w:val="0"/>
                      <w:marTop w:val="0"/>
                      <w:marBottom w:val="0"/>
                      <w:divBdr>
                        <w:top w:val="none" w:sz="0" w:space="0" w:color="auto"/>
                        <w:left w:val="none" w:sz="0" w:space="0" w:color="auto"/>
                        <w:bottom w:val="none" w:sz="0" w:space="0" w:color="auto"/>
                        <w:right w:val="none" w:sz="0" w:space="0" w:color="auto"/>
                      </w:divBdr>
                    </w:div>
                  </w:divsChild>
                </w:div>
                <w:div w:id="406270191">
                  <w:marLeft w:val="0"/>
                  <w:marRight w:val="0"/>
                  <w:marTop w:val="0"/>
                  <w:marBottom w:val="0"/>
                  <w:divBdr>
                    <w:top w:val="none" w:sz="0" w:space="0" w:color="auto"/>
                    <w:left w:val="none" w:sz="0" w:space="0" w:color="auto"/>
                    <w:bottom w:val="none" w:sz="0" w:space="0" w:color="auto"/>
                    <w:right w:val="none" w:sz="0" w:space="0" w:color="auto"/>
                  </w:divBdr>
                  <w:divsChild>
                    <w:div w:id="1875196315">
                      <w:marLeft w:val="0"/>
                      <w:marRight w:val="0"/>
                      <w:marTop w:val="0"/>
                      <w:marBottom w:val="0"/>
                      <w:divBdr>
                        <w:top w:val="none" w:sz="0" w:space="0" w:color="auto"/>
                        <w:left w:val="none" w:sz="0" w:space="0" w:color="auto"/>
                        <w:bottom w:val="none" w:sz="0" w:space="0" w:color="auto"/>
                        <w:right w:val="none" w:sz="0" w:space="0" w:color="auto"/>
                      </w:divBdr>
                    </w:div>
                  </w:divsChild>
                </w:div>
                <w:div w:id="421687301">
                  <w:marLeft w:val="0"/>
                  <w:marRight w:val="0"/>
                  <w:marTop w:val="0"/>
                  <w:marBottom w:val="0"/>
                  <w:divBdr>
                    <w:top w:val="none" w:sz="0" w:space="0" w:color="auto"/>
                    <w:left w:val="none" w:sz="0" w:space="0" w:color="auto"/>
                    <w:bottom w:val="none" w:sz="0" w:space="0" w:color="auto"/>
                    <w:right w:val="none" w:sz="0" w:space="0" w:color="auto"/>
                  </w:divBdr>
                  <w:divsChild>
                    <w:div w:id="438262618">
                      <w:marLeft w:val="0"/>
                      <w:marRight w:val="0"/>
                      <w:marTop w:val="0"/>
                      <w:marBottom w:val="0"/>
                      <w:divBdr>
                        <w:top w:val="none" w:sz="0" w:space="0" w:color="auto"/>
                        <w:left w:val="none" w:sz="0" w:space="0" w:color="auto"/>
                        <w:bottom w:val="none" w:sz="0" w:space="0" w:color="auto"/>
                        <w:right w:val="none" w:sz="0" w:space="0" w:color="auto"/>
                      </w:divBdr>
                    </w:div>
                    <w:div w:id="523325089">
                      <w:marLeft w:val="0"/>
                      <w:marRight w:val="0"/>
                      <w:marTop w:val="0"/>
                      <w:marBottom w:val="0"/>
                      <w:divBdr>
                        <w:top w:val="none" w:sz="0" w:space="0" w:color="auto"/>
                        <w:left w:val="none" w:sz="0" w:space="0" w:color="auto"/>
                        <w:bottom w:val="none" w:sz="0" w:space="0" w:color="auto"/>
                        <w:right w:val="none" w:sz="0" w:space="0" w:color="auto"/>
                      </w:divBdr>
                    </w:div>
                  </w:divsChild>
                </w:div>
                <w:div w:id="452332573">
                  <w:marLeft w:val="0"/>
                  <w:marRight w:val="0"/>
                  <w:marTop w:val="0"/>
                  <w:marBottom w:val="0"/>
                  <w:divBdr>
                    <w:top w:val="none" w:sz="0" w:space="0" w:color="auto"/>
                    <w:left w:val="none" w:sz="0" w:space="0" w:color="auto"/>
                    <w:bottom w:val="none" w:sz="0" w:space="0" w:color="auto"/>
                    <w:right w:val="none" w:sz="0" w:space="0" w:color="auto"/>
                  </w:divBdr>
                  <w:divsChild>
                    <w:div w:id="1019114988">
                      <w:marLeft w:val="0"/>
                      <w:marRight w:val="0"/>
                      <w:marTop w:val="0"/>
                      <w:marBottom w:val="0"/>
                      <w:divBdr>
                        <w:top w:val="none" w:sz="0" w:space="0" w:color="auto"/>
                        <w:left w:val="none" w:sz="0" w:space="0" w:color="auto"/>
                        <w:bottom w:val="none" w:sz="0" w:space="0" w:color="auto"/>
                        <w:right w:val="none" w:sz="0" w:space="0" w:color="auto"/>
                      </w:divBdr>
                    </w:div>
                  </w:divsChild>
                </w:div>
                <w:div w:id="518276020">
                  <w:marLeft w:val="0"/>
                  <w:marRight w:val="0"/>
                  <w:marTop w:val="0"/>
                  <w:marBottom w:val="0"/>
                  <w:divBdr>
                    <w:top w:val="none" w:sz="0" w:space="0" w:color="auto"/>
                    <w:left w:val="none" w:sz="0" w:space="0" w:color="auto"/>
                    <w:bottom w:val="none" w:sz="0" w:space="0" w:color="auto"/>
                    <w:right w:val="none" w:sz="0" w:space="0" w:color="auto"/>
                  </w:divBdr>
                  <w:divsChild>
                    <w:div w:id="1141188892">
                      <w:marLeft w:val="0"/>
                      <w:marRight w:val="0"/>
                      <w:marTop w:val="0"/>
                      <w:marBottom w:val="0"/>
                      <w:divBdr>
                        <w:top w:val="none" w:sz="0" w:space="0" w:color="auto"/>
                        <w:left w:val="none" w:sz="0" w:space="0" w:color="auto"/>
                        <w:bottom w:val="none" w:sz="0" w:space="0" w:color="auto"/>
                        <w:right w:val="none" w:sz="0" w:space="0" w:color="auto"/>
                      </w:divBdr>
                    </w:div>
                  </w:divsChild>
                </w:div>
                <w:div w:id="689991639">
                  <w:marLeft w:val="0"/>
                  <w:marRight w:val="0"/>
                  <w:marTop w:val="0"/>
                  <w:marBottom w:val="0"/>
                  <w:divBdr>
                    <w:top w:val="none" w:sz="0" w:space="0" w:color="auto"/>
                    <w:left w:val="none" w:sz="0" w:space="0" w:color="auto"/>
                    <w:bottom w:val="none" w:sz="0" w:space="0" w:color="auto"/>
                    <w:right w:val="none" w:sz="0" w:space="0" w:color="auto"/>
                  </w:divBdr>
                  <w:divsChild>
                    <w:div w:id="1070734362">
                      <w:marLeft w:val="0"/>
                      <w:marRight w:val="0"/>
                      <w:marTop w:val="0"/>
                      <w:marBottom w:val="0"/>
                      <w:divBdr>
                        <w:top w:val="none" w:sz="0" w:space="0" w:color="auto"/>
                        <w:left w:val="none" w:sz="0" w:space="0" w:color="auto"/>
                        <w:bottom w:val="none" w:sz="0" w:space="0" w:color="auto"/>
                        <w:right w:val="none" w:sz="0" w:space="0" w:color="auto"/>
                      </w:divBdr>
                    </w:div>
                  </w:divsChild>
                </w:div>
                <w:div w:id="909120071">
                  <w:marLeft w:val="0"/>
                  <w:marRight w:val="0"/>
                  <w:marTop w:val="0"/>
                  <w:marBottom w:val="0"/>
                  <w:divBdr>
                    <w:top w:val="none" w:sz="0" w:space="0" w:color="auto"/>
                    <w:left w:val="none" w:sz="0" w:space="0" w:color="auto"/>
                    <w:bottom w:val="none" w:sz="0" w:space="0" w:color="auto"/>
                    <w:right w:val="none" w:sz="0" w:space="0" w:color="auto"/>
                  </w:divBdr>
                  <w:divsChild>
                    <w:div w:id="432479498">
                      <w:marLeft w:val="0"/>
                      <w:marRight w:val="0"/>
                      <w:marTop w:val="0"/>
                      <w:marBottom w:val="0"/>
                      <w:divBdr>
                        <w:top w:val="none" w:sz="0" w:space="0" w:color="auto"/>
                        <w:left w:val="none" w:sz="0" w:space="0" w:color="auto"/>
                        <w:bottom w:val="none" w:sz="0" w:space="0" w:color="auto"/>
                        <w:right w:val="none" w:sz="0" w:space="0" w:color="auto"/>
                      </w:divBdr>
                    </w:div>
                    <w:div w:id="534387412">
                      <w:marLeft w:val="0"/>
                      <w:marRight w:val="0"/>
                      <w:marTop w:val="0"/>
                      <w:marBottom w:val="0"/>
                      <w:divBdr>
                        <w:top w:val="none" w:sz="0" w:space="0" w:color="auto"/>
                        <w:left w:val="none" w:sz="0" w:space="0" w:color="auto"/>
                        <w:bottom w:val="none" w:sz="0" w:space="0" w:color="auto"/>
                        <w:right w:val="none" w:sz="0" w:space="0" w:color="auto"/>
                      </w:divBdr>
                    </w:div>
                  </w:divsChild>
                </w:div>
                <w:div w:id="1365597494">
                  <w:marLeft w:val="0"/>
                  <w:marRight w:val="0"/>
                  <w:marTop w:val="0"/>
                  <w:marBottom w:val="0"/>
                  <w:divBdr>
                    <w:top w:val="none" w:sz="0" w:space="0" w:color="auto"/>
                    <w:left w:val="none" w:sz="0" w:space="0" w:color="auto"/>
                    <w:bottom w:val="none" w:sz="0" w:space="0" w:color="auto"/>
                    <w:right w:val="none" w:sz="0" w:space="0" w:color="auto"/>
                  </w:divBdr>
                  <w:divsChild>
                    <w:div w:id="806748272">
                      <w:marLeft w:val="0"/>
                      <w:marRight w:val="0"/>
                      <w:marTop w:val="0"/>
                      <w:marBottom w:val="0"/>
                      <w:divBdr>
                        <w:top w:val="none" w:sz="0" w:space="0" w:color="auto"/>
                        <w:left w:val="none" w:sz="0" w:space="0" w:color="auto"/>
                        <w:bottom w:val="none" w:sz="0" w:space="0" w:color="auto"/>
                        <w:right w:val="none" w:sz="0" w:space="0" w:color="auto"/>
                      </w:divBdr>
                    </w:div>
                  </w:divsChild>
                </w:div>
                <w:div w:id="1694918822">
                  <w:marLeft w:val="0"/>
                  <w:marRight w:val="0"/>
                  <w:marTop w:val="0"/>
                  <w:marBottom w:val="0"/>
                  <w:divBdr>
                    <w:top w:val="none" w:sz="0" w:space="0" w:color="auto"/>
                    <w:left w:val="none" w:sz="0" w:space="0" w:color="auto"/>
                    <w:bottom w:val="none" w:sz="0" w:space="0" w:color="auto"/>
                    <w:right w:val="none" w:sz="0" w:space="0" w:color="auto"/>
                  </w:divBdr>
                  <w:divsChild>
                    <w:div w:id="652872424">
                      <w:marLeft w:val="0"/>
                      <w:marRight w:val="0"/>
                      <w:marTop w:val="0"/>
                      <w:marBottom w:val="0"/>
                      <w:divBdr>
                        <w:top w:val="none" w:sz="0" w:space="0" w:color="auto"/>
                        <w:left w:val="none" w:sz="0" w:space="0" w:color="auto"/>
                        <w:bottom w:val="none" w:sz="0" w:space="0" w:color="auto"/>
                        <w:right w:val="none" w:sz="0" w:space="0" w:color="auto"/>
                      </w:divBdr>
                    </w:div>
                  </w:divsChild>
                </w:div>
                <w:div w:id="2107145534">
                  <w:marLeft w:val="0"/>
                  <w:marRight w:val="0"/>
                  <w:marTop w:val="0"/>
                  <w:marBottom w:val="0"/>
                  <w:divBdr>
                    <w:top w:val="none" w:sz="0" w:space="0" w:color="auto"/>
                    <w:left w:val="none" w:sz="0" w:space="0" w:color="auto"/>
                    <w:bottom w:val="none" w:sz="0" w:space="0" w:color="auto"/>
                    <w:right w:val="none" w:sz="0" w:space="0" w:color="auto"/>
                  </w:divBdr>
                  <w:divsChild>
                    <w:div w:id="2434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85025">
          <w:marLeft w:val="0"/>
          <w:marRight w:val="0"/>
          <w:marTop w:val="0"/>
          <w:marBottom w:val="0"/>
          <w:divBdr>
            <w:top w:val="none" w:sz="0" w:space="0" w:color="auto"/>
            <w:left w:val="none" w:sz="0" w:space="0" w:color="auto"/>
            <w:bottom w:val="none" w:sz="0" w:space="0" w:color="auto"/>
            <w:right w:val="none" w:sz="0" w:space="0" w:color="auto"/>
          </w:divBdr>
        </w:div>
        <w:div w:id="1484198713">
          <w:marLeft w:val="0"/>
          <w:marRight w:val="0"/>
          <w:marTop w:val="0"/>
          <w:marBottom w:val="0"/>
          <w:divBdr>
            <w:top w:val="none" w:sz="0" w:space="0" w:color="auto"/>
            <w:left w:val="none" w:sz="0" w:space="0" w:color="auto"/>
            <w:bottom w:val="none" w:sz="0" w:space="0" w:color="auto"/>
            <w:right w:val="none" w:sz="0" w:space="0" w:color="auto"/>
          </w:divBdr>
        </w:div>
        <w:div w:id="1571311563">
          <w:marLeft w:val="0"/>
          <w:marRight w:val="0"/>
          <w:marTop w:val="0"/>
          <w:marBottom w:val="0"/>
          <w:divBdr>
            <w:top w:val="none" w:sz="0" w:space="0" w:color="auto"/>
            <w:left w:val="none" w:sz="0" w:space="0" w:color="auto"/>
            <w:bottom w:val="none" w:sz="0" w:space="0" w:color="auto"/>
            <w:right w:val="none" w:sz="0" w:space="0" w:color="auto"/>
          </w:divBdr>
        </w:div>
        <w:div w:id="1677070597">
          <w:marLeft w:val="0"/>
          <w:marRight w:val="0"/>
          <w:marTop w:val="0"/>
          <w:marBottom w:val="0"/>
          <w:divBdr>
            <w:top w:val="none" w:sz="0" w:space="0" w:color="auto"/>
            <w:left w:val="none" w:sz="0" w:space="0" w:color="auto"/>
            <w:bottom w:val="none" w:sz="0" w:space="0" w:color="auto"/>
            <w:right w:val="none" w:sz="0" w:space="0" w:color="auto"/>
          </w:divBdr>
        </w:div>
      </w:divsChild>
    </w:div>
    <w:div w:id="1133251638">
      <w:bodyDiv w:val="1"/>
      <w:marLeft w:val="0"/>
      <w:marRight w:val="0"/>
      <w:marTop w:val="0"/>
      <w:marBottom w:val="0"/>
      <w:divBdr>
        <w:top w:val="none" w:sz="0" w:space="0" w:color="auto"/>
        <w:left w:val="none" w:sz="0" w:space="0" w:color="auto"/>
        <w:bottom w:val="none" w:sz="0" w:space="0" w:color="auto"/>
        <w:right w:val="none" w:sz="0" w:space="0" w:color="auto"/>
      </w:divBdr>
    </w:div>
    <w:div w:id="1209490446">
      <w:bodyDiv w:val="1"/>
      <w:marLeft w:val="0"/>
      <w:marRight w:val="0"/>
      <w:marTop w:val="0"/>
      <w:marBottom w:val="0"/>
      <w:divBdr>
        <w:top w:val="none" w:sz="0" w:space="0" w:color="auto"/>
        <w:left w:val="none" w:sz="0" w:space="0" w:color="auto"/>
        <w:bottom w:val="none" w:sz="0" w:space="0" w:color="auto"/>
        <w:right w:val="none" w:sz="0" w:space="0" w:color="auto"/>
      </w:divBdr>
      <w:divsChild>
        <w:div w:id="550658943">
          <w:marLeft w:val="0"/>
          <w:marRight w:val="0"/>
          <w:marTop w:val="0"/>
          <w:marBottom w:val="0"/>
          <w:divBdr>
            <w:top w:val="none" w:sz="0" w:space="0" w:color="auto"/>
            <w:left w:val="none" w:sz="0" w:space="0" w:color="auto"/>
            <w:bottom w:val="none" w:sz="0" w:space="0" w:color="auto"/>
            <w:right w:val="none" w:sz="0" w:space="0" w:color="auto"/>
          </w:divBdr>
          <w:divsChild>
            <w:div w:id="18090627">
              <w:marLeft w:val="0"/>
              <w:marRight w:val="0"/>
              <w:marTop w:val="0"/>
              <w:marBottom w:val="0"/>
              <w:divBdr>
                <w:top w:val="none" w:sz="0" w:space="0" w:color="auto"/>
                <w:left w:val="none" w:sz="0" w:space="0" w:color="auto"/>
                <w:bottom w:val="none" w:sz="0" w:space="0" w:color="auto"/>
                <w:right w:val="none" w:sz="0" w:space="0" w:color="auto"/>
              </w:divBdr>
            </w:div>
            <w:div w:id="49421253">
              <w:marLeft w:val="0"/>
              <w:marRight w:val="0"/>
              <w:marTop w:val="0"/>
              <w:marBottom w:val="0"/>
              <w:divBdr>
                <w:top w:val="none" w:sz="0" w:space="0" w:color="auto"/>
                <w:left w:val="none" w:sz="0" w:space="0" w:color="auto"/>
                <w:bottom w:val="none" w:sz="0" w:space="0" w:color="auto"/>
                <w:right w:val="none" w:sz="0" w:space="0" w:color="auto"/>
              </w:divBdr>
            </w:div>
            <w:div w:id="181821848">
              <w:marLeft w:val="0"/>
              <w:marRight w:val="0"/>
              <w:marTop w:val="0"/>
              <w:marBottom w:val="0"/>
              <w:divBdr>
                <w:top w:val="none" w:sz="0" w:space="0" w:color="auto"/>
                <w:left w:val="none" w:sz="0" w:space="0" w:color="auto"/>
                <w:bottom w:val="none" w:sz="0" w:space="0" w:color="auto"/>
                <w:right w:val="none" w:sz="0" w:space="0" w:color="auto"/>
              </w:divBdr>
            </w:div>
            <w:div w:id="357774597">
              <w:marLeft w:val="0"/>
              <w:marRight w:val="0"/>
              <w:marTop w:val="0"/>
              <w:marBottom w:val="0"/>
              <w:divBdr>
                <w:top w:val="none" w:sz="0" w:space="0" w:color="auto"/>
                <w:left w:val="none" w:sz="0" w:space="0" w:color="auto"/>
                <w:bottom w:val="none" w:sz="0" w:space="0" w:color="auto"/>
                <w:right w:val="none" w:sz="0" w:space="0" w:color="auto"/>
              </w:divBdr>
            </w:div>
            <w:div w:id="377782018">
              <w:marLeft w:val="0"/>
              <w:marRight w:val="0"/>
              <w:marTop w:val="0"/>
              <w:marBottom w:val="0"/>
              <w:divBdr>
                <w:top w:val="none" w:sz="0" w:space="0" w:color="auto"/>
                <w:left w:val="none" w:sz="0" w:space="0" w:color="auto"/>
                <w:bottom w:val="none" w:sz="0" w:space="0" w:color="auto"/>
                <w:right w:val="none" w:sz="0" w:space="0" w:color="auto"/>
              </w:divBdr>
            </w:div>
            <w:div w:id="420376269">
              <w:marLeft w:val="0"/>
              <w:marRight w:val="0"/>
              <w:marTop w:val="0"/>
              <w:marBottom w:val="0"/>
              <w:divBdr>
                <w:top w:val="none" w:sz="0" w:space="0" w:color="auto"/>
                <w:left w:val="none" w:sz="0" w:space="0" w:color="auto"/>
                <w:bottom w:val="none" w:sz="0" w:space="0" w:color="auto"/>
                <w:right w:val="none" w:sz="0" w:space="0" w:color="auto"/>
              </w:divBdr>
            </w:div>
            <w:div w:id="615256131">
              <w:marLeft w:val="0"/>
              <w:marRight w:val="0"/>
              <w:marTop w:val="0"/>
              <w:marBottom w:val="0"/>
              <w:divBdr>
                <w:top w:val="none" w:sz="0" w:space="0" w:color="auto"/>
                <w:left w:val="none" w:sz="0" w:space="0" w:color="auto"/>
                <w:bottom w:val="none" w:sz="0" w:space="0" w:color="auto"/>
                <w:right w:val="none" w:sz="0" w:space="0" w:color="auto"/>
              </w:divBdr>
            </w:div>
            <w:div w:id="668414036">
              <w:marLeft w:val="0"/>
              <w:marRight w:val="0"/>
              <w:marTop w:val="0"/>
              <w:marBottom w:val="0"/>
              <w:divBdr>
                <w:top w:val="none" w:sz="0" w:space="0" w:color="auto"/>
                <w:left w:val="none" w:sz="0" w:space="0" w:color="auto"/>
                <w:bottom w:val="none" w:sz="0" w:space="0" w:color="auto"/>
                <w:right w:val="none" w:sz="0" w:space="0" w:color="auto"/>
              </w:divBdr>
            </w:div>
            <w:div w:id="904490706">
              <w:marLeft w:val="0"/>
              <w:marRight w:val="0"/>
              <w:marTop w:val="0"/>
              <w:marBottom w:val="0"/>
              <w:divBdr>
                <w:top w:val="none" w:sz="0" w:space="0" w:color="auto"/>
                <w:left w:val="none" w:sz="0" w:space="0" w:color="auto"/>
                <w:bottom w:val="none" w:sz="0" w:space="0" w:color="auto"/>
                <w:right w:val="none" w:sz="0" w:space="0" w:color="auto"/>
              </w:divBdr>
            </w:div>
            <w:div w:id="1008560580">
              <w:marLeft w:val="0"/>
              <w:marRight w:val="0"/>
              <w:marTop w:val="0"/>
              <w:marBottom w:val="0"/>
              <w:divBdr>
                <w:top w:val="none" w:sz="0" w:space="0" w:color="auto"/>
                <w:left w:val="none" w:sz="0" w:space="0" w:color="auto"/>
                <w:bottom w:val="none" w:sz="0" w:space="0" w:color="auto"/>
                <w:right w:val="none" w:sz="0" w:space="0" w:color="auto"/>
              </w:divBdr>
            </w:div>
            <w:div w:id="1105930604">
              <w:marLeft w:val="0"/>
              <w:marRight w:val="0"/>
              <w:marTop w:val="0"/>
              <w:marBottom w:val="0"/>
              <w:divBdr>
                <w:top w:val="none" w:sz="0" w:space="0" w:color="auto"/>
                <w:left w:val="none" w:sz="0" w:space="0" w:color="auto"/>
                <w:bottom w:val="none" w:sz="0" w:space="0" w:color="auto"/>
                <w:right w:val="none" w:sz="0" w:space="0" w:color="auto"/>
              </w:divBdr>
            </w:div>
            <w:div w:id="1193029737">
              <w:marLeft w:val="0"/>
              <w:marRight w:val="0"/>
              <w:marTop w:val="0"/>
              <w:marBottom w:val="0"/>
              <w:divBdr>
                <w:top w:val="none" w:sz="0" w:space="0" w:color="auto"/>
                <w:left w:val="none" w:sz="0" w:space="0" w:color="auto"/>
                <w:bottom w:val="none" w:sz="0" w:space="0" w:color="auto"/>
                <w:right w:val="none" w:sz="0" w:space="0" w:color="auto"/>
              </w:divBdr>
            </w:div>
            <w:div w:id="1252616610">
              <w:marLeft w:val="0"/>
              <w:marRight w:val="0"/>
              <w:marTop w:val="0"/>
              <w:marBottom w:val="0"/>
              <w:divBdr>
                <w:top w:val="none" w:sz="0" w:space="0" w:color="auto"/>
                <w:left w:val="none" w:sz="0" w:space="0" w:color="auto"/>
                <w:bottom w:val="none" w:sz="0" w:space="0" w:color="auto"/>
                <w:right w:val="none" w:sz="0" w:space="0" w:color="auto"/>
              </w:divBdr>
            </w:div>
            <w:div w:id="1468234641">
              <w:marLeft w:val="0"/>
              <w:marRight w:val="0"/>
              <w:marTop w:val="0"/>
              <w:marBottom w:val="0"/>
              <w:divBdr>
                <w:top w:val="none" w:sz="0" w:space="0" w:color="auto"/>
                <w:left w:val="none" w:sz="0" w:space="0" w:color="auto"/>
                <w:bottom w:val="none" w:sz="0" w:space="0" w:color="auto"/>
                <w:right w:val="none" w:sz="0" w:space="0" w:color="auto"/>
              </w:divBdr>
            </w:div>
            <w:div w:id="1548762350">
              <w:marLeft w:val="0"/>
              <w:marRight w:val="0"/>
              <w:marTop w:val="0"/>
              <w:marBottom w:val="0"/>
              <w:divBdr>
                <w:top w:val="none" w:sz="0" w:space="0" w:color="auto"/>
                <w:left w:val="none" w:sz="0" w:space="0" w:color="auto"/>
                <w:bottom w:val="none" w:sz="0" w:space="0" w:color="auto"/>
                <w:right w:val="none" w:sz="0" w:space="0" w:color="auto"/>
              </w:divBdr>
            </w:div>
            <w:div w:id="1615598051">
              <w:marLeft w:val="0"/>
              <w:marRight w:val="0"/>
              <w:marTop w:val="0"/>
              <w:marBottom w:val="0"/>
              <w:divBdr>
                <w:top w:val="none" w:sz="0" w:space="0" w:color="auto"/>
                <w:left w:val="none" w:sz="0" w:space="0" w:color="auto"/>
                <w:bottom w:val="none" w:sz="0" w:space="0" w:color="auto"/>
                <w:right w:val="none" w:sz="0" w:space="0" w:color="auto"/>
              </w:divBdr>
            </w:div>
            <w:div w:id="1901479329">
              <w:marLeft w:val="0"/>
              <w:marRight w:val="0"/>
              <w:marTop w:val="0"/>
              <w:marBottom w:val="0"/>
              <w:divBdr>
                <w:top w:val="none" w:sz="0" w:space="0" w:color="auto"/>
                <w:left w:val="none" w:sz="0" w:space="0" w:color="auto"/>
                <w:bottom w:val="none" w:sz="0" w:space="0" w:color="auto"/>
                <w:right w:val="none" w:sz="0" w:space="0" w:color="auto"/>
              </w:divBdr>
            </w:div>
            <w:div w:id="1935242696">
              <w:marLeft w:val="0"/>
              <w:marRight w:val="0"/>
              <w:marTop w:val="0"/>
              <w:marBottom w:val="0"/>
              <w:divBdr>
                <w:top w:val="none" w:sz="0" w:space="0" w:color="auto"/>
                <w:left w:val="none" w:sz="0" w:space="0" w:color="auto"/>
                <w:bottom w:val="none" w:sz="0" w:space="0" w:color="auto"/>
                <w:right w:val="none" w:sz="0" w:space="0" w:color="auto"/>
              </w:divBdr>
            </w:div>
            <w:div w:id="2060590023">
              <w:marLeft w:val="0"/>
              <w:marRight w:val="0"/>
              <w:marTop w:val="0"/>
              <w:marBottom w:val="0"/>
              <w:divBdr>
                <w:top w:val="none" w:sz="0" w:space="0" w:color="auto"/>
                <w:left w:val="none" w:sz="0" w:space="0" w:color="auto"/>
                <w:bottom w:val="none" w:sz="0" w:space="0" w:color="auto"/>
                <w:right w:val="none" w:sz="0" w:space="0" w:color="auto"/>
              </w:divBdr>
            </w:div>
          </w:divsChild>
        </w:div>
        <w:div w:id="1400398350">
          <w:marLeft w:val="0"/>
          <w:marRight w:val="0"/>
          <w:marTop w:val="0"/>
          <w:marBottom w:val="0"/>
          <w:divBdr>
            <w:top w:val="none" w:sz="0" w:space="0" w:color="auto"/>
            <w:left w:val="none" w:sz="0" w:space="0" w:color="auto"/>
            <w:bottom w:val="none" w:sz="0" w:space="0" w:color="auto"/>
            <w:right w:val="none" w:sz="0" w:space="0" w:color="auto"/>
          </w:divBdr>
          <w:divsChild>
            <w:div w:id="77603593">
              <w:marLeft w:val="0"/>
              <w:marRight w:val="0"/>
              <w:marTop w:val="0"/>
              <w:marBottom w:val="0"/>
              <w:divBdr>
                <w:top w:val="none" w:sz="0" w:space="0" w:color="auto"/>
                <w:left w:val="none" w:sz="0" w:space="0" w:color="auto"/>
                <w:bottom w:val="none" w:sz="0" w:space="0" w:color="auto"/>
                <w:right w:val="none" w:sz="0" w:space="0" w:color="auto"/>
              </w:divBdr>
            </w:div>
            <w:div w:id="112332926">
              <w:marLeft w:val="0"/>
              <w:marRight w:val="0"/>
              <w:marTop w:val="0"/>
              <w:marBottom w:val="0"/>
              <w:divBdr>
                <w:top w:val="none" w:sz="0" w:space="0" w:color="auto"/>
                <w:left w:val="none" w:sz="0" w:space="0" w:color="auto"/>
                <w:bottom w:val="none" w:sz="0" w:space="0" w:color="auto"/>
                <w:right w:val="none" w:sz="0" w:space="0" w:color="auto"/>
              </w:divBdr>
            </w:div>
            <w:div w:id="388498719">
              <w:marLeft w:val="0"/>
              <w:marRight w:val="0"/>
              <w:marTop w:val="0"/>
              <w:marBottom w:val="0"/>
              <w:divBdr>
                <w:top w:val="none" w:sz="0" w:space="0" w:color="auto"/>
                <w:left w:val="none" w:sz="0" w:space="0" w:color="auto"/>
                <w:bottom w:val="none" w:sz="0" w:space="0" w:color="auto"/>
                <w:right w:val="none" w:sz="0" w:space="0" w:color="auto"/>
              </w:divBdr>
            </w:div>
            <w:div w:id="462620288">
              <w:marLeft w:val="0"/>
              <w:marRight w:val="0"/>
              <w:marTop w:val="0"/>
              <w:marBottom w:val="0"/>
              <w:divBdr>
                <w:top w:val="none" w:sz="0" w:space="0" w:color="auto"/>
                <w:left w:val="none" w:sz="0" w:space="0" w:color="auto"/>
                <w:bottom w:val="none" w:sz="0" w:space="0" w:color="auto"/>
                <w:right w:val="none" w:sz="0" w:space="0" w:color="auto"/>
              </w:divBdr>
            </w:div>
            <w:div w:id="680592450">
              <w:marLeft w:val="0"/>
              <w:marRight w:val="0"/>
              <w:marTop w:val="0"/>
              <w:marBottom w:val="0"/>
              <w:divBdr>
                <w:top w:val="none" w:sz="0" w:space="0" w:color="auto"/>
                <w:left w:val="none" w:sz="0" w:space="0" w:color="auto"/>
                <w:bottom w:val="none" w:sz="0" w:space="0" w:color="auto"/>
                <w:right w:val="none" w:sz="0" w:space="0" w:color="auto"/>
              </w:divBdr>
            </w:div>
            <w:div w:id="827401798">
              <w:marLeft w:val="0"/>
              <w:marRight w:val="0"/>
              <w:marTop w:val="0"/>
              <w:marBottom w:val="0"/>
              <w:divBdr>
                <w:top w:val="none" w:sz="0" w:space="0" w:color="auto"/>
                <w:left w:val="none" w:sz="0" w:space="0" w:color="auto"/>
                <w:bottom w:val="none" w:sz="0" w:space="0" w:color="auto"/>
                <w:right w:val="none" w:sz="0" w:space="0" w:color="auto"/>
              </w:divBdr>
            </w:div>
            <w:div w:id="1221283651">
              <w:marLeft w:val="0"/>
              <w:marRight w:val="0"/>
              <w:marTop w:val="0"/>
              <w:marBottom w:val="0"/>
              <w:divBdr>
                <w:top w:val="none" w:sz="0" w:space="0" w:color="auto"/>
                <w:left w:val="none" w:sz="0" w:space="0" w:color="auto"/>
                <w:bottom w:val="none" w:sz="0" w:space="0" w:color="auto"/>
                <w:right w:val="none" w:sz="0" w:space="0" w:color="auto"/>
              </w:divBdr>
            </w:div>
            <w:div w:id="1324890480">
              <w:marLeft w:val="0"/>
              <w:marRight w:val="0"/>
              <w:marTop w:val="0"/>
              <w:marBottom w:val="0"/>
              <w:divBdr>
                <w:top w:val="none" w:sz="0" w:space="0" w:color="auto"/>
                <w:left w:val="none" w:sz="0" w:space="0" w:color="auto"/>
                <w:bottom w:val="none" w:sz="0" w:space="0" w:color="auto"/>
                <w:right w:val="none" w:sz="0" w:space="0" w:color="auto"/>
              </w:divBdr>
            </w:div>
            <w:div w:id="1446541201">
              <w:marLeft w:val="0"/>
              <w:marRight w:val="0"/>
              <w:marTop w:val="0"/>
              <w:marBottom w:val="0"/>
              <w:divBdr>
                <w:top w:val="none" w:sz="0" w:space="0" w:color="auto"/>
                <w:left w:val="none" w:sz="0" w:space="0" w:color="auto"/>
                <w:bottom w:val="none" w:sz="0" w:space="0" w:color="auto"/>
                <w:right w:val="none" w:sz="0" w:space="0" w:color="auto"/>
              </w:divBdr>
            </w:div>
            <w:div w:id="1715541364">
              <w:marLeft w:val="0"/>
              <w:marRight w:val="0"/>
              <w:marTop w:val="0"/>
              <w:marBottom w:val="0"/>
              <w:divBdr>
                <w:top w:val="none" w:sz="0" w:space="0" w:color="auto"/>
                <w:left w:val="none" w:sz="0" w:space="0" w:color="auto"/>
                <w:bottom w:val="none" w:sz="0" w:space="0" w:color="auto"/>
                <w:right w:val="none" w:sz="0" w:space="0" w:color="auto"/>
              </w:divBdr>
            </w:div>
            <w:div w:id="1816873963">
              <w:marLeft w:val="0"/>
              <w:marRight w:val="0"/>
              <w:marTop w:val="0"/>
              <w:marBottom w:val="0"/>
              <w:divBdr>
                <w:top w:val="none" w:sz="0" w:space="0" w:color="auto"/>
                <w:left w:val="none" w:sz="0" w:space="0" w:color="auto"/>
                <w:bottom w:val="none" w:sz="0" w:space="0" w:color="auto"/>
                <w:right w:val="none" w:sz="0" w:space="0" w:color="auto"/>
              </w:divBdr>
            </w:div>
            <w:div w:id="1846894656">
              <w:marLeft w:val="0"/>
              <w:marRight w:val="0"/>
              <w:marTop w:val="0"/>
              <w:marBottom w:val="0"/>
              <w:divBdr>
                <w:top w:val="none" w:sz="0" w:space="0" w:color="auto"/>
                <w:left w:val="none" w:sz="0" w:space="0" w:color="auto"/>
                <w:bottom w:val="none" w:sz="0" w:space="0" w:color="auto"/>
                <w:right w:val="none" w:sz="0" w:space="0" w:color="auto"/>
              </w:divBdr>
            </w:div>
            <w:div w:id="1879656282">
              <w:marLeft w:val="0"/>
              <w:marRight w:val="0"/>
              <w:marTop w:val="0"/>
              <w:marBottom w:val="0"/>
              <w:divBdr>
                <w:top w:val="none" w:sz="0" w:space="0" w:color="auto"/>
                <w:left w:val="none" w:sz="0" w:space="0" w:color="auto"/>
                <w:bottom w:val="none" w:sz="0" w:space="0" w:color="auto"/>
                <w:right w:val="none" w:sz="0" w:space="0" w:color="auto"/>
              </w:divBdr>
            </w:div>
          </w:divsChild>
        </w:div>
        <w:div w:id="1823505341">
          <w:marLeft w:val="0"/>
          <w:marRight w:val="0"/>
          <w:marTop w:val="0"/>
          <w:marBottom w:val="0"/>
          <w:divBdr>
            <w:top w:val="none" w:sz="0" w:space="0" w:color="auto"/>
            <w:left w:val="none" w:sz="0" w:space="0" w:color="auto"/>
            <w:bottom w:val="none" w:sz="0" w:space="0" w:color="auto"/>
            <w:right w:val="none" w:sz="0" w:space="0" w:color="auto"/>
          </w:divBdr>
          <w:divsChild>
            <w:div w:id="287206212">
              <w:marLeft w:val="0"/>
              <w:marRight w:val="0"/>
              <w:marTop w:val="0"/>
              <w:marBottom w:val="0"/>
              <w:divBdr>
                <w:top w:val="none" w:sz="0" w:space="0" w:color="auto"/>
                <w:left w:val="none" w:sz="0" w:space="0" w:color="auto"/>
                <w:bottom w:val="none" w:sz="0" w:space="0" w:color="auto"/>
                <w:right w:val="none" w:sz="0" w:space="0" w:color="auto"/>
              </w:divBdr>
            </w:div>
            <w:div w:id="597063881">
              <w:marLeft w:val="0"/>
              <w:marRight w:val="0"/>
              <w:marTop w:val="0"/>
              <w:marBottom w:val="0"/>
              <w:divBdr>
                <w:top w:val="none" w:sz="0" w:space="0" w:color="auto"/>
                <w:left w:val="none" w:sz="0" w:space="0" w:color="auto"/>
                <w:bottom w:val="none" w:sz="0" w:space="0" w:color="auto"/>
                <w:right w:val="none" w:sz="0" w:space="0" w:color="auto"/>
              </w:divBdr>
            </w:div>
            <w:div w:id="703604215">
              <w:marLeft w:val="0"/>
              <w:marRight w:val="0"/>
              <w:marTop w:val="0"/>
              <w:marBottom w:val="0"/>
              <w:divBdr>
                <w:top w:val="none" w:sz="0" w:space="0" w:color="auto"/>
                <w:left w:val="none" w:sz="0" w:space="0" w:color="auto"/>
                <w:bottom w:val="none" w:sz="0" w:space="0" w:color="auto"/>
                <w:right w:val="none" w:sz="0" w:space="0" w:color="auto"/>
              </w:divBdr>
            </w:div>
            <w:div w:id="758209573">
              <w:marLeft w:val="0"/>
              <w:marRight w:val="0"/>
              <w:marTop w:val="0"/>
              <w:marBottom w:val="0"/>
              <w:divBdr>
                <w:top w:val="none" w:sz="0" w:space="0" w:color="auto"/>
                <w:left w:val="none" w:sz="0" w:space="0" w:color="auto"/>
                <w:bottom w:val="none" w:sz="0" w:space="0" w:color="auto"/>
                <w:right w:val="none" w:sz="0" w:space="0" w:color="auto"/>
              </w:divBdr>
            </w:div>
            <w:div w:id="842551260">
              <w:marLeft w:val="0"/>
              <w:marRight w:val="0"/>
              <w:marTop w:val="0"/>
              <w:marBottom w:val="0"/>
              <w:divBdr>
                <w:top w:val="none" w:sz="0" w:space="0" w:color="auto"/>
                <w:left w:val="none" w:sz="0" w:space="0" w:color="auto"/>
                <w:bottom w:val="none" w:sz="0" w:space="0" w:color="auto"/>
                <w:right w:val="none" w:sz="0" w:space="0" w:color="auto"/>
              </w:divBdr>
            </w:div>
            <w:div w:id="1008556560">
              <w:marLeft w:val="0"/>
              <w:marRight w:val="0"/>
              <w:marTop w:val="0"/>
              <w:marBottom w:val="0"/>
              <w:divBdr>
                <w:top w:val="none" w:sz="0" w:space="0" w:color="auto"/>
                <w:left w:val="none" w:sz="0" w:space="0" w:color="auto"/>
                <w:bottom w:val="none" w:sz="0" w:space="0" w:color="auto"/>
                <w:right w:val="none" w:sz="0" w:space="0" w:color="auto"/>
              </w:divBdr>
            </w:div>
            <w:div w:id="1206412703">
              <w:marLeft w:val="0"/>
              <w:marRight w:val="0"/>
              <w:marTop w:val="0"/>
              <w:marBottom w:val="0"/>
              <w:divBdr>
                <w:top w:val="none" w:sz="0" w:space="0" w:color="auto"/>
                <w:left w:val="none" w:sz="0" w:space="0" w:color="auto"/>
                <w:bottom w:val="none" w:sz="0" w:space="0" w:color="auto"/>
                <w:right w:val="none" w:sz="0" w:space="0" w:color="auto"/>
              </w:divBdr>
            </w:div>
            <w:div w:id="1495561720">
              <w:marLeft w:val="0"/>
              <w:marRight w:val="0"/>
              <w:marTop w:val="0"/>
              <w:marBottom w:val="0"/>
              <w:divBdr>
                <w:top w:val="none" w:sz="0" w:space="0" w:color="auto"/>
                <w:left w:val="none" w:sz="0" w:space="0" w:color="auto"/>
                <w:bottom w:val="none" w:sz="0" w:space="0" w:color="auto"/>
                <w:right w:val="none" w:sz="0" w:space="0" w:color="auto"/>
              </w:divBdr>
            </w:div>
            <w:div w:id="1647855663">
              <w:marLeft w:val="0"/>
              <w:marRight w:val="0"/>
              <w:marTop w:val="0"/>
              <w:marBottom w:val="0"/>
              <w:divBdr>
                <w:top w:val="none" w:sz="0" w:space="0" w:color="auto"/>
                <w:left w:val="none" w:sz="0" w:space="0" w:color="auto"/>
                <w:bottom w:val="none" w:sz="0" w:space="0" w:color="auto"/>
                <w:right w:val="none" w:sz="0" w:space="0" w:color="auto"/>
              </w:divBdr>
            </w:div>
            <w:div w:id="168435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3163">
      <w:bodyDiv w:val="1"/>
      <w:marLeft w:val="0"/>
      <w:marRight w:val="0"/>
      <w:marTop w:val="0"/>
      <w:marBottom w:val="0"/>
      <w:divBdr>
        <w:top w:val="none" w:sz="0" w:space="0" w:color="auto"/>
        <w:left w:val="none" w:sz="0" w:space="0" w:color="auto"/>
        <w:bottom w:val="none" w:sz="0" w:space="0" w:color="auto"/>
        <w:right w:val="none" w:sz="0" w:space="0" w:color="auto"/>
      </w:divBdr>
      <w:divsChild>
        <w:div w:id="546336277">
          <w:marLeft w:val="547"/>
          <w:marRight w:val="0"/>
          <w:marTop w:val="0"/>
          <w:marBottom w:val="0"/>
          <w:divBdr>
            <w:top w:val="none" w:sz="0" w:space="0" w:color="auto"/>
            <w:left w:val="none" w:sz="0" w:space="0" w:color="auto"/>
            <w:bottom w:val="none" w:sz="0" w:space="0" w:color="auto"/>
            <w:right w:val="none" w:sz="0" w:space="0" w:color="auto"/>
          </w:divBdr>
        </w:div>
      </w:divsChild>
    </w:div>
    <w:div w:id="1288001783">
      <w:bodyDiv w:val="1"/>
      <w:marLeft w:val="0"/>
      <w:marRight w:val="0"/>
      <w:marTop w:val="0"/>
      <w:marBottom w:val="0"/>
      <w:divBdr>
        <w:top w:val="none" w:sz="0" w:space="0" w:color="auto"/>
        <w:left w:val="none" w:sz="0" w:space="0" w:color="auto"/>
        <w:bottom w:val="none" w:sz="0" w:space="0" w:color="auto"/>
        <w:right w:val="none" w:sz="0" w:space="0" w:color="auto"/>
      </w:divBdr>
      <w:divsChild>
        <w:div w:id="102040338">
          <w:marLeft w:val="0"/>
          <w:marRight w:val="0"/>
          <w:marTop w:val="0"/>
          <w:marBottom w:val="0"/>
          <w:divBdr>
            <w:top w:val="none" w:sz="0" w:space="0" w:color="auto"/>
            <w:left w:val="none" w:sz="0" w:space="0" w:color="auto"/>
            <w:bottom w:val="none" w:sz="0" w:space="0" w:color="auto"/>
            <w:right w:val="none" w:sz="0" w:space="0" w:color="auto"/>
          </w:divBdr>
        </w:div>
        <w:div w:id="253369686">
          <w:marLeft w:val="0"/>
          <w:marRight w:val="0"/>
          <w:marTop w:val="0"/>
          <w:marBottom w:val="0"/>
          <w:divBdr>
            <w:top w:val="none" w:sz="0" w:space="0" w:color="auto"/>
            <w:left w:val="none" w:sz="0" w:space="0" w:color="auto"/>
            <w:bottom w:val="none" w:sz="0" w:space="0" w:color="auto"/>
            <w:right w:val="none" w:sz="0" w:space="0" w:color="auto"/>
          </w:divBdr>
        </w:div>
      </w:divsChild>
    </w:div>
    <w:div w:id="1296377201">
      <w:bodyDiv w:val="1"/>
      <w:marLeft w:val="0"/>
      <w:marRight w:val="0"/>
      <w:marTop w:val="0"/>
      <w:marBottom w:val="0"/>
      <w:divBdr>
        <w:top w:val="none" w:sz="0" w:space="0" w:color="auto"/>
        <w:left w:val="none" w:sz="0" w:space="0" w:color="auto"/>
        <w:bottom w:val="none" w:sz="0" w:space="0" w:color="auto"/>
        <w:right w:val="none" w:sz="0" w:space="0" w:color="auto"/>
      </w:divBdr>
      <w:divsChild>
        <w:div w:id="56824357">
          <w:marLeft w:val="0"/>
          <w:marRight w:val="0"/>
          <w:marTop w:val="0"/>
          <w:marBottom w:val="0"/>
          <w:divBdr>
            <w:top w:val="none" w:sz="0" w:space="0" w:color="auto"/>
            <w:left w:val="none" w:sz="0" w:space="0" w:color="auto"/>
            <w:bottom w:val="none" w:sz="0" w:space="0" w:color="auto"/>
            <w:right w:val="none" w:sz="0" w:space="0" w:color="auto"/>
          </w:divBdr>
        </w:div>
        <w:div w:id="295991038">
          <w:marLeft w:val="0"/>
          <w:marRight w:val="0"/>
          <w:marTop w:val="0"/>
          <w:marBottom w:val="0"/>
          <w:divBdr>
            <w:top w:val="none" w:sz="0" w:space="0" w:color="auto"/>
            <w:left w:val="none" w:sz="0" w:space="0" w:color="auto"/>
            <w:bottom w:val="none" w:sz="0" w:space="0" w:color="auto"/>
            <w:right w:val="none" w:sz="0" w:space="0" w:color="auto"/>
          </w:divBdr>
          <w:divsChild>
            <w:div w:id="830366937">
              <w:marLeft w:val="-75"/>
              <w:marRight w:val="0"/>
              <w:marTop w:val="30"/>
              <w:marBottom w:val="30"/>
              <w:divBdr>
                <w:top w:val="none" w:sz="0" w:space="0" w:color="auto"/>
                <w:left w:val="none" w:sz="0" w:space="0" w:color="auto"/>
                <w:bottom w:val="none" w:sz="0" w:space="0" w:color="auto"/>
                <w:right w:val="none" w:sz="0" w:space="0" w:color="auto"/>
              </w:divBdr>
              <w:divsChild>
                <w:div w:id="14308622">
                  <w:marLeft w:val="0"/>
                  <w:marRight w:val="0"/>
                  <w:marTop w:val="0"/>
                  <w:marBottom w:val="0"/>
                  <w:divBdr>
                    <w:top w:val="none" w:sz="0" w:space="0" w:color="auto"/>
                    <w:left w:val="none" w:sz="0" w:space="0" w:color="auto"/>
                    <w:bottom w:val="none" w:sz="0" w:space="0" w:color="auto"/>
                    <w:right w:val="none" w:sz="0" w:space="0" w:color="auto"/>
                  </w:divBdr>
                  <w:divsChild>
                    <w:div w:id="2032563358">
                      <w:marLeft w:val="0"/>
                      <w:marRight w:val="0"/>
                      <w:marTop w:val="0"/>
                      <w:marBottom w:val="0"/>
                      <w:divBdr>
                        <w:top w:val="none" w:sz="0" w:space="0" w:color="auto"/>
                        <w:left w:val="none" w:sz="0" w:space="0" w:color="auto"/>
                        <w:bottom w:val="none" w:sz="0" w:space="0" w:color="auto"/>
                        <w:right w:val="none" w:sz="0" w:space="0" w:color="auto"/>
                      </w:divBdr>
                    </w:div>
                  </w:divsChild>
                </w:div>
                <w:div w:id="121656797">
                  <w:marLeft w:val="0"/>
                  <w:marRight w:val="0"/>
                  <w:marTop w:val="0"/>
                  <w:marBottom w:val="0"/>
                  <w:divBdr>
                    <w:top w:val="none" w:sz="0" w:space="0" w:color="auto"/>
                    <w:left w:val="none" w:sz="0" w:space="0" w:color="auto"/>
                    <w:bottom w:val="none" w:sz="0" w:space="0" w:color="auto"/>
                    <w:right w:val="none" w:sz="0" w:space="0" w:color="auto"/>
                  </w:divBdr>
                  <w:divsChild>
                    <w:div w:id="1469782008">
                      <w:marLeft w:val="0"/>
                      <w:marRight w:val="0"/>
                      <w:marTop w:val="0"/>
                      <w:marBottom w:val="0"/>
                      <w:divBdr>
                        <w:top w:val="none" w:sz="0" w:space="0" w:color="auto"/>
                        <w:left w:val="none" w:sz="0" w:space="0" w:color="auto"/>
                        <w:bottom w:val="none" w:sz="0" w:space="0" w:color="auto"/>
                        <w:right w:val="none" w:sz="0" w:space="0" w:color="auto"/>
                      </w:divBdr>
                    </w:div>
                  </w:divsChild>
                </w:div>
                <w:div w:id="413548659">
                  <w:marLeft w:val="0"/>
                  <w:marRight w:val="0"/>
                  <w:marTop w:val="0"/>
                  <w:marBottom w:val="0"/>
                  <w:divBdr>
                    <w:top w:val="none" w:sz="0" w:space="0" w:color="auto"/>
                    <w:left w:val="none" w:sz="0" w:space="0" w:color="auto"/>
                    <w:bottom w:val="none" w:sz="0" w:space="0" w:color="auto"/>
                    <w:right w:val="none" w:sz="0" w:space="0" w:color="auto"/>
                  </w:divBdr>
                  <w:divsChild>
                    <w:div w:id="1537810588">
                      <w:marLeft w:val="0"/>
                      <w:marRight w:val="0"/>
                      <w:marTop w:val="0"/>
                      <w:marBottom w:val="0"/>
                      <w:divBdr>
                        <w:top w:val="none" w:sz="0" w:space="0" w:color="auto"/>
                        <w:left w:val="none" w:sz="0" w:space="0" w:color="auto"/>
                        <w:bottom w:val="none" w:sz="0" w:space="0" w:color="auto"/>
                        <w:right w:val="none" w:sz="0" w:space="0" w:color="auto"/>
                      </w:divBdr>
                    </w:div>
                    <w:div w:id="2142991871">
                      <w:marLeft w:val="0"/>
                      <w:marRight w:val="0"/>
                      <w:marTop w:val="0"/>
                      <w:marBottom w:val="0"/>
                      <w:divBdr>
                        <w:top w:val="none" w:sz="0" w:space="0" w:color="auto"/>
                        <w:left w:val="none" w:sz="0" w:space="0" w:color="auto"/>
                        <w:bottom w:val="none" w:sz="0" w:space="0" w:color="auto"/>
                        <w:right w:val="none" w:sz="0" w:space="0" w:color="auto"/>
                      </w:divBdr>
                    </w:div>
                  </w:divsChild>
                </w:div>
                <w:div w:id="537277197">
                  <w:marLeft w:val="0"/>
                  <w:marRight w:val="0"/>
                  <w:marTop w:val="0"/>
                  <w:marBottom w:val="0"/>
                  <w:divBdr>
                    <w:top w:val="none" w:sz="0" w:space="0" w:color="auto"/>
                    <w:left w:val="none" w:sz="0" w:space="0" w:color="auto"/>
                    <w:bottom w:val="none" w:sz="0" w:space="0" w:color="auto"/>
                    <w:right w:val="none" w:sz="0" w:space="0" w:color="auto"/>
                  </w:divBdr>
                  <w:divsChild>
                    <w:div w:id="1708528108">
                      <w:marLeft w:val="0"/>
                      <w:marRight w:val="0"/>
                      <w:marTop w:val="0"/>
                      <w:marBottom w:val="0"/>
                      <w:divBdr>
                        <w:top w:val="none" w:sz="0" w:space="0" w:color="auto"/>
                        <w:left w:val="none" w:sz="0" w:space="0" w:color="auto"/>
                        <w:bottom w:val="none" w:sz="0" w:space="0" w:color="auto"/>
                        <w:right w:val="none" w:sz="0" w:space="0" w:color="auto"/>
                      </w:divBdr>
                    </w:div>
                    <w:div w:id="1964994921">
                      <w:marLeft w:val="0"/>
                      <w:marRight w:val="0"/>
                      <w:marTop w:val="0"/>
                      <w:marBottom w:val="0"/>
                      <w:divBdr>
                        <w:top w:val="none" w:sz="0" w:space="0" w:color="auto"/>
                        <w:left w:val="none" w:sz="0" w:space="0" w:color="auto"/>
                        <w:bottom w:val="none" w:sz="0" w:space="0" w:color="auto"/>
                        <w:right w:val="none" w:sz="0" w:space="0" w:color="auto"/>
                      </w:divBdr>
                    </w:div>
                  </w:divsChild>
                </w:div>
                <w:div w:id="663975304">
                  <w:marLeft w:val="0"/>
                  <w:marRight w:val="0"/>
                  <w:marTop w:val="0"/>
                  <w:marBottom w:val="0"/>
                  <w:divBdr>
                    <w:top w:val="none" w:sz="0" w:space="0" w:color="auto"/>
                    <w:left w:val="none" w:sz="0" w:space="0" w:color="auto"/>
                    <w:bottom w:val="none" w:sz="0" w:space="0" w:color="auto"/>
                    <w:right w:val="none" w:sz="0" w:space="0" w:color="auto"/>
                  </w:divBdr>
                  <w:divsChild>
                    <w:div w:id="1214271218">
                      <w:marLeft w:val="0"/>
                      <w:marRight w:val="0"/>
                      <w:marTop w:val="0"/>
                      <w:marBottom w:val="0"/>
                      <w:divBdr>
                        <w:top w:val="none" w:sz="0" w:space="0" w:color="auto"/>
                        <w:left w:val="none" w:sz="0" w:space="0" w:color="auto"/>
                        <w:bottom w:val="none" w:sz="0" w:space="0" w:color="auto"/>
                        <w:right w:val="none" w:sz="0" w:space="0" w:color="auto"/>
                      </w:divBdr>
                    </w:div>
                    <w:div w:id="1247688839">
                      <w:marLeft w:val="0"/>
                      <w:marRight w:val="0"/>
                      <w:marTop w:val="0"/>
                      <w:marBottom w:val="0"/>
                      <w:divBdr>
                        <w:top w:val="none" w:sz="0" w:space="0" w:color="auto"/>
                        <w:left w:val="none" w:sz="0" w:space="0" w:color="auto"/>
                        <w:bottom w:val="none" w:sz="0" w:space="0" w:color="auto"/>
                        <w:right w:val="none" w:sz="0" w:space="0" w:color="auto"/>
                      </w:divBdr>
                    </w:div>
                  </w:divsChild>
                </w:div>
                <w:div w:id="728921823">
                  <w:marLeft w:val="0"/>
                  <w:marRight w:val="0"/>
                  <w:marTop w:val="0"/>
                  <w:marBottom w:val="0"/>
                  <w:divBdr>
                    <w:top w:val="none" w:sz="0" w:space="0" w:color="auto"/>
                    <w:left w:val="none" w:sz="0" w:space="0" w:color="auto"/>
                    <w:bottom w:val="none" w:sz="0" w:space="0" w:color="auto"/>
                    <w:right w:val="none" w:sz="0" w:space="0" w:color="auto"/>
                  </w:divBdr>
                  <w:divsChild>
                    <w:div w:id="699822296">
                      <w:marLeft w:val="0"/>
                      <w:marRight w:val="0"/>
                      <w:marTop w:val="0"/>
                      <w:marBottom w:val="0"/>
                      <w:divBdr>
                        <w:top w:val="none" w:sz="0" w:space="0" w:color="auto"/>
                        <w:left w:val="none" w:sz="0" w:space="0" w:color="auto"/>
                        <w:bottom w:val="none" w:sz="0" w:space="0" w:color="auto"/>
                        <w:right w:val="none" w:sz="0" w:space="0" w:color="auto"/>
                      </w:divBdr>
                    </w:div>
                  </w:divsChild>
                </w:div>
                <w:div w:id="761729238">
                  <w:marLeft w:val="0"/>
                  <w:marRight w:val="0"/>
                  <w:marTop w:val="0"/>
                  <w:marBottom w:val="0"/>
                  <w:divBdr>
                    <w:top w:val="none" w:sz="0" w:space="0" w:color="auto"/>
                    <w:left w:val="none" w:sz="0" w:space="0" w:color="auto"/>
                    <w:bottom w:val="none" w:sz="0" w:space="0" w:color="auto"/>
                    <w:right w:val="none" w:sz="0" w:space="0" w:color="auto"/>
                  </w:divBdr>
                  <w:divsChild>
                    <w:div w:id="1402364132">
                      <w:marLeft w:val="0"/>
                      <w:marRight w:val="0"/>
                      <w:marTop w:val="0"/>
                      <w:marBottom w:val="0"/>
                      <w:divBdr>
                        <w:top w:val="none" w:sz="0" w:space="0" w:color="auto"/>
                        <w:left w:val="none" w:sz="0" w:space="0" w:color="auto"/>
                        <w:bottom w:val="none" w:sz="0" w:space="0" w:color="auto"/>
                        <w:right w:val="none" w:sz="0" w:space="0" w:color="auto"/>
                      </w:divBdr>
                    </w:div>
                  </w:divsChild>
                </w:div>
                <w:div w:id="869225656">
                  <w:marLeft w:val="0"/>
                  <w:marRight w:val="0"/>
                  <w:marTop w:val="0"/>
                  <w:marBottom w:val="0"/>
                  <w:divBdr>
                    <w:top w:val="none" w:sz="0" w:space="0" w:color="auto"/>
                    <w:left w:val="none" w:sz="0" w:space="0" w:color="auto"/>
                    <w:bottom w:val="none" w:sz="0" w:space="0" w:color="auto"/>
                    <w:right w:val="none" w:sz="0" w:space="0" w:color="auto"/>
                  </w:divBdr>
                  <w:divsChild>
                    <w:div w:id="723597934">
                      <w:marLeft w:val="0"/>
                      <w:marRight w:val="0"/>
                      <w:marTop w:val="0"/>
                      <w:marBottom w:val="0"/>
                      <w:divBdr>
                        <w:top w:val="none" w:sz="0" w:space="0" w:color="auto"/>
                        <w:left w:val="none" w:sz="0" w:space="0" w:color="auto"/>
                        <w:bottom w:val="none" w:sz="0" w:space="0" w:color="auto"/>
                        <w:right w:val="none" w:sz="0" w:space="0" w:color="auto"/>
                      </w:divBdr>
                    </w:div>
                  </w:divsChild>
                </w:div>
                <w:div w:id="1264724939">
                  <w:marLeft w:val="0"/>
                  <w:marRight w:val="0"/>
                  <w:marTop w:val="0"/>
                  <w:marBottom w:val="0"/>
                  <w:divBdr>
                    <w:top w:val="none" w:sz="0" w:space="0" w:color="auto"/>
                    <w:left w:val="none" w:sz="0" w:space="0" w:color="auto"/>
                    <w:bottom w:val="none" w:sz="0" w:space="0" w:color="auto"/>
                    <w:right w:val="none" w:sz="0" w:space="0" w:color="auto"/>
                  </w:divBdr>
                  <w:divsChild>
                    <w:div w:id="626086836">
                      <w:marLeft w:val="0"/>
                      <w:marRight w:val="0"/>
                      <w:marTop w:val="0"/>
                      <w:marBottom w:val="0"/>
                      <w:divBdr>
                        <w:top w:val="none" w:sz="0" w:space="0" w:color="auto"/>
                        <w:left w:val="none" w:sz="0" w:space="0" w:color="auto"/>
                        <w:bottom w:val="none" w:sz="0" w:space="0" w:color="auto"/>
                        <w:right w:val="none" w:sz="0" w:space="0" w:color="auto"/>
                      </w:divBdr>
                    </w:div>
                  </w:divsChild>
                </w:div>
                <w:div w:id="1325011970">
                  <w:marLeft w:val="0"/>
                  <w:marRight w:val="0"/>
                  <w:marTop w:val="0"/>
                  <w:marBottom w:val="0"/>
                  <w:divBdr>
                    <w:top w:val="none" w:sz="0" w:space="0" w:color="auto"/>
                    <w:left w:val="none" w:sz="0" w:space="0" w:color="auto"/>
                    <w:bottom w:val="none" w:sz="0" w:space="0" w:color="auto"/>
                    <w:right w:val="none" w:sz="0" w:space="0" w:color="auto"/>
                  </w:divBdr>
                  <w:divsChild>
                    <w:div w:id="528183012">
                      <w:marLeft w:val="0"/>
                      <w:marRight w:val="0"/>
                      <w:marTop w:val="0"/>
                      <w:marBottom w:val="0"/>
                      <w:divBdr>
                        <w:top w:val="none" w:sz="0" w:space="0" w:color="auto"/>
                        <w:left w:val="none" w:sz="0" w:space="0" w:color="auto"/>
                        <w:bottom w:val="none" w:sz="0" w:space="0" w:color="auto"/>
                        <w:right w:val="none" w:sz="0" w:space="0" w:color="auto"/>
                      </w:divBdr>
                    </w:div>
                  </w:divsChild>
                </w:div>
                <w:div w:id="1422919662">
                  <w:marLeft w:val="0"/>
                  <w:marRight w:val="0"/>
                  <w:marTop w:val="0"/>
                  <w:marBottom w:val="0"/>
                  <w:divBdr>
                    <w:top w:val="none" w:sz="0" w:space="0" w:color="auto"/>
                    <w:left w:val="none" w:sz="0" w:space="0" w:color="auto"/>
                    <w:bottom w:val="none" w:sz="0" w:space="0" w:color="auto"/>
                    <w:right w:val="none" w:sz="0" w:space="0" w:color="auto"/>
                  </w:divBdr>
                  <w:divsChild>
                    <w:div w:id="1456022679">
                      <w:marLeft w:val="0"/>
                      <w:marRight w:val="0"/>
                      <w:marTop w:val="0"/>
                      <w:marBottom w:val="0"/>
                      <w:divBdr>
                        <w:top w:val="none" w:sz="0" w:space="0" w:color="auto"/>
                        <w:left w:val="none" w:sz="0" w:space="0" w:color="auto"/>
                        <w:bottom w:val="none" w:sz="0" w:space="0" w:color="auto"/>
                        <w:right w:val="none" w:sz="0" w:space="0" w:color="auto"/>
                      </w:divBdr>
                    </w:div>
                  </w:divsChild>
                </w:div>
                <w:div w:id="1862207523">
                  <w:marLeft w:val="0"/>
                  <w:marRight w:val="0"/>
                  <w:marTop w:val="0"/>
                  <w:marBottom w:val="0"/>
                  <w:divBdr>
                    <w:top w:val="none" w:sz="0" w:space="0" w:color="auto"/>
                    <w:left w:val="none" w:sz="0" w:space="0" w:color="auto"/>
                    <w:bottom w:val="none" w:sz="0" w:space="0" w:color="auto"/>
                    <w:right w:val="none" w:sz="0" w:space="0" w:color="auto"/>
                  </w:divBdr>
                  <w:divsChild>
                    <w:div w:id="21288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60309">
          <w:marLeft w:val="0"/>
          <w:marRight w:val="0"/>
          <w:marTop w:val="0"/>
          <w:marBottom w:val="0"/>
          <w:divBdr>
            <w:top w:val="none" w:sz="0" w:space="0" w:color="auto"/>
            <w:left w:val="none" w:sz="0" w:space="0" w:color="auto"/>
            <w:bottom w:val="none" w:sz="0" w:space="0" w:color="auto"/>
            <w:right w:val="none" w:sz="0" w:space="0" w:color="auto"/>
          </w:divBdr>
          <w:divsChild>
            <w:div w:id="168983448">
              <w:marLeft w:val="-75"/>
              <w:marRight w:val="0"/>
              <w:marTop w:val="30"/>
              <w:marBottom w:val="30"/>
              <w:divBdr>
                <w:top w:val="none" w:sz="0" w:space="0" w:color="auto"/>
                <w:left w:val="none" w:sz="0" w:space="0" w:color="auto"/>
                <w:bottom w:val="none" w:sz="0" w:space="0" w:color="auto"/>
                <w:right w:val="none" w:sz="0" w:space="0" w:color="auto"/>
              </w:divBdr>
              <w:divsChild>
                <w:div w:id="44259894">
                  <w:marLeft w:val="0"/>
                  <w:marRight w:val="0"/>
                  <w:marTop w:val="0"/>
                  <w:marBottom w:val="0"/>
                  <w:divBdr>
                    <w:top w:val="none" w:sz="0" w:space="0" w:color="auto"/>
                    <w:left w:val="none" w:sz="0" w:space="0" w:color="auto"/>
                    <w:bottom w:val="none" w:sz="0" w:space="0" w:color="auto"/>
                    <w:right w:val="none" w:sz="0" w:space="0" w:color="auto"/>
                  </w:divBdr>
                  <w:divsChild>
                    <w:div w:id="425269196">
                      <w:marLeft w:val="0"/>
                      <w:marRight w:val="0"/>
                      <w:marTop w:val="0"/>
                      <w:marBottom w:val="0"/>
                      <w:divBdr>
                        <w:top w:val="none" w:sz="0" w:space="0" w:color="auto"/>
                        <w:left w:val="none" w:sz="0" w:space="0" w:color="auto"/>
                        <w:bottom w:val="none" w:sz="0" w:space="0" w:color="auto"/>
                        <w:right w:val="none" w:sz="0" w:space="0" w:color="auto"/>
                      </w:divBdr>
                    </w:div>
                  </w:divsChild>
                </w:div>
                <w:div w:id="70202513">
                  <w:marLeft w:val="0"/>
                  <w:marRight w:val="0"/>
                  <w:marTop w:val="0"/>
                  <w:marBottom w:val="0"/>
                  <w:divBdr>
                    <w:top w:val="none" w:sz="0" w:space="0" w:color="auto"/>
                    <w:left w:val="none" w:sz="0" w:space="0" w:color="auto"/>
                    <w:bottom w:val="none" w:sz="0" w:space="0" w:color="auto"/>
                    <w:right w:val="none" w:sz="0" w:space="0" w:color="auto"/>
                  </w:divBdr>
                  <w:divsChild>
                    <w:div w:id="659428630">
                      <w:marLeft w:val="0"/>
                      <w:marRight w:val="0"/>
                      <w:marTop w:val="0"/>
                      <w:marBottom w:val="0"/>
                      <w:divBdr>
                        <w:top w:val="none" w:sz="0" w:space="0" w:color="auto"/>
                        <w:left w:val="none" w:sz="0" w:space="0" w:color="auto"/>
                        <w:bottom w:val="none" w:sz="0" w:space="0" w:color="auto"/>
                        <w:right w:val="none" w:sz="0" w:space="0" w:color="auto"/>
                      </w:divBdr>
                    </w:div>
                  </w:divsChild>
                </w:div>
                <w:div w:id="115956275">
                  <w:marLeft w:val="0"/>
                  <w:marRight w:val="0"/>
                  <w:marTop w:val="0"/>
                  <w:marBottom w:val="0"/>
                  <w:divBdr>
                    <w:top w:val="none" w:sz="0" w:space="0" w:color="auto"/>
                    <w:left w:val="none" w:sz="0" w:space="0" w:color="auto"/>
                    <w:bottom w:val="none" w:sz="0" w:space="0" w:color="auto"/>
                    <w:right w:val="none" w:sz="0" w:space="0" w:color="auto"/>
                  </w:divBdr>
                  <w:divsChild>
                    <w:div w:id="2009015078">
                      <w:marLeft w:val="0"/>
                      <w:marRight w:val="0"/>
                      <w:marTop w:val="0"/>
                      <w:marBottom w:val="0"/>
                      <w:divBdr>
                        <w:top w:val="none" w:sz="0" w:space="0" w:color="auto"/>
                        <w:left w:val="none" w:sz="0" w:space="0" w:color="auto"/>
                        <w:bottom w:val="none" w:sz="0" w:space="0" w:color="auto"/>
                        <w:right w:val="none" w:sz="0" w:space="0" w:color="auto"/>
                      </w:divBdr>
                    </w:div>
                  </w:divsChild>
                </w:div>
                <w:div w:id="457525776">
                  <w:marLeft w:val="0"/>
                  <w:marRight w:val="0"/>
                  <w:marTop w:val="0"/>
                  <w:marBottom w:val="0"/>
                  <w:divBdr>
                    <w:top w:val="none" w:sz="0" w:space="0" w:color="auto"/>
                    <w:left w:val="none" w:sz="0" w:space="0" w:color="auto"/>
                    <w:bottom w:val="none" w:sz="0" w:space="0" w:color="auto"/>
                    <w:right w:val="none" w:sz="0" w:space="0" w:color="auto"/>
                  </w:divBdr>
                  <w:divsChild>
                    <w:div w:id="2019303757">
                      <w:marLeft w:val="0"/>
                      <w:marRight w:val="0"/>
                      <w:marTop w:val="0"/>
                      <w:marBottom w:val="0"/>
                      <w:divBdr>
                        <w:top w:val="none" w:sz="0" w:space="0" w:color="auto"/>
                        <w:left w:val="none" w:sz="0" w:space="0" w:color="auto"/>
                        <w:bottom w:val="none" w:sz="0" w:space="0" w:color="auto"/>
                        <w:right w:val="none" w:sz="0" w:space="0" w:color="auto"/>
                      </w:divBdr>
                    </w:div>
                  </w:divsChild>
                </w:div>
                <w:div w:id="526411224">
                  <w:marLeft w:val="0"/>
                  <w:marRight w:val="0"/>
                  <w:marTop w:val="0"/>
                  <w:marBottom w:val="0"/>
                  <w:divBdr>
                    <w:top w:val="none" w:sz="0" w:space="0" w:color="auto"/>
                    <w:left w:val="none" w:sz="0" w:space="0" w:color="auto"/>
                    <w:bottom w:val="none" w:sz="0" w:space="0" w:color="auto"/>
                    <w:right w:val="none" w:sz="0" w:space="0" w:color="auto"/>
                  </w:divBdr>
                  <w:divsChild>
                    <w:div w:id="155196795">
                      <w:marLeft w:val="0"/>
                      <w:marRight w:val="0"/>
                      <w:marTop w:val="0"/>
                      <w:marBottom w:val="0"/>
                      <w:divBdr>
                        <w:top w:val="none" w:sz="0" w:space="0" w:color="auto"/>
                        <w:left w:val="none" w:sz="0" w:space="0" w:color="auto"/>
                        <w:bottom w:val="none" w:sz="0" w:space="0" w:color="auto"/>
                        <w:right w:val="none" w:sz="0" w:space="0" w:color="auto"/>
                      </w:divBdr>
                    </w:div>
                    <w:div w:id="353969770">
                      <w:marLeft w:val="0"/>
                      <w:marRight w:val="0"/>
                      <w:marTop w:val="0"/>
                      <w:marBottom w:val="0"/>
                      <w:divBdr>
                        <w:top w:val="none" w:sz="0" w:space="0" w:color="auto"/>
                        <w:left w:val="none" w:sz="0" w:space="0" w:color="auto"/>
                        <w:bottom w:val="none" w:sz="0" w:space="0" w:color="auto"/>
                        <w:right w:val="none" w:sz="0" w:space="0" w:color="auto"/>
                      </w:divBdr>
                    </w:div>
                    <w:div w:id="378631377">
                      <w:marLeft w:val="0"/>
                      <w:marRight w:val="0"/>
                      <w:marTop w:val="0"/>
                      <w:marBottom w:val="0"/>
                      <w:divBdr>
                        <w:top w:val="none" w:sz="0" w:space="0" w:color="auto"/>
                        <w:left w:val="none" w:sz="0" w:space="0" w:color="auto"/>
                        <w:bottom w:val="none" w:sz="0" w:space="0" w:color="auto"/>
                        <w:right w:val="none" w:sz="0" w:space="0" w:color="auto"/>
                      </w:divBdr>
                    </w:div>
                    <w:div w:id="986738476">
                      <w:marLeft w:val="0"/>
                      <w:marRight w:val="0"/>
                      <w:marTop w:val="0"/>
                      <w:marBottom w:val="0"/>
                      <w:divBdr>
                        <w:top w:val="none" w:sz="0" w:space="0" w:color="auto"/>
                        <w:left w:val="none" w:sz="0" w:space="0" w:color="auto"/>
                        <w:bottom w:val="none" w:sz="0" w:space="0" w:color="auto"/>
                        <w:right w:val="none" w:sz="0" w:space="0" w:color="auto"/>
                      </w:divBdr>
                    </w:div>
                    <w:div w:id="1380058043">
                      <w:marLeft w:val="0"/>
                      <w:marRight w:val="0"/>
                      <w:marTop w:val="0"/>
                      <w:marBottom w:val="0"/>
                      <w:divBdr>
                        <w:top w:val="none" w:sz="0" w:space="0" w:color="auto"/>
                        <w:left w:val="none" w:sz="0" w:space="0" w:color="auto"/>
                        <w:bottom w:val="none" w:sz="0" w:space="0" w:color="auto"/>
                        <w:right w:val="none" w:sz="0" w:space="0" w:color="auto"/>
                      </w:divBdr>
                    </w:div>
                  </w:divsChild>
                </w:div>
                <w:div w:id="671376509">
                  <w:marLeft w:val="0"/>
                  <w:marRight w:val="0"/>
                  <w:marTop w:val="0"/>
                  <w:marBottom w:val="0"/>
                  <w:divBdr>
                    <w:top w:val="none" w:sz="0" w:space="0" w:color="auto"/>
                    <w:left w:val="none" w:sz="0" w:space="0" w:color="auto"/>
                    <w:bottom w:val="none" w:sz="0" w:space="0" w:color="auto"/>
                    <w:right w:val="none" w:sz="0" w:space="0" w:color="auto"/>
                  </w:divBdr>
                  <w:divsChild>
                    <w:div w:id="1659842564">
                      <w:marLeft w:val="0"/>
                      <w:marRight w:val="0"/>
                      <w:marTop w:val="0"/>
                      <w:marBottom w:val="0"/>
                      <w:divBdr>
                        <w:top w:val="none" w:sz="0" w:space="0" w:color="auto"/>
                        <w:left w:val="none" w:sz="0" w:space="0" w:color="auto"/>
                        <w:bottom w:val="none" w:sz="0" w:space="0" w:color="auto"/>
                        <w:right w:val="none" w:sz="0" w:space="0" w:color="auto"/>
                      </w:divBdr>
                    </w:div>
                  </w:divsChild>
                </w:div>
                <w:div w:id="803082422">
                  <w:marLeft w:val="0"/>
                  <w:marRight w:val="0"/>
                  <w:marTop w:val="0"/>
                  <w:marBottom w:val="0"/>
                  <w:divBdr>
                    <w:top w:val="none" w:sz="0" w:space="0" w:color="auto"/>
                    <w:left w:val="none" w:sz="0" w:space="0" w:color="auto"/>
                    <w:bottom w:val="none" w:sz="0" w:space="0" w:color="auto"/>
                    <w:right w:val="none" w:sz="0" w:space="0" w:color="auto"/>
                  </w:divBdr>
                  <w:divsChild>
                    <w:div w:id="1457333679">
                      <w:marLeft w:val="0"/>
                      <w:marRight w:val="0"/>
                      <w:marTop w:val="0"/>
                      <w:marBottom w:val="0"/>
                      <w:divBdr>
                        <w:top w:val="none" w:sz="0" w:space="0" w:color="auto"/>
                        <w:left w:val="none" w:sz="0" w:space="0" w:color="auto"/>
                        <w:bottom w:val="none" w:sz="0" w:space="0" w:color="auto"/>
                        <w:right w:val="none" w:sz="0" w:space="0" w:color="auto"/>
                      </w:divBdr>
                    </w:div>
                  </w:divsChild>
                </w:div>
                <w:div w:id="807941360">
                  <w:marLeft w:val="0"/>
                  <w:marRight w:val="0"/>
                  <w:marTop w:val="0"/>
                  <w:marBottom w:val="0"/>
                  <w:divBdr>
                    <w:top w:val="none" w:sz="0" w:space="0" w:color="auto"/>
                    <w:left w:val="none" w:sz="0" w:space="0" w:color="auto"/>
                    <w:bottom w:val="none" w:sz="0" w:space="0" w:color="auto"/>
                    <w:right w:val="none" w:sz="0" w:space="0" w:color="auto"/>
                  </w:divBdr>
                  <w:divsChild>
                    <w:div w:id="2003392706">
                      <w:marLeft w:val="0"/>
                      <w:marRight w:val="0"/>
                      <w:marTop w:val="0"/>
                      <w:marBottom w:val="0"/>
                      <w:divBdr>
                        <w:top w:val="none" w:sz="0" w:space="0" w:color="auto"/>
                        <w:left w:val="none" w:sz="0" w:space="0" w:color="auto"/>
                        <w:bottom w:val="none" w:sz="0" w:space="0" w:color="auto"/>
                        <w:right w:val="none" w:sz="0" w:space="0" w:color="auto"/>
                      </w:divBdr>
                    </w:div>
                  </w:divsChild>
                </w:div>
                <w:div w:id="947587446">
                  <w:marLeft w:val="0"/>
                  <w:marRight w:val="0"/>
                  <w:marTop w:val="0"/>
                  <w:marBottom w:val="0"/>
                  <w:divBdr>
                    <w:top w:val="none" w:sz="0" w:space="0" w:color="auto"/>
                    <w:left w:val="none" w:sz="0" w:space="0" w:color="auto"/>
                    <w:bottom w:val="none" w:sz="0" w:space="0" w:color="auto"/>
                    <w:right w:val="none" w:sz="0" w:space="0" w:color="auto"/>
                  </w:divBdr>
                  <w:divsChild>
                    <w:div w:id="493647948">
                      <w:marLeft w:val="0"/>
                      <w:marRight w:val="0"/>
                      <w:marTop w:val="0"/>
                      <w:marBottom w:val="0"/>
                      <w:divBdr>
                        <w:top w:val="none" w:sz="0" w:space="0" w:color="auto"/>
                        <w:left w:val="none" w:sz="0" w:space="0" w:color="auto"/>
                        <w:bottom w:val="none" w:sz="0" w:space="0" w:color="auto"/>
                        <w:right w:val="none" w:sz="0" w:space="0" w:color="auto"/>
                      </w:divBdr>
                    </w:div>
                  </w:divsChild>
                </w:div>
                <w:div w:id="965813766">
                  <w:marLeft w:val="0"/>
                  <w:marRight w:val="0"/>
                  <w:marTop w:val="0"/>
                  <w:marBottom w:val="0"/>
                  <w:divBdr>
                    <w:top w:val="none" w:sz="0" w:space="0" w:color="auto"/>
                    <w:left w:val="none" w:sz="0" w:space="0" w:color="auto"/>
                    <w:bottom w:val="none" w:sz="0" w:space="0" w:color="auto"/>
                    <w:right w:val="none" w:sz="0" w:space="0" w:color="auto"/>
                  </w:divBdr>
                  <w:divsChild>
                    <w:div w:id="536090318">
                      <w:marLeft w:val="0"/>
                      <w:marRight w:val="0"/>
                      <w:marTop w:val="0"/>
                      <w:marBottom w:val="0"/>
                      <w:divBdr>
                        <w:top w:val="none" w:sz="0" w:space="0" w:color="auto"/>
                        <w:left w:val="none" w:sz="0" w:space="0" w:color="auto"/>
                        <w:bottom w:val="none" w:sz="0" w:space="0" w:color="auto"/>
                        <w:right w:val="none" w:sz="0" w:space="0" w:color="auto"/>
                      </w:divBdr>
                    </w:div>
                    <w:div w:id="1966964226">
                      <w:marLeft w:val="0"/>
                      <w:marRight w:val="0"/>
                      <w:marTop w:val="0"/>
                      <w:marBottom w:val="0"/>
                      <w:divBdr>
                        <w:top w:val="none" w:sz="0" w:space="0" w:color="auto"/>
                        <w:left w:val="none" w:sz="0" w:space="0" w:color="auto"/>
                        <w:bottom w:val="none" w:sz="0" w:space="0" w:color="auto"/>
                        <w:right w:val="none" w:sz="0" w:space="0" w:color="auto"/>
                      </w:divBdr>
                    </w:div>
                  </w:divsChild>
                </w:div>
                <w:div w:id="1046182301">
                  <w:marLeft w:val="0"/>
                  <w:marRight w:val="0"/>
                  <w:marTop w:val="0"/>
                  <w:marBottom w:val="0"/>
                  <w:divBdr>
                    <w:top w:val="none" w:sz="0" w:space="0" w:color="auto"/>
                    <w:left w:val="none" w:sz="0" w:space="0" w:color="auto"/>
                    <w:bottom w:val="none" w:sz="0" w:space="0" w:color="auto"/>
                    <w:right w:val="none" w:sz="0" w:space="0" w:color="auto"/>
                  </w:divBdr>
                  <w:divsChild>
                    <w:div w:id="504974356">
                      <w:marLeft w:val="0"/>
                      <w:marRight w:val="0"/>
                      <w:marTop w:val="0"/>
                      <w:marBottom w:val="0"/>
                      <w:divBdr>
                        <w:top w:val="none" w:sz="0" w:space="0" w:color="auto"/>
                        <w:left w:val="none" w:sz="0" w:space="0" w:color="auto"/>
                        <w:bottom w:val="none" w:sz="0" w:space="0" w:color="auto"/>
                        <w:right w:val="none" w:sz="0" w:space="0" w:color="auto"/>
                      </w:divBdr>
                    </w:div>
                    <w:div w:id="599531720">
                      <w:marLeft w:val="0"/>
                      <w:marRight w:val="0"/>
                      <w:marTop w:val="0"/>
                      <w:marBottom w:val="0"/>
                      <w:divBdr>
                        <w:top w:val="none" w:sz="0" w:space="0" w:color="auto"/>
                        <w:left w:val="none" w:sz="0" w:space="0" w:color="auto"/>
                        <w:bottom w:val="none" w:sz="0" w:space="0" w:color="auto"/>
                        <w:right w:val="none" w:sz="0" w:space="0" w:color="auto"/>
                      </w:divBdr>
                    </w:div>
                    <w:div w:id="1434521799">
                      <w:marLeft w:val="0"/>
                      <w:marRight w:val="0"/>
                      <w:marTop w:val="0"/>
                      <w:marBottom w:val="0"/>
                      <w:divBdr>
                        <w:top w:val="none" w:sz="0" w:space="0" w:color="auto"/>
                        <w:left w:val="none" w:sz="0" w:space="0" w:color="auto"/>
                        <w:bottom w:val="none" w:sz="0" w:space="0" w:color="auto"/>
                        <w:right w:val="none" w:sz="0" w:space="0" w:color="auto"/>
                      </w:divBdr>
                    </w:div>
                    <w:div w:id="1646471565">
                      <w:marLeft w:val="0"/>
                      <w:marRight w:val="0"/>
                      <w:marTop w:val="0"/>
                      <w:marBottom w:val="0"/>
                      <w:divBdr>
                        <w:top w:val="none" w:sz="0" w:space="0" w:color="auto"/>
                        <w:left w:val="none" w:sz="0" w:space="0" w:color="auto"/>
                        <w:bottom w:val="none" w:sz="0" w:space="0" w:color="auto"/>
                        <w:right w:val="none" w:sz="0" w:space="0" w:color="auto"/>
                      </w:divBdr>
                    </w:div>
                    <w:div w:id="1821654196">
                      <w:marLeft w:val="0"/>
                      <w:marRight w:val="0"/>
                      <w:marTop w:val="0"/>
                      <w:marBottom w:val="0"/>
                      <w:divBdr>
                        <w:top w:val="none" w:sz="0" w:space="0" w:color="auto"/>
                        <w:left w:val="none" w:sz="0" w:space="0" w:color="auto"/>
                        <w:bottom w:val="none" w:sz="0" w:space="0" w:color="auto"/>
                        <w:right w:val="none" w:sz="0" w:space="0" w:color="auto"/>
                      </w:divBdr>
                    </w:div>
                    <w:div w:id="2060283101">
                      <w:marLeft w:val="0"/>
                      <w:marRight w:val="0"/>
                      <w:marTop w:val="0"/>
                      <w:marBottom w:val="0"/>
                      <w:divBdr>
                        <w:top w:val="none" w:sz="0" w:space="0" w:color="auto"/>
                        <w:left w:val="none" w:sz="0" w:space="0" w:color="auto"/>
                        <w:bottom w:val="none" w:sz="0" w:space="0" w:color="auto"/>
                        <w:right w:val="none" w:sz="0" w:space="0" w:color="auto"/>
                      </w:divBdr>
                    </w:div>
                  </w:divsChild>
                </w:div>
                <w:div w:id="1413042699">
                  <w:marLeft w:val="0"/>
                  <w:marRight w:val="0"/>
                  <w:marTop w:val="0"/>
                  <w:marBottom w:val="0"/>
                  <w:divBdr>
                    <w:top w:val="none" w:sz="0" w:space="0" w:color="auto"/>
                    <w:left w:val="none" w:sz="0" w:space="0" w:color="auto"/>
                    <w:bottom w:val="none" w:sz="0" w:space="0" w:color="auto"/>
                    <w:right w:val="none" w:sz="0" w:space="0" w:color="auto"/>
                  </w:divBdr>
                  <w:divsChild>
                    <w:div w:id="615138654">
                      <w:marLeft w:val="0"/>
                      <w:marRight w:val="0"/>
                      <w:marTop w:val="0"/>
                      <w:marBottom w:val="0"/>
                      <w:divBdr>
                        <w:top w:val="none" w:sz="0" w:space="0" w:color="auto"/>
                        <w:left w:val="none" w:sz="0" w:space="0" w:color="auto"/>
                        <w:bottom w:val="none" w:sz="0" w:space="0" w:color="auto"/>
                        <w:right w:val="none" w:sz="0" w:space="0" w:color="auto"/>
                      </w:divBdr>
                    </w:div>
                  </w:divsChild>
                </w:div>
                <w:div w:id="1616015297">
                  <w:marLeft w:val="0"/>
                  <w:marRight w:val="0"/>
                  <w:marTop w:val="0"/>
                  <w:marBottom w:val="0"/>
                  <w:divBdr>
                    <w:top w:val="none" w:sz="0" w:space="0" w:color="auto"/>
                    <w:left w:val="none" w:sz="0" w:space="0" w:color="auto"/>
                    <w:bottom w:val="none" w:sz="0" w:space="0" w:color="auto"/>
                    <w:right w:val="none" w:sz="0" w:space="0" w:color="auto"/>
                  </w:divBdr>
                  <w:divsChild>
                    <w:div w:id="94718487">
                      <w:marLeft w:val="0"/>
                      <w:marRight w:val="0"/>
                      <w:marTop w:val="0"/>
                      <w:marBottom w:val="0"/>
                      <w:divBdr>
                        <w:top w:val="none" w:sz="0" w:space="0" w:color="auto"/>
                        <w:left w:val="none" w:sz="0" w:space="0" w:color="auto"/>
                        <w:bottom w:val="none" w:sz="0" w:space="0" w:color="auto"/>
                        <w:right w:val="none" w:sz="0" w:space="0" w:color="auto"/>
                      </w:divBdr>
                    </w:div>
                  </w:divsChild>
                </w:div>
                <w:div w:id="1686705437">
                  <w:marLeft w:val="0"/>
                  <w:marRight w:val="0"/>
                  <w:marTop w:val="0"/>
                  <w:marBottom w:val="0"/>
                  <w:divBdr>
                    <w:top w:val="none" w:sz="0" w:space="0" w:color="auto"/>
                    <w:left w:val="none" w:sz="0" w:space="0" w:color="auto"/>
                    <w:bottom w:val="none" w:sz="0" w:space="0" w:color="auto"/>
                    <w:right w:val="none" w:sz="0" w:space="0" w:color="auto"/>
                  </w:divBdr>
                  <w:divsChild>
                    <w:div w:id="2097243579">
                      <w:marLeft w:val="0"/>
                      <w:marRight w:val="0"/>
                      <w:marTop w:val="0"/>
                      <w:marBottom w:val="0"/>
                      <w:divBdr>
                        <w:top w:val="none" w:sz="0" w:space="0" w:color="auto"/>
                        <w:left w:val="none" w:sz="0" w:space="0" w:color="auto"/>
                        <w:bottom w:val="none" w:sz="0" w:space="0" w:color="auto"/>
                        <w:right w:val="none" w:sz="0" w:space="0" w:color="auto"/>
                      </w:divBdr>
                    </w:div>
                  </w:divsChild>
                </w:div>
                <w:div w:id="2052923933">
                  <w:marLeft w:val="0"/>
                  <w:marRight w:val="0"/>
                  <w:marTop w:val="0"/>
                  <w:marBottom w:val="0"/>
                  <w:divBdr>
                    <w:top w:val="none" w:sz="0" w:space="0" w:color="auto"/>
                    <w:left w:val="none" w:sz="0" w:space="0" w:color="auto"/>
                    <w:bottom w:val="none" w:sz="0" w:space="0" w:color="auto"/>
                    <w:right w:val="none" w:sz="0" w:space="0" w:color="auto"/>
                  </w:divBdr>
                  <w:divsChild>
                    <w:div w:id="8988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15257">
          <w:marLeft w:val="0"/>
          <w:marRight w:val="0"/>
          <w:marTop w:val="0"/>
          <w:marBottom w:val="0"/>
          <w:divBdr>
            <w:top w:val="none" w:sz="0" w:space="0" w:color="auto"/>
            <w:left w:val="none" w:sz="0" w:space="0" w:color="auto"/>
            <w:bottom w:val="none" w:sz="0" w:space="0" w:color="auto"/>
            <w:right w:val="none" w:sz="0" w:space="0" w:color="auto"/>
          </w:divBdr>
        </w:div>
        <w:div w:id="612253094">
          <w:marLeft w:val="0"/>
          <w:marRight w:val="0"/>
          <w:marTop w:val="0"/>
          <w:marBottom w:val="0"/>
          <w:divBdr>
            <w:top w:val="none" w:sz="0" w:space="0" w:color="auto"/>
            <w:left w:val="none" w:sz="0" w:space="0" w:color="auto"/>
            <w:bottom w:val="none" w:sz="0" w:space="0" w:color="auto"/>
            <w:right w:val="none" w:sz="0" w:space="0" w:color="auto"/>
          </w:divBdr>
        </w:div>
        <w:div w:id="638724330">
          <w:marLeft w:val="0"/>
          <w:marRight w:val="0"/>
          <w:marTop w:val="0"/>
          <w:marBottom w:val="0"/>
          <w:divBdr>
            <w:top w:val="none" w:sz="0" w:space="0" w:color="auto"/>
            <w:left w:val="none" w:sz="0" w:space="0" w:color="auto"/>
            <w:bottom w:val="none" w:sz="0" w:space="0" w:color="auto"/>
            <w:right w:val="none" w:sz="0" w:space="0" w:color="auto"/>
          </w:divBdr>
        </w:div>
        <w:div w:id="780497793">
          <w:marLeft w:val="0"/>
          <w:marRight w:val="0"/>
          <w:marTop w:val="0"/>
          <w:marBottom w:val="0"/>
          <w:divBdr>
            <w:top w:val="none" w:sz="0" w:space="0" w:color="auto"/>
            <w:left w:val="none" w:sz="0" w:space="0" w:color="auto"/>
            <w:bottom w:val="none" w:sz="0" w:space="0" w:color="auto"/>
            <w:right w:val="none" w:sz="0" w:space="0" w:color="auto"/>
          </w:divBdr>
        </w:div>
        <w:div w:id="978999334">
          <w:marLeft w:val="0"/>
          <w:marRight w:val="0"/>
          <w:marTop w:val="0"/>
          <w:marBottom w:val="0"/>
          <w:divBdr>
            <w:top w:val="none" w:sz="0" w:space="0" w:color="auto"/>
            <w:left w:val="none" w:sz="0" w:space="0" w:color="auto"/>
            <w:bottom w:val="none" w:sz="0" w:space="0" w:color="auto"/>
            <w:right w:val="none" w:sz="0" w:space="0" w:color="auto"/>
          </w:divBdr>
        </w:div>
        <w:div w:id="1064639314">
          <w:marLeft w:val="0"/>
          <w:marRight w:val="0"/>
          <w:marTop w:val="0"/>
          <w:marBottom w:val="0"/>
          <w:divBdr>
            <w:top w:val="none" w:sz="0" w:space="0" w:color="auto"/>
            <w:left w:val="none" w:sz="0" w:space="0" w:color="auto"/>
            <w:bottom w:val="none" w:sz="0" w:space="0" w:color="auto"/>
            <w:right w:val="none" w:sz="0" w:space="0" w:color="auto"/>
          </w:divBdr>
          <w:divsChild>
            <w:div w:id="1949853134">
              <w:marLeft w:val="-75"/>
              <w:marRight w:val="0"/>
              <w:marTop w:val="30"/>
              <w:marBottom w:val="30"/>
              <w:divBdr>
                <w:top w:val="none" w:sz="0" w:space="0" w:color="auto"/>
                <w:left w:val="none" w:sz="0" w:space="0" w:color="auto"/>
                <w:bottom w:val="none" w:sz="0" w:space="0" w:color="auto"/>
                <w:right w:val="none" w:sz="0" w:space="0" w:color="auto"/>
              </w:divBdr>
              <w:divsChild>
                <w:div w:id="257294675">
                  <w:marLeft w:val="0"/>
                  <w:marRight w:val="0"/>
                  <w:marTop w:val="0"/>
                  <w:marBottom w:val="0"/>
                  <w:divBdr>
                    <w:top w:val="none" w:sz="0" w:space="0" w:color="auto"/>
                    <w:left w:val="none" w:sz="0" w:space="0" w:color="auto"/>
                    <w:bottom w:val="none" w:sz="0" w:space="0" w:color="auto"/>
                    <w:right w:val="none" w:sz="0" w:space="0" w:color="auto"/>
                  </w:divBdr>
                  <w:divsChild>
                    <w:div w:id="1284192624">
                      <w:marLeft w:val="0"/>
                      <w:marRight w:val="0"/>
                      <w:marTop w:val="0"/>
                      <w:marBottom w:val="0"/>
                      <w:divBdr>
                        <w:top w:val="none" w:sz="0" w:space="0" w:color="auto"/>
                        <w:left w:val="none" w:sz="0" w:space="0" w:color="auto"/>
                        <w:bottom w:val="none" w:sz="0" w:space="0" w:color="auto"/>
                        <w:right w:val="none" w:sz="0" w:space="0" w:color="auto"/>
                      </w:divBdr>
                    </w:div>
                  </w:divsChild>
                </w:div>
                <w:div w:id="452987269">
                  <w:marLeft w:val="0"/>
                  <w:marRight w:val="0"/>
                  <w:marTop w:val="0"/>
                  <w:marBottom w:val="0"/>
                  <w:divBdr>
                    <w:top w:val="none" w:sz="0" w:space="0" w:color="auto"/>
                    <w:left w:val="none" w:sz="0" w:space="0" w:color="auto"/>
                    <w:bottom w:val="none" w:sz="0" w:space="0" w:color="auto"/>
                    <w:right w:val="none" w:sz="0" w:space="0" w:color="auto"/>
                  </w:divBdr>
                  <w:divsChild>
                    <w:div w:id="813454449">
                      <w:marLeft w:val="0"/>
                      <w:marRight w:val="0"/>
                      <w:marTop w:val="0"/>
                      <w:marBottom w:val="0"/>
                      <w:divBdr>
                        <w:top w:val="none" w:sz="0" w:space="0" w:color="auto"/>
                        <w:left w:val="none" w:sz="0" w:space="0" w:color="auto"/>
                        <w:bottom w:val="none" w:sz="0" w:space="0" w:color="auto"/>
                        <w:right w:val="none" w:sz="0" w:space="0" w:color="auto"/>
                      </w:divBdr>
                    </w:div>
                  </w:divsChild>
                </w:div>
                <w:div w:id="587274147">
                  <w:marLeft w:val="0"/>
                  <w:marRight w:val="0"/>
                  <w:marTop w:val="0"/>
                  <w:marBottom w:val="0"/>
                  <w:divBdr>
                    <w:top w:val="none" w:sz="0" w:space="0" w:color="auto"/>
                    <w:left w:val="none" w:sz="0" w:space="0" w:color="auto"/>
                    <w:bottom w:val="none" w:sz="0" w:space="0" w:color="auto"/>
                    <w:right w:val="none" w:sz="0" w:space="0" w:color="auto"/>
                  </w:divBdr>
                  <w:divsChild>
                    <w:div w:id="2060008266">
                      <w:marLeft w:val="0"/>
                      <w:marRight w:val="0"/>
                      <w:marTop w:val="0"/>
                      <w:marBottom w:val="0"/>
                      <w:divBdr>
                        <w:top w:val="none" w:sz="0" w:space="0" w:color="auto"/>
                        <w:left w:val="none" w:sz="0" w:space="0" w:color="auto"/>
                        <w:bottom w:val="none" w:sz="0" w:space="0" w:color="auto"/>
                        <w:right w:val="none" w:sz="0" w:space="0" w:color="auto"/>
                      </w:divBdr>
                    </w:div>
                  </w:divsChild>
                </w:div>
                <w:div w:id="598219808">
                  <w:marLeft w:val="0"/>
                  <w:marRight w:val="0"/>
                  <w:marTop w:val="0"/>
                  <w:marBottom w:val="0"/>
                  <w:divBdr>
                    <w:top w:val="none" w:sz="0" w:space="0" w:color="auto"/>
                    <w:left w:val="none" w:sz="0" w:space="0" w:color="auto"/>
                    <w:bottom w:val="none" w:sz="0" w:space="0" w:color="auto"/>
                    <w:right w:val="none" w:sz="0" w:space="0" w:color="auto"/>
                  </w:divBdr>
                  <w:divsChild>
                    <w:div w:id="1571386540">
                      <w:marLeft w:val="0"/>
                      <w:marRight w:val="0"/>
                      <w:marTop w:val="0"/>
                      <w:marBottom w:val="0"/>
                      <w:divBdr>
                        <w:top w:val="none" w:sz="0" w:space="0" w:color="auto"/>
                        <w:left w:val="none" w:sz="0" w:space="0" w:color="auto"/>
                        <w:bottom w:val="none" w:sz="0" w:space="0" w:color="auto"/>
                        <w:right w:val="none" w:sz="0" w:space="0" w:color="auto"/>
                      </w:divBdr>
                    </w:div>
                  </w:divsChild>
                </w:div>
                <w:div w:id="636842335">
                  <w:marLeft w:val="0"/>
                  <w:marRight w:val="0"/>
                  <w:marTop w:val="0"/>
                  <w:marBottom w:val="0"/>
                  <w:divBdr>
                    <w:top w:val="none" w:sz="0" w:space="0" w:color="auto"/>
                    <w:left w:val="none" w:sz="0" w:space="0" w:color="auto"/>
                    <w:bottom w:val="none" w:sz="0" w:space="0" w:color="auto"/>
                    <w:right w:val="none" w:sz="0" w:space="0" w:color="auto"/>
                  </w:divBdr>
                  <w:divsChild>
                    <w:div w:id="1973515964">
                      <w:marLeft w:val="0"/>
                      <w:marRight w:val="0"/>
                      <w:marTop w:val="0"/>
                      <w:marBottom w:val="0"/>
                      <w:divBdr>
                        <w:top w:val="none" w:sz="0" w:space="0" w:color="auto"/>
                        <w:left w:val="none" w:sz="0" w:space="0" w:color="auto"/>
                        <w:bottom w:val="none" w:sz="0" w:space="0" w:color="auto"/>
                        <w:right w:val="none" w:sz="0" w:space="0" w:color="auto"/>
                      </w:divBdr>
                    </w:div>
                  </w:divsChild>
                </w:div>
                <w:div w:id="775560694">
                  <w:marLeft w:val="0"/>
                  <w:marRight w:val="0"/>
                  <w:marTop w:val="0"/>
                  <w:marBottom w:val="0"/>
                  <w:divBdr>
                    <w:top w:val="none" w:sz="0" w:space="0" w:color="auto"/>
                    <w:left w:val="none" w:sz="0" w:space="0" w:color="auto"/>
                    <w:bottom w:val="none" w:sz="0" w:space="0" w:color="auto"/>
                    <w:right w:val="none" w:sz="0" w:space="0" w:color="auto"/>
                  </w:divBdr>
                  <w:divsChild>
                    <w:div w:id="1953171634">
                      <w:marLeft w:val="0"/>
                      <w:marRight w:val="0"/>
                      <w:marTop w:val="0"/>
                      <w:marBottom w:val="0"/>
                      <w:divBdr>
                        <w:top w:val="none" w:sz="0" w:space="0" w:color="auto"/>
                        <w:left w:val="none" w:sz="0" w:space="0" w:color="auto"/>
                        <w:bottom w:val="none" w:sz="0" w:space="0" w:color="auto"/>
                        <w:right w:val="none" w:sz="0" w:space="0" w:color="auto"/>
                      </w:divBdr>
                    </w:div>
                  </w:divsChild>
                </w:div>
                <w:div w:id="888955224">
                  <w:marLeft w:val="0"/>
                  <w:marRight w:val="0"/>
                  <w:marTop w:val="0"/>
                  <w:marBottom w:val="0"/>
                  <w:divBdr>
                    <w:top w:val="none" w:sz="0" w:space="0" w:color="auto"/>
                    <w:left w:val="none" w:sz="0" w:space="0" w:color="auto"/>
                    <w:bottom w:val="none" w:sz="0" w:space="0" w:color="auto"/>
                    <w:right w:val="none" w:sz="0" w:space="0" w:color="auto"/>
                  </w:divBdr>
                  <w:divsChild>
                    <w:div w:id="1863473830">
                      <w:marLeft w:val="0"/>
                      <w:marRight w:val="0"/>
                      <w:marTop w:val="0"/>
                      <w:marBottom w:val="0"/>
                      <w:divBdr>
                        <w:top w:val="none" w:sz="0" w:space="0" w:color="auto"/>
                        <w:left w:val="none" w:sz="0" w:space="0" w:color="auto"/>
                        <w:bottom w:val="none" w:sz="0" w:space="0" w:color="auto"/>
                        <w:right w:val="none" w:sz="0" w:space="0" w:color="auto"/>
                      </w:divBdr>
                    </w:div>
                  </w:divsChild>
                </w:div>
                <w:div w:id="1082413315">
                  <w:marLeft w:val="0"/>
                  <w:marRight w:val="0"/>
                  <w:marTop w:val="0"/>
                  <w:marBottom w:val="0"/>
                  <w:divBdr>
                    <w:top w:val="none" w:sz="0" w:space="0" w:color="auto"/>
                    <w:left w:val="none" w:sz="0" w:space="0" w:color="auto"/>
                    <w:bottom w:val="none" w:sz="0" w:space="0" w:color="auto"/>
                    <w:right w:val="none" w:sz="0" w:space="0" w:color="auto"/>
                  </w:divBdr>
                  <w:divsChild>
                    <w:div w:id="806707185">
                      <w:marLeft w:val="0"/>
                      <w:marRight w:val="0"/>
                      <w:marTop w:val="0"/>
                      <w:marBottom w:val="0"/>
                      <w:divBdr>
                        <w:top w:val="none" w:sz="0" w:space="0" w:color="auto"/>
                        <w:left w:val="none" w:sz="0" w:space="0" w:color="auto"/>
                        <w:bottom w:val="none" w:sz="0" w:space="0" w:color="auto"/>
                        <w:right w:val="none" w:sz="0" w:space="0" w:color="auto"/>
                      </w:divBdr>
                    </w:div>
                  </w:divsChild>
                </w:div>
                <w:div w:id="1374574157">
                  <w:marLeft w:val="0"/>
                  <w:marRight w:val="0"/>
                  <w:marTop w:val="0"/>
                  <w:marBottom w:val="0"/>
                  <w:divBdr>
                    <w:top w:val="none" w:sz="0" w:space="0" w:color="auto"/>
                    <w:left w:val="none" w:sz="0" w:space="0" w:color="auto"/>
                    <w:bottom w:val="none" w:sz="0" w:space="0" w:color="auto"/>
                    <w:right w:val="none" w:sz="0" w:space="0" w:color="auto"/>
                  </w:divBdr>
                  <w:divsChild>
                    <w:div w:id="1298953903">
                      <w:marLeft w:val="0"/>
                      <w:marRight w:val="0"/>
                      <w:marTop w:val="0"/>
                      <w:marBottom w:val="0"/>
                      <w:divBdr>
                        <w:top w:val="none" w:sz="0" w:space="0" w:color="auto"/>
                        <w:left w:val="none" w:sz="0" w:space="0" w:color="auto"/>
                        <w:bottom w:val="none" w:sz="0" w:space="0" w:color="auto"/>
                        <w:right w:val="none" w:sz="0" w:space="0" w:color="auto"/>
                      </w:divBdr>
                    </w:div>
                  </w:divsChild>
                </w:div>
                <w:div w:id="1672875022">
                  <w:marLeft w:val="0"/>
                  <w:marRight w:val="0"/>
                  <w:marTop w:val="0"/>
                  <w:marBottom w:val="0"/>
                  <w:divBdr>
                    <w:top w:val="none" w:sz="0" w:space="0" w:color="auto"/>
                    <w:left w:val="none" w:sz="0" w:space="0" w:color="auto"/>
                    <w:bottom w:val="none" w:sz="0" w:space="0" w:color="auto"/>
                    <w:right w:val="none" w:sz="0" w:space="0" w:color="auto"/>
                  </w:divBdr>
                  <w:divsChild>
                    <w:div w:id="164633004">
                      <w:marLeft w:val="0"/>
                      <w:marRight w:val="0"/>
                      <w:marTop w:val="0"/>
                      <w:marBottom w:val="0"/>
                      <w:divBdr>
                        <w:top w:val="none" w:sz="0" w:space="0" w:color="auto"/>
                        <w:left w:val="none" w:sz="0" w:space="0" w:color="auto"/>
                        <w:bottom w:val="none" w:sz="0" w:space="0" w:color="auto"/>
                        <w:right w:val="none" w:sz="0" w:space="0" w:color="auto"/>
                      </w:divBdr>
                    </w:div>
                  </w:divsChild>
                </w:div>
                <w:div w:id="1758674486">
                  <w:marLeft w:val="0"/>
                  <w:marRight w:val="0"/>
                  <w:marTop w:val="0"/>
                  <w:marBottom w:val="0"/>
                  <w:divBdr>
                    <w:top w:val="none" w:sz="0" w:space="0" w:color="auto"/>
                    <w:left w:val="none" w:sz="0" w:space="0" w:color="auto"/>
                    <w:bottom w:val="none" w:sz="0" w:space="0" w:color="auto"/>
                    <w:right w:val="none" w:sz="0" w:space="0" w:color="auto"/>
                  </w:divBdr>
                  <w:divsChild>
                    <w:div w:id="929317769">
                      <w:marLeft w:val="0"/>
                      <w:marRight w:val="0"/>
                      <w:marTop w:val="0"/>
                      <w:marBottom w:val="0"/>
                      <w:divBdr>
                        <w:top w:val="none" w:sz="0" w:space="0" w:color="auto"/>
                        <w:left w:val="none" w:sz="0" w:space="0" w:color="auto"/>
                        <w:bottom w:val="none" w:sz="0" w:space="0" w:color="auto"/>
                        <w:right w:val="none" w:sz="0" w:space="0" w:color="auto"/>
                      </w:divBdr>
                    </w:div>
                  </w:divsChild>
                </w:div>
                <w:div w:id="1808737911">
                  <w:marLeft w:val="0"/>
                  <w:marRight w:val="0"/>
                  <w:marTop w:val="0"/>
                  <w:marBottom w:val="0"/>
                  <w:divBdr>
                    <w:top w:val="none" w:sz="0" w:space="0" w:color="auto"/>
                    <w:left w:val="none" w:sz="0" w:space="0" w:color="auto"/>
                    <w:bottom w:val="none" w:sz="0" w:space="0" w:color="auto"/>
                    <w:right w:val="none" w:sz="0" w:space="0" w:color="auto"/>
                  </w:divBdr>
                  <w:divsChild>
                    <w:div w:id="13799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35652">
          <w:marLeft w:val="0"/>
          <w:marRight w:val="0"/>
          <w:marTop w:val="0"/>
          <w:marBottom w:val="0"/>
          <w:divBdr>
            <w:top w:val="none" w:sz="0" w:space="0" w:color="auto"/>
            <w:left w:val="none" w:sz="0" w:space="0" w:color="auto"/>
            <w:bottom w:val="none" w:sz="0" w:space="0" w:color="auto"/>
            <w:right w:val="none" w:sz="0" w:space="0" w:color="auto"/>
          </w:divBdr>
          <w:divsChild>
            <w:div w:id="858739590">
              <w:marLeft w:val="-75"/>
              <w:marRight w:val="0"/>
              <w:marTop w:val="30"/>
              <w:marBottom w:val="30"/>
              <w:divBdr>
                <w:top w:val="none" w:sz="0" w:space="0" w:color="auto"/>
                <w:left w:val="none" w:sz="0" w:space="0" w:color="auto"/>
                <w:bottom w:val="none" w:sz="0" w:space="0" w:color="auto"/>
                <w:right w:val="none" w:sz="0" w:space="0" w:color="auto"/>
              </w:divBdr>
              <w:divsChild>
                <w:div w:id="213085059">
                  <w:marLeft w:val="0"/>
                  <w:marRight w:val="0"/>
                  <w:marTop w:val="0"/>
                  <w:marBottom w:val="0"/>
                  <w:divBdr>
                    <w:top w:val="none" w:sz="0" w:space="0" w:color="auto"/>
                    <w:left w:val="none" w:sz="0" w:space="0" w:color="auto"/>
                    <w:bottom w:val="none" w:sz="0" w:space="0" w:color="auto"/>
                    <w:right w:val="none" w:sz="0" w:space="0" w:color="auto"/>
                  </w:divBdr>
                  <w:divsChild>
                    <w:div w:id="488442924">
                      <w:marLeft w:val="0"/>
                      <w:marRight w:val="0"/>
                      <w:marTop w:val="0"/>
                      <w:marBottom w:val="0"/>
                      <w:divBdr>
                        <w:top w:val="none" w:sz="0" w:space="0" w:color="auto"/>
                        <w:left w:val="none" w:sz="0" w:space="0" w:color="auto"/>
                        <w:bottom w:val="none" w:sz="0" w:space="0" w:color="auto"/>
                        <w:right w:val="none" w:sz="0" w:space="0" w:color="auto"/>
                      </w:divBdr>
                    </w:div>
                  </w:divsChild>
                </w:div>
                <w:div w:id="290402412">
                  <w:marLeft w:val="0"/>
                  <w:marRight w:val="0"/>
                  <w:marTop w:val="0"/>
                  <w:marBottom w:val="0"/>
                  <w:divBdr>
                    <w:top w:val="none" w:sz="0" w:space="0" w:color="auto"/>
                    <w:left w:val="none" w:sz="0" w:space="0" w:color="auto"/>
                    <w:bottom w:val="none" w:sz="0" w:space="0" w:color="auto"/>
                    <w:right w:val="none" w:sz="0" w:space="0" w:color="auto"/>
                  </w:divBdr>
                  <w:divsChild>
                    <w:div w:id="1393653145">
                      <w:marLeft w:val="0"/>
                      <w:marRight w:val="0"/>
                      <w:marTop w:val="0"/>
                      <w:marBottom w:val="0"/>
                      <w:divBdr>
                        <w:top w:val="none" w:sz="0" w:space="0" w:color="auto"/>
                        <w:left w:val="none" w:sz="0" w:space="0" w:color="auto"/>
                        <w:bottom w:val="none" w:sz="0" w:space="0" w:color="auto"/>
                        <w:right w:val="none" w:sz="0" w:space="0" w:color="auto"/>
                      </w:divBdr>
                    </w:div>
                    <w:div w:id="1649941471">
                      <w:marLeft w:val="0"/>
                      <w:marRight w:val="0"/>
                      <w:marTop w:val="0"/>
                      <w:marBottom w:val="0"/>
                      <w:divBdr>
                        <w:top w:val="none" w:sz="0" w:space="0" w:color="auto"/>
                        <w:left w:val="none" w:sz="0" w:space="0" w:color="auto"/>
                        <w:bottom w:val="none" w:sz="0" w:space="0" w:color="auto"/>
                        <w:right w:val="none" w:sz="0" w:space="0" w:color="auto"/>
                      </w:divBdr>
                    </w:div>
                  </w:divsChild>
                </w:div>
                <w:div w:id="323624710">
                  <w:marLeft w:val="0"/>
                  <w:marRight w:val="0"/>
                  <w:marTop w:val="0"/>
                  <w:marBottom w:val="0"/>
                  <w:divBdr>
                    <w:top w:val="none" w:sz="0" w:space="0" w:color="auto"/>
                    <w:left w:val="none" w:sz="0" w:space="0" w:color="auto"/>
                    <w:bottom w:val="none" w:sz="0" w:space="0" w:color="auto"/>
                    <w:right w:val="none" w:sz="0" w:space="0" w:color="auto"/>
                  </w:divBdr>
                  <w:divsChild>
                    <w:div w:id="1513645314">
                      <w:marLeft w:val="0"/>
                      <w:marRight w:val="0"/>
                      <w:marTop w:val="0"/>
                      <w:marBottom w:val="0"/>
                      <w:divBdr>
                        <w:top w:val="none" w:sz="0" w:space="0" w:color="auto"/>
                        <w:left w:val="none" w:sz="0" w:space="0" w:color="auto"/>
                        <w:bottom w:val="none" w:sz="0" w:space="0" w:color="auto"/>
                        <w:right w:val="none" w:sz="0" w:space="0" w:color="auto"/>
                      </w:divBdr>
                    </w:div>
                  </w:divsChild>
                </w:div>
                <w:div w:id="410389987">
                  <w:marLeft w:val="0"/>
                  <w:marRight w:val="0"/>
                  <w:marTop w:val="0"/>
                  <w:marBottom w:val="0"/>
                  <w:divBdr>
                    <w:top w:val="none" w:sz="0" w:space="0" w:color="auto"/>
                    <w:left w:val="none" w:sz="0" w:space="0" w:color="auto"/>
                    <w:bottom w:val="none" w:sz="0" w:space="0" w:color="auto"/>
                    <w:right w:val="none" w:sz="0" w:space="0" w:color="auto"/>
                  </w:divBdr>
                  <w:divsChild>
                    <w:div w:id="316037602">
                      <w:marLeft w:val="0"/>
                      <w:marRight w:val="0"/>
                      <w:marTop w:val="0"/>
                      <w:marBottom w:val="0"/>
                      <w:divBdr>
                        <w:top w:val="none" w:sz="0" w:space="0" w:color="auto"/>
                        <w:left w:val="none" w:sz="0" w:space="0" w:color="auto"/>
                        <w:bottom w:val="none" w:sz="0" w:space="0" w:color="auto"/>
                        <w:right w:val="none" w:sz="0" w:space="0" w:color="auto"/>
                      </w:divBdr>
                    </w:div>
                    <w:div w:id="1298611759">
                      <w:marLeft w:val="0"/>
                      <w:marRight w:val="0"/>
                      <w:marTop w:val="0"/>
                      <w:marBottom w:val="0"/>
                      <w:divBdr>
                        <w:top w:val="none" w:sz="0" w:space="0" w:color="auto"/>
                        <w:left w:val="none" w:sz="0" w:space="0" w:color="auto"/>
                        <w:bottom w:val="none" w:sz="0" w:space="0" w:color="auto"/>
                        <w:right w:val="none" w:sz="0" w:space="0" w:color="auto"/>
                      </w:divBdr>
                    </w:div>
                  </w:divsChild>
                </w:div>
                <w:div w:id="820384083">
                  <w:marLeft w:val="0"/>
                  <w:marRight w:val="0"/>
                  <w:marTop w:val="0"/>
                  <w:marBottom w:val="0"/>
                  <w:divBdr>
                    <w:top w:val="none" w:sz="0" w:space="0" w:color="auto"/>
                    <w:left w:val="none" w:sz="0" w:space="0" w:color="auto"/>
                    <w:bottom w:val="none" w:sz="0" w:space="0" w:color="auto"/>
                    <w:right w:val="none" w:sz="0" w:space="0" w:color="auto"/>
                  </w:divBdr>
                  <w:divsChild>
                    <w:div w:id="2091654621">
                      <w:marLeft w:val="0"/>
                      <w:marRight w:val="0"/>
                      <w:marTop w:val="0"/>
                      <w:marBottom w:val="0"/>
                      <w:divBdr>
                        <w:top w:val="none" w:sz="0" w:space="0" w:color="auto"/>
                        <w:left w:val="none" w:sz="0" w:space="0" w:color="auto"/>
                        <w:bottom w:val="none" w:sz="0" w:space="0" w:color="auto"/>
                        <w:right w:val="none" w:sz="0" w:space="0" w:color="auto"/>
                      </w:divBdr>
                    </w:div>
                  </w:divsChild>
                </w:div>
                <w:div w:id="973370006">
                  <w:marLeft w:val="0"/>
                  <w:marRight w:val="0"/>
                  <w:marTop w:val="0"/>
                  <w:marBottom w:val="0"/>
                  <w:divBdr>
                    <w:top w:val="none" w:sz="0" w:space="0" w:color="auto"/>
                    <w:left w:val="none" w:sz="0" w:space="0" w:color="auto"/>
                    <w:bottom w:val="none" w:sz="0" w:space="0" w:color="auto"/>
                    <w:right w:val="none" w:sz="0" w:space="0" w:color="auto"/>
                  </w:divBdr>
                  <w:divsChild>
                    <w:div w:id="466357691">
                      <w:marLeft w:val="0"/>
                      <w:marRight w:val="0"/>
                      <w:marTop w:val="0"/>
                      <w:marBottom w:val="0"/>
                      <w:divBdr>
                        <w:top w:val="none" w:sz="0" w:space="0" w:color="auto"/>
                        <w:left w:val="none" w:sz="0" w:space="0" w:color="auto"/>
                        <w:bottom w:val="none" w:sz="0" w:space="0" w:color="auto"/>
                        <w:right w:val="none" w:sz="0" w:space="0" w:color="auto"/>
                      </w:divBdr>
                    </w:div>
                  </w:divsChild>
                </w:div>
                <w:div w:id="1236353550">
                  <w:marLeft w:val="0"/>
                  <w:marRight w:val="0"/>
                  <w:marTop w:val="0"/>
                  <w:marBottom w:val="0"/>
                  <w:divBdr>
                    <w:top w:val="none" w:sz="0" w:space="0" w:color="auto"/>
                    <w:left w:val="none" w:sz="0" w:space="0" w:color="auto"/>
                    <w:bottom w:val="none" w:sz="0" w:space="0" w:color="auto"/>
                    <w:right w:val="none" w:sz="0" w:space="0" w:color="auto"/>
                  </w:divBdr>
                  <w:divsChild>
                    <w:div w:id="104234899">
                      <w:marLeft w:val="0"/>
                      <w:marRight w:val="0"/>
                      <w:marTop w:val="0"/>
                      <w:marBottom w:val="0"/>
                      <w:divBdr>
                        <w:top w:val="none" w:sz="0" w:space="0" w:color="auto"/>
                        <w:left w:val="none" w:sz="0" w:space="0" w:color="auto"/>
                        <w:bottom w:val="none" w:sz="0" w:space="0" w:color="auto"/>
                        <w:right w:val="none" w:sz="0" w:space="0" w:color="auto"/>
                      </w:divBdr>
                    </w:div>
                  </w:divsChild>
                </w:div>
                <w:div w:id="1354763587">
                  <w:marLeft w:val="0"/>
                  <w:marRight w:val="0"/>
                  <w:marTop w:val="0"/>
                  <w:marBottom w:val="0"/>
                  <w:divBdr>
                    <w:top w:val="none" w:sz="0" w:space="0" w:color="auto"/>
                    <w:left w:val="none" w:sz="0" w:space="0" w:color="auto"/>
                    <w:bottom w:val="none" w:sz="0" w:space="0" w:color="auto"/>
                    <w:right w:val="none" w:sz="0" w:space="0" w:color="auto"/>
                  </w:divBdr>
                  <w:divsChild>
                    <w:div w:id="878200082">
                      <w:marLeft w:val="0"/>
                      <w:marRight w:val="0"/>
                      <w:marTop w:val="0"/>
                      <w:marBottom w:val="0"/>
                      <w:divBdr>
                        <w:top w:val="none" w:sz="0" w:space="0" w:color="auto"/>
                        <w:left w:val="none" w:sz="0" w:space="0" w:color="auto"/>
                        <w:bottom w:val="none" w:sz="0" w:space="0" w:color="auto"/>
                        <w:right w:val="none" w:sz="0" w:space="0" w:color="auto"/>
                      </w:divBdr>
                    </w:div>
                  </w:divsChild>
                </w:div>
                <w:div w:id="1479299140">
                  <w:marLeft w:val="0"/>
                  <w:marRight w:val="0"/>
                  <w:marTop w:val="0"/>
                  <w:marBottom w:val="0"/>
                  <w:divBdr>
                    <w:top w:val="none" w:sz="0" w:space="0" w:color="auto"/>
                    <w:left w:val="none" w:sz="0" w:space="0" w:color="auto"/>
                    <w:bottom w:val="none" w:sz="0" w:space="0" w:color="auto"/>
                    <w:right w:val="none" w:sz="0" w:space="0" w:color="auto"/>
                  </w:divBdr>
                  <w:divsChild>
                    <w:div w:id="460609811">
                      <w:marLeft w:val="0"/>
                      <w:marRight w:val="0"/>
                      <w:marTop w:val="0"/>
                      <w:marBottom w:val="0"/>
                      <w:divBdr>
                        <w:top w:val="none" w:sz="0" w:space="0" w:color="auto"/>
                        <w:left w:val="none" w:sz="0" w:space="0" w:color="auto"/>
                        <w:bottom w:val="none" w:sz="0" w:space="0" w:color="auto"/>
                        <w:right w:val="none" w:sz="0" w:space="0" w:color="auto"/>
                      </w:divBdr>
                    </w:div>
                  </w:divsChild>
                </w:div>
                <w:div w:id="1621916606">
                  <w:marLeft w:val="0"/>
                  <w:marRight w:val="0"/>
                  <w:marTop w:val="0"/>
                  <w:marBottom w:val="0"/>
                  <w:divBdr>
                    <w:top w:val="none" w:sz="0" w:space="0" w:color="auto"/>
                    <w:left w:val="none" w:sz="0" w:space="0" w:color="auto"/>
                    <w:bottom w:val="none" w:sz="0" w:space="0" w:color="auto"/>
                    <w:right w:val="none" w:sz="0" w:space="0" w:color="auto"/>
                  </w:divBdr>
                  <w:divsChild>
                    <w:div w:id="2082216981">
                      <w:marLeft w:val="0"/>
                      <w:marRight w:val="0"/>
                      <w:marTop w:val="0"/>
                      <w:marBottom w:val="0"/>
                      <w:divBdr>
                        <w:top w:val="none" w:sz="0" w:space="0" w:color="auto"/>
                        <w:left w:val="none" w:sz="0" w:space="0" w:color="auto"/>
                        <w:bottom w:val="none" w:sz="0" w:space="0" w:color="auto"/>
                        <w:right w:val="none" w:sz="0" w:space="0" w:color="auto"/>
                      </w:divBdr>
                    </w:div>
                  </w:divsChild>
                </w:div>
                <w:div w:id="1742948027">
                  <w:marLeft w:val="0"/>
                  <w:marRight w:val="0"/>
                  <w:marTop w:val="0"/>
                  <w:marBottom w:val="0"/>
                  <w:divBdr>
                    <w:top w:val="none" w:sz="0" w:space="0" w:color="auto"/>
                    <w:left w:val="none" w:sz="0" w:space="0" w:color="auto"/>
                    <w:bottom w:val="none" w:sz="0" w:space="0" w:color="auto"/>
                    <w:right w:val="none" w:sz="0" w:space="0" w:color="auto"/>
                  </w:divBdr>
                  <w:divsChild>
                    <w:div w:id="1357734879">
                      <w:marLeft w:val="0"/>
                      <w:marRight w:val="0"/>
                      <w:marTop w:val="0"/>
                      <w:marBottom w:val="0"/>
                      <w:divBdr>
                        <w:top w:val="none" w:sz="0" w:space="0" w:color="auto"/>
                        <w:left w:val="none" w:sz="0" w:space="0" w:color="auto"/>
                        <w:bottom w:val="none" w:sz="0" w:space="0" w:color="auto"/>
                        <w:right w:val="none" w:sz="0" w:space="0" w:color="auto"/>
                      </w:divBdr>
                    </w:div>
                    <w:div w:id="2024240452">
                      <w:marLeft w:val="0"/>
                      <w:marRight w:val="0"/>
                      <w:marTop w:val="0"/>
                      <w:marBottom w:val="0"/>
                      <w:divBdr>
                        <w:top w:val="none" w:sz="0" w:space="0" w:color="auto"/>
                        <w:left w:val="none" w:sz="0" w:space="0" w:color="auto"/>
                        <w:bottom w:val="none" w:sz="0" w:space="0" w:color="auto"/>
                        <w:right w:val="none" w:sz="0" w:space="0" w:color="auto"/>
                      </w:divBdr>
                    </w:div>
                  </w:divsChild>
                </w:div>
                <w:div w:id="1953708217">
                  <w:marLeft w:val="0"/>
                  <w:marRight w:val="0"/>
                  <w:marTop w:val="0"/>
                  <w:marBottom w:val="0"/>
                  <w:divBdr>
                    <w:top w:val="none" w:sz="0" w:space="0" w:color="auto"/>
                    <w:left w:val="none" w:sz="0" w:space="0" w:color="auto"/>
                    <w:bottom w:val="none" w:sz="0" w:space="0" w:color="auto"/>
                    <w:right w:val="none" w:sz="0" w:space="0" w:color="auto"/>
                  </w:divBdr>
                  <w:divsChild>
                    <w:div w:id="10404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5120">
          <w:marLeft w:val="0"/>
          <w:marRight w:val="0"/>
          <w:marTop w:val="0"/>
          <w:marBottom w:val="0"/>
          <w:divBdr>
            <w:top w:val="none" w:sz="0" w:space="0" w:color="auto"/>
            <w:left w:val="none" w:sz="0" w:space="0" w:color="auto"/>
            <w:bottom w:val="none" w:sz="0" w:space="0" w:color="auto"/>
            <w:right w:val="none" w:sz="0" w:space="0" w:color="auto"/>
          </w:divBdr>
        </w:div>
        <w:div w:id="2137135874">
          <w:marLeft w:val="0"/>
          <w:marRight w:val="0"/>
          <w:marTop w:val="0"/>
          <w:marBottom w:val="0"/>
          <w:divBdr>
            <w:top w:val="none" w:sz="0" w:space="0" w:color="auto"/>
            <w:left w:val="none" w:sz="0" w:space="0" w:color="auto"/>
            <w:bottom w:val="none" w:sz="0" w:space="0" w:color="auto"/>
            <w:right w:val="none" w:sz="0" w:space="0" w:color="auto"/>
          </w:divBdr>
        </w:div>
      </w:divsChild>
    </w:div>
    <w:div w:id="1324816845">
      <w:bodyDiv w:val="1"/>
      <w:marLeft w:val="0"/>
      <w:marRight w:val="0"/>
      <w:marTop w:val="0"/>
      <w:marBottom w:val="0"/>
      <w:divBdr>
        <w:top w:val="none" w:sz="0" w:space="0" w:color="auto"/>
        <w:left w:val="none" w:sz="0" w:space="0" w:color="auto"/>
        <w:bottom w:val="none" w:sz="0" w:space="0" w:color="auto"/>
        <w:right w:val="none" w:sz="0" w:space="0" w:color="auto"/>
      </w:divBdr>
    </w:div>
    <w:div w:id="1361852999">
      <w:bodyDiv w:val="1"/>
      <w:marLeft w:val="0"/>
      <w:marRight w:val="0"/>
      <w:marTop w:val="0"/>
      <w:marBottom w:val="0"/>
      <w:divBdr>
        <w:top w:val="none" w:sz="0" w:space="0" w:color="auto"/>
        <w:left w:val="none" w:sz="0" w:space="0" w:color="auto"/>
        <w:bottom w:val="none" w:sz="0" w:space="0" w:color="auto"/>
        <w:right w:val="none" w:sz="0" w:space="0" w:color="auto"/>
      </w:divBdr>
      <w:divsChild>
        <w:div w:id="40524295">
          <w:marLeft w:val="547"/>
          <w:marRight w:val="0"/>
          <w:marTop w:val="0"/>
          <w:marBottom w:val="0"/>
          <w:divBdr>
            <w:top w:val="none" w:sz="0" w:space="0" w:color="auto"/>
            <w:left w:val="none" w:sz="0" w:space="0" w:color="auto"/>
            <w:bottom w:val="none" w:sz="0" w:space="0" w:color="auto"/>
            <w:right w:val="none" w:sz="0" w:space="0" w:color="auto"/>
          </w:divBdr>
        </w:div>
      </w:divsChild>
    </w:div>
    <w:div w:id="1671637474">
      <w:bodyDiv w:val="1"/>
      <w:marLeft w:val="0"/>
      <w:marRight w:val="0"/>
      <w:marTop w:val="0"/>
      <w:marBottom w:val="0"/>
      <w:divBdr>
        <w:top w:val="none" w:sz="0" w:space="0" w:color="auto"/>
        <w:left w:val="none" w:sz="0" w:space="0" w:color="auto"/>
        <w:bottom w:val="none" w:sz="0" w:space="0" w:color="auto"/>
        <w:right w:val="none" w:sz="0" w:space="0" w:color="auto"/>
      </w:divBdr>
      <w:divsChild>
        <w:div w:id="501892324">
          <w:marLeft w:val="0"/>
          <w:marRight w:val="0"/>
          <w:marTop w:val="0"/>
          <w:marBottom w:val="0"/>
          <w:divBdr>
            <w:top w:val="none" w:sz="0" w:space="0" w:color="auto"/>
            <w:left w:val="none" w:sz="0" w:space="0" w:color="auto"/>
            <w:bottom w:val="none" w:sz="0" w:space="0" w:color="auto"/>
            <w:right w:val="none" w:sz="0" w:space="0" w:color="auto"/>
          </w:divBdr>
          <w:divsChild>
            <w:div w:id="106001244">
              <w:marLeft w:val="0"/>
              <w:marRight w:val="0"/>
              <w:marTop w:val="0"/>
              <w:marBottom w:val="0"/>
              <w:divBdr>
                <w:top w:val="none" w:sz="0" w:space="0" w:color="auto"/>
                <w:left w:val="none" w:sz="0" w:space="0" w:color="auto"/>
                <w:bottom w:val="none" w:sz="0" w:space="0" w:color="auto"/>
                <w:right w:val="none" w:sz="0" w:space="0" w:color="auto"/>
              </w:divBdr>
            </w:div>
            <w:div w:id="107773733">
              <w:marLeft w:val="0"/>
              <w:marRight w:val="0"/>
              <w:marTop w:val="0"/>
              <w:marBottom w:val="0"/>
              <w:divBdr>
                <w:top w:val="none" w:sz="0" w:space="0" w:color="auto"/>
                <w:left w:val="none" w:sz="0" w:space="0" w:color="auto"/>
                <w:bottom w:val="none" w:sz="0" w:space="0" w:color="auto"/>
                <w:right w:val="none" w:sz="0" w:space="0" w:color="auto"/>
              </w:divBdr>
            </w:div>
            <w:div w:id="143545689">
              <w:marLeft w:val="0"/>
              <w:marRight w:val="0"/>
              <w:marTop w:val="0"/>
              <w:marBottom w:val="0"/>
              <w:divBdr>
                <w:top w:val="none" w:sz="0" w:space="0" w:color="auto"/>
                <w:left w:val="none" w:sz="0" w:space="0" w:color="auto"/>
                <w:bottom w:val="none" w:sz="0" w:space="0" w:color="auto"/>
                <w:right w:val="none" w:sz="0" w:space="0" w:color="auto"/>
              </w:divBdr>
            </w:div>
            <w:div w:id="401562684">
              <w:marLeft w:val="0"/>
              <w:marRight w:val="0"/>
              <w:marTop w:val="0"/>
              <w:marBottom w:val="0"/>
              <w:divBdr>
                <w:top w:val="none" w:sz="0" w:space="0" w:color="auto"/>
                <w:left w:val="none" w:sz="0" w:space="0" w:color="auto"/>
                <w:bottom w:val="none" w:sz="0" w:space="0" w:color="auto"/>
                <w:right w:val="none" w:sz="0" w:space="0" w:color="auto"/>
              </w:divBdr>
            </w:div>
            <w:div w:id="419832545">
              <w:marLeft w:val="0"/>
              <w:marRight w:val="0"/>
              <w:marTop w:val="0"/>
              <w:marBottom w:val="0"/>
              <w:divBdr>
                <w:top w:val="none" w:sz="0" w:space="0" w:color="auto"/>
                <w:left w:val="none" w:sz="0" w:space="0" w:color="auto"/>
                <w:bottom w:val="none" w:sz="0" w:space="0" w:color="auto"/>
                <w:right w:val="none" w:sz="0" w:space="0" w:color="auto"/>
              </w:divBdr>
            </w:div>
            <w:div w:id="507792803">
              <w:marLeft w:val="0"/>
              <w:marRight w:val="0"/>
              <w:marTop w:val="0"/>
              <w:marBottom w:val="0"/>
              <w:divBdr>
                <w:top w:val="none" w:sz="0" w:space="0" w:color="auto"/>
                <w:left w:val="none" w:sz="0" w:space="0" w:color="auto"/>
                <w:bottom w:val="none" w:sz="0" w:space="0" w:color="auto"/>
                <w:right w:val="none" w:sz="0" w:space="0" w:color="auto"/>
              </w:divBdr>
            </w:div>
            <w:div w:id="572392711">
              <w:marLeft w:val="0"/>
              <w:marRight w:val="0"/>
              <w:marTop w:val="0"/>
              <w:marBottom w:val="0"/>
              <w:divBdr>
                <w:top w:val="none" w:sz="0" w:space="0" w:color="auto"/>
                <w:left w:val="none" w:sz="0" w:space="0" w:color="auto"/>
                <w:bottom w:val="none" w:sz="0" w:space="0" w:color="auto"/>
                <w:right w:val="none" w:sz="0" w:space="0" w:color="auto"/>
              </w:divBdr>
            </w:div>
            <w:div w:id="602224419">
              <w:marLeft w:val="0"/>
              <w:marRight w:val="0"/>
              <w:marTop w:val="0"/>
              <w:marBottom w:val="0"/>
              <w:divBdr>
                <w:top w:val="none" w:sz="0" w:space="0" w:color="auto"/>
                <w:left w:val="none" w:sz="0" w:space="0" w:color="auto"/>
                <w:bottom w:val="none" w:sz="0" w:space="0" w:color="auto"/>
                <w:right w:val="none" w:sz="0" w:space="0" w:color="auto"/>
              </w:divBdr>
            </w:div>
            <w:div w:id="911307868">
              <w:marLeft w:val="0"/>
              <w:marRight w:val="0"/>
              <w:marTop w:val="0"/>
              <w:marBottom w:val="0"/>
              <w:divBdr>
                <w:top w:val="none" w:sz="0" w:space="0" w:color="auto"/>
                <w:left w:val="none" w:sz="0" w:space="0" w:color="auto"/>
                <w:bottom w:val="none" w:sz="0" w:space="0" w:color="auto"/>
                <w:right w:val="none" w:sz="0" w:space="0" w:color="auto"/>
              </w:divBdr>
            </w:div>
            <w:div w:id="1023629251">
              <w:marLeft w:val="0"/>
              <w:marRight w:val="0"/>
              <w:marTop w:val="0"/>
              <w:marBottom w:val="0"/>
              <w:divBdr>
                <w:top w:val="none" w:sz="0" w:space="0" w:color="auto"/>
                <w:left w:val="none" w:sz="0" w:space="0" w:color="auto"/>
                <w:bottom w:val="none" w:sz="0" w:space="0" w:color="auto"/>
                <w:right w:val="none" w:sz="0" w:space="0" w:color="auto"/>
              </w:divBdr>
            </w:div>
            <w:div w:id="1078938346">
              <w:marLeft w:val="0"/>
              <w:marRight w:val="0"/>
              <w:marTop w:val="0"/>
              <w:marBottom w:val="0"/>
              <w:divBdr>
                <w:top w:val="none" w:sz="0" w:space="0" w:color="auto"/>
                <w:left w:val="none" w:sz="0" w:space="0" w:color="auto"/>
                <w:bottom w:val="none" w:sz="0" w:space="0" w:color="auto"/>
                <w:right w:val="none" w:sz="0" w:space="0" w:color="auto"/>
              </w:divBdr>
            </w:div>
            <w:div w:id="1308898486">
              <w:marLeft w:val="0"/>
              <w:marRight w:val="0"/>
              <w:marTop w:val="0"/>
              <w:marBottom w:val="0"/>
              <w:divBdr>
                <w:top w:val="none" w:sz="0" w:space="0" w:color="auto"/>
                <w:left w:val="none" w:sz="0" w:space="0" w:color="auto"/>
                <w:bottom w:val="none" w:sz="0" w:space="0" w:color="auto"/>
                <w:right w:val="none" w:sz="0" w:space="0" w:color="auto"/>
              </w:divBdr>
            </w:div>
            <w:div w:id="1576237811">
              <w:marLeft w:val="0"/>
              <w:marRight w:val="0"/>
              <w:marTop w:val="0"/>
              <w:marBottom w:val="0"/>
              <w:divBdr>
                <w:top w:val="none" w:sz="0" w:space="0" w:color="auto"/>
                <w:left w:val="none" w:sz="0" w:space="0" w:color="auto"/>
                <w:bottom w:val="none" w:sz="0" w:space="0" w:color="auto"/>
                <w:right w:val="none" w:sz="0" w:space="0" w:color="auto"/>
              </w:divBdr>
            </w:div>
            <w:div w:id="1657760178">
              <w:marLeft w:val="0"/>
              <w:marRight w:val="0"/>
              <w:marTop w:val="0"/>
              <w:marBottom w:val="0"/>
              <w:divBdr>
                <w:top w:val="none" w:sz="0" w:space="0" w:color="auto"/>
                <w:left w:val="none" w:sz="0" w:space="0" w:color="auto"/>
                <w:bottom w:val="none" w:sz="0" w:space="0" w:color="auto"/>
                <w:right w:val="none" w:sz="0" w:space="0" w:color="auto"/>
              </w:divBdr>
            </w:div>
            <w:div w:id="1663391856">
              <w:marLeft w:val="0"/>
              <w:marRight w:val="0"/>
              <w:marTop w:val="0"/>
              <w:marBottom w:val="0"/>
              <w:divBdr>
                <w:top w:val="none" w:sz="0" w:space="0" w:color="auto"/>
                <w:left w:val="none" w:sz="0" w:space="0" w:color="auto"/>
                <w:bottom w:val="none" w:sz="0" w:space="0" w:color="auto"/>
                <w:right w:val="none" w:sz="0" w:space="0" w:color="auto"/>
              </w:divBdr>
            </w:div>
            <w:div w:id="1710257195">
              <w:marLeft w:val="0"/>
              <w:marRight w:val="0"/>
              <w:marTop w:val="0"/>
              <w:marBottom w:val="0"/>
              <w:divBdr>
                <w:top w:val="none" w:sz="0" w:space="0" w:color="auto"/>
                <w:left w:val="none" w:sz="0" w:space="0" w:color="auto"/>
                <w:bottom w:val="none" w:sz="0" w:space="0" w:color="auto"/>
                <w:right w:val="none" w:sz="0" w:space="0" w:color="auto"/>
              </w:divBdr>
            </w:div>
            <w:div w:id="1759596142">
              <w:marLeft w:val="0"/>
              <w:marRight w:val="0"/>
              <w:marTop w:val="0"/>
              <w:marBottom w:val="0"/>
              <w:divBdr>
                <w:top w:val="none" w:sz="0" w:space="0" w:color="auto"/>
                <w:left w:val="none" w:sz="0" w:space="0" w:color="auto"/>
                <w:bottom w:val="none" w:sz="0" w:space="0" w:color="auto"/>
                <w:right w:val="none" w:sz="0" w:space="0" w:color="auto"/>
              </w:divBdr>
            </w:div>
            <w:div w:id="1778064370">
              <w:marLeft w:val="0"/>
              <w:marRight w:val="0"/>
              <w:marTop w:val="0"/>
              <w:marBottom w:val="0"/>
              <w:divBdr>
                <w:top w:val="none" w:sz="0" w:space="0" w:color="auto"/>
                <w:left w:val="none" w:sz="0" w:space="0" w:color="auto"/>
                <w:bottom w:val="none" w:sz="0" w:space="0" w:color="auto"/>
                <w:right w:val="none" w:sz="0" w:space="0" w:color="auto"/>
              </w:divBdr>
            </w:div>
            <w:div w:id="2048872514">
              <w:marLeft w:val="0"/>
              <w:marRight w:val="0"/>
              <w:marTop w:val="0"/>
              <w:marBottom w:val="0"/>
              <w:divBdr>
                <w:top w:val="none" w:sz="0" w:space="0" w:color="auto"/>
                <w:left w:val="none" w:sz="0" w:space="0" w:color="auto"/>
                <w:bottom w:val="none" w:sz="0" w:space="0" w:color="auto"/>
                <w:right w:val="none" w:sz="0" w:space="0" w:color="auto"/>
              </w:divBdr>
            </w:div>
            <w:div w:id="2124837944">
              <w:marLeft w:val="0"/>
              <w:marRight w:val="0"/>
              <w:marTop w:val="0"/>
              <w:marBottom w:val="0"/>
              <w:divBdr>
                <w:top w:val="none" w:sz="0" w:space="0" w:color="auto"/>
                <w:left w:val="none" w:sz="0" w:space="0" w:color="auto"/>
                <w:bottom w:val="none" w:sz="0" w:space="0" w:color="auto"/>
                <w:right w:val="none" w:sz="0" w:space="0" w:color="auto"/>
              </w:divBdr>
            </w:div>
          </w:divsChild>
        </w:div>
        <w:div w:id="511453662">
          <w:marLeft w:val="0"/>
          <w:marRight w:val="0"/>
          <w:marTop w:val="0"/>
          <w:marBottom w:val="0"/>
          <w:divBdr>
            <w:top w:val="none" w:sz="0" w:space="0" w:color="auto"/>
            <w:left w:val="none" w:sz="0" w:space="0" w:color="auto"/>
            <w:bottom w:val="none" w:sz="0" w:space="0" w:color="auto"/>
            <w:right w:val="none" w:sz="0" w:space="0" w:color="auto"/>
          </w:divBdr>
        </w:div>
        <w:div w:id="1431121729">
          <w:marLeft w:val="0"/>
          <w:marRight w:val="0"/>
          <w:marTop w:val="0"/>
          <w:marBottom w:val="0"/>
          <w:divBdr>
            <w:top w:val="none" w:sz="0" w:space="0" w:color="auto"/>
            <w:left w:val="none" w:sz="0" w:space="0" w:color="auto"/>
            <w:bottom w:val="none" w:sz="0" w:space="0" w:color="auto"/>
            <w:right w:val="none" w:sz="0" w:space="0" w:color="auto"/>
          </w:divBdr>
        </w:div>
        <w:div w:id="1673605309">
          <w:marLeft w:val="0"/>
          <w:marRight w:val="0"/>
          <w:marTop w:val="0"/>
          <w:marBottom w:val="0"/>
          <w:divBdr>
            <w:top w:val="none" w:sz="0" w:space="0" w:color="auto"/>
            <w:left w:val="none" w:sz="0" w:space="0" w:color="auto"/>
            <w:bottom w:val="none" w:sz="0" w:space="0" w:color="auto"/>
            <w:right w:val="none" w:sz="0" w:space="0" w:color="auto"/>
          </w:divBdr>
          <w:divsChild>
            <w:div w:id="202139320">
              <w:marLeft w:val="0"/>
              <w:marRight w:val="0"/>
              <w:marTop w:val="0"/>
              <w:marBottom w:val="0"/>
              <w:divBdr>
                <w:top w:val="none" w:sz="0" w:space="0" w:color="auto"/>
                <w:left w:val="none" w:sz="0" w:space="0" w:color="auto"/>
                <w:bottom w:val="none" w:sz="0" w:space="0" w:color="auto"/>
                <w:right w:val="none" w:sz="0" w:space="0" w:color="auto"/>
              </w:divBdr>
            </w:div>
            <w:div w:id="472452933">
              <w:marLeft w:val="0"/>
              <w:marRight w:val="0"/>
              <w:marTop w:val="0"/>
              <w:marBottom w:val="0"/>
              <w:divBdr>
                <w:top w:val="none" w:sz="0" w:space="0" w:color="auto"/>
                <w:left w:val="none" w:sz="0" w:space="0" w:color="auto"/>
                <w:bottom w:val="none" w:sz="0" w:space="0" w:color="auto"/>
                <w:right w:val="none" w:sz="0" w:space="0" w:color="auto"/>
              </w:divBdr>
            </w:div>
            <w:div w:id="949167370">
              <w:marLeft w:val="0"/>
              <w:marRight w:val="0"/>
              <w:marTop w:val="0"/>
              <w:marBottom w:val="0"/>
              <w:divBdr>
                <w:top w:val="none" w:sz="0" w:space="0" w:color="auto"/>
                <w:left w:val="none" w:sz="0" w:space="0" w:color="auto"/>
                <w:bottom w:val="none" w:sz="0" w:space="0" w:color="auto"/>
                <w:right w:val="none" w:sz="0" w:space="0" w:color="auto"/>
              </w:divBdr>
            </w:div>
            <w:div w:id="954170099">
              <w:marLeft w:val="0"/>
              <w:marRight w:val="0"/>
              <w:marTop w:val="0"/>
              <w:marBottom w:val="0"/>
              <w:divBdr>
                <w:top w:val="none" w:sz="0" w:space="0" w:color="auto"/>
                <w:left w:val="none" w:sz="0" w:space="0" w:color="auto"/>
                <w:bottom w:val="none" w:sz="0" w:space="0" w:color="auto"/>
                <w:right w:val="none" w:sz="0" w:space="0" w:color="auto"/>
              </w:divBdr>
            </w:div>
            <w:div w:id="1045983476">
              <w:marLeft w:val="0"/>
              <w:marRight w:val="0"/>
              <w:marTop w:val="0"/>
              <w:marBottom w:val="0"/>
              <w:divBdr>
                <w:top w:val="none" w:sz="0" w:space="0" w:color="auto"/>
                <w:left w:val="none" w:sz="0" w:space="0" w:color="auto"/>
                <w:bottom w:val="none" w:sz="0" w:space="0" w:color="auto"/>
                <w:right w:val="none" w:sz="0" w:space="0" w:color="auto"/>
              </w:divBdr>
            </w:div>
            <w:div w:id="1491823960">
              <w:marLeft w:val="0"/>
              <w:marRight w:val="0"/>
              <w:marTop w:val="0"/>
              <w:marBottom w:val="0"/>
              <w:divBdr>
                <w:top w:val="none" w:sz="0" w:space="0" w:color="auto"/>
                <w:left w:val="none" w:sz="0" w:space="0" w:color="auto"/>
                <w:bottom w:val="none" w:sz="0" w:space="0" w:color="auto"/>
                <w:right w:val="none" w:sz="0" w:space="0" w:color="auto"/>
              </w:divBdr>
            </w:div>
            <w:div w:id="1529485814">
              <w:marLeft w:val="0"/>
              <w:marRight w:val="0"/>
              <w:marTop w:val="0"/>
              <w:marBottom w:val="0"/>
              <w:divBdr>
                <w:top w:val="none" w:sz="0" w:space="0" w:color="auto"/>
                <w:left w:val="none" w:sz="0" w:space="0" w:color="auto"/>
                <w:bottom w:val="none" w:sz="0" w:space="0" w:color="auto"/>
                <w:right w:val="none" w:sz="0" w:space="0" w:color="auto"/>
              </w:divBdr>
            </w:div>
            <w:div w:id="1611427450">
              <w:marLeft w:val="0"/>
              <w:marRight w:val="0"/>
              <w:marTop w:val="0"/>
              <w:marBottom w:val="0"/>
              <w:divBdr>
                <w:top w:val="none" w:sz="0" w:space="0" w:color="auto"/>
                <w:left w:val="none" w:sz="0" w:space="0" w:color="auto"/>
                <w:bottom w:val="none" w:sz="0" w:space="0" w:color="auto"/>
                <w:right w:val="none" w:sz="0" w:space="0" w:color="auto"/>
              </w:divBdr>
            </w:div>
            <w:div w:id="1771923474">
              <w:marLeft w:val="0"/>
              <w:marRight w:val="0"/>
              <w:marTop w:val="0"/>
              <w:marBottom w:val="0"/>
              <w:divBdr>
                <w:top w:val="none" w:sz="0" w:space="0" w:color="auto"/>
                <w:left w:val="none" w:sz="0" w:space="0" w:color="auto"/>
                <w:bottom w:val="none" w:sz="0" w:space="0" w:color="auto"/>
                <w:right w:val="none" w:sz="0" w:space="0" w:color="auto"/>
              </w:divBdr>
            </w:div>
            <w:div w:id="1783383597">
              <w:marLeft w:val="0"/>
              <w:marRight w:val="0"/>
              <w:marTop w:val="0"/>
              <w:marBottom w:val="0"/>
              <w:divBdr>
                <w:top w:val="none" w:sz="0" w:space="0" w:color="auto"/>
                <w:left w:val="none" w:sz="0" w:space="0" w:color="auto"/>
                <w:bottom w:val="none" w:sz="0" w:space="0" w:color="auto"/>
                <w:right w:val="none" w:sz="0" w:space="0" w:color="auto"/>
              </w:divBdr>
            </w:div>
            <w:div w:id="1935556843">
              <w:marLeft w:val="0"/>
              <w:marRight w:val="0"/>
              <w:marTop w:val="0"/>
              <w:marBottom w:val="0"/>
              <w:divBdr>
                <w:top w:val="none" w:sz="0" w:space="0" w:color="auto"/>
                <w:left w:val="none" w:sz="0" w:space="0" w:color="auto"/>
                <w:bottom w:val="none" w:sz="0" w:space="0" w:color="auto"/>
                <w:right w:val="none" w:sz="0" w:space="0" w:color="auto"/>
              </w:divBdr>
            </w:div>
            <w:div w:id="2042319949">
              <w:marLeft w:val="0"/>
              <w:marRight w:val="0"/>
              <w:marTop w:val="0"/>
              <w:marBottom w:val="0"/>
              <w:divBdr>
                <w:top w:val="none" w:sz="0" w:space="0" w:color="auto"/>
                <w:left w:val="none" w:sz="0" w:space="0" w:color="auto"/>
                <w:bottom w:val="none" w:sz="0" w:space="0" w:color="auto"/>
                <w:right w:val="none" w:sz="0" w:space="0" w:color="auto"/>
              </w:divBdr>
            </w:div>
          </w:divsChild>
        </w:div>
        <w:div w:id="1859004229">
          <w:marLeft w:val="0"/>
          <w:marRight w:val="0"/>
          <w:marTop w:val="0"/>
          <w:marBottom w:val="0"/>
          <w:divBdr>
            <w:top w:val="none" w:sz="0" w:space="0" w:color="auto"/>
            <w:left w:val="none" w:sz="0" w:space="0" w:color="auto"/>
            <w:bottom w:val="none" w:sz="0" w:space="0" w:color="auto"/>
            <w:right w:val="none" w:sz="0" w:space="0" w:color="auto"/>
          </w:divBdr>
        </w:div>
        <w:div w:id="1864320974">
          <w:marLeft w:val="0"/>
          <w:marRight w:val="0"/>
          <w:marTop w:val="0"/>
          <w:marBottom w:val="0"/>
          <w:divBdr>
            <w:top w:val="none" w:sz="0" w:space="0" w:color="auto"/>
            <w:left w:val="none" w:sz="0" w:space="0" w:color="auto"/>
            <w:bottom w:val="none" w:sz="0" w:space="0" w:color="auto"/>
            <w:right w:val="none" w:sz="0" w:space="0" w:color="auto"/>
          </w:divBdr>
        </w:div>
        <w:div w:id="1881473664">
          <w:marLeft w:val="0"/>
          <w:marRight w:val="0"/>
          <w:marTop w:val="0"/>
          <w:marBottom w:val="0"/>
          <w:divBdr>
            <w:top w:val="none" w:sz="0" w:space="0" w:color="auto"/>
            <w:left w:val="none" w:sz="0" w:space="0" w:color="auto"/>
            <w:bottom w:val="none" w:sz="0" w:space="0" w:color="auto"/>
            <w:right w:val="none" w:sz="0" w:space="0" w:color="auto"/>
          </w:divBdr>
          <w:divsChild>
            <w:div w:id="60180618">
              <w:marLeft w:val="0"/>
              <w:marRight w:val="0"/>
              <w:marTop w:val="0"/>
              <w:marBottom w:val="0"/>
              <w:divBdr>
                <w:top w:val="none" w:sz="0" w:space="0" w:color="auto"/>
                <w:left w:val="none" w:sz="0" w:space="0" w:color="auto"/>
                <w:bottom w:val="none" w:sz="0" w:space="0" w:color="auto"/>
                <w:right w:val="none" w:sz="0" w:space="0" w:color="auto"/>
              </w:divBdr>
            </w:div>
            <w:div w:id="114643808">
              <w:marLeft w:val="0"/>
              <w:marRight w:val="0"/>
              <w:marTop w:val="0"/>
              <w:marBottom w:val="0"/>
              <w:divBdr>
                <w:top w:val="none" w:sz="0" w:space="0" w:color="auto"/>
                <w:left w:val="none" w:sz="0" w:space="0" w:color="auto"/>
                <w:bottom w:val="none" w:sz="0" w:space="0" w:color="auto"/>
                <w:right w:val="none" w:sz="0" w:space="0" w:color="auto"/>
              </w:divBdr>
            </w:div>
            <w:div w:id="362560804">
              <w:marLeft w:val="0"/>
              <w:marRight w:val="0"/>
              <w:marTop w:val="0"/>
              <w:marBottom w:val="0"/>
              <w:divBdr>
                <w:top w:val="none" w:sz="0" w:space="0" w:color="auto"/>
                <w:left w:val="none" w:sz="0" w:space="0" w:color="auto"/>
                <w:bottom w:val="none" w:sz="0" w:space="0" w:color="auto"/>
                <w:right w:val="none" w:sz="0" w:space="0" w:color="auto"/>
              </w:divBdr>
            </w:div>
            <w:div w:id="494884460">
              <w:marLeft w:val="0"/>
              <w:marRight w:val="0"/>
              <w:marTop w:val="0"/>
              <w:marBottom w:val="0"/>
              <w:divBdr>
                <w:top w:val="none" w:sz="0" w:space="0" w:color="auto"/>
                <w:left w:val="none" w:sz="0" w:space="0" w:color="auto"/>
                <w:bottom w:val="none" w:sz="0" w:space="0" w:color="auto"/>
                <w:right w:val="none" w:sz="0" w:space="0" w:color="auto"/>
              </w:divBdr>
            </w:div>
            <w:div w:id="612788411">
              <w:marLeft w:val="0"/>
              <w:marRight w:val="0"/>
              <w:marTop w:val="0"/>
              <w:marBottom w:val="0"/>
              <w:divBdr>
                <w:top w:val="none" w:sz="0" w:space="0" w:color="auto"/>
                <w:left w:val="none" w:sz="0" w:space="0" w:color="auto"/>
                <w:bottom w:val="none" w:sz="0" w:space="0" w:color="auto"/>
                <w:right w:val="none" w:sz="0" w:space="0" w:color="auto"/>
              </w:divBdr>
            </w:div>
            <w:div w:id="783427083">
              <w:marLeft w:val="0"/>
              <w:marRight w:val="0"/>
              <w:marTop w:val="0"/>
              <w:marBottom w:val="0"/>
              <w:divBdr>
                <w:top w:val="none" w:sz="0" w:space="0" w:color="auto"/>
                <w:left w:val="none" w:sz="0" w:space="0" w:color="auto"/>
                <w:bottom w:val="none" w:sz="0" w:space="0" w:color="auto"/>
                <w:right w:val="none" w:sz="0" w:space="0" w:color="auto"/>
              </w:divBdr>
            </w:div>
            <w:div w:id="864755820">
              <w:marLeft w:val="0"/>
              <w:marRight w:val="0"/>
              <w:marTop w:val="0"/>
              <w:marBottom w:val="0"/>
              <w:divBdr>
                <w:top w:val="none" w:sz="0" w:space="0" w:color="auto"/>
                <w:left w:val="none" w:sz="0" w:space="0" w:color="auto"/>
                <w:bottom w:val="none" w:sz="0" w:space="0" w:color="auto"/>
                <w:right w:val="none" w:sz="0" w:space="0" w:color="auto"/>
              </w:divBdr>
            </w:div>
            <w:div w:id="1014456690">
              <w:marLeft w:val="0"/>
              <w:marRight w:val="0"/>
              <w:marTop w:val="0"/>
              <w:marBottom w:val="0"/>
              <w:divBdr>
                <w:top w:val="none" w:sz="0" w:space="0" w:color="auto"/>
                <w:left w:val="none" w:sz="0" w:space="0" w:color="auto"/>
                <w:bottom w:val="none" w:sz="0" w:space="0" w:color="auto"/>
                <w:right w:val="none" w:sz="0" w:space="0" w:color="auto"/>
              </w:divBdr>
            </w:div>
            <w:div w:id="1296719939">
              <w:marLeft w:val="0"/>
              <w:marRight w:val="0"/>
              <w:marTop w:val="0"/>
              <w:marBottom w:val="0"/>
              <w:divBdr>
                <w:top w:val="none" w:sz="0" w:space="0" w:color="auto"/>
                <w:left w:val="none" w:sz="0" w:space="0" w:color="auto"/>
                <w:bottom w:val="none" w:sz="0" w:space="0" w:color="auto"/>
                <w:right w:val="none" w:sz="0" w:space="0" w:color="auto"/>
              </w:divBdr>
            </w:div>
            <w:div w:id="1360356703">
              <w:marLeft w:val="0"/>
              <w:marRight w:val="0"/>
              <w:marTop w:val="0"/>
              <w:marBottom w:val="0"/>
              <w:divBdr>
                <w:top w:val="none" w:sz="0" w:space="0" w:color="auto"/>
                <w:left w:val="none" w:sz="0" w:space="0" w:color="auto"/>
                <w:bottom w:val="none" w:sz="0" w:space="0" w:color="auto"/>
                <w:right w:val="none" w:sz="0" w:space="0" w:color="auto"/>
              </w:divBdr>
            </w:div>
            <w:div w:id="1669751039">
              <w:marLeft w:val="0"/>
              <w:marRight w:val="0"/>
              <w:marTop w:val="0"/>
              <w:marBottom w:val="0"/>
              <w:divBdr>
                <w:top w:val="none" w:sz="0" w:space="0" w:color="auto"/>
                <w:left w:val="none" w:sz="0" w:space="0" w:color="auto"/>
                <w:bottom w:val="none" w:sz="0" w:space="0" w:color="auto"/>
                <w:right w:val="none" w:sz="0" w:space="0" w:color="auto"/>
              </w:divBdr>
            </w:div>
            <w:div w:id="2098289480">
              <w:marLeft w:val="0"/>
              <w:marRight w:val="0"/>
              <w:marTop w:val="0"/>
              <w:marBottom w:val="0"/>
              <w:divBdr>
                <w:top w:val="none" w:sz="0" w:space="0" w:color="auto"/>
                <w:left w:val="none" w:sz="0" w:space="0" w:color="auto"/>
                <w:bottom w:val="none" w:sz="0" w:space="0" w:color="auto"/>
                <w:right w:val="none" w:sz="0" w:space="0" w:color="auto"/>
              </w:divBdr>
            </w:div>
            <w:div w:id="2137673228">
              <w:marLeft w:val="0"/>
              <w:marRight w:val="0"/>
              <w:marTop w:val="0"/>
              <w:marBottom w:val="0"/>
              <w:divBdr>
                <w:top w:val="none" w:sz="0" w:space="0" w:color="auto"/>
                <w:left w:val="none" w:sz="0" w:space="0" w:color="auto"/>
                <w:bottom w:val="none" w:sz="0" w:space="0" w:color="auto"/>
                <w:right w:val="none" w:sz="0" w:space="0" w:color="auto"/>
              </w:divBdr>
            </w:div>
          </w:divsChild>
        </w:div>
        <w:div w:id="1887059745">
          <w:marLeft w:val="0"/>
          <w:marRight w:val="0"/>
          <w:marTop w:val="0"/>
          <w:marBottom w:val="0"/>
          <w:divBdr>
            <w:top w:val="none" w:sz="0" w:space="0" w:color="auto"/>
            <w:left w:val="none" w:sz="0" w:space="0" w:color="auto"/>
            <w:bottom w:val="none" w:sz="0" w:space="0" w:color="auto"/>
            <w:right w:val="none" w:sz="0" w:space="0" w:color="auto"/>
          </w:divBdr>
        </w:div>
      </w:divsChild>
    </w:div>
    <w:div w:id="1699231591">
      <w:bodyDiv w:val="1"/>
      <w:marLeft w:val="0"/>
      <w:marRight w:val="0"/>
      <w:marTop w:val="0"/>
      <w:marBottom w:val="0"/>
      <w:divBdr>
        <w:top w:val="none" w:sz="0" w:space="0" w:color="auto"/>
        <w:left w:val="none" w:sz="0" w:space="0" w:color="auto"/>
        <w:bottom w:val="none" w:sz="0" w:space="0" w:color="auto"/>
        <w:right w:val="none" w:sz="0" w:space="0" w:color="auto"/>
      </w:divBdr>
      <w:divsChild>
        <w:div w:id="29956823">
          <w:marLeft w:val="0"/>
          <w:marRight w:val="0"/>
          <w:marTop w:val="0"/>
          <w:marBottom w:val="0"/>
          <w:divBdr>
            <w:top w:val="none" w:sz="0" w:space="0" w:color="auto"/>
            <w:left w:val="none" w:sz="0" w:space="0" w:color="auto"/>
            <w:bottom w:val="none" w:sz="0" w:space="0" w:color="auto"/>
            <w:right w:val="none" w:sz="0" w:space="0" w:color="auto"/>
          </w:divBdr>
        </w:div>
        <w:div w:id="368187065">
          <w:marLeft w:val="0"/>
          <w:marRight w:val="0"/>
          <w:marTop w:val="0"/>
          <w:marBottom w:val="0"/>
          <w:divBdr>
            <w:top w:val="none" w:sz="0" w:space="0" w:color="auto"/>
            <w:left w:val="none" w:sz="0" w:space="0" w:color="auto"/>
            <w:bottom w:val="none" w:sz="0" w:space="0" w:color="auto"/>
            <w:right w:val="none" w:sz="0" w:space="0" w:color="auto"/>
          </w:divBdr>
        </w:div>
        <w:div w:id="436217357">
          <w:marLeft w:val="0"/>
          <w:marRight w:val="0"/>
          <w:marTop w:val="0"/>
          <w:marBottom w:val="0"/>
          <w:divBdr>
            <w:top w:val="none" w:sz="0" w:space="0" w:color="auto"/>
            <w:left w:val="none" w:sz="0" w:space="0" w:color="auto"/>
            <w:bottom w:val="none" w:sz="0" w:space="0" w:color="auto"/>
            <w:right w:val="none" w:sz="0" w:space="0" w:color="auto"/>
          </w:divBdr>
        </w:div>
        <w:div w:id="475103013">
          <w:marLeft w:val="0"/>
          <w:marRight w:val="0"/>
          <w:marTop w:val="0"/>
          <w:marBottom w:val="0"/>
          <w:divBdr>
            <w:top w:val="none" w:sz="0" w:space="0" w:color="auto"/>
            <w:left w:val="none" w:sz="0" w:space="0" w:color="auto"/>
            <w:bottom w:val="none" w:sz="0" w:space="0" w:color="auto"/>
            <w:right w:val="none" w:sz="0" w:space="0" w:color="auto"/>
          </w:divBdr>
        </w:div>
        <w:div w:id="480122020">
          <w:marLeft w:val="0"/>
          <w:marRight w:val="0"/>
          <w:marTop w:val="0"/>
          <w:marBottom w:val="0"/>
          <w:divBdr>
            <w:top w:val="none" w:sz="0" w:space="0" w:color="auto"/>
            <w:left w:val="none" w:sz="0" w:space="0" w:color="auto"/>
            <w:bottom w:val="none" w:sz="0" w:space="0" w:color="auto"/>
            <w:right w:val="none" w:sz="0" w:space="0" w:color="auto"/>
          </w:divBdr>
        </w:div>
        <w:div w:id="486939829">
          <w:marLeft w:val="0"/>
          <w:marRight w:val="0"/>
          <w:marTop w:val="0"/>
          <w:marBottom w:val="0"/>
          <w:divBdr>
            <w:top w:val="none" w:sz="0" w:space="0" w:color="auto"/>
            <w:left w:val="none" w:sz="0" w:space="0" w:color="auto"/>
            <w:bottom w:val="none" w:sz="0" w:space="0" w:color="auto"/>
            <w:right w:val="none" w:sz="0" w:space="0" w:color="auto"/>
          </w:divBdr>
        </w:div>
        <w:div w:id="578948171">
          <w:marLeft w:val="0"/>
          <w:marRight w:val="0"/>
          <w:marTop w:val="0"/>
          <w:marBottom w:val="0"/>
          <w:divBdr>
            <w:top w:val="none" w:sz="0" w:space="0" w:color="auto"/>
            <w:left w:val="none" w:sz="0" w:space="0" w:color="auto"/>
            <w:bottom w:val="none" w:sz="0" w:space="0" w:color="auto"/>
            <w:right w:val="none" w:sz="0" w:space="0" w:color="auto"/>
          </w:divBdr>
        </w:div>
        <w:div w:id="593586124">
          <w:marLeft w:val="0"/>
          <w:marRight w:val="0"/>
          <w:marTop w:val="0"/>
          <w:marBottom w:val="0"/>
          <w:divBdr>
            <w:top w:val="none" w:sz="0" w:space="0" w:color="auto"/>
            <w:left w:val="none" w:sz="0" w:space="0" w:color="auto"/>
            <w:bottom w:val="none" w:sz="0" w:space="0" w:color="auto"/>
            <w:right w:val="none" w:sz="0" w:space="0" w:color="auto"/>
          </w:divBdr>
        </w:div>
        <w:div w:id="720134968">
          <w:marLeft w:val="0"/>
          <w:marRight w:val="0"/>
          <w:marTop w:val="0"/>
          <w:marBottom w:val="0"/>
          <w:divBdr>
            <w:top w:val="none" w:sz="0" w:space="0" w:color="auto"/>
            <w:left w:val="none" w:sz="0" w:space="0" w:color="auto"/>
            <w:bottom w:val="none" w:sz="0" w:space="0" w:color="auto"/>
            <w:right w:val="none" w:sz="0" w:space="0" w:color="auto"/>
          </w:divBdr>
        </w:div>
        <w:div w:id="779378631">
          <w:marLeft w:val="0"/>
          <w:marRight w:val="0"/>
          <w:marTop w:val="0"/>
          <w:marBottom w:val="0"/>
          <w:divBdr>
            <w:top w:val="none" w:sz="0" w:space="0" w:color="auto"/>
            <w:left w:val="none" w:sz="0" w:space="0" w:color="auto"/>
            <w:bottom w:val="none" w:sz="0" w:space="0" w:color="auto"/>
            <w:right w:val="none" w:sz="0" w:space="0" w:color="auto"/>
          </w:divBdr>
        </w:div>
        <w:div w:id="799692336">
          <w:marLeft w:val="0"/>
          <w:marRight w:val="0"/>
          <w:marTop w:val="0"/>
          <w:marBottom w:val="0"/>
          <w:divBdr>
            <w:top w:val="none" w:sz="0" w:space="0" w:color="auto"/>
            <w:left w:val="none" w:sz="0" w:space="0" w:color="auto"/>
            <w:bottom w:val="none" w:sz="0" w:space="0" w:color="auto"/>
            <w:right w:val="none" w:sz="0" w:space="0" w:color="auto"/>
          </w:divBdr>
        </w:div>
        <w:div w:id="1007057394">
          <w:marLeft w:val="0"/>
          <w:marRight w:val="0"/>
          <w:marTop w:val="0"/>
          <w:marBottom w:val="0"/>
          <w:divBdr>
            <w:top w:val="none" w:sz="0" w:space="0" w:color="auto"/>
            <w:left w:val="none" w:sz="0" w:space="0" w:color="auto"/>
            <w:bottom w:val="none" w:sz="0" w:space="0" w:color="auto"/>
            <w:right w:val="none" w:sz="0" w:space="0" w:color="auto"/>
          </w:divBdr>
        </w:div>
        <w:div w:id="1050105941">
          <w:marLeft w:val="0"/>
          <w:marRight w:val="0"/>
          <w:marTop w:val="0"/>
          <w:marBottom w:val="0"/>
          <w:divBdr>
            <w:top w:val="none" w:sz="0" w:space="0" w:color="auto"/>
            <w:left w:val="none" w:sz="0" w:space="0" w:color="auto"/>
            <w:bottom w:val="none" w:sz="0" w:space="0" w:color="auto"/>
            <w:right w:val="none" w:sz="0" w:space="0" w:color="auto"/>
          </w:divBdr>
        </w:div>
        <w:div w:id="1124883246">
          <w:marLeft w:val="0"/>
          <w:marRight w:val="0"/>
          <w:marTop w:val="0"/>
          <w:marBottom w:val="0"/>
          <w:divBdr>
            <w:top w:val="none" w:sz="0" w:space="0" w:color="auto"/>
            <w:left w:val="none" w:sz="0" w:space="0" w:color="auto"/>
            <w:bottom w:val="none" w:sz="0" w:space="0" w:color="auto"/>
            <w:right w:val="none" w:sz="0" w:space="0" w:color="auto"/>
          </w:divBdr>
        </w:div>
        <w:div w:id="1491100336">
          <w:marLeft w:val="0"/>
          <w:marRight w:val="0"/>
          <w:marTop w:val="0"/>
          <w:marBottom w:val="0"/>
          <w:divBdr>
            <w:top w:val="none" w:sz="0" w:space="0" w:color="auto"/>
            <w:left w:val="none" w:sz="0" w:space="0" w:color="auto"/>
            <w:bottom w:val="none" w:sz="0" w:space="0" w:color="auto"/>
            <w:right w:val="none" w:sz="0" w:space="0" w:color="auto"/>
          </w:divBdr>
        </w:div>
        <w:div w:id="1610234925">
          <w:marLeft w:val="0"/>
          <w:marRight w:val="0"/>
          <w:marTop w:val="0"/>
          <w:marBottom w:val="0"/>
          <w:divBdr>
            <w:top w:val="none" w:sz="0" w:space="0" w:color="auto"/>
            <w:left w:val="none" w:sz="0" w:space="0" w:color="auto"/>
            <w:bottom w:val="none" w:sz="0" w:space="0" w:color="auto"/>
            <w:right w:val="none" w:sz="0" w:space="0" w:color="auto"/>
          </w:divBdr>
        </w:div>
        <w:div w:id="1618440301">
          <w:marLeft w:val="0"/>
          <w:marRight w:val="0"/>
          <w:marTop w:val="0"/>
          <w:marBottom w:val="0"/>
          <w:divBdr>
            <w:top w:val="none" w:sz="0" w:space="0" w:color="auto"/>
            <w:left w:val="none" w:sz="0" w:space="0" w:color="auto"/>
            <w:bottom w:val="none" w:sz="0" w:space="0" w:color="auto"/>
            <w:right w:val="none" w:sz="0" w:space="0" w:color="auto"/>
          </w:divBdr>
        </w:div>
        <w:div w:id="1856069676">
          <w:marLeft w:val="0"/>
          <w:marRight w:val="0"/>
          <w:marTop w:val="0"/>
          <w:marBottom w:val="0"/>
          <w:divBdr>
            <w:top w:val="none" w:sz="0" w:space="0" w:color="auto"/>
            <w:left w:val="none" w:sz="0" w:space="0" w:color="auto"/>
            <w:bottom w:val="none" w:sz="0" w:space="0" w:color="auto"/>
            <w:right w:val="none" w:sz="0" w:space="0" w:color="auto"/>
          </w:divBdr>
        </w:div>
        <w:div w:id="1893270295">
          <w:marLeft w:val="0"/>
          <w:marRight w:val="0"/>
          <w:marTop w:val="0"/>
          <w:marBottom w:val="0"/>
          <w:divBdr>
            <w:top w:val="none" w:sz="0" w:space="0" w:color="auto"/>
            <w:left w:val="none" w:sz="0" w:space="0" w:color="auto"/>
            <w:bottom w:val="none" w:sz="0" w:space="0" w:color="auto"/>
            <w:right w:val="none" w:sz="0" w:space="0" w:color="auto"/>
          </w:divBdr>
        </w:div>
        <w:div w:id="2027366657">
          <w:marLeft w:val="0"/>
          <w:marRight w:val="0"/>
          <w:marTop w:val="0"/>
          <w:marBottom w:val="0"/>
          <w:divBdr>
            <w:top w:val="none" w:sz="0" w:space="0" w:color="auto"/>
            <w:left w:val="none" w:sz="0" w:space="0" w:color="auto"/>
            <w:bottom w:val="none" w:sz="0" w:space="0" w:color="auto"/>
            <w:right w:val="none" w:sz="0" w:space="0" w:color="auto"/>
          </w:divBdr>
        </w:div>
      </w:divsChild>
    </w:div>
    <w:div w:id="2093355258">
      <w:bodyDiv w:val="1"/>
      <w:marLeft w:val="0"/>
      <w:marRight w:val="0"/>
      <w:marTop w:val="0"/>
      <w:marBottom w:val="0"/>
      <w:divBdr>
        <w:top w:val="none" w:sz="0" w:space="0" w:color="auto"/>
        <w:left w:val="none" w:sz="0" w:space="0" w:color="auto"/>
        <w:bottom w:val="none" w:sz="0" w:space="0" w:color="auto"/>
        <w:right w:val="none" w:sz="0" w:space="0" w:color="auto"/>
      </w:divBdr>
      <w:divsChild>
        <w:div w:id="372535796">
          <w:marLeft w:val="0"/>
          <w:marRight w:val="0"/>
          <w:marTop w:val="0"/>
          <w:marBottom w:val="0"/>
          <w:divBdr>
            <w:top w:val="none" w:sz="0" w:space="0" w:color="auto"/>
            <w:left w:val="none" w:sz="0" w:space="0" w:color="auto"/>
            <w:bottom w:val="none" w:sz="0" w:space="0" w:color="auto"/>
            <w:right w:val="none" w:sz="0" w:space="0" w:color="auto"/>
          </w:divBdr>
        </w:div>
        <w:div w:id="815150453">
          <w:marLeft w:val="0"/>
          <w:marRight w:val="0"/>
          <w:marTop w:val="0"/>
          <w:marBottom w:val="0"/>
          <w:divBdr>
            <w:top w:val="none" w:sz="0" w:space="0" w:color="auto"/>
            <w:left w:val="none" w:sz="0" w:space="0" w:color="auto"/>
            <w:bottom w:val="none" w:sz="0" w:space="0" w:color="auto"/>
            <w:right w:val="none" w:sz="0" w:space="0" w:color="auto"/>
          </w:divBdr>
        </w:div>
        <w:div w:id="1358581589">
          <w:marLeft w:val="0"/>
          <w:marRight w:val="0"/>
          <w:marTop w:val="0"/>
          <w:marBottom w:val="0"/>
          <w:divBdr>
            <w:top w:val="none" w:sz="0" w:space="0" w:color="auto"/>
            <w:left w:val="none" w:sz="0" w:space="0" w:color="auto"/>
            <w:bottom w:val="none" w:sz="0" w:space="0" w:color="auto"/>
            <w:right w:val="none" w:sz="0" w:space="0" w:color="auto"/>
          </w:divBdr>
        </w:div>
        <w:div w:id="1448237043">
          <w:marLeft w:val="0"/>
          <w:marRight w:val="0"/>
          <w:marTop w:val="0"/>
          <w:marBottom w:val="0"/>
          <w:divBdr>
            <w:top w:val="none" w:sz="0" w:space="0" w:color="auto"/>
            <w:left w:val="none" w:sz="0" w:space="0" w:color="auto"/>
            <w:bottom w:val="none" w:sz="0" w:space="0" w:color="auto"/>
            <w:right w:val="none" w:sz="0" w:space="0" w:color="auto"/>
          </w:divBdr>
        </w:div>
        <w:div w:id="1520895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footer" Target="footer1.xm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oter" Target="footer3.xml"/><Relationship Id="rId7" Type="http://schemas.openxmlformats.org/officeDocument/2006/relationships/endnotes" Target="endnotes.xml"/><Relationship Id="rId17" Type="http://schemas.openxmlformats.org/officeDocument/2006/relationships/hyperlink" Target="mailto:Heather@analyticmatters.co.nz" TargetMode="External"/><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mail@clearhorizon.com.au" TargetMode="External"/><Relationship Id="rId20" Type="http://schemas.openxmlformats.org/officeDocument/2006/relationships/image" Target="media/image4.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aus01.safelinks.protection.outlook.com/?url=https%3A%2F%2Fwww.dfat.gov.au%2Faid%2Ftopics%2Fdevelopment-issues%2Fresearch&amp;data=05%7C01%7CKate.Fuller%40dfat.gov.au%7Ca99346b2942e42353e8608db34cc8c73%7C9b7f23b30e8347a58a40ffa8a6fea536%7C0%7C0%7C638161825884436237%7CUnknown%7CTWFpbGZsb3d8eyJWIjoiMC4wLjAwMDAiLCJQIjoiV2luMzIiLCJBTiI6Ik1haWwiLCJXVCI6Mn0%3D%7C3000%7C%7C%7C&amp;sdata=1gI4js5gCTta7iefcXDXCDgEHldKnmgFLnsDqG6p3oI%3D&amp;reserved=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diagramLayout" Target="diagrams/layout1.xml"/><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mailto:charlotte.bedford@anu.edu.au" TargetMode="Externa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palmscheme.gov.au/resources/palm-scheme-approved-employer-deed-agreement" TargetMode="External"/></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62C722-1C9B-4044-B78D-073866F8468E}" type="doc">
      <dgm:prSet loTypeId="urn:microsoft.com/office/officeart/2005/8/layout/equation1" loCatId="process" qsTypeId="urn:microsoft.com/office/officeart/2005/8/quickstyle/simple1" qsCatId="simple" csTypeId="urn:microsoft.com/office/officeart/2005/8/colors/accent4_1" csCatId="accent4" phldr="1"/>
      <dgm:spPr/>
    </dgm:pt>
    <dgm:pt modelId="{2303C9C9-A3E9-49E1-B082-BDC5B472FECF}">
      <dgm:prSet phldrT="[Text]" custT="1"/>
      <dgm:spPr/>
      <dgm:t>
        <a:bodyPr/>
        <a:lstStyle/>
        <a:p>
          <a:r>
            <a:rPr lang="en-AU" sz="800" dirty="0"/>
            <a:t>Strategy</a:t>
          </a:r>
        </a:p>
      </dgm:t>
    </dgm:pt>
    <dgm:pt modelId="{3A265C76-4C9E-467B-ABD7-FDB7A39AEA28}" type="parTrans" cxnId="{6FC30816-7572-45B9-BA57-2CE8FBABD158}">
      <dgm:prSet/>
      <dgm:spPr/>
      <dgm:t>
        <a:bodyPr/>
        <a:lstStyle/>
        <a:p>
          <a:endParaRPr lang="en-AU" sz="1200"/>
        </a:p>
      </dgm:t>
    </dgm:pt>
    <dgm:pt modelId="{5F564A7E-7B87-457B-9CF0-BA4A44B33991}" type="sibTrans" cxnId="{6FC30816-7572-45B9-BA57-2CE8FBABD158}">
      <dgm:prSet custT="1"/>
      <dgm:spPr/>
      <dgm:t>
        <a:bodyPr/>
        <a:lstStyle/>
        <a:p>
          <a:endParaRPr lang="en-AU" sz="1200"/>
        </a:p>
      </dgm:t>
    </dgm:pt>
    <dgm:pt modelId="{744C20A3-05EA-4C72-978A-D688B823A6D0}">
      <dgm:prSet phldrT="[Text]" custT="1"/>
      <dgm:spPr/>
      <dgm:t>
        <a:bodyPr/>
        <a:lstStyle/>
        <a:p>
          <a:r>
            <a:rPr lang="en-AU" sz="700" dirty="0"/>
            <a:t>People</a:t>
          </a:r>
        </a:p>
      </dgm:t>
    </dgm:pt>
    <dgm:pt modelId="{21200010-4BF8-48E1-A068-02E0E8F2A32B}" type="parTrans" cxnId="{607DE5D8-72ED-4CC2-8A18-4EA074CE083C}">
      <dgm:prSet/>
      <dgm:spPr/>
      <dgm:t>
        <a:bodyPr/>
        <a:lstStyle/>
        <a:p>
          <a:endParaRPr lang="en-AU" sz="1200"/>
        </a:p>
      </dgm:t>
    </dgm:pt>
    <dgm:pt modelId="{E80B2BD3-2451-4964-A737-0DFFDBD0C92E}" type="sibTrans" cxnId="{607DE5D8-72ED-4CC2-8A18-4EA074CE083C}">
      <dgm:prSet custT="1"/>
      <dgm:spPr/>
      <dgm:t>
        <a:bodyPr/>
        <a:lstStyle/>
        <a:p>
          <a:endParaRPr lang="en-AU" sz="1200"/>
        </a:p>
      </dgm:t>
    </dgm:pt>
    <dgm:pt modelId="{C9EF1301-1DCE-48E9-B0B1-21F5011B4321}">
      <dgm:prSet phldrT="[Text]" custT="1"/>
      <dgm:spPr/>
      <dgm:t>
        <a:bodyPr/>
        <a:lstStyle/>
        <a:p>
          <a:r>
            <a:rPr lang="en-AU" sz="700" dirty="0"/>
            <a:t>Skills</a:t>
          </a:r>
        </a:p>
      </dgm:t>
    </dgm:pt>
    <dgm:pt modelId="{6DF816C8-530C-41D4-A44F-43772B91C375}" type="parTrans" cxnId="{1DE10BF2-26F9-4DBD-B641-E02E4A3ECBB8}">
      <dgm:prSet/>
      <dgm:spPr/>
      <dgm:t>
        <a:bodyPr/>
        <a:lstStyle/>
        <a:p>
          <a:endParaRPr lang="en-AU" sz="1200"/>
        </a:p>
      </dgm:t>
    </dgm:pt>
    <dgm:pt modelId="{D2C26473-B501-45BC-B619-80F96841D9CD}" type="sibTrans" cxnId="{1DE10BF2-26F9-4DBD-B641-E02E4A3ECBB8}">
      <dgm:prSet custT="1"/>
      <dgm:spPr/>
      <dgm:t>
        <a:bodyPr/>
        <a:lstStyle/>
        <a:p>
          <a:endParaRPr lang="en-AU" sz="1200"/>
        </a:p>
      </dgm:t>
    </dgm:pt>
    <dgm:pt modelId="{281E4EEF-2BD8-4E59-8A43-8E1EBDD7DF9F}">
      <dgm:prSet phldrT="[Text]" custT="1"/>
      <dgm:spPr/>
      <dgm:t>
        <a:bodyPr/>
        <a:lstStyle/>
        <a:p>
          <a:r>
            <a:rPr lang="en-AU" sz="700" dirty="0"/>
            <a:t>Incentives</a:t>
          </a:r>
        </a:p>
      </dgm:t>
    </dgm:pt>
    <dgm:pt modelId="{B7C49007-CF00-444F-A4B0-A2DB88B64999}" type="parTrans" cxnId="{5A16F910-95E6-4D6C-A1BC-1E034001699F}">
      <dgm:prSet/>
      <dgm:spPr/>
      <dgm:t>
        <a:bodyPr/>
        <a:lstStyle/>
        <a:p>
          <a:endParaRPr lang="en-AU" sz="1200"/>
        </a:p>
      </dgm:t>
    </dgm:pt>
    <dgm:pt modelId="{3813BAFF-4209-4DE8-AFA2-067A9A876B01}" type="sibTrans" cxnId="{5A16F910-95E6-4D6C-A1BC-1E034001699F}">
      <dgm:prSet custT="1"/>
      <dgm:spPr/>
      <dgm:t>
        <a:bodyPr/>
        <a:lstStyle/>
        <a:p>
          <a:endParaRPr lang="en-AU" sz="1200"/>
        </a:p>
      </dgm:t>
    </dgm:pt>
    <dgm:pt modelId="{F13D6CAD-8732-4ED2-B4D3-6226DD54EE26}">
      <dgm:prSet phldrT="[Text]" custT="1"/>
      <dgm:spPr/>
      <dgm:t>
        <a:bodyPr/>
        <a:lstStyle/>
        <a:p>
          <a:r>
            <a:rPr lang="en-AU" sz="700" dirty="0"/>
            <a:t>Resources</a:t>
          </a:r>
        </a:p>
      </dgm:t>
    </dgm:pt>
    <dgm:pt modelId="{C263A68F-301B-45F5-B90D-01FC5194EBAF}" type="parTrans" cxnId="{7E2009F6-28F2-43E3-A6BF-5E5D7FE5737F}">
      <dgm:prSet/>
      <dgm:spPr/>
      <dgm:t>
        <a:bodyPr/>
        <a:lstStyle/>
        <a:p>
          <a:endParaRPr lang="en-AU" sz="1200"/>
        </a:p>
      </dgm:t>
    </dgm:pt>
    <dgm:pt modelId="{7732396A-CA80-48C2-93E4-3648FD08F191}" type="sibTrans" cxnId="{7E2009F6-28F2-43E3-A6BF-5E5D7FE5737F}">
      <dgm:prSet custT="1"/>
      <dgm:spPr/>
      <dgm:t>
        <a:bodyPr/>
        <a:lstStyle/>
        <a:p>
          <a:endParaRPr lang="en-AU" sz="1200"/>
        </a:p>
      </dgm:t>
    </dgm:pt>
    <dgm:pt modelId="{36DDF068-C0F9-4D87-B4B9-13CEAD1C2E9E}">
      <dgm:prSet phldrT="[Text]" custT="1"/>
      <dgm:spPr/>
      <dgm:t>
        <a:bodyPr/>
        <a:lstStyle/>
        <a:p>
          <a:r>
            <a:rPr lang="en-AU" sz="700" dirty="0"/>
            <a:t>Capacity</a:t>
          </a:r>
        </a:p>
      </dgm:t>
    </dgm:pt>
    <dgm:pt modelId="{5BC1DF7A-88BA-4EEB-8756-423FC2F9604A}" type="parTrans" cxnId="{EE7E45C0-B513-4487-BACB-C44E7ED99753}">
      <dgm:prSet/>
      <dgm:spPr/>
      <dgm:t>
        <a:bodyPr/>
        <a:lstStyle/>
        <a:p>
          <a:endParaRPr lang="en-AU" sz="1200"/>
        </a:p>
      </dgm:t>
    </dgm:pt>
    <dgm:pt modelId="{EBE8CB3C-1444-4621-B5AD-D2134947A192}" type="sibTrans" cxnId="{EE7E45C0-B513-4487-BACB-C44E7ED99753}">
      <dgm:prSet/>
      <dgm:spPr/>
      <dgm:t>
        <a:bodyPr/>
        <a:lstStyle/>
        <a:p>
          <a:endParaRPr lang="en-AU" sz="1200"/>
        </a:p>
      </dgm:t>
    </dgm:pt>
    <dgm:pt modelId="{B41F32BF-F1DD-48AF-820C-3E2318CCF0D0}">
      <dgm:prSet phldrT="[Text]" custT="1"/>
      <dgm:spPr/>
      <dgm:t>
        <a:bodyPr/>
        <a:lstStyle/>
        <a:p>
          <a:r>
            <a:rPr lang="en-AU" sz="700" dirty="0"/>
            <a:t>Systems</a:t>
          </a:r>
        </a:p>
      </dgm:t>
    </dgm:pt>
    <dgm:pt modelId="{B08999A3-1F8C-4BBF-B32F-ECD79DC4A4D4}" type="parTrans" cxnId="{3C4C653A-A6A2-4613-B045-C90BCABAA3ED}">
      <dgm:prSet/>
      <dgm:spPr/>
      <dgm:t>
        <a:bodyPr/>
        <a:lstStyle/>
        <a:p>
          <a:endParaRPr lang="en-AU" sz="1200"/>
        </a:p>
      </dgm:t>
    </dgm:pt>
    <dgm:pt modelId="{6A669376-6EEB-4946-BA7F-C5F418427519}" type="sibTrans" cxnId="{3C4C653A-A6A2-4613-B045-C90BCABAA3ED}">
      <dgm:prSet custT="1"/>
      <dgm:spPr/>
      <dgm:t>
        <a:bodyPr/>
        <a:lstStyle/>
        <a:p>
          <a:endParaRPr lang="en-AU" sz="1200"/>
        </a:p>
      </dgm:t>
    </dgm:pt>
    <dgm:pt modelId="{97A841DF-AC31-45F1-BC0C-A4649140F4E2}" type="pres">
      <dgm:prSet presAssocID="{6462C722-1C9B-4044-B78D-073866F8468E}" presName="linearFlow" presStyleCnt="0">
        <dgm:presLayoutVars>
          <dgm:dir/>
          <dgm:resizeHandles val="exact"/>
        </dgm:presLayoutVars>
      </dgm:prSet>
      <dgm:spPr/>
    </dgm:pt>
    <dgm:pt modelId="{A47C8017-0E00-4F04-949D-0F373B7C0E06}" type="pres">
      <dgm:prSet presAssocID="{2303C9C9-A3E9-49E1-B082-BDC5B472FECF}" presName="node" presStyleLbl="node1" presStyleIdx="0" presStyleCnt="7" custScaleX="187616" custScaleY="187616" custLinFactNeighborX="-1811">
        <dgm:presLayoutVars>
          <dgm:bulletEnabled val="1"/>
        </dgm:presLayoutVars>
      </dgm:prSet>
      <dgm:spPr/>
    </dgm:pt>
    <dgm:pt modelId="{F7E0F4F0-5EC4-44C3-942E-E5337C803991}" type="pres">
      <dgm:prSet presAssocID="{5F564A7E-7B87-457B-9CF0-BA4A44B33991}" presName="spacerL" presStyleCnt="0"/>
      <dgm:spPr/>
    </dgm:pt>
    <dgm:pt modelId="{A7BDDFD3-BB4C-4A09-9BAA-1B31EED8ED45}" type="pres">
      <dgm:prSet presAssocID="{5F564A7E-7B87-457B-9CF0-BA4A44B33991}" presName="sibTrans" presStyleLbl="sibTrans2D1" presStyleIdx="0" presStyleCnt="6"/>
      <dgm:spPr/>
    </dgm:pt>
    <dgm:pt modelId="{F0D3642D-AA5D-4350-A68F-031B760AD957}" type="pres">
      <dgm:prSet presAssocID="{5F564A7E-7B87-457B-9CF0-BA4A44B33991}" presName="spacerR" presStyleCnt="0"/>
      <dgm:spPr/>
    </dgm:pt>
    <dgm:pt modelId="{9A8B26A6-B4D9-4358-BCB8-00C00C38184F}" type="pres">
      <dgm:prSet presAssocID="{744C20A3-05EA-4C72-978A-D688B823A6D0}" presName="node" presStyleLbl="node1" presStyleIdx="1" presStyleCnt="7" custScaleX="187616" custScaleY="187616">
        <dgm:presLayoutVars>
          <dgm:bulletEnabled val="1"/>
        </dgm:presLayoutVars>
      </dgm:prSet>
      <dgm:spPr/>
    </dgm:pt>
    <dgm:pt modelId="{8E182042-353E-4B73-9615-E488A21D4C98}" type="pres">
      <dgm:prSet presAssocID="{E80B2BD3-2451-4964-A737-0DFFDBD0C92E}" presName="spacerL" presStyleCnt="0"/>
      <dgm:spPr/>
    </dgm:pt>
    <dgm:pt modelId="{39452E97-EE79-4140-BB38-856694033368}" type="pres">
      <dgm:prSet presAssocID="{E80B2BD3-2451-4964-A737-0DFFDBD0C92E}" presName="sibTrans" presStyleLbl="sibTrans2D1" presStyleIdx="1" presStyleCnt="6"/>
      <dgm:spPr/>
    </dgm:pt>
    <dgm:pt modelId="{205FB45C-BF65-40DE-A84B-914B9B357551}" type="pres">
      <dgm:prSet presAssocID="{E80B2BD3-2451-4964-A737-0DFFDBD0C92E}" presName="spacerR" presStyleCnt="0"/>
      <dgm:spPr/>
    </dgm:pt>
    <dgm:pt modelId="{04471729-5487-490A-8358-A037EA78AE9E}" type="pres">
      <dgm:prSet presAssocID="{C9EF1301-1DCE-48E9-B0B1-21F5011B4321}" presName="node" presStyleLbl="node1" presStyleIdx="2" presStyleCnt="7" custScaleX="187616" custScaleY="187616">
        <dgm:presLayoutVars>
          <dgm:bulletEnabled val="1"/>
        </dgm:presLayoutVars>
      </dgm:prSet>
      <dgm:spPr/>
    </dgm:pt>
    <dgm:pt modelId="{40300D71-48FD-409F-BB5B-A411B05417EF}" type="pres">
      <dgm:prSet presAssocID="{D2C26473-B501-45BC-B619-80F96841D9CD}" presName="spacerL" presStyleCnt="0"/>
      <dgm:spPr/>
    </dgm:pt>
    <dgm:pt modelId="{D72FDF0B-BFF4-44BB-BA37-490862731973}" type="pres">
      <dgm:prSet presAssocID="{D2C26473-B501-45BC-B619-80F96841D9CD}" presName="sibTrans" presStyleLbl="sibTrans2D1" presStyleIdx="2" presStyleCnt="6"/>
      <dgm:spPr/>
    </dgm:pt>
    <dgm:pt modelId="{8BDE96DE-14F9-4414-84C1-AFEA82B5CB03}" type="pres">
      <dgm:prSet presAssocID="{D2C26473-B501-45BC-B619-80F96841D9CD}" presName="spacerR" presStyleCnt="0"/>
      <dgm:spPr/>
    </dgm:pt>
    <dgm:pt modelId="{67C13D72-2426-45DA-A9AD-CE43E5F44A4F}" type="pres">
      <dgm:prSet presAssocID="{281E4EEF-2BD8-4E59-8A43-8E1EBDD7DF9F}" presName="node" presStyleLbl="node1" presStyleIdx="3" presStyleCnt="7" custScaleX="187616" custScaleY="187616">
        <dgm:presLayoutVars>
          <dgm:bulletEnabled val="1"/>
        </dgm:presLayoutVars>
      </dgm:prSet>
      <dgm:spPr/>
    </dgm:pt>
    <dgm:pt modelId="{9C6C4D73-F5C4-4E15-A440-43653B5AA435}" type="pres">
      <dgm:prSet presAssocID="{3813BAFF-4209-4DE8-AFA2-067A9A876B01}" presName="spacerL" presStyleCnt="0"/>
      <dgm:spPr/>
    </dgm:pt>
    <dgm:pt modelId="{D367556D-48AF-4361-ABE1-356F68198F17}" type="pres">
      <dgm:prSet presAssocID="{3813BAFF-4209-4DE8-AFA2-067A9A876B01}" presName="sibTrans" presStyleLbl="sibTrans2D1" presStyleIdx="3" presStyleCnt="6"/>
      <dgm:spPr/>
    </dgm:pt>
    <dgm:pt modelId="{24F75992-7FD7-465A-B360-162076C4E241}" type="pres">
      <dgm:prSet presAssocID="{3813BAFF-4209-4DE8-AFA2-067A9A876B01}" presName="spacerR" presStyleCnt="0"/>
      <dgm:spPr/>
    </dgm:pt>
    <dgm:pt modelId="{FA8566A1-7A94-498D-91F6-C9840FF2BA56}" type="pres">
      <dgm:prSet presAssocID="{B41F32BF-F1DD-48AF-820C-3E2318CCF0D0}" presName="node" presStyleLbl="node1" presStyleIdx="4" presStyleCnt="7" custScaleX="187616" custScaleY="187616">
        <dgm:presLayoutVars>
          <dgm:bulletEnabled val="1"/>
        </dgm:presLayoutVars>
      </dgm:prSet>
      <dgm:spPr/>
    </dgm:pt>
    <dgm:pt modelId="{94A4C802-3384-4B43-8691-2B65A45F966D}" type="pres">
      <dgm:prSet presAssocID="{6A669376-6EEB-4946-BA7F-C5F418427519}" presName="spacerL" presStyleCnt="0"/>
      <dgm:spPr/>
    </dgm:pt>
    <dgm:pt modelId="{73903E7C-97D2-409B-B3F7-0DE1567278D4}" type="pres">
      <dgm:prSet presAssocID="{6A669376-6EEB-4946-BA7F-C5F418427519}" presName="sibTrans" presStyleLbl="sibTrans2D1" presStyleIdx="4" presStyleCnt="6"/>
      <dgm:spPr/>
    </dgm:pt>
    <dgm:pt modelId="{0A64C916-22C7-451E-BAB3-C6150403B8CD}" type="pres">
      <dgm:prSet presAssocID="{6A669376-6EEB-4946-BA7F-C5F418427519}" presName="spacerR" presStyleCnt="0"/>
      <dgm:spPr/>
    </dgm:pt>
    <dgm:pt modelId="{E27A5A76-072F-4983-BE62-481AF6210AF5}" type="pres">
      <dgm:prSet presAssocID="{F13D6CAD-8732-4ED2-B4D3-6226DD54EE26}" presName="node" presStyleLbl="node1" presStyleIdx="5" presStyleCnt="7" custScaleX="187616" custScaleY="187616">
        <dgm:presLayoutVars>
          <dgm:bulletEnabled val="1"/>
        </dgm:presLayoutVars>
      </dgm:prSet>
      <dgm:spPr/>
    </dgm:pt>
    <dgm:pt modelId="{BAEAE5AA-3ABF-49EF-B45F-D0E5CD0BC44C}" type="pres">
      <dgm:prSet presAssocID="{7732396A-CA80-48C2-93E4-3648FD08F191}" presName="spacerL" presStyleCnt="0"/>
      <dgm:spPr/>
    </dgm:pt>
    <dgm:pt modelId="{78F5BFC1-F8B3-4824-990E-98923EBE091F}" type="pres">
      <dgm:prSet presAssocID="{7732396A-CA80-48C2-93E4-3648FD08F191}" presName="sibTrans" presStyleLbl="sibTrans2D1" presStyleIdx="5" presStyleCnt="6"/>
      <dgm:spPr/>
    </dgm:pt>
    <dgm:pt modelId="{31F6EC3C-4C03-4A0C-ACF1-231D1CE526BC}" type="pres">
      <dgm:prSet presAssocID="{7732396A-CA80-48C2-93E4-3648FD08F191}" presName="spacerR" presStyleCnt="0"/>
      <dgm:spPr/>
    </dgm:pt>
    <dgm:pt modelId="{99D7F424-F83F-42CB-94B9-E7BE26225619}" type="pres">
      <dgm:prSet presAssocID="{36DDF068-C0F9-4D87-B4B9-13CEAD1C2E9E}" presName="node" presStyleLbl="node1" presStyleIdx="6" presStyleCnt="7" custScaleX="151381" custScaleY="151381">
        <dgm:presLayoutVars>
          <dgm:bulletEnabled val="1"/>
        </dgm:presLayoutVars>
      </dgm:prSet>
      <dgm:spPr/>
    </dgm:pt>
  </dgm:ptLst>
  <dgm:cxnLst>
    <dgm:cxn modelId="{C7E4EF07-0592-41F4-82AE-09B6C014BE5E}" type="presOf" srcId="{744C20A3-05EA-4C72-978A-D688B823A6D0}" destId="{9A8B26A6-B4D9-4358-BCB8-00C00C38184F}" srcOrd="0" destOrd="0" presId="urn:microsoft.com/office/officeart/2005/8/layout/equation1"/>
    <dgm:cxn modelId="{5A16F910-95E6-4D6C-A1BC-1E034001699F}" srcId="{6462C722-1C9B-4044-B78D-073866F8468E}" destId="{281E4EEF-2BD8-4E59-8A43-8E1EBDD7DF9F}" srcOrd="3" destOrd="0" parTransId="{B7C49007-CF00-444F-A4B0-A2DB88B64999}" sibTransId="{3813BAFF-4209-4DE8-AFA2-067A9A876B01}"/>
    <dgm:cxn modelId="{6FC30816-7572-45B9-BA57-2CE8FBABD158}" srcId="{6462C722-1C9B-4044-B78D-073866F8468E}" destId="{2303C9C9-A3E9-49E1-B082-BDC5B472FECF}" srcOrd="0" destOrd="0" parTransId="{3A265C76-4C9E-467B-ABD7-FDB7A39AEA28}" sibTransId="{5F564A7E-7B87-457B-9CF0-BA4A44B33991}"/>
    <dgm:cxn modelId="{3C4C653A-A6A2-4613-B045-C90BCABAA3ED}" srcId="{6462C722-1C9B-4044-B78D-073866F8468E}" destId="{B41F32BF-F1DD-48AF-820C-3E2318CCF0D0}" srcOrd="4" destOrd="0" parTransId="{B08999A3-1F8C-4BBF-B32F-ECD79DC4A4D4}" sibTransId="{6A669376-6EEB-4946-BA7F-C5F418427519}"/>
    <dgm:cxn modelId="{66989D3B-79C3-4EFA-A3C2-DE8BE9DDF2E9}" type="presOf" srcId="{6A669376-6EEB-4946-BA7F-C5F418427519}" destId="{73903E7C-97D2-409B-B3F7-0DE1567278D4}" srcOrd="0" destOrd="0" presId="urn:microsoft.com/office/officeart/2005/8/layout/equation1"/>
    <dgm:cxn modelId="{D961C360-9CE4-440B-9A7D-E87A2CDB0DE4}" type="presOf" srcId="{D2C26473-B501-45BC-B619-80F96841D9CD}" destId="{D72FDF0B-BFF4-44BB-BA37-490862731973}" srcOrd="0" destOrd="0" presId="urn:microsoft.com/office/officeart/2005/8/layout/equation1"/>
    <dgm:cxn modelId="{170DB565-A693-4DE3-AC55-82BB946CD856}" type="presOf" srcId="{281E4EEF-2BD8-4E59-8A43-8E1EBDD7DF9F}" destId="{67C13D72-2426-45DA-A9AD-CE43E5F44A4F}" srcOrd="0" destOrd="0" presId="urn:microsoft.com/office/officeart/2005/8/layout/equation1"/>
    <dgm:cxn modelId="{EB1CA179-CD89-44C3-B123-40246E85D072}" type="presOf" srcId="{3813BAFF-4209-4DE8-AFA2-067A9A876B01}" destId="{D367556D-48AF-4361-ABE1-356F68198F17}" srcOrd="0" destOrd="0" presId="urn:microsoft.com/office/officeart/2005/8/layout/equation1"/>
    <dgm:cxn modelId="{4A96477E-2A67-4E65-83FA-CA1AD6D299E5}" type="presOf" srcId="{F13D6CAD-8732-4ED2-B4D3-6226DD54EE26}" destId="{E27A5A76-072F-4983-BE62-481AF6210AF5}" srcOrd="0" destOrd="0" presId="urn:microsoft.com/office/officeart/2005/8/layout/equation1"/>
    <dgm:cxn modelId="{2D4DA282-0F93-46FA-8988-6509BC51F5DF}" type="presOf" srcId="{2303C9C9-A3E9-49E1-B082-BDC5B472FECF}" destId="{A47C8017-0E00-4F04-949D-0F373B7C0E06}" srcOrd="0" destOrd="0" presId="urn:microsoft.com/office/officeart/2005/8/layout/equation1"/>
    <dgm:cxn modelId="{1067E382-31C3-444B-A68B-EB22AA981CEE}" type="presOf" srcId="{E80B2BD3-2451-4964-A737-0DFFDBD0C92E}" destId="{39452E97-EE79-4140-BB38-856694033368}" srcOrd="0" destOrd="0" presId="urn:microsoft.com/office/officeart/2005/8/layout/equation1"/>
    <dgm:cxn modelId="{A8E6DB89-D98D-48AA-B931-E44A78E29D71}" type="presOf" srcId="{6462C722-1C9B-4044-B78D-073866F8468E}" destId="{97A841DF-AC31-45F1-BC0C-A4649140F4E2}" srcOrd="0" destOrd="0" presId="urn:microsoft.com/office/officeart/2005/8/layout/equation1"/>
    <dgm:cxn modelId="{AC90F3AC-4C7A-4553-A469-7EE2E4792F39}" type="presOf" srcId="{5F564A7E-7B87-457B-9CF0-BA4A44B33991}" destId="{A7BDDFD3-BB4C-4A09-9BAA-1B31EED8ED45}" srcOrd="0" destOrd="0" presId="urn:microsoft.com/office/officeart/2005/8/layout/equation1"/>
    <dgm:cxn modelId="{EE7E45C0-B513-4487-BACB-C44E7ED99753}" srcId="{6462C722-1C9B-4044-B78D-073866F8468E}" destId="{36DDF068-C0F9-4D87-B4B9-13CEAD1C2E9E}" srcOrd="6" destOrd="0" parTransId="{5BC1DF7A-88BA-4EEB-8756-423FC2F9604A}" sibTransId="{EBE8CB3C-1444-4621-B5AD-D2134947A192}"/>
    <dgm:cxn modelId="{7C4F5EE8-E024-4FAA-B6E3-32855F4AD6D9}" type="presOf" srcId="{7732396A-CA80-48C2-93E4-3648FD08F191}" destId="{78F5BFC1-F8B3-4824-990E-98923EBE091F}" srcOrd="0" destOrd="0" presId="urn:microsoft.com/office/officeart/2005/8/layout/equation1"/>
    <dgm:cxn modelId="{1DE10BF2-26F9-4DBD-B641-E02E4A3ECBB8}" srcId="{6462C722-1C9B-4044-B78D-073866F8468E}" destId="{C9EF1301-1DCE-48E9-B0B1-21F5011B4321}" srcOrd="2" destOrd="0" parTransId="{6DF816C8-530C-41D4-A44F-43772B91C375}" sibTransId="{D2C26473-B501-45BC-B619-80F96841D9CD}"/>
    <dgm:cxn modelId="{9A6368F4-75B4-45A3-BB57-523ADF57D848}" type="presOf" srcId="{C9EF1301-1DCE-48E9-B0B1-21F5011B4321}" destId="{04471729-5487-490A-8358-A037EA78AE9E}" srcOrd="0" destOrd="0" presId="urn:microsoft.com/office/officeart/2005/8/layout/equation1"/>
    <dgm:cxn modelId="{7E2009F6-28F2-43E3-A6BF-5E5D7FE5737F}" srcId="{6462C722-1C9B-4044-B78D-073866F8468E}" destId="{F13D6CAD-8732-4ED2-B4D3-6226DD54EE26}" srcOrd="5" destOrd="0" parTransId="{C263A68F-301B-45F5-B90D-01FC5194EBAF}" sibTransId="{7732396A-CA80-48C2-93E4-3648FD08F191}"/>
    <dgm:cxn modelId="{607DE5D8-72ED-4CC2-8A18-4EA074CE083C}" srcId="{6462C722-1C9B-4044-B78D-073866F8468E}" destId="{744C20A3-05EA-4C72-978A-D688B823A6D0}" srcOrd="1" destOrd="0" parTransId="{21200010-4BF8-48E1-A068-02E0E8F2A32B}" sibTransId="{E80B2BD3-2451-4964-A737-0DFFDBD0C92E}"/>
    <dgm:cxn modelId="{B47645FA-695E-48DE-9F20-9FD7B51F693B}" type="presOf" srcId="{36DDF068-C0F9-4D87-B4B9-13CEAD1C2E9E}" destId="{99D7F424-F83F-42CB-94B9-E7BE26225619}" srcOrd="0" destOrd="0" presId="urn:microsoft.com/office/officeart/2005/8/layout/equation1"/>
    <dgm:cxn modelId="{D38B8DFD-BD5E-455F-B709-9310FFC0BC4A}" type="presOf" srcId="{B41F32BF-F1DD-48AF-820C-3E2318CCF0D0}" destId="{FA8566A1-7A94-498D-91F6-C9840FF2BA56}" srcOrd="0" destOrd="0" presId="urn:microsoft.com/office/officeart/2005/8/layout/equation1"/>
    <dgm:cxn modelId="{3ADE439F-0795-42DD-B8BD-6564BEA81886}" type="presParOf" srcId="{97A841DF-AC31-45F1-BC0C-A4649140F4E2}" destId="{A47C8017-0E00-4F04-949D-0F373B7C0E06}" srcOrd="0" destOrd="0" presId="urn:microsoft.com/office/officeart/2005/8/layout/equation1"/>
    <dgm:cxn modelId="{05561953-B808-42AC-9DA6-40195151850E}" type="presParOf" srcId="{97A841DF-AC31-45F1-BC0C-A4649140F4E2}" destId="{F7E0F4F0-5EC4-44C3-942E-E5337C803991}" srcOrd="1" destOrd="0" presId="urn:microsoft.com/office/officeart/2005/8/layout/equation1"/>
    <dgm:cxn modelId="{3FE06015-4BBA-4793-A9A2-F24394529F70}" type="presParOf" srcId="{97A841DF-AC31-45F1-BC0C-A4649140F4E2}" destId="{A7BDDFD3-BB4C-4A09-9BAA-1B31EED8ED45}" srcOrd="2" destOrd="0" presId="urn:microsoft.com/office/officeart/2005/8/layout/equation1"/>
    <dgm:cxn modelId="{C9E89B78-67FF-45FB-A19C-4A57286DDC75}" type="presParOf" srcId="{97A841DF-AC31-45F1-BC0C-A4649140F4E2}" destId="{F0D3642D-AA5D-4350-A68F-031B760AD957}" srcOrd="3" destOrd="0" presId="urn:microsoft.com/office/officeart/2005/8/layout/equation1"/>
    <dgm:cxn modelId="{7487CA4E-67F8-4B6A-8B9C-62AFDEF79A58}" type="presParOf" srcId="{97A841DF-AC31-45F1-BC0C-A4649140F4E2}" destId="{9A8B26A6-B4D9-4358-BCB8-00C00C38184F}" srcOrd="4" destOrd="0" presId="urn:microsoft.com/office/officeart/2005/8/layout/equation1"/>
    <dgm:cxn modelId="{704C2D46-65FA-49EE-845F-A30BED62A15C}" type="presParOf" srcId="{97A841DF-AC31-45F1-BC0C-A4649140F4E2}" destId="{8E182042-353E-4B73-9615-E488A21D4C98}" srcOrd="5" destOrd="0" presId="urn:microsoft.com/office/officeart/2005/8/layout/equation1"/>
    <dgm:cxn modelId="{4D72CBC5-6410-437C-A951-F8D7EE4FF844}" type="presParOf" srcId="{97A841DF-AC31-45F1-BC0C-A4649140F4E2}" destId="{39452E97-EE79-4140-BB38-856694033368}" srcOrd="6" destOrd="0" presId="urn:microsoft.com/office/officeart/2005/8/layout/equation1"/>
    <dgm:cxn modelId="{5DC8E6E2-CE28-448E-8CE6-4AC4F1FE96BA}" type="presParOf" srcId="{97A841DF-AC31-45F1-BC0C-A4649140F4E2}" destId="{205FB45C-BF65-40DE-A84B-914B9B357551}" srcOrd="7" destOrd="0" presId="urn:microsoft.com/office/officeart/2005/8/layout/equation1"/>
    <dgm:cxn modelId="{5EB29873-5D13-41B9-B0BC-19A877BA4E9A}" type="presParOf" srcId="{97A841DF-AC31-45F1-BC0C-A4649140F4E2}" destId="{04471729-5487-490A-8358-A037EA78AE9E}" srcOrd="8" destOrd="0" presId="urn:microsoft.com/office/officeart/2005/8/layout/equation1"/>
    <dgm:cxn modelId="{031EFCDF-BF99-45CA-85DE-175BA9EC1D92}" type="presParOf" srcId="{97A841DF-AC31-45F1-BC0C-A4649140F4E2}" destId="{40300D71-48FD-409F-BB5B-A411B05417EF}" srcOrd="9" destOrd="0" presId="urn:microsoft.com/office/officeart/2005/8/layout/equation1"/>
    <dgm:cxn modelId="{16EFF590-1498-4D4F-89FC-18B52FD8F632}" type="presParOf" srcId="{97A841DF-AC31-45F1-BC0C-A4649140F4E2}" destId="{D72FDF0B-BFF4-44BB-BA37-490862731973}" srcOrd="10" destOrd="0" presId="urn:microsoft.com/office/officeart/2005/8/layout/equation1"/>
    <dgm:cxn modelId="{8F918FFA-9CDC-4E8F-AC52-A8BDF867C102}" type="presParOf" srcId="{97A841DF-AC31-45F1-BC0C-A4649140F4E2}" destId="{8BDE96DE-14F9-4414-84C1-AFEA82B5CB03}" srcOrd="11" destOrd="0" presId="urn:microsoft.com/office/officeart/2005/8/layout/equation1"/>
    <dgm:cxn modelId="{1B95CF20-A08E-4E20-BA6D-4AAAED1A9BB5}" type="presParOf" srcId="{97A841DF-AC31-45F1-BC0C-A4649140F4E2}" destId="{67C13D72-2426-45DA-A9AD-CE43E5F44A4F}" srcOrd="12" destOrd="0" presId="urn:microsoft.com/office/officeart/2005/8/layout/equation1"/>
    <dgm:cxn modelId="{E16C49E9-4E97-4376-8330-3627E6D14D4C}" type="presParOf" srcId="{97A841DF-AC31-45F1-BC0C-A4649140F4E2}" destId="{9C6C4D73-F5C4-4E15-A440-43653B5AA435}" srcOrd="13" destOrd="0" presId="urn:microsoft.com/office/officeart/2005/8/layout/equation1"/>
    <dgm:cxn modelId="{B892379C-04C6-4F5B-8B69-7377691054E7}" type="presParOf" srcId="{97A841DF-AC31-45F1-BC0C-A4649140F4E2}" destId="{D367556D-48AF-4361-ABE1-356F68198F17}" srcOrd="14" destOrd="0" presId="urn:microsoft.com/office/officeart/2005/8/layout/equation1"/>
    <dgm:cxn modelId="{B632BDA1-D030-4B41-B328-01ECD498CABE}" type="presParOf" srcId="{97A841DF-AC31-45F1-BC0C-A4649140F4E2}" destId="{24F75992-7FD7-465A-B360-162076C4E241}" srcOrd="15" destOrd="0" presId="urn:microsoft.com/office/officeart/2005/8/layout/equation1"/>
    <dgm:cxn modelId="{81F92E4C-259E-47FC-B842-30211461AFFE}" type="presParOf" srcId="{97A841DF-AC31-45F1-BC0C-A4649140F4E2}" destId="{FA8566A1-7A94-498D-91F6-C9840FF2BA56}" srcOrd="16" destOrd="0" presId="urn:microsoft.com/office/officeart/2005/8/layout/equation1"/>
    <dgm:cxn modelId="{245DA635-1459-4574-95DF-119897C84D62}" type="presParOf" srcId="{97A841DF-AC31-45F1-BC0C-A4649140F4E2}" destId="{94A4C802-3384-4B43-8691-2B65A45F966D}" srcOrd="17" destOrd="0" presId="urn:microsoft.com/office/officeart/2005/8/layout/equation1"/>
    <dgm:cxn modelId="{5ECD1989-3EAA-4EB6-991B-D84A64F0AF20}" type="presParOf" srcId="{97A841DF-AC31-45F1-BC0C-A4649140F4E2}" destId="{73903E7C-97D2-409B-B3F7-0DE1567278D4}" srcOrd="18" destOrd="0" presId="urn:microsoft.com/office/officeart/2005/8/layout/equation1"/>
    <dgm:cxn modelId="{B56E3BDF-1E03-46DE-A14E-18BCC2B07512}" type="presParOf" srcId="{97A841DF-AC31-45F1-BC0C-A4649140F4E2}" destId="{0A64C916-22C7-451E-BAB3-C6150403B8CD}" srcOrd="19" destOrd="0" presId="urn:microsoft.com/office/officeart/2005/8/layout/equation1"/>
    <dgm:cxn modelId="{4E611157-5C30-4939-B3BF-1C8B9143A181}" type="presParOf" srcId="{97A841DF-AC31-45F1-BC0C-A4649140F4E2}" destId="{E27A5A76-072F-4983-BE62-481AF6210AF5}" srcOrd="20" destOrd="0" presId="urn:microsoft.com/office/officeart/2005/8/layout/equation1"/>
    <dgm:cxn modelId="{EE1ADA88-4826-417D-8B8B-73CF3E63EBB7}" type="presParOf" srcId="{97A841DF-AC31-45F1-BC0C-A4649140F4E2}" destId="{BAEAE5AA-3ABF-49EF-B45F-D0E5CD0BC44C}" srcOrd="21" destOrd="0" presId="urn:microsoft.com/office/officeart/2005/8/layout/equation1"/>
    <dgm:cxn modelId="{D91232C4-FA1B-4FD8-B28B-985A0392C827}" type="presParOf" srcId="{97A841DF-AC31-45F1-BC0C-A4649140F4E2}" destId="{78F5BFC1-F8B3-4824-990E-98923EBE091F}" srcOrd="22" destOrd="0" presId="urn:microsoft.com/office/officeart/2005/8/layout/equation1"/>
    <dgm:cxn modelId="{7D5B2421-179B-437A-BC86-399EC8A9AB45}" type="presParOf" srcId="{97A841DF-AC31-45F1-BC0C-A4649140F4E2}" destId="{31F6EC3C-4C03-4A0C-ACF1-231D1CE526BC}" srcOrd="23" destOrd="0" presId="urn:microsoft.com/office/officeart/2005/8/layout/equation1"/>
    <dgm:cxn modelId="{E4889FFD-5EBC-467A-90E5-65F337DCE2A4}" type="presParOf" srcId="{97A841DF-AC31-45F1-BC0C-A4649140F4E2}" destId="{99D7F424-F83F-42CB-94B9-E7BE26225619}" srcOrd="24" destOrd="0" presId="urn:microsoft.com/office/officeart/2005/8/layout/equati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7C8017-0E00-4F04-949D-0F373B7C0E06}">
      <dsp:nvSpPr>
        <dsp:cNvPr id="0" name=""/>
        <dsp:cNvSpPr/>
      </dsp:nvSpPr>
      <dsp:spPr>
        <a:xfrm>
          <a:off x="12" y="85877"/>
          <a:ext cx="674369" cy="67436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Strategy</a:t>
          </a:r>
        </a:p>
      </dsp:txBody>
      <dsp:txXfrm>
        <a:off x="98771" y="184636"/>
        <a:ext cx="476851" cy="476851"/>
      </dsp:txXfrm>
    </dsp:sp>
    <dsp:sp modelId="{A7BDDFD3-BB4C-4A09-9BAA-1B31EED8ED45}">
      <dsp:nvSpPr>
        <dsp:cNvPr id="0" name=""/>
        <dsp:cNvSpPr/>
      </dsp:nvSpPr>
      <dsp:spPr>
        <a:xfrm>
          <a:off x="704097" y="318824"/>
          <a:ext cx="208475" cy="208475"/>
        </a:xfrm>
        <a:prstGeom prst="mathPlus">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731730" y="398545"/>
        <a:ext cx="153209" cy="49033"/>
      </dsp:txXfrm>
    </dsp:sp>
    <dsp:sp modelId="{9A8B26A6-B4D9-4358-BCB8-00C00C38184F}">
      <dsp:nvSpPr>
        <dsp:cNvPr id="0" name=""/>
        <dsp:cNvSpPr/>
      </dsp:nvSpPr>
      <dsp:spPr>
        <a:xfrm>
          <a:off x="941759" y="85877"/>
          <a:ext cx="674369" cy="67436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dirty="0"/>
            <a:t>People</a:t>
          </a:r>
        </a:p>
      </dsp:txBody>
      <dsp:txXfrm>
        <a:off x="1040518" y="184636"/>
        <a:ext cx="476851" cy="476851"/>
      </dsp:txXfrm>
    </dsp:sp>
    <dsp:sp modelId="{39452E97-EE79-4140-BB38-856694033368}">
      <dsp:nvSpPr>
        <dsp:cNvPr id="0" name=""/>
        <dsp:cNvSpPr/>
      </dsp:nvSpPr>
      <dsp:spPr>
        <a:xfrm>
          <a:off x="1645315" y="318824"/>
          <a:ext cx="208475" cy="208475"/>
        </a:xfrm>
        <a:prstGeom prst="mathPlus">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1672948" y="398545"/>
        <a:ext cx="153209" cy="49033"/>
      </dsp:txXfrm>
    </dsp:sp>
    <dsp:sp modelId="{04471729-5487-490A-8358-A037EA78AE9E}">
      <dsp:nvSpPr>
        <dsp:cNvPr id="0" name=""/>
        <dsp:cNvSpPr/>
      </dsp:nvSpPr>
      <dsp:spPr>
        <a:xfrm>
          <a:off x="1882978" y="85877"/>
          <a:ext cx="674369" cy="67436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dirty="0"/>
            <a:t>Skills</a:t>
          </a:r>
        </a:p>
      </dsp:txBody>
      <dsp:txXfrm>
        <a:off x="1981737" y="184636"/>
        <a:ext cx="476851" cy="476851"/>
      </dsp:txXfrm>
    </dsp:sp>
    <dsp:sp modelId="{D72FDF0B-BFF4-44BB-BA37-490862731973}">
      <dsp:nvSpPr>
        <dsp:cNvPr id="0" name=""/>
        <dsp:cNvSpPr/>
      </dsp:nvSpPr>
      <dsp:spPr>
        <a:xfrm>
          <a:off x="2586534" y="318824"/>
          <a:ext cx="208475" cy="208475"/>
        </a:xfrm>
        <a:prstGeom prst="mathPlus">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2614167" y="398545"/>
        <a:ext cx="153209" cy="49033"/>
      </dsp:txXfrm>
    </dsp:sp>
    <dsp:sp modelId="{67C13D72-2426-45DA-A9AD-CE43E5F44A4F}">
      <dsp:nvSpPr>
        <dsp:cNvPr id="0" name=""/>
        <dsp:cNvSpPr/>
      </dsp:nvSpPr>
      <dsp:spPr>
        <a:xfrm>
          <a:off x="2824197" y="85877"/>
          <a:ext cx="674369" cy="67436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dirty="0"/>
            <a:t>Incentives</a:t>
          </a:r>
        </a:p>
      </dsp:txBody>
      <dsp:txXfrm>
        <a:off x="2922956" y="184636"/>
        <a:ext cx="476851" cy="476851"/>
      </dsp:txXfrm>
    </dsp:sp>
    <dsp:sp modelId="{D367556D-48AF-4361-ABE1-356F68198F17}">
      <dsp:nvSpPr>
        <dsp:cNvPr id="0" name=""/>
        <dsp:cNvSpPr/>
      </dsp:nvSpPr>
      <dsp:spPr>
        <a:xfrm>
          <a:off x="3527753" y="318824"/>
          <a:ext cx="208475" cy="208475"/>
        </a:xfrm>
        <a:prstGeom prst="mathPlus">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3555386" y="398545"/>
        <a:ext cx="153209" cy="49033"/>
      </dsp:txXfrm>
    </dsp:sp>
    <dsp:sp modelId="{FA8566A1-7A94-498D-91F6-C9840FF2BA56}">
      <dsp:nvSpPr>
        <dsp:cNvPr id="0" name=""/>
        <dsp:cNvSpPr/>
      </dsp:nvSpPr>
      <dsp:spPr>
        <a:xfrm>
          <a:off x="3765415" y="85877"/>
          <a:ext cx="674369" cy="67436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dirty="0"/>
            <a:t>Systems</a:t>
          </a:r>
        </a:p>
      </dsp:txBody>
      <dsp:txXfrm>
        <a:off x="3864174" y="184636"/>
        <a:ext cx="476851" cy="476851"/>
      </dsp:txXfrm>
    </dsp:sp>
    <dsp:sp modelId="{73903E7C-97D2-409B-B3F7-0DE1567278D4}">
      <dsp:nvSpPr>
        <dsp:cNvPr id="0" name=""/>
        <dsp:cNvSpPr/>
      </dsp:nvSpPr>
      <dsp:spPr>
        <a:xfrm>
          <a:off x="4468971" y="318824"/>
          <a:ext cx="208475" cy="208475"/>
        </a:xfrm>
        <a:prstGeom prst="mathPlus">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4496604" y="398545"/>
        <a:ext cx="153209" cy="49033"/>
      </dsp:txXfrm>
    </dsp:sp>
    <dsp:sp modelId="{E27A5A76-072F-4983-BE62-481AF6210AF5}">
      <dsp:nvSpPr>
        <dsp:cNvPr id="0" name=""/>
        <dsp:cNvSpPr/>
      </dsp:nvSpPr>
      <dsp:spPr>
        <a:xfrm>
          <a:off x="4706634" y="85877"/>
          <a:ext cx="674369" cy="67436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dirty="0"/>
            <a:t>Resources</a:t>
          </a:r>
        </a:p>
      </dsp:txBody>
      <dsp:txXfrm>
        <a:off x="4805393" y="184636"/>
        <a:ext cx="476851" cy="476851"/>
      </dsp:txXfrm>
    </dsp:sp>
    <dsp:sp modelId="{78F5BFC1-F8B3-4824-990E-98923EBE091F}">
      <dsp:nvSpPr>
        <dsp:cNvPr id="0" name=""/>
        <dsp:cNvSpPr/>
      </dsp:nvSpPr>
      <dsp:spPr>
        <a:xfrm>
          <a:off x="5410190" y="318824"/>
          <a:ext cx="208475" cy="208475"/>
        </a:xfrm>
        <a:prstGeom prst="mathEqual">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5437823" y="361770"/>
        <a:ext cx="153209" cy="122583"/>
      </dsp:txXfrm>
    </dsp:sp>
    <dsp:sp modelId="{99D7F424-F83F-42CB-94B9-E7BE26225619}">
      <dsp:nvSpPr>
        <dsp:cNvPr id="0" name=""/>
        <dsp:cNvSpPr/>
      </dsp:nvSpPr>
      <dsp:spPr>
        <a:xfrm>
          <a:off x="5647853" y="150999"/>
          <a:ext cx="544125" cy="544125"/>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dirty="0"/>
            <a:t>Capacity</a:t>
          </a:r>
        </a:p>
      </dsp:txBody>
      <dsp:txXfrm>
        <a:off x="5727538" y="230684"/>
        <a:ext cx="384755" cy="384755"/>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0FC3A61ED9408898E47A372E50A82A"/>
        <w:category>
          <w:name w:val="General"/>
          <w:gallery w:val="placeholder"/>
        </w:category>
        <w:types>
          <w:type w:val="bbPlcHdr"/>
        </w:types>
        <w:behaviors>
          <w:behavior w:val="content"/>
        </w:behaviors>
        <w:guid w:val="{DAFB5F08-BE10-4C2E-BF66-143329D05F83}"/>
      </w:docPartPr>
      <w:docPartBody>
        <w:p w:rsidR="00AD7F0A" w:rsidRDefault="003D56AE" w:rsidP="003D56AE">
          <w:pPr>
            <w:pStyle w:val="A60FC3A61ED9408898E47A372E50A82A2"/>
          </w:pPr>
          <w:r w:rsidRPr="00AE50D3">
            <w:rPr>
              <w:rStyle w:val="PlaceholderText"/>
            </w:rPr>
            <w:t>Click or tap to enter a date.</w:t>
          </w:r>
        </w:p>
      </w:docPartBody>
    </w:docPart>
    <w:docPart>
      <w:docPartPr>
        <w:name w:val="6613D8547DED43EEB38833D3D0479F1A"/>
        <w:category>
          <w:name w:val="General"/>
          <w:gallery w:val="placeholder"/>
        </w:category>
        <w:types>
          <w:type w:val="bbPlcHdr"/>
        </w:types>
        <w:behaviors>
          <w:behavior w:val="content"/>
        </w:behaviors>
        <w:guid w:val="{D0387DA0-012E-450F-8536-9C10FFA92889}"/>
      </w:docPartPr>
      <w:docPartBody>
        <w:p w:rsidR="008E1ED3" w:rsidRDefault="003D56AE" w:rsidP="003D56AE">
          <w:pPr>
            <w:pStyle w:val="6613D8547DED43EEB38833D3D0479F1A2"/>
          </w:pPr>
          <w:r w:rsidRPr="004D61A4">
            <w:rPr>
              <w:rStyle w:val="PlaceholderText"/>
            </w:rPr>
            <w:t>[enter CH Contact Name]</w:t>
          </w:r>
        </w:p>
      </w:docPartBody>
    </w:docPart>
    <w:docPart>
      <w:docPartPr>
        <w:name w:val="2892731E46174CA0BAD92CDE37E393A1"/>
        <w:category>
          <w:name w:val="General"/>
          <w:gallery w:val="placeholder"/>
        </w:category>
        <w:types>
          <w:type w:val="bbPlcHdr"/>
        </w:types>
        <w:behaviors>
          <w:behavior w:val="content"/>
        </w:behaviors>
        <w:guid w:val="{EE07312E-04AB-4AA7-8BF2-4E84168B5D09}"/>
      </w:docPartPr>
      <w:docPartBody>
        <w:p w:rsidR="008E1ED3" w:rsidRDefault="003D56AE" w:rsidP="003D56AE">
          <w:pPr>
            <w:pStyle w:val="2892731E46174CA0BAD92CDE37E393A12"/>
          </w:pPr>
          <w:r w:rsidRPr="004D61A4">
            <w:rPr>
              <w:rStyle w:val="PlaceholderText"/>
            </w:rPr>
            <w:t>[enter CH Contact Job Title]</w:t>
          </w:r>
        </w:p>
      </w:docPartBody>
    </w:docPart>
    <w:docPart>
      <w:docPartPr>
        <w:name w:val="396D43CEEE554A4FB918F2D38B42106D"/>
        <w:category>
          <w:name w:val="General"/>
          <w:gallery w:val="placeholder"/>
        </w:category>
        <w:types>
          <w:type w:val="bbPlcHdr"/>
        </w:types>
        <w:behaviors>
          <w:behavior w:val="content"/>
        </w:behaviors>
        <w:guid w:val="{D1F970EB-6AE9-45E1-B641-96A29E9FF0D8}"/>
      </w:docPartPr>
      <w:docPartBody>
        <w:p w:rsidR="008E1ED3" w:rsidRDefault="003D56AE" w:rsidP="003D56AE">
          <w:pPr>
            <w:pStyle w:val="396D43CEEE554A4FB918F2D38B42106D1"/>
          </w:pPr>
          <w:r w:rsidRPr="004D61A4">
            <w:rPr>
              <w:rStyle w:val="PlaceholderText"/>
            </w:rPr>
            <w:t>[your email]</w:t>
          </w:r>
        </w:p>
      </w:docPartBody>
    </w:docPart>
    <w:docPart>
      <w:docPartPr>
        <w:name w:val="533BE4E2552F45969B82A271CE94926B"/>
        <w:category>
          <w:name w:val="General"/>
          <w:gallery w:val="placeholder"/>
        </w:category>
        <w:types>
          <w:type w:val="bbPlcHdr"/>
        </w:types>
        <w:behaviors>
          <w:behavior w:val="content"/>
        </w:behaviors>
        <w:guid w:val="{9B8905FE-F04C-457F-90CB-0EB65C831757}"/>
      </w:docPartPr>
      <w:docPartBody>
        <w:p w:rsidR="008E1ED3" w:rsidRDefault="003D56AE" w:rsidP="003D56AE">
          <w:pPr>
            <w:pStyle w:val="533BE4E2552F45969B82A271CE94926B1"/>
          </w:pPr>
          <w:r w:rsidRPr="004D61A4">
            <w:rPr>
              <w:rStyle w:val="PlaceholderText"/>
            </w:rPr>
            <w:t>[enter Client Contact Name]</w:t>
          </w:r>
        </w:p>
      </w:docPartBody>
    </w:docPart>
    <w:docPart>
      <w:docPartPr>
        <w:name w:val="33498B0EA9B74D16965ADBFF6B1810B0"/>
        <w:category>
          <w:name w:val="General"/>
          <w:gallery w:val="placeholder"/>
        </w:category>
        <w:types>
          <w:type w:val="bbPlcHdr"/>
        </w:types>
        <w:behaviors>
          <w:behavior w:val="content"/>
        </w:behaviors>
        <w:guid w:val="{9DFB3AC1-81EB-46D0-ADE4-DE11A9CCDC86}"/>
      </w:docPartPr>
      <w:docPartBody>
        <w:p w:rsidR="008E1ED3" w:rsidRDefault="003D56AE" w:rsidP="003D56AE">
          <w:pPr>
            <w:pStyle w:val="33498B0EA9B74D16965ADBFF6B1810B01"/>
          </w:pPr>
          <w:r w:rsidRPr="004D61A4">
            <w:rPr>
              <w:rStyle w:val="PlaceholderText"/>
            </w:rPr>
            <w:t>[enter Client Contact Job Title]</w:t>
          </w:r>
        </w:p>
      </w:docPartBody>
    </w:docPart>
    <w:docPart>
      <w:docPartPr>
        <w:name w:val="8A240CE695444108866BFEA92BC80B87"/>
        <w:category>
          <w:name w:val="General"/>
          <w:gallery w:val="placeholder"/>
        </w:category>
        <w:types>
          <w:type w:val="bbPlcHdr"/>
        </w:types>
        <w:behaviors>
          <w:behavior w:val="content"/>
        </w:behaviors>
        <w:guid w:val="{BF282B4E-B9C9-43F0-A002-1ABE2D42FE0E}"/>
      </w:docPartPr>
      <w:docPartBody>
        <w:p w:rsidR="008E1ED3" w:rsidRDefault="003D56AE" w:rsidP="003D56AE">
          <w:pPr>
            <w:pStyle w:val="8A240CE695444108866BFEA92BC80B871"/>
          </w:pPr>
          <w:r w:rsidRPr="004D61A4">
            <w:rPr>
              <w:rStyle w:val="PlaceholderText"/>
            </w:rPr>
            <w:t>[enter Client Company Name]</w:t>
          </w:r>
        </w:p>
      </w:docPartBody>
    </w:docPart>
    <w:docPart>
      <w:docPartPr>
        <w:name w:val="847A730C8C8344629917DD23C0917AF0"/>
        <w:category>
          <w:name w:val="General"/>
          <w:gallery w:val="placeholder"/>
        </w:category>
        <w:types>
          <w:type w:val="bbPlcHdr"/>
        </w:types>
        <w:behaviors>
          <w:behavior w:val="content"/>
        </w:behaviors>
        <w:guid w:val="{29B5D411-6344-4D9B-96A8-927D3B587D22}"/>
      </w:docPartPr>
      <w:docPartBody>
        <w:p w:rsidR="008E1ED3" w:rsidRDefault="003D56AE" w:rsidP="003D56AE">
          <w:pPr>
            <w:pStyle w:val="847A730C8C8344629917DD23C0917AF01"/>
          </w:pPr>
          <w:r w:rsidRPr="004D61A4">
            <w:rPr>
              <w:rStyle w:val="PlaceholderText"/>
            </w:rPr>
            <w:t>[enter Client Company Address]</w:t>
          </w:r>
        </w:p>
      </w:docPartBody>
    </w:docPart>
    <w:docPart>
      <w:docPartPr>
        <w:name w:val="36069466349244E98A3559D115A05383"/>
        <w:category>
          <w:name w:val="General"/>
          <w:gallery w:val="placeholder"/>
        </w:category>
        <w:types>
          <w:type w:val="bbPlcHdr"/>
        </w:types>
        <w:behaviors>
          <w:behavior w:val="content"/>
        </w:behaviors>
        <w:guid w:val="{E368DDC0-8842-4483-817F-AE92C8E0DA67}"/>
      </w:docPartPr>
      <w:docPartBody>
        <w:p w:rsidR="008E1ED3" w:rsidRDefault="003D56AE" w:rsidP="003D56AE">
          <w:pPr>
            <w:pStyle w:val="36069466349244E98A3559D115A053831"/>
          </w:pPr>
          <w:r w:rsidRPr="004D61A4">
            <w:rPr>
              <w:rStyle w:val="PlaceholderText"/>
            </w:rPr>
            <w:t>[enter Client Contact Phone Number]</w:t>
          </w:r>
        </w:p>
      </w:docPartBody>
    </w:docPart>
    <w:docPart>
      <w:docPartPr>
        <w:name w:val="87CBF3FE58124EE1ACE382DDC4E538FE"/>
        <w:category>
          <w:name w:val="General"/>
          <w:gallery w:val="placeholder"/>
        </w:category>
        <w:types>
          <w:type w:val="bbPlcHdr"/>
        </w:types>
        <w:behaviors>
          <w:behavior w:val="content"/>
        </w:behaviors>
        <w:guid w:val="{3F79AE95-8B20-4FD1-A6D1-B540FBB64051}"/>
      </w:docPartPr>
      <w:docPartBody>
        <w:p w:rsidR="008E1ED3" w:rsidRDefault="003D56AE" w:rsidP="003D56AE">
          <w:pPr>
            <w:pStyle w:val="87CBF3FE58124EE1ACE382DDC4E538FE1"/>
          </w:pPr>
          <w:r w:rsidRPr="004D61A4">
            <w:rPr>
              <w:rStyle w:val="PlaceholderText"/>
            </w:rPr>
            <w:t>[enter Client Contact Email]</w:t>
          </w:r>
        </w:p>
      </w:docPartBody>
    </w:docPart>
    <w:docPart>
      <w:docPartPr>
        <w:name w:val="7532AFC8B266423690252EF3FAF1BD1D"/>
        <w:category>
          <w:name w:val="General"/>
          <w:gallery w:val="placeholder"/>
        </w:category>
        <w:types>
          <w:type w:val="bbPlcHdr"/>
        </w:types>
        <w:behaviors>
          <w:behavior w:val="content"/>
        </w:behaviors>
        <w:guid w:val="{358D8385-EEB7-4041-A6A4-D4C263656D47}"/>
      </w:docPartPr>
      <w:docPartBody>
        <w:p w:rsidR="008E1ED3" w:rsidRDefault="003D56AE" w:rsidP="003D56AE">
          <w:pPr>
            <w:pStyle w:val="7532AFC8B266423690252EF3FAF1BD1D"/>
          </w:pPr>
          <w:r>
            <w:rPr>
              <w:rStyle w:val="PlaceholderText"/>
            </w:rPr>
            <w:t>[e.g. 1.0]</w:t>
          </w:r>
        </w:p>
      </w:docPartBody>
    </w:docPart>
    <w:docPart>
      <w:docPartPr>
        <w:name w:val="ABFE37B9C26E442493CC566474D416A3"/>
        <w:category>
          <w:name w:val="General"/>
          <w:gallery w:val="placeholder"/>
        </w:category>
        <w:types>
          <w:type w:val="bbPlcHdr"/>
        </w:types>
        <w:behaviors>
          <w:behavior w:val="content"/>
        </w:behaviors>
        <w:guid w:val="{FC9A8993-7645-4E29-B9EC-565F0B81629F}"/>
      </w:docPartPr>
      <w:docPartBody>
        <w:p w:rsidR="008E1ED3" w:rsidRDefault="003D56AE" w:rsidP="003D56AE">
          <w:pPr>
            <w:pStyle w:val="ABFE37B9C26E442493CC566474D416A3"/>
          </w:pPr>
          <w:r w:rsidRPr="00CA1499">
            <w:rPr>
              <w:rStyle w:val="PlaceholderText"/>
            </w:rPr>
            <w:t>enter a date.</w:t>
          </w:r>
        </w:p>
      </w:docPartBody>
    </w:docPart>
    <w:docPart>
      <w:docPartPr>
        <w:name w:val="CF02F40C3EA44120AF209D77B8ED10B7"/>
        <w:category>
          <w:name w:val="General"/>
          <w:gallery w:val="placeholder"/>
        </w:category>
        <w:types>
          <w:type w:val="bbPlcHdr"/>
        </w:types>
        <w:behaviors>
          <w:behavior w:val="content"/>
        </w:behaviors>
        <w:guid w:val="{4BB5B877-5B6F-4ACC-931F-0088908F8A00}"/>
      </w:docPartPr>
      <w:docPartBody>
        <w:p w:rsidR="00E24745" w:rsidRDefault="003D56AE">
          <w:pPr>
            <w:pStyle w:val="CF02F40C3EA44120AF209D77B8ED10B7"/>
          </w:pPr>
          <w:r>
            <w:rPr>
              <w:rStyle w:val="PlaceholderText"/>
            </w:rPr>
            <w:t>[summarise the data collected]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D30"/>
    <w:rsid w:val="00023036"/>
    <w:rsid w:val="000B62FF"/>
    <w:rsid w:val="000C4935"/>
    <w:rsid w:val="000E4779"/>
    <w:rsid w:val="0013384D"/>
    <w:rsid w:val="001432D2"/>
    <w:rsid w:val="00194190"/>
    <w:rsid w:val="002D08E1"/>
    <w:rsid w:val="00304C44"/>
    <w:rsid w:val="00347C8F"/>
    <w:rsid w:val="003D56AE"/>
    <w:rsid w:val="003F1743"/>
    <w:rsid w:val="00404E90"/>
    <w:rsid w:val="004372ED"/>
    <w:rsid w:val="004F41B7"/>
    <w:rsid w:val="005320C1"/>
    <w:rsid w:val="00557EB4"/>
    <w:rsid w:val="005750E6"/>
    <w:rsid w:val="005F091B"/>
    <w:rsid w:val="007877E2"/>
    <w:rsid w:val="008970CD"/>
    <w:rsid w:val="008B6C35"/>
    <w:rsid w:val="008E1ED3"/>
    <w:rsid w:val="00910D74"/>
    <w:rsid w:val="009129C3"/>
    <w:rsid w:val="00947CA7"/>
    <w:rsid w:val="00966F98"/>
    <w:rsid w:val="009828A6"/>
    <w:rsid w:val="00982C55"/>
    <w:rsid w:val="009A2B3F"/>
    <w:rsid w:val="00A06D30"/>
    <w:rsid w:val="00A23AFE"/>
    <w:rsid w:val="00A3150B"/>
    <w:rsid w:val="00A7336B"/>
    <w:rsid w:val="00AD7F0A"/>
    <w:rsid w:val="00AE22AA"/>
    <w:rsid w:val="00B011CE"/>
    <w:rsid w:val="00C15869"/>
    <w:rsid w:val="00C52288"/>
    <w:rsid w:val="00CA4E03"/>
    <w:rsid w:val="00CF0C58"/>
    <w:rsid w:val="00D00FAA"/>
    <w:rsid w:val="00D36221"/>
    <w:rsid w:val="00D75E7A"/>
    <w:rsid w:val="00D857B8"/>
    <w:rsid w:val="00D93325"/>
    <w:rsid w:val="00DD49FE"/>
    <w:rsid w:val="00E20D70"/>
    <w:rsid w:val="00E24745"/>
    <w:rsid w:val="00E41DBB"/>
    <w:rsid w:val="00EF15E4"/>
    <w:rsid w:val="00EF3FD7"/>
    <w:rsid w:val="00F024D8"/>
    <w:rsid w:val="00F21F67"/>
    <w:rsid w:val="00F92EF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D3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56AE"/>
    <w:rPr>
      <w:color w:val="5B9BD5" w:themeColor="accent5"/>
    </w:rPr>
  </w:style>
  <w:style w:type="paragraph" w:customStyle="1" w:styleId="A60FC3A61ED9408898E47A372E50A82A2">
    <w:name w:val="A60FC3A61ED9408898E47A372E50A82A2"/>
    <w:rsid w:val="003D56AE"/>
    <w:pPr>
      <w:pBdr>
        <w:top w:val="single" w:sz="2" w:space="20" w:color="FFFFFF" w:themeColor="background1"/>
        <w:left w:val="single" w:sz="2" w:space="20" w:color="FFFFFF" w:themeColor="background1"/>
        <w:bottom w:val="single" w:sz="2" w:space="20" w:color="FFFFFF" w:themeColor="background1"/>
        <w:right w:val="single" w:sz="2" w:space="20" w:color="FFFFFF" w:themeColor="background1"/>
      </w:pBdr>
      <w:shd w:val="clear" w:color="auto" w:fill="FFFFFF" w:themeFill="background1"/>
      <w:spacing w:after="210" w:line="276" w:lineRule="auto"/>
      <w:ind w:left="709" w:right="4077"/>
      <w:contextualSpacing/>
    </w:pPr>
    <w:rPr>
      <w:rFonts w:eastAsiaTheme="majorEastAsia" w:cstheme="majorBidi"/>
      <w:color w:val="000000" w:themeColor="text1"/>
      <w:kern w:val="28"/>
      <w:sz w:val="28"/>
      <w:szCs w:val="56"/>
      <w:lang w:eastAsia="en-US"/>
    </w:rPr>
  </w:style>
  <w:style w:type="paragraph" w:customStyle="1" w:styleId="6613D8547DED43EEB38833D3D0479F1A2">
    <w:name w:val="6613D8547DED43EEB38833D3D0479F1A2"/>
    <w:rsid w:val="003D56AE"/>
    <w:pPr>
      <w:spacing w:after="210" w:line="276" w:lineRule="auto"/>
    </w:pPr>
    <w:rPr>
      <w:rFonts w:eastAsiaTheme="minorHAnsi"/>
      <w:color w:val="000000" w:themeColor="text1"/>
      <w:sz w:val="21"/>
      <w:lang w:eastAsia="en-US"/>
    </w:rPr>
  </w:style>
  <w:style w:type="paragraph" w:customStyle="1" w:styleId="533BE4E2552F45969B82A271CE94926B1">
    <w:name w:val="533BE4E2552F45969B82A271CE94926B1"/>
    <w:rsid w:val="003D56AE"/>
    <w:pPr>
      <w:spacing w:after="210" w:line="276" w:lineRule="auto"/>
    </w:pPr>
    <w:rPr>
      <w:rFonts w:eastAsiaTheme="minorHAnsi"/>
      <w:color w:val="000000" w:themeColor="text1"/>
      <w:sz w:val="21"/>
      <w:lang w:eastAsia="en-US"/>
    </w:rPr>
  </w:style>
  <w:style w:type="paragraph" w:customStyle="1" w:styleId="2892731E46174CA0BAD92CDE37E393A12">
    <w:name w:val="2892731E46174CA0BAD92CDE37E393A12"/>
    <w:rsid w:val="003D56AE"/>
    <w:pPr>
      <w:spacing w:after="210" w:line="276" w:lineRule="auto"/>
    </w:pPr>
    <w:rPr>
      <w:rFonts w:eastAsiaTheme="minorHAnsi"/>
      <w:color w:val="000000" w:themeColor="text1"/>
      <w:sz w:val="21"/>
      <w:lang w:eastAsia="en-US"/>
    </w:rPr>
  </w:style>
  <w:style w:type="paragraph" w:customStyle="1" w:styleId="33498B0EA9B74D16965ADBFF6B1810B01">
    <w:name w:val="33498B0EA9B74D16965ADBFF6B1810B01"/>
    <w:rsid w:val="003D56AE"/>
    <w:pPr>
      <w:spacing w:after="210" w:line="276" w:lineRule="auto"/>
    </w:pPr>
    <w:rPr>
      <w:rFonts w:eastAsiaTheme="minorHAnsi"/>
      <w:color w:val="000000" w:themeColor="text1"/>
      <w:sz w:val="21"/>
      <w:lang w:eastAsia="en-US"/>
    </w:rPr>
  </w:style>
  <w:style w:type="paragraph" w:customStyle="1" w:styleId="8A240CE695444108866BFEA92BC80B871">
    <w:name w:val="8A240CE695444108866BFEA92BC80B871"/>
    <w:rsid w:val="003D56AE"/>
    <w:pPr>
      <w:spacing w:after="210" w:line="276" w:lineRule="auto"/>
    </w:pPr>
    <w:rPr>
      <w:rFonts w:eastAsiaTheme="minorHAnsi"/>
      <w:color w:val="000000" w:themeColor="text1"/>
      <w:sz w:val="21"/>
      <w:lang w:eastAsia="en-US"/>
    </w:rPr>
  </w:style>
  <w:style w:type="paragraph" w:customStyle="1" w:styleId="847A730C8C8344629917DD23C0917AF01">
    <w:name w:val="847A730C8C8344629917DD23C0917AF01"/>
    <w:rsid w:val="003D56AE"/>
    <w:pPr>
      <w:spacing w:after="210" w:line="276" w:lineRule="auto"/>
    </w:pPr>
    <w:rPr>
      <w:rFonts w:eastAsiaTheme="minorHAnsi"/>
      <w:color w:val="000000" w:themeColor="text1"/>
      <w:sz w:val="21"/>
      <w:lang w:eastAsia="en-US"/>
    </w:rPr>
  </w:style>
  <w:style w:type="paragraph" w:customStyle="1" w:styleId="36069466349244E98A3559D115A053831">
    <w:name w:val="36069466349244E98A3559D115A053831"/>
    <w:rsid w:val="003D56AE"/>
    <w:pPr>
      <w:spacing w:after="210" w:line="276" w:lineRule="auto"/>
    </w:pPr>
    <w:rPr>
      <w:rFonts w:eastAsiaTheme="minorHAnsi"/>
      <w:color w:val="000000" w:themeColor="text1"/>
      <w:sz w:val="21"/>
      <w:lang w:eastAsia="en-US"/>
    </w:rPr>
  </w:style>
  <w:style w:type="paragraph" w:customStyle="1" w:styleId="396D43CEEE554A4FB918F2D38B42106D1">
    <w:name w:val="396D43CEEE554A4FB918F2D38B42106D1"/>
    <w:rsid w:val="003D56AE"/>
    <w:pPr>
      <w:spacing w:after="210" w:line="276" w:lineRule="auto"/>
    </w:pPr>
    <w:rPr>
      <w:rFonts w:eastAsiaTheme="minorHAnsi"/>
      <w:color w:val="000000" w:themeColor="text1"/>
      <w:sz w:val="21"/>
      <w:lang w:eastAsia="en-US"/>
    </w:rPr>
  </w:style>
  <w:style w:type="paragraph" w:customStyle="1" w:styleId="87CBF3FE58124EE1ACE382DDC4E538FE1">
    <w:name w:val="87CBF3FE58124EE1ACE382DDC4E538FE1"/>
    <w:rsid w:val="003D56AE"/>
    <w:pPr>
      <w:spacing w:after="210" w:line="276" w:lineRule="auto"/>
    </w:pPr>
    <w:rPr>
      <w:rFonts w:eastAsiaTheme="minorHAnsi"/>
      <w:color w:val="000000" w:themeColor="text1"/>
      <w:sz w:val="21"/>
      <w:lang w:eastAsia="en-US"/>
    </w:rPr>
  </w:style>
  <w:style w:type="paragraph" w:customStyle="1" w:styleId="7532AFC8B266423690252EF3FAF1BD1D">
    <w:name w:val="7532AFC8B266423690252EF3FAF1BD1D"/>
    <w:rsid w:val="003D56AE"/>
    <w:pPr>
      <w:spacing w:after="210" w:line="276" w:lineRule="auto"/>
    </w:pPr>
    <w:rPr>
      <w:rFonts w:eastAsiaTheme="minorHAnsi"/>
      <w:color w:val="000000" w:themeColor="text1"/>
      <w:sz w:val="21"/>
      <w:lang w:eastAsia="en-US"/>
    </w:rPr>
  </w:style>
  <w:style w:type="paragraph" w:customStyle="1" w:styleId="ABFE37B9C26E442493CC566474D416A3">
    <w:name w:val="ABFE37B9C26E442493CC566474D416A3"/>
    <w:rsid w:val="003D56AE"/>
    <w:pPr>
      <w:spacing w:after="210" w:line="276" w:lineRule="auto"/>
    </w:pPr>
    <w:rPr>
      <w:rFonts w:eastAsiaTheme="minorHAnsi"/>
      <w:color w:val="000000" w:themeColor="text1"/>
      <w:sz w:val="21"/>
      <w:lang w:eastAsia="en-US"/>
    </w:rPr>
  </w:style>
  <w:style w:type="paragraph" w:customStyle="1" w:styleId="CF02F40C3EA44120AF209D77B8ED10B7">
    <w:name w:val="CF02F40C3EA44120AF209D77B8ED10B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lear Horizon">
      <a:dk1>
        <a:srgbClr val="222222"/>
      </a:dk1>
      <a:lt1>
        <a:sysClr val="window" lastClr="FFFFFF"/>
      </a:lt1>
      <a:dk2>
        <a:srgbClr val="CBC3BB"/>
      </a:dk2>
      <a:lt2>
        <a:srgbClr val="EAE7E3"/>
      </a:lt2>
      <a:accent1>
        <a:srgbClr val="CC6600"/>
      </a:accent1>
      <a:accent2>
        <a:srgbClr val="FCE2CC"/>
      </a:accent2>
      <a:accent3>
        <a:srgbClr val="0D3E67"/>
      </a:accent3>
      <a:accent4>
        <a:srgbClr val="7D96B5"/>
      </a:accent4>
      <a:accent5>
        <a:srgbClr val="0D8577"/>
      </a:accent5>
      <a:accent6>
        <a:srgbClr val="46B8A9"/>
      </a:accent6>
      <a:hlink>
        <a:srgbClr val="0D3E67"/>
      </a:hlink>
      <a:folHlink>
        <a:srgbClr val="954F72"/>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24454</Words>
  <Characters>139576</Characters>
  <Application>Microsoft Office Word</Application>
  <DocSecurity>0</DocSecurity>
  <Lines>2368</Lines>
  <Paragraphs>792</Paragraphs>
  <ScaleCrop>false</ScaleCrop>
  <HeadingPairs>
    <vt:vector size="2" baseType="variant">
      <vt:variant>
        <vt:lpstr>Title</vt:lpstr>
      </vt:variant>
      <vt:variant>
        <vt:i4>1</vt:i4>
      </vt:variant>
    </vt:vector>
  </HeadingPairs>
  <TitlesOfParts>
    <vt:vector size="1" baseType="lpstr">
      <vt:lpstr>Pacific Australia Labour Mobility scheme - Pacific Labour Facility evaluation report</vt:lpstr>
    </vt:vector>
  </TitlesOfParts>
  <Company/>
  <LinksUpToDate>false</LinksUpToDate>
  <CharactersWithSpaces>163923</CharactersWithSpaces>
  <SharedDoc>false</SharedDoc>
  <HLinks>
    <vt:vector size="186" baseType="variant">
      <vt:variant>
        <vt:i4>3604541</vt:i4>
      </vt:variant>
      <vt:variant>
        <vt:i4>243</vt:i4>
      </vt:variant>
      <vt:variant>
        <vt:i4>0</vt:i4>
      </vt:variant>
      <vt:variant>
        <vt:i4>5</vt:i4>
      </vt:variant>
      <vt:variant>
        <vt:lpwstr>https://aus01.safelinks.protection.outlook.com/?url=https%3A%2F%2Fwww.dfat.gov.au%2Faid%2Ftopics%2Fdevelopment-issues%2Fresearch&amp;data=05%7C01%7CKate.Fuller%40dfat.gov.au%7Ca99346b2942e42353e8608db34cc8c73%7C9b7f23b30e8347a58a40ffa8a6fea536%7C0%7C0%7C638161825884436237%7CUnknown%7CTWFpbGZsb3d8eyJWIjoiMC4wLjAwMDAiLCJQIjoiV2luMzIiLCJBTiI6Ik1haWwiLCJXVCI6Mn0%3D%7C3000%7C%7C%7C&amp;sdata=1gI4js5gCTta7iefcXDXCDgEHldKnmgFLnsDqG6p3oI%3D&amp;reserved=0</vt:lpwstr>
      </vt:variant>
      <vt:variant>
        <vt:lpwstr/>
      </vt:variant>
      <vt:variant>
        <vt:i4>7667806</vt:i4>
      </vt:variant>
      <vt:variant>
        <vt:i4>171</vt:i4>
      </vt:variant>
      <vt:variant>
        <vt:i4>0</vt:i4>
      </vt:variant>
      <vt:variant>
        <vt:i4>5</vt:i4>
      </vt:variant>
      <vt:variant>
        <vt:lpwstr>mailto:charlotte.bedford@anu.edu.au</vt:lpwstr>
      </vt:variant>
      <vt:variant>
        <vt:lpwstr/>
      </vt:variant>
      <vt:variant>
        <vt:i4>5832739</vt:i4>
      </vt:variant>
      <vt:variant>
        <vt:i4>168</vt:i4>
      </vt:variant>
      <vt:variant>
        <vt:i4>0</vt:i4>
      </vt:variant>
      <vt:variant>
        <vt:i4>5</vt:i4>
      </vt:variant>
      <vt:variant>
        <vt:lpwstr>mailto:Heather@analyticmatters.co.nz</vt:lpwstr>
      </vt:variant>
      <vt:variant>
        <vt:lpwstr/>
      </vt:variant>
      <vt:variant>
        <vt:i4>1114161</vt:i4>
      </vt:variant>
      <vt:variant>
        <vt:i4>161</vt:i4>
      </vt:variant>
      <vt:variant>
        <vt:i4>0</vt:i4>
      </vt:variant>
      <vt:variant>
        <vt:i4>5</vt:i4>
      </vt:variant>
      <vt:variant>
        <vt:lpwstr/>
      </vt:variant>
      <vt:variant>
        <vt:lpwstr>_Toc151625301</vt:lpwstr>
      </vt:variant>
      <vt:variant>
        <vt:i4>1114161</vt:i4>
      </vt:variant>
      <vt:variant>
        <vt:i4>155</vt:i4>
      </vt:variant>
      <vt:variant>
        <vt:i4>0</vt:i4>
      </vt:variant>
      <vt:variant>
        <vt:i4>5</vt:i4>
      </vt:variant>
      <vt:variant>
        <vt:lpwstr/>
      </vt:variant>
      <vt:variant>
        <vt:lpwstr>_Toc151625300</vt:lpwstr>
      </vt:variant>
      <vt:variant>
        <vt:i4>1572912</vt:i4>
      </vt:variant>
      <vt:variant>
        <vt:i4>149</vt:i4>
      </vt:variant>
      <vt:variant>
        <vt:i4>0</vt:i4>
      </vt:variant>
      <vt:variant>
        <vt:i4>5</vt:i4>
      </vt:variant>
      <vt:variant>
        <vt:lpwstr/>
      </vt:variant>
      <vt:variant>
        <vt:lpwstr>_Toc151625299</vt:lpwstr>
      </vt:variant>
      <vt:variant>
        <vt:i4>1572912</vt:i4>
      </vt:variant>
      <vt:variant>
        <vt:i4>143</vt:i4>
      </vt:variant>
      <vt:variant>
        <vt:i4>0</vt:i4>
      </vt:variant>
      <vt:variant>
        <vt:i4>5</vt:i4>
      </vt:variant>
      <vt:variant>
        <vt:lpwstr/>
      </vt:variant>
      <vt:variant>
        <vt:lpwstr>_Toc151625298</vt:lpwstr>
      </vt:variant>
      <vt:variant>
        <vt:i4>1572912</vt:i4>
      </vt:variant>
      <vt:variant>
        <vt:i4>137</vt:i4>
      </vt:variant>
      <vt:variant>
        <vt:i4>0</vt:i4>
      </vt:variant>
      <vt:variant>
        <vt:i4>5</vt:i4>
      </vt:variant>
      <vt:variant>
        <vt:lpwstr/>
      </vt:variant>
      <vt:variant>
        <vt:lpwstr>_Toc151625297</vt:lpwstr>
      </vt:variant>
      <vt:variant>
        <vt:i4>1441845</vt:i4>
      </vt:variant>
      <vt:variant>
        <vt:i4>128</vt:i4>
      </vt:variant>
      <vt:variant>
        <vt:i4>0</vt:i4>
      </vt:variant>
      <vt:variant>
        <vt:i4>5</vt:i4>
      </vt:variant>
      <vt:variant>
        <vt:lpwstr/>
      </vt:variant>
      <vt:variant>
        <vt:lpwstr>_Toc151627758</vt:lpwstr>
      </vt:variant>
      <vt:variant>
        <vt:i4>1441845</vt:i4>
      </vt:variant>
      <vt:variant>
        <vt:i4>122</vt:i4>
      </vt:variant>
      <vt:variant>
        <vt:i4>0</vt:i4>
      </vt:variant>
      <vt:variant>
        <vt:i4>5</vt:i4>
      </vt:variant>
      <vt:variant>
        <vt:lpwstr/>
      </vt:variant>
      <vt:variant>
        <vt:lpwstr>_Toc151627757</vt:lpwstr>
      </vt:variant>
      <vt:variant>
        <vt:i4>1441845</vt:i4>
      </vt:variant>
      <vt:variant>
        <vt:i4>116</vt:i4>
      </vt:variant>
      <vt:variant>
        <vt:i4>0</vt:i4>
      </vt:variant>
      <vt:variant>
        <vt:i4>5</vt:i4>
      </vt:variant>
      <vt:variant>
        <vt:lpwstr/>
      </vt:variant>
      <vt:variant>
        <vt:lpwstr>_Toc151627756</vt:lpwstr>
      </vt:variant>
      <vt:variant>
        <vt:i4>1441845</vt:i4>
      </vt:variant>
      <vt:variant>
        <vt:i4>110</vt:i4>
      </vt:variant>
      <vt:variant>
        <vt:i4>0</vt:i4>
      </vt:variant>
      <vt:variant>
        <vt:i4>5</vt:i4>
      </vt:variant>
      <vt:variant>
        <vt:lpwstr/>
      </vt:variant>
      <vt:variant>
        <vt:lpwstr>_Toc151627755</vt:lpwstr>
      </vt:variant>
      <vt:variant>
        <vt:i4>1441845</vt:i4>
      </vt:variant>
      <vt:variant>
        <vt:i4>104</vt:i4>
      </vt:variant>
      <vt:variant>
        <vt:i4>0</vt:i4>
      </vt:variant>
      <vt:variant>
        <vt:i4>5</vt:i4>
      </vt:variant>
      <vt:variant>
        <vt:lpwstr/>
      </vt:variant>
      <vt:variant>
        <vt:lpwstr>_Toc151627754</vt:lpwstr>
      </vt:variant>
      <vt:variant>
        <vt:i4>1441845</vt:i4>
      </vt:variant>
      <vt:variant>
        <vt:i4>98</vt:i4>
      </vt:variant>
      <vt:variant>
        <vt:i4>0</vt:i4>
      </vt:variant>
      <vt:variant>
        <vt:i4>5</vt:i4>
      </vt:variant>
      <vt:variant>
        <vt:lpwstr/>
      </vt:variant>
      <vt:variant>
        <vt:lpwstr>_Toc151627753</vt:lpwstr>
      </vt:variant>
      <vt:variant>
        <vt:i4>1441845</vt:i4>
      </vt:variant>
      <vt:variant>
        <vt:i4>92</vt:i4>
      </vt:variant>
      <vt:variant>
        <vt:i4>0</vt:i4>
      </vt:variant>
      <vt:variant>
        <vt:i4>5</vt:i4>
      </vt:variant>
      <vt:variant>
        <vt:lpwstr/>
      </vt:variant>
      <vt:variant>
        <vt:lpwstr>_Toc151627752</vt:lpwstr>
      </vt:variant>
      <vt:variant>
        <vt:i4>1441845</vt:i4>
      </vt:variant>
      <vt:variant>
        <vt:i4>86</vt:i4>
      </vt:variant>
      <vt:variant>
        <vt:i4>0</vt:i4>
      </vt:variant>
      <vt:variant>
        <vt:i4>5</vt:i4>
      </vt:variant>
      <vt:variant>
        <vt:lpwstr/>
      </vt:variant>
      <vt:variant>
        <vt:lpwstr>_Toc151627751</vt:lpwstr>
      </vt:variant>
      <vt:variant>
        <vt:i4>1441845</vt:i4>
      </vt:variant>
      <vt:variant>
        <vt:i4>80</vt:i4>
      </vt:variant>
      <vt:variant>
        <vt:i4>0</vt:i4>
      </vt:variant>
      <vt:variant>
        <vt:i4>5</vt:i4>
      </vt:variant>
      <vt:variant>
        <vt:lpwstr/>
      </vt:variant>
      <vt:variant>
        <vt:lpwstr>_Toc151627750</vt:lpwstr>
      </vt:variant>
      <vt:variant>
        <vt:i4>1507381</vt:i4>
      </vt:variant>
      <vt:variant>
        <vt:i4>74</vt:i4>
      </vt:variant>
      <vt:variant>
        <vt:i4>0</vt:i4>
      </vt:variant>
      <vt:variant>
        <vt:i4>5</vt:i4>
      </vt:variant>
      <vt:variant>
        <vt:lpwstr/>
      </vt:variant>
      <vt:variant>
        <vt:lpwstr>_Toc151627749</vt:lpwstr>
      </vt:variant>
      <vt:variant>
        <vt:i4>1507381</vt:i4>
      </vt:variant>
      <vt:variant>
        <vt:i4>68</vt:i4>
      </vt:variant>
      <vt:variant>
        <vt:i4>0</vt:i4>
      </vt:variant>
      <vt:variant>
        <vt:i4>5</vt:i4>
      </vt:variant>
      <vt:variant>
        <vt:lpwstr/>
      </vt:variant>
      <vt:variant>
        <vt:lpwstr>_Toc151627748</vt:lpwstr>
      </vt:variant>
      <vt:variant>
        <vt:i4>1507381</vt:i4>
      </vt:variant>
      <vt:variant>
        <vt:i4>62</vt:i4>
      </vt:variant>
      <vt:variant>
        <vt:i4>0</vt:i4>
      </vt:variant>
      <vt:variant>
        <vt:i4>5</vt:i4>
      </vt:variant>
      <vt:variant>
        <vt:lpwstr/>
      </vt:variant>
      <vt:variant>
        <vt:lpwstr>_Toc151627747</vt:lpwstr>
      </vt:variant>
      <vt:variant>
        <vt:i4>1507381</vt:i4>
      </vt:variant>
      <vt:variant>
        <vt:i4>56</vt:i4>
      </vt:variant>
      <vt:variant>
        <vt:i4>0</vt:i4>
      </vt:variant>
      <vt:variant>
        <vt:i4>5</vt:i4>
      </vt:variant>
      <vt:variant>
        <vt:lpwstr/>
      </vt:variant>
      <vt:variant>
        <vt:lpwstr>_Toc151627746</vt:lpwstr>
      </vt:variant>
      <vt:variant>
        <vt:i4>1507381</vt:i4>
      </vt:variant>
      <vt:variant>
        <vt:i4>50</vt:i4>
      </vt:variant>
      <vt:variant>
        <vt:i4>0</vt:i4>
      </vt:variant>
      <vt:variant>
        <vt:i4>5</vt:i4>
      </vt:variant>
      <vt:variant>
        <vt:lpwstr/>
      </vt:variant>
      <vt:variant>
        <vt:lpwstr>_Toc151627745</vt:lpwstr>
      </vt:variant>
      <vt:variant>
        <vt:i4>1507381</vt:i4>
      </vt:variant>
      <vt:variant>
        <vt:i4>44</vt:i4>
      </vt:variant>
      <vt:variant>
        <vt:i4>0</vt:i4>
      </vt:variant>
      <vt:variant>
        <vt:i4>5</vt:i4>
      </vt:variant>
      <vt:variant>
        <vt:lpwstr/>
      </vt:variant>
      <vt:variant>
        <vt:lpwstr>_Toc151627744</vt:lpwstr>
      </vt:variant>
      <vt:variant>
        <vt:i4>1507381</vt:i4>
      </vt:variant>
      <vt:variant>
        <vt:i4>38</vt:i4>
      </vt:variant>
      <vt:variant>
        <vt:i4>0</vt:i4>
      </vt:variant>
      <vt:variant>
        <vt:i4>5</vt:i4>
      </vt:variant>
      <vt:variant>
        <vt:lpwstr/>
      </vt:variant>
      <vt:variant>
        <vt:lpwstr>_Toc151627743</vt:lpwstr>
      </vt:variant>
      <vt:variant>
        <vt:i4>1507381</vt:i4>
      </vt:variant>
      <vt:variant>
        <vt:i4>32</vt:i4>
      </vt:variant>
      <vt:variant>
        <vt:i4>0</vt:i4>
      </vt:variant>
      <vt:variant>
        <vt:i4>5</vt:i4>
      </vt:variant>
      <vt:variant>
        <vt:lpwstr/>
      </vt:variant>
      <vt:variant>
        <vt:lpwstr>_Toc151627742</vt:lpwstr>
      </vt:variant>
      <vt:variant>
        <vt:i4>1507381</vt:i4>
      </vt:variant>
      <vt:variant>
        <vt:i4>26</vt:i4>
      </vt:variant>
      <vt:variant>
        <vt:i4>0</vt:i4>
      </vt:variant>
      <vt:variant>
        <vt:i4>5</vt:i4>
      </vt:variant>
      <vt:variant>
        <vt:lpwstr/>
      </vt:variant>
      <vt:variant>
        <vt:lpwstr>_Toc151627741</vt:lpwstr>
      </vt:variant>
      <vt:variant>
        <vt:i4>1507381</vt:i4>
      </vt:variant>
      <vt:variant>
        <vt:i4>20</vt:i4>
      </vt:variant>
      <vt:variant>
        <vt:i4>0</vt:i4>
      </vt:variant>
      <vt:variant>
        <vt:i4>5</vt:i4>
      </vt:variant>
      <vt:variant>
        <vt:lpwstr/>
      </vt:variant>
      <vt:variant>
        <vt:lpwstr>_Toc151627740</vt:lpwstr>
      </vt:variant>
      <vt:variant>
        <vt:i4>1048629</vt:i4>
      </vt:variant>
      <vt:variant>
        <vt:i4>14</vt:i4>
      </vt:variant>
      <vt:variant>
        <vt:i4>0</vt:i4>
      </vt:variant>
      <vt:variant>
        <vt:i4>5</vt:i4>
      </vt:variant>
      <vt:variant>
        <vt:lpwstr/>
      </vt:variant>
      <vt:variant>
        <vt:lpwstr>_Toc151627739</vt:lpwstr>
      </vt:variant>
      <vt:variant>
        <vt:i4>1048629</vt:i4>
      </vt:variant>
      <vt:variant>
        <vt:i4>8</vt:i4>
      </vt:variant>
      <vt:variant>
        <vt:i4>0</vt:i4>
      </vt:variant>
      <vt:variant>
        <vt:i4>5</vt:i4>
      </vt:variant>
      <vt:variant>
        <vt:lpwstr/>
      </vt:variant>
      <vt:variant>
        <vt:lpwstr>_Toc151627733</vt:lpwstr>
      </vt:variant>
      <vt:variant>
        <vt:i4>4849717</vt:i4>
      </vt:variant>
      <vt:variant>
        <vt:i4>0</vt:i4>
      </vt:variant>
      <vt:variant>
        <vt:i4>0</vt:i4>
      </vt:variant>
      <vt:variant>
        <vt:i4>5</vt:i4>
      </vt:variant>
      <vt:variant>
        <vt:lpwstr>mailto:mail@clearhorizon.com.au</vt:lpwstr>
      </vt:variant>
      <vt:variant>
        <vt:lpwstr/>
      </vt:variant>
      <vt:variant>
        <vt:i4>5832727</vt:i4>
      </vt:variant>
      <vt:variant>
        <vt:i4>0</vt:i4>
      </vt:variant>
      <vt:variant>
        <vt:i4>0</vt:i4>
      </vt:variant>
      <vt:variant>
        <vt:i4>5</vt:i4>
      </vt:variant>
      <vt:variant>
        <vt:lpwstr>https://www.palmscheme.gov.au/resources/palm-scheme-approved-employer-deed-agreement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Australia Labour Mobility scheme - Pacific Labour Facility evaluation report</dc:title>
  <dc:subject/>
  <dc:creator/>
  <cp:keywords>[SEC=OFFICIAL]</cp:keywords>
  <dc:description/>
  <cp:lastModifiedBy/>
  <cp:revision>1</cp:revision>
  <dcterms:created xsi:type="dcterms:W3CDTF">2024-05-28T04:32:00Z</dcterms:created>
  <dcterms:modified xsi:type="dcterms:W3CDTF">2024-05-28T05:01:00Z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v=2022.1;a=SHA256;h=A16CB0128EC899040A84E62A09776725D73B76E8331F30E72A11D8B43C7881DC</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2024-02-29T02:14:36Z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899E4EA469A04FB023F4432B63374BB33589BF8A</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03846D42926F451BB83F93C814A749B1</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290C9CFCFE70E139C4500567FB5830ACF9049F26A1998DDACA65669D45D5D2AD</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B2B41B06F682BA52026ACB5643191D11</vt:lpwstr>
  </property>
  <property fmtid="{D5CDD505-2E9C-101B-9397-08002B2CF9AE}" pid="24" name="PM_Hash_Salt">
    <vt:lpwstr>0C87DAD5FB58F939F26DBDA026952B09</vt:lpwstr>
  </property>
  <property fmtid="{D5CDD505-2E9C-101B-9397-08002B2CF9AE}" pid="25" name="PM_Hash_SHA1">
    <vt:lpwstr>197BA7CD332948545E0826A480DCCB6259F73E24</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