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14C" w14:textId="0D20D50A" w:rsidR="00054036" w:rsidRPr="00DC158A" w:rsidRDefault="00DC158A" w:rsidP="00DC158A">
      <w:pPr>
        <w:pBdr>
          <w:top w:val="none" w:sz="0" w:space="0" w:color="000000"/>
          <w:left w:val="none" w:sz="0" w:space="0" w:color="000000"/>
          <w:bottom w:val="none" w:sz="0" w:space="0" w:color="000000"/>
          <w:right w:val="none" w:sz="0" w:space="0" w:color="000000"/>
          <w:between w:val="none" w:sz="0" w:space="0" w:color="000000"/>
        </w:pBdr>
        <w:spacing w:before="60" w:after="60"/>
        <w:rPr>
          <w:b/>
          <w:color w:val="0046AD"/>
          <w:sz w:val="48"/>
          <w:szCs w:val="48"/>
        </w:rPr>
      </w:pPr>
      <w:r w:rsidRPr="00DC158A">
        <w:rPr>
          <w:b/>
          <w:color w:val="0046AD"/>
          <w:sz w:val="48"/>
          <w:szCs w:val="48"/>
        </w:rPr>
        <w:t xml:space="preserve">Pacific Girl Mid-Term Review 2023 – </w:t>
      </w:r>
      <w:r>
        <w:rPr>
          <w:b/>
          <w:color w:val="0046AD"/>
          <w:sz w:val="48"/>
          <w:szCs w:val="48"/>
        </w:rPr>
        <w:t>SPC</w:t>
      </w:r>
      <w:r w:rsidRPr="00DC158A">
        <w:rPr>
          <w:b/>
          <w:color w:val="0046AD"/>
          <w:sz w:val="48"/>
          <w:szCs w:val="48"/>
        </w:rPr>
        <w:t xml:space="preserve"> Management Response </w:t>
      </w:r>
    </w:p>
    <w:p w14:paraId="690F05D0" w14:textId="746D4555" w:rsidR="00054AE7" w:rsidRPr="00DC158A" w:rsidRDefault="00383CB6" w:rsidP="00DC158A">
      <w:pPr>
        <w:pBdr>
          <w:top w:val="none" w:sz="0" w:space="0" w:color="000000"/>
          <w:left w:val="none" w:sz="0" w:space="0" w:color="000000"/>
          <w:bottom w:val="none" w:sz="0" w:space="0" w:color="000000"/>
          <w:right w:val="none" w:sz="0" w:space="0" w:color="000000"/>
          <w:between w:val="none" w:sz="0" w:space="0" w:color="000000"/>
        </w:pBdr>
        <w:spacing w:before="60" w:after="60"/>
        <w:rPr>
          <w:b/>
          <w:color w:val="F26739"/>
          <w:sz w:val="36"/>
          <w:szCs w:val="36"/>
        </w:rPr>
      </w:pPr>
      <w:r w:rsidRPr="00DC158A">
        <w:rPr>
          <w:b/>
          <w:color w:val="F26739"/>
          <w:sz w:val="36"/>
          <w:szCs w:val="36"/>
        </w:rPr>
        <w:t>Individual</w:t>
      </w:r>
      <w:r w:rsidR="00054AE7" w:rsidRPr="00DC158A">
        <w:rPr>
          <w:b/>
          <w:color w:val="F26739"/>
          <w:sz w:val="36"/>
          <w:szCs w:val="36"/>
        </w:rPr>
        <w:t xml:space="preserve"> management response </w:t>
      </w:r>
      <w:r w:rsidRPr="00DC158A">
        <w:rPr>
          <w:b/>
          <w:color w:val="F26739"/>
          <w:sz w:val="36"/>
          <w:szCs w:val="36"/>
        </w:rPr>
        <w:t>to the recommendations</w:t>
      </w:r>
    </w:p>
    <w:tbl>
      <w:tblPr>
        <w:tblStyle w:val="TableGrid"/>
        <w:tblW w:w="0" w:type="auto"/>
        <w:tblLook w:val="04A0" w:firstRow="1" w:lastRow="0" w:firstColumn="1" w:lastColumn="0" w:noHBand="0" w:noVBand="1"/>
      </w:tblPr>
      <w:tblGrid>
        <w:gridCol w:w="2547"/>
        <w:gridCol w:w="1139"/>
        <w:gridCol w:w="5528"/>
        <w:gridCol w:w="4111"/>
        <w:gridCol w:w="1343"/>
      </w:tblGrid>
      <w:tr w:rsidR="00054AE7" w:rsidRPr="004F111F" w14:paraId="165F966C" w14:textId="77777777" w:rsidTr="006331C6">
        <w:tc>
          <w:tcPr>
            <w:tcW w:w="2547" w:type="dxa"/>
            <w:tcBorders>
              <w:top w:val="nil"/>
              <w:left w:val="nil"/>
              <w:bottom w:val="nil"/>
              <w:right w:val="nil"/>
            </w:tcBorders>
            <w:shd w:val="clear" w:color="auto" w:fill="6E6AB6"/>
          </w:tcPr>
          <w:p w14:paraId="65A48CAC" w14:textId="25818804" w:rsidR="00054AE7" w:rsidRPr="004F111F" w:rsidRDefault="00054AE7" w:rsidP="00054036">
            <w:pPr>
              <w:rPr>
                <w:rFonts w:cstheme="minorHAnsi"/>
                <w:b/>
                <w:bCs/>
                <w:color w:val="FFFFFF" w:themeColor="background1"/>
                <w:sz w:val="20"/>
                <w:szCs w:val="20"/>
              </w:rPr>
            </w:pPr>
            <w:r w:rsidRPr="004F111F">
              <w:rPr>
                <w:rFonts w:cstheme="minorHAnsi"/>
                <w:b/>
                <w:bCs/>
                <w:color w:val="FFFFFF" w:themeColor="background1"/>
                <w:sz w:val="20"/>
                <w:szCs w:val="20"/>
              </w:rPr>
              <w:t>Recommendation</w:t>
            </w:r>
          </w:p>
        </w:tc>
        <w:tc>
          <w:tcPr>
            <w:tcW w:w="1139" w:type="dxa"/>
            <w:tcBorders>
              <w:top w:val="nil"/>
              <w:left w:val="nil"/>
              <w:bottom w:val="nil"/>
              <w:right w:val="nil"/>
            </w:tcBorders>
            <w:shd w:val="clear" w:color="auto" w:fill="6E6AB6"/>
          </w:tcPr>
          <w:p w14:paraId="74B585E9" w14:textId="04CC1336" w:rsidR="00054AE7" w:rsidRPr="004F111F" w:rsidRDefault="00054AE7" w:rsidP="00054036">
            <w:pPr>
              <w:rPr>
                <w:rFonts w:cstheme="minorHAnsi"/>
                <w:b/>
                <w:bCs/>
                <w:color w:val="FFFFFF" w:themeColor="background1"/>
                <w:sz w:val="20"/>
                <w:szCs w:val="20"/>
              </w:rPr>
            </w:pPr>
            <w:r w:rsidRPr="004F111F">
              <w:rPr>
                <w:rFonts w:cstheme="minorHAnsi"/>
                <w:b/>
                <w:bCs/>
                <w:color w:val="FFFFFF" w:themeColor="background1"/>
                <w:sz w:val="20"/>
                <w:szCs w:val="20"/>
              </w:rPr>
              <w:t xml:space="preserve">Response </w:t>
            </w:r>
          </w:p>
        </w:tc>
        <w:tc>
          <w:tcPr>
            <w:tcW w:w="5528" w:type="dxa"/>
            <w:tcBorders>
              <w:top w:val="nil"/>
              <w:left w:val="nil"/>
              <w:bottom w:val="nil"/>
              <w:right w:val="nil"/>
            </w:tcBorders>
            <w:shd w:val="clear" w:color="auto" w:fill="F15D99"/>
          </w:tcPr>
          <w:p w14:paraId="72DF3D45" w14:textId="39DC94D5" w:rsidR="00054AE7" w:rsidRPr="004F111F" w:rsidRDefault="00054AE7" w:rsidP="00054036">
            <w:pPr>
              <w:rPr>
                <w:rFonts w:cstheme="minorHAnsi"/>
                <w:b/>
                <w:bCs/>
                <w:color w:val="FFFFFF" w:themeColor="background1"/>
                <w:sz w:val="20"/>
                <w:szCs w:val="20"/>
              </w:rPr>
            </w:pPr>
            <w:r w:rsidRPr="004F111F">
              <w:rPr>
                <w:rFonts w:cstheme="minorHAnsi"/>
                <w:b/>
                <w:bCs/>
                <w:color w:val="FFFFFF" w:themeColor="background1"/>
                <w:sz w:val="20"/>
                <w:szCs w:val="20"/>
              </w:rPr>
              <w:t>Explanation</w:t>
            </w:r>
          </w:p>
        </w:tc>
        <w:tc>
          <w:tcPr>
            <w:tcW w:w="4111" w:type="dxa"/>
            <w:tcBorders>
              <w:top w:val="nil"/>
              <w:left w:val="nil"/>
              <w:bottom w:val="nil"/>
              <w:right w:val="nil"/>
            </w:tcBorders>
            <w:shd w:val="clear" w:color="auto" w:fill="AE82BC"/>
          </w:tcPr>
          <w:p w14:paraId="793E6332" w14:textId="3BF40FAA" w:rsidR="00054AE7" w:rsidRPr="004F111F" w:rsidRDefault="00054AE7" w:rsidP="00054036">
            <w:pPr>
              <w:rPr>
                <w:rFonts w:cstheme="minorHAnsi"/>
                <w:b/>
                <w:bCs/>
                <w:color w:val="FFFFFF" w:themeColor="background1"/>
                <w:sz w:val="20"/>
                <w:szCs w:val="20"/>
              </w:rPr>
            </w:pPr>
            <w:r w:rsidRPr="004F111F">
              <w:rPr>
                <w:rFonts w:cstheme="minorHAnsi"/>
                <w:b/>
                <w:bCs/>
                <w:color w:val="FFFFFF" w:themeColor="background1"/>
                <w:sz w:val="20"/>
                <w:szCs w:val="20"/>
              </w:rPr>
              <w:t>Action Plan</w:t>
            </w:r>
          </w:p>
        </w:tc>
        <w:tc>
          <w:tcPr>
            <w:tcW w:w="1343" w:type="dxa"/>
            <w:tcBorders>
              <w:top w:val="nil"/>
              <w:left w:val="nil"/>
              <w:bottom w:val="nil"/>
              <w:right w:val="nil"/>
            </w:tcBorders>
            <w:shd w:val="clear" w:color="auto" w:fill="AE82BC"/>
          </w:tcPr>
          <w:p w14:paraId="69705AFD" w14:textId="52FC3553" w:rsidR="00054AE7" w:rsidRPr="004F111F" w:rsidRDefault="00054AE7" w:rsidP="00054036">
            <w:pPr>
              <w:rPr>
                <w:rFonts w:cstheme="minorHAnsi"/>
                <w:b/>
                <w:bCs/>
                <w:color w:val="FFFFFF" w:themeColor="background1"/>
                <w:sz w:val="20"/>
                <w:szCs w:val="20"/>
              </w:rPr>
            </w:pPr>
            <w:r w:rsidRPr="004F111F">
              <w:rPr>
                <w:rFonts w:cstheme="minorHAnsi"/>
                <w:b/>
                <w:bCs/>
                <w:color w:val="FFFFFF" w:themeColor="background1"/>
                <w:sz w:val="20"/>
                <w:szCs w:val="20"/>
              </w:rPr>
              <w:t xml:space="preserve">Timeframe </w:t>
            </w:r>
          </w:p>
        </w:tc>
      </w:tr>
      <w:tr w:rsidR="00054AE7" w:rsidRPr="00383CB6" w14:paraId="3A351B8B" w14:textId="77777777" w:rsidTr="00E91DEA">
        <w:tc>
          <w:tcPr>
            <w:tcW w:w="2547" w:type="dxa"/>
            <w:tcBorders>
              <w:top w:val="nil"/>
              <w:left w:val="nil"/>
              <w:bottom w:val="single" w:sz="4" w:space="0" w:color="auto"/>
              <w:right w:val="nil"/>
            </w:tcBorders>
            <w:shd w:val="clear" w:color="auto" w:fill="BEBCDE"/>
          </w:tcPr>
          <w:p w14:paraId="7A1EB169" w14:textId="77777777" w:rsidR="00383CB6" w:rsidRPr="006331C6" w:rsidRDefault="00383CB6" w:rsidP="00054036">
            <w:pPr>
              <w:rPr>
                <w:rFonts w:cstheme="minorHAnsi"/>
                <w:b/>
                <w:bCs/>
                <w:sz w:val="20"/>
                <w:szCs w:val="20"/>
              </w:rPr>
            </w:pPr>
            <w:r w:rsidRPr="006331C6">
              <w:rPr>
                <w:rFonts w:cstheme="minorHAnsi"/>
                <w:b/>
                <w:bCs/>
                <w:sz w:val="20"/>
                <w:szCs w:val="20"/>
              </w:rPr>
              <w:t xml:space="preserve">Recommendation 1 </w:t>
            </w:r>
          </w:p>
          <w:p w14:paraId="6C1A6009" w14:textId="7A7F28DD" w:rsidR="00054AE7" w:rsidRPr="006331C6" w:rsidRDefault="00383CB6" w:rsidP="6A7DEB79">
            <w:pPr>
              <w:rPr>
                <w:rFonts w:cstheme="minorHAnsi"/>
                <w:i/>
                <w:iCs/>
                <w:sz w:val="20"/>
                <w:szCs w:val="20"/>
              </w:rPr>
            </w:pPr>
            <w:r w:rsidRPr="006331C6">
              <w:rPr>
                <w:rFonts w:cstheme="minorHAnsi"/>
                <w:i/>
                <w:iCs/>
                <w:sz w:val="20"/>
                <w:szCs w:val="20"/>
              </w:rPr>
              <w:t xml:space="preserve">SPC and DFAT: Consider Adolescent Girl Inclusion </w:t>
            </w:r>
            <w:r w:rsidR="00BF0938" w:rsidRPr="006331C6">
              <w:rPr>
                <w:rFonts w:cstheme="minorHAnsi"/>
                <w:i/>
                <w:iCs/>
                <w:sz w:val="20"/>
                <w:szCs w:val="20"/>
              </w:rPr>
              <w:t xml:space="preserve">(AGI) </w:t>
            </w:r>
            <w:r w:rsidRPr="006331C6">
              <w:rPr>
                <w:rFonts w:cstheme="minorHAnsi"/>
                <w:i/>
                <w:iCs/>
                <w:sz w:val="20"/>
                <w:szCs w:val="20"/>
              </w:rPr>
              <w:t>as an intentional approach to ensure adolescent girls are considered, visible, and prioritised in programs, strategies and frameworks beyond Pacific Girl.</w:t>
            </w:r>
            <w:r w:rsidR="0023464C" w:rsidRPr="006331C6">
              <w:rPr>
                <w:rFonts w:cstheme="minorHAnsi"/>
                <w:i/>
                <w:iCs/>
                <w:sz w:val="20"/>
                <w:szCs w:val="20"/>
              </w:rPr>
              <w:t xml:space="preserve"> </w:t>
            </w:r>
          </w:p>
        </w:tc>
        <w:tc>
          <w:tcPr>
            <w:tcW w:w="1139" w:type="dxa"/>
            <w:tcBorders>
              <w:top w:val="nil"/>
              <w:left w:val="nil"/>
              <w:bottom w:val="single" w:sz="4" w:space="0" w:color="auto"/>
              <w:right w:val="nil"/>
            </w:tcBorders>
            <w:shd w:val="clear" w:color="auto" w:fill="DEDDEF"/>
          </w:tcPr>
          <w:p w14:paraId="4AE318F4" w14:textId="4F4B6FF1" w:rsidR="00054AE7" w:rsidRPr="006331C6" w:rsidRDefault="00054AE7" w:rsidP="00054036">
            <w:pPr>
              <w:rPr>
                <w:rFonts w:cstheme="minorHAnsi"/>
                <w:sz w:val="20"/>
                <w:szCs w:val="20"/>
              </w:rPr>
            </w:pPr>
            <w:r w:rsidRPr="006331C6">
              <w:rPr>
                <w:rFonts w:cstheme="minorHAnsi"/>
                <w:sz w:val="20"/>
                <w:szCs w:val="20"/>
              </w:rPr>
              <w:t>Agree</w:t>
            </w:r>
            <w:r w:rsidR="002F6BFE" w:rsidRPr="006331C6">
              <w:rPr>
                <w:rFonts w:cstheme="minorHAnsi"/>
                <w:sz w:val="20"/>
                <w:szCs w:val="20"/>
              </w:rPr>
              <w:t xml:space="preserve"> </w:t>
            </w:r>
          </w:p>
        </w:tc>
        <w:tc>
          <w:tcPr>
            <w:tcW w:w="5528" w:type="dxa"/>
            <w:tcBorders>
              <w:top w:val="nil"/>
              <w:left w:val="nil"/>
              <w:bottom w:val="single" w:sz="4" w:space="0" w:color="auto"/>
              <w:right w:val="nil"/>
            </w:tcBorders>
            <w:shd w:val="clear" w:color="auto" w:fill="FDE9F1"/>
          </w:tcPr>
          <w:p w14:paraId="14BF6975" w14:textId="1B9FFBE3" w:rsidR="006F20E5" w:rsidRPr="006331C6" w:rsidRDefault="009241D0" w:rsidP="6A7DEB79">
            <w:pPr>
              <w:rPr>
                <w:rFonts w:cstheme="minorHAnsi"/>
                <w:sz w:val="20"/>
                <w:szCs w:val="20"/>
              </w:rPr>
            </w:pPr>
            <w:r w:rsidRPr="006331C6">
              <w:rPr>
                <w:rFonts w:cstheme="minorHAnsi"/>
                <w:sz w:val="20"/>
                <w:szCs w:val="20"/>
              </w:rPr>
              <w:t xml:space="preserve">SPC </w:t>
            </w:r>
            <w:r w:rsidR="006F20E5" w:rsidRPr="006331C6">
              <w:rPr>
                <w:rFonts w:cstheme="minorHAnsi"/>
                <w:sz w:val="20"/>
                <w:szCs w:val="20"/>
              </w:rPr>
              <w:t xml:space="preserve">welcomes </w:t>
            </w:r>
            <w:r w:rsidR="000A00FD" w:rsidRPr="006331C6">
              <w:rPr>
                <w:rFonts w:cstheme="minorHAnsi"/>
                <w:sz w:val="20"/>
                <w:szCs w:val="20"/>
              </w:rPr>
              <w:t>this</w:t>
            </w:r>
            <w:r w:rsidR="006F20E5" w:rsidRPr="006331C6">
              <w:rPr>
                <w:rFonts w:cstheme="minorHAnsi"/>
                <w:sz w:val="20"/>
                <w:szCs w:val="20"/>
              </w:rPr>
              <w:t xml:space="preserve"> recommendation</w:t>
            </w:r>
            <w:r w:rsidR="000A00FD" w:rsidRPr="006331C6">
              <w:rPr>
                <w:rFonts w:cstheme="minorHAnsi"/>
                <w:sz w:val="20"/>
                <w:szCs w:val="20"/>
              </w:rPr>
              <w:t xml:space="preserve">, which aligns with ongoing efforts in pursuit of AGI as an intentional approach to ensure adolescent girls in the Pacific have voice and agency, and their rights will be increasingly respected and upheld. </w:t>
            </w:r>
          </w:p>
          <w:p w14:paraId="67C9204C" w14:textId="77777777" w:rsidR="006F20E5" w:rsidRPr="006331C6" w:rsidRDefault="006F20E5" w:rsidP="6A7DEB79">
            <w:pPr>
              <w:rPr>
                <w:rFonts w:cstheme="minorHAnsi"/>
                <w:sz w:val="20"/>
                <w:szCs w:val="20"/>
              </w:rPr>
            </w:pPr>
          </w:p>
          <w:p w14:paraId="054120D6" w14:textId="67A08537" w:rsidR="00C85C69" w:rsidRPr="006331C6" w:rsidRDefault="000A00FD" w:rsidP="6A7DEB79">
            <w:pPr>
              <w:rPr>
                <w:rFonts w:cstheme="minorHAnsi"/>
                <w:sz w:val="20"/>
                <w:szCs w:val="20"/>
              </w:rPr>
            </w:pPr>
            <w:r w:rsidRPr="006331C6">
              <w:rPr>
                <w:rFonts w:cstheme="minorHAnsi"/>
                <w:sz w:val="20"/>
                <w:szCs w:val="20"/>
              </w:rPr>
              <w:t xml:space="preserve">SPC will continue to </w:t>
            </w:r>
            <w:r w:rsidR="00E002FC" w:rsidRPr="006331C6">
              <w:rPr>
                <w:rFonts w:cstheme="minorHAnsi"/>
                <w:sz w:val="20"/>
                <w:szCs w:val="20"/>
              </w:rPr>
              <w:t xml:space="preserve">work with DFAT to </w:t>
            </w:r>
            <w:r w:rsidR="002B7F49" w:rsidRPr="006331C6">
              <w:rPr>
                <w:rFonts w:cstheme="minorHAnsi"/>
                <w:sz w:val="20"/>
                <w:szCs w:val="20"/>
              </w:rPr>
              <w:t>build on the principals, framework and strategies to ensure gender equality, disability and social inclusion</w:t>
            </w:r>
            <w:r w:rsidR="004F19B1" w:rsidRPr="006331C6">
              <w:rPr>
                <w:rFonts w:cstheme="minorHAnsi"/>
                <w:sz w:val="20"/>
                <w:szCs w:val="20"/>
              </w:rPr>
              <w:t>. T</w:t>
            </w:r>
            <w:r w:rsidR="002B7F49" w:rsidRPr="006331C6">
              <w:rPr>
                <w:rFonts w:cstheme="minorHAnsi"/>
                <w:sz w:val="20"/>
                <w:szCs w:val="20"/>
              </w:rPr>
              <w:t xml:space="preserve">he Pacific Girl programme </w:t>
            </w:r>
            <w:r w:rsidR="004F19B1" w:rsidRPr="006331C6">
              <w:rPr>
                <w:rFonts w:cstheme="minorHAnsi"/>
                <w:sz w:val="20"/>
                <w:szCs w:val="20"/>
              </w:rPr>
              <w:t>will continue to lead on t</w:t>
            </w:r>
            <w:r w:rsidR="002B7F49" w:rsidRPr="006331C6">
              <w:rPr>
                <w:rFonts w:cstheme="minorHAnsi"/>
                <w:sz w:val="20"/>
                <w:szCs w:val="20"/>
              </w:rPr>
              <w:t xml:space="preserve">he development of specific </w:t>
            </w:r>
            <w:r w:rsidR="004F19B1" w:rsidRPr="006331C6">
              <w:rPr>
                <w:rFonts w:cstheme="minorHAnsi"/>
                <w:sz w:val="20"/>
                <w:szCs w:val="20"/>
              </w:rPr>
              <w:t>approaches</w:t>
            </w:r>
            <w:r w:rsidR="002B7F49" w:rsidRPr="006331C6">
              <w:rPr>
                <w:rFonts w:cstheme="minorHAnsi"/>
                <w:sz w:val="20"/>
                <w:szCs w:val="20"/>
              </w:rPr>
              <w:t xml:space="preserve"> to ensure AGI in strategies, programs and mechanisms led by PWL at SPC</w:t>
            </w:r>
            <w:r w:rsidR="005A4577">
              <w:rPr>
                <w:rFonts w:cstheme="minorHAnsi"/>
                <w:sz w:val="20"/>
                <w:szCs w:val="20"/>
              </w:rPr>
              <w:t xml:space="preserve"> and </w:t>
            </w:r>
            <w:r w:rsidR="00B94046">
              <w:rPr>
                <w:rFonts w:cstheme="minorHAnsi"/>
                <w:sz w:val="20"/>
                <w:szCs w:val="20"/>
              </w:rPr>
              <w:t>beyond the HRSD division through mechanisms such as the Gender Equality Flagshi</w:t>
            </w:r>
            <w:r w:rsidR="005A4577">
              <w:rPr>
                <w:rFonts w:cstheme="minorHAnsi"/>
                <w:sz w:val="20"/>
                <w:szCs w:val="20"/>
              </w:rPr>
              <w:t>p</w:t>
            </w:r>
            <w:r w:rsidR="002B7F49" w:rsidRPr="006331C6">
              <w:rPr>
                <w:rFonts w:cstheme="minorHAnsi"/>
                <w:sz w:val="20"/>
                <w:szCs w:val="20"/>
              </w:rPr>
              <w:t xml:space="preserve">. </w:t>
            </w:r>
          </w:p>
        </w:tc>
        <w:tc>
          <w:tcPr>
            <w:tcW w:w="4111" w:type="dxa"/>
            <w:tcBorders>
              <w:top w:val="nil"/>
              <w:left w:val="nil"/>
              <w:bottom w:val="single" w:sz="4" w:space="0" w:color="auto"/>
              <w:right w:val="nil"/>
            </w:tcBorders>
            <w:shd w:val="clear" w:color="auto" w:fill="E7DAEB"/>
          </w:tcPr>
          <w:p w14:paraId="4062C537" w14:textId="618C0A0F" w:rsidR="00054AE7" w:rsidRPr="006331C6" w:rsidRDefault="0A11954D" w:rsidP="6A7DEB79">
            <w:pPr>
              <w:rPr>
                <w:rFonts w:cstheme="minorHAnsi"/>
                <w:sz w:val="20"/>
                <w:szCs w:val="20"/>
              </w:rPr>
            </w:pPr>
            <w:r w:rsidRPr="006331C6">
              <w:rPr>
                <w:rFonts w:cstheme="minorHAnsi"/>
                <w:sz w:val="20"/>
                <w:szCs w:val="20"/>
              </w:rPr>
              <w:t xml:space="preserve">SPC </w:t>
            </w:r>
            <w:r w:rsidR="002B7F49" w:rsidRPr="006331C6">
              <w:rPr>
                <w:rFonts w:cstheme="minorHAnsi"/>
                <w:sz w:val="20"/>
                <w:szCs w:val="20"/>
              </w:rPr>
              <w:t xml:space="preserve">will continue to embed </w:t>
            </w:r>
            <w:r w:rsidRPr="006331C6">
              <w:rPr>
                <w:rFonts w:cstheme="minorHAnsi"/>
                <w:sz w:val="20"/>
                <w:szCs w:val="20"/>
              </w:rPr>
              <w:t xml:space="preserve">AGI as </w:t>
            </w:r>
            <w:r w:rsidR="00526862" w:rsidRPr="006331C6">
              <w:rPr>
                <w:rFonts w:cstheme="minorHAnsi"/>
                <w:sz w:val="20"/>
                <w:szCs w:val="20"/>
              </w:rPr>
              <w:t xml:space="preserve">part of </w:t>
            </w:r>
            <w:r w:rsidR="002B7F49" w:rsidRPr="006331C6">
              <w:rPr>
                <w:rFonts w:cstheme="minorHAnsi"/>
                <w:sz w:val="20"/>
                <w:szCs w:val="20"/>
              </w:rPr>
              <w:t>ongoing programming.</w:t>
            </w:r>
            <w:r w:rsidR="00526862" w:rsidRPr="006331C6">
              <w:rPr>
                <w:rFonts w:cstheme="minorHAnsi"/>
                <w:sz w:val="20"/>
                <w:szCs w:val="20"/>
              </w:rPr>
              <w:t xml:space="preserve"> </w:t>
            </w:r>
          </w:p>
          <w:p w14:paraId="02EB4B75" w14:textId="5E7677DD" w:rsidR="00054AE7" w:rsidRPr="006331C6" w:rsidRDefault="00054AE7" w:rsidP="6A7DEB79">
            <w:pPr>
              <w:rPr>
                <w:rFonts w:cstheme="minorHAnsi"/>
                <w:sz w:val="20"/>
                <w:szCs w:val="20"/>
              </w:rPr>
            </w:pPr>
          </w:p>
          <w:p w14:paraId="21152FB9" w14:textId="77777777" w:rsidR="00054AE7" w:rsidRPr="006331C6" w:rsidRDefault="0A11954D" w:rsidP="6A7DEB79">
            <w:pPr>
              <w:rPr>
                <w:rFonts w:cstheme="minorHAnsi"/>
                <w:sz w:val="20"/>
                <w:szCs w:val="20"/>
              </w:rPr>
            </w:pPr>
            <w:r w:rsidRPr="006331C6">
              <w:rPr>
                <w:rFonts w:cstheme="minorHAnsi"/>
                <w:sz w:val="20"/>
                <w:szCs w:val="20"/>
              </w:rPr>
              <w:t xml:space="preserve">SPC </w:t>
            </w:r>
            <w:r w:rsidR="005F41CB" w:rsidRPr="006331C6">
              <w:rPr>
                <w:rFonts w:cstheme="minorHAnsi"/>
                <w:sz w:val="20"/>
                <w:szCs w:val="20"/>
              </w:rPr>
              <w:t xml:space="preserve">will use their annual workplan to </w:t>
            </w:r>
            <w:r w:rsidR="00526862" w:rsidRPr="006331C6">
              <w:rPr>
                <w:rFonts w:cstheme="minorHAnsi"/>
                <w:sz w:val="20"/>
                <w:szCs w:val="20"/>
              </w:rPr>
              <w:t xml:space="preserve">formally </w:t>
            </w:r>
            <w:r w:rsidR="005F41CB" w:rsidRPr="006331C6">
              <w:rPr>
                <w:rFonts w:cstheme="minorHAnsi"/>
                <w:sz w:val="20"/>
                <w:szCs w:val="20"/>
              </w:rPr>
              <w:t>identify opportunities for</w:t>
            </w:r>
            <w:r w:rsidR="00AB7FBC" w:rsidRPr="006331C6">
              <w:rPr>
                <w:rFonts w:cstheme="minorHAnsi"/>
                <w:sz w:val="20"/>
                <w:szCs w:val="20"/>
              </w:rPr>
              <w:t xml:space="preserve"> AGI.</w:t>
            </w:r>
          </w:p>
          <w:p w14:paraId="2C633280" w14:textId="77777777" w:rsidR="002B7F49" w:rsidRPr="006331C6" w:rsidRDefault="002B7F49" w:rsidP="6A7DEB79">
            <w:pPr>
              <w:rPr>
                <w:rFonts w:cstheme="minorHAnsi"/>
                <w:sz w:val="20"/>
                <w:szCs w:val="20"/>
              </w:rPr>
            </w:pPr>
          </w:p>
          <w:p w14:paraId="73A54007" w14:textId="568ECB2F" w:rsidR="006379A2" w:rsidRPr="006331C6" w:rsidRDefault="002B7F49" w:rsidP="006379A2">
            <w:pPr>
              <w:rPr>
                <w:rFonts w:cstheme="minorHAnsi"/>
                <w:sz w:val="20"/>
                <w:szCs w:val="20"/>
              </w:rPr>
            </w:pPr>
            <w:r w:rsidRPr="006331C6">
              <w:rPr>
                <w:rFonts w:cstheme="minorHAnsi"/>
                <w:sz w:val="20"/>
                <w:szCs w:val="20"/>
              </w:rPr>
              <w:t xml:space="preserve">SPC will work with DFAT to create an annual calendar of events </w:t>
            </w:r>
            <w:r w:rsidR="006379A2" w:rsidRPr="006331C6">
              <w:rPr>
                <w:rFonts w:cstheme="minorHAnsi"/>
                <w:sz w:val="20"/>
                <w:szCs w:val="20"/>
              </w:rPr>
              <w:t xml:space="preserve">to explore upcoming priorities and opportunities for the inclusion of adolescent girls and Pacific Girl program partners in national, regional and global spaces. </w:t>
            </w:r>
          </w:p>
          <w:p w14:paraId="2E955D34" w14:textId="2596542A" w:rsidR="002B7F49" w:rsidRPr="006331C6" w:rsidRDefault="002B7F49" w:rsidP="6A7DEB79">
            <w:pPr>
              <w:rPr>
                <w:rFonts w:cstheme="minorHAnsi"/>
                <w:sz w:val="20"/>
                <w:szCs w:val="20"/>
              </w:rPr>
            </w:pPr>
          </w:p>
        </w:tc>
        <w:tc>
          <w:tcPr>
            <w:tcW w:w="1343" w:type="dxa"/>
            <w:tcBorders>
              <w:top w:val="nil"/>
              <w:left w:val="nil"/>
              <w:bottom w:val="single" w:sz="4" w:space="0" w:color="auto"/>
              <w:right w:val="nil"/>
            </w:tcBorders>
            <w:shd w:val="clear" w:color="auto" w:fill="F4EEF6"/>
          </w:tcPr>
          <w:p w14:paraId="332554DB" w14:textId="6362C046" w:rsidR="00054AE7" w:rsidRPr="006331C6" w:rsidRDefault="1840ADAB" w:rsidP="6A7DEB79">
            <w:pPr>
              <w:rPr>
                <w:rFonts w:cstheme="minorHAnsi"/>
                <w:sz w:val="20"/>
                <w:szCs w:val="20"/>
              </w:rPr>
            </w:pPr>
            <w:r w:rsidRPr="006331C6">
              <w:rPr>
                <w:rFonts w:cstheme="minorHAnsi"/>
                <w:sz w:val="20"/>
                <w:szCs w:val="20"/>
              </w:rPr>
              <w:t>Immediate</w:t>
            </w:r>
            <w:r w:rsidR="00A62B43" w:rsidRPr="006331C6">
              <w:rPr>
                <w:rFonts w:cstheme="minorHAnsi"/>
                <w:sz w:val="20"/>
                <w:szCs w:val="20"/>
              </w:rPr>
              <w:t xml:space="preserve"> </w:t>
            </w:r>
            <w:r w:rsidRPr="006331C6">
              <w:rPr>
                <w:rFonts w:cstheme="minorHAnsi"/>
                <w:sz w:val="20"/>
                <w:szCs w:val="20"/>
              </w:rPr>
              <w:t xml:space="preserve"> </w:t>
            </w:r>
          </w:p>
        </w:tc>
      </w:tr>
      <w:tr w:rsidR="00383CB6" w:rsidRPr="00383CB6" w14:paraId="147FF872" w14:textId="77777777" w:rsidTr="00E91DEA">
        <w:tc>
          <w:tcPr>
            <w:tcW w:w="2547" w:type="dxa"/>
            <w:tcBorders>
              <w:top w:val="single" w:sz="4" w:space="0" w:color="auto"/>
              <w:left w:val="nil"/>
              <w:bottom w:val="single" w:sz="4" w:space="0" w:color="auto"/>
              <w:right w:val="nil"/>
            </w:tcBorders>
            <w:shd w:val="clear" w:color="auto" w:fill="BEBCDE"/>
          </w:tcPr>
          <w:p w14:paraId="45A3DC10" w14:textId="77777777" w:rsidR="00383CB6" w:rsidRPr="006331C6" w:rsidRDefault="00383CB6" w:rsidP="00054036">
            <w:pPr>
              <w:rPr>
                <w:rFonts w:cstheme="minorHAnsi"/>
                <w:b/>
                <w:bCs/>
                <w:sz w:val="20"/>
                <w:szCs w:val="20"/>
              </w:rPr>
            </w:pPr>
            <w:r w:rsidRPr="006331C6">
              <w:rPr>
                <w:rFonts w:cstheme="minorHAnsi"/>
                <w:b/>
                <w:bCs/>
                <w:sz w:val="20"/>
                <w:szCs w:val="20"/>
              </w:rPr>
              <w:t xml:space="preserve">Recommendation 2 </w:t>
            </w:r>
          </w:p>
          <w:p w14:paraId="226E7000" w14:textId="05ED4510" w:rsidR="00054AE7" w:rsidRPr="006331C6" w:rsidRDefault="00383CB6" w:rsidP="6A7DEB79">
            <w:pPr>
              <w:rPr>
                <w:rFonts w:cstheme="minorHAnsi"/>
                <w:i/>
                <w:iCs/>
                <w:sz w:val="20"/>
                <w:szCs w:val="20"/>
              </w:rPr>
            </w:pPr>
            <w:r w:rsidRPr="006331C6">
              <w:rPr>
                <w:rFonts w:cstheme="minorHAnsi"/>
                <w:i/>
                <w:iCs/>
                <w:sz w:val="20"/>
                <w:szCs w:val="20"/>
              </w:rPr>
              <w:t>Expand Pacific Girl in depth and reach by considering increasing its engagement with existing partners and exploring new partnerships in new countries.</w:t>
            </w:r>
            <w:r w:rsidR="0023464C" w:rsidRPr="006331C6">
              <w:rPr>
                <w:rFonts w:cstheme="minorHAnsi"/>
                <w:i/>
                <w:iCs/>
                <w:sz w:val="20"/>
                <w:szCs w:val="20"/>
              </w:rPr>
              <w:t xml:space="preserve"> </w:t>
            </w:r>
          </w:p>
        </w:tc>
        <w:tc>
          <w:tcPr>
            <w:tcW w:w="1139" w:type="dxa"/>
            <w:tcBorders>
              <w:top w:val="single" w:sz="4" w:space="0" w:color="auto"/>
              <w:left w:val="nil"/>
              <w:bottom w:val="single" w:sz="4" w:space="0" w:color="auto"/>
              <w:right w:val="nil"/>
            </w:tcBorders>
            <w:shd w:val="clear" w:color="auto" w:fill="DEDDEF"/>
          </w:tcPr>
          <w:p w14:paraId="01CB74F0" w14:textId="1C124F7D" w:rsidR="00054AE7" w:rsidRPr="006331C6" w:rsidRDefault="00054AE7" w:rsidP="00054036">
            <w:pPr>
              <w:rPr>
                <w:rFonts w:cstheme="minorHAnsi"/>
                <w:sz w:val="20"/>
                <w:szCs w:val="20"/>
              </w:rPr>
            </w:pPr>
            <w:r w:rsidRPr="006331C6">
              <w:rPr>
                <w:rFonts w:cstheme="minorHAnsi"/>
                <w:sz w:val="20"/>
                <w:szCs w:val="20"/>
              </w:rPr>
              <w:t>Agree</w:t>
            </w:r>
            <w:r w:rsidR="002F6BFE" w:rsidRPr="006331C6">
              <w:rPr>
                <w:rFonts w:cstheme="minorHAnsi"/>
                <w:sz w:val="20"/>
                <w:szCs w:val="20"/>
              </w:rPr>
              <w:t xml:space="preserve"> </w:t>
            </w:r>
          </w:p>
        </w:tc>
        <w:tc>
          <w:tcPr>
            <w:tcW w:w="5528" w:type="dxa"/>
            <w:tcBorders>
              <w:top w:val="single" w:sz="4" w:space="0" w:color="auto"/>
              <w:left w:val="nil"/>
              <w:bottom w:val="single" w:sz="4" w:space="0" w:color="auto"/>
              <w:right w:val="nil"/>
            </w:tcBorders>
            <w:shd w:val="clear" w:color="auto" w:fill="FDE9F1"/>
          </w:tcPr>
          <w:p w14:paraId="24432A53" w14:textId="605E4658" w:rsidR="007E06B9" w:rsidRPr="006331C6" w:rsidRDefault="006C0516" w:rsidP="7E378A1F">
            <w:pPr>
              <w:rPr>
                <w:rFonts w:cstheme="minorHAnsi"/>
                <w:sz w:val="20"/>
                <w:szCs w:val="20"/>
              </w:rPr>
            </w:pPr>
            <w:r w:rsidRPr="006331C6">
              <w:rPr>
                <w:rFonts w:cstheme="minorHAnsi"/>
                <w:sz w:val="20"/>
                <w:szCs w:val="20"/>
              </w:rPr>
              <w:t>The Pacific Girl Program has the potential to grow in depth and reach in the coming years.</w:t>
            </w:r>
            <w:r w:rsidR="007E06B9" w:rsidRPr="006331C6">
              <w:rPr>
                <w:rFonts w:cstheme="minorHAnsi"/>
                <w:sz w:val="20"/>
                <w:szCs w:val="20"/>
              </w:rPr>
              <w:t xml:space="preserve"> This recommendation is central to and in close conformity with SPC’s efforts to increase engagement and exploring new partnerships in new countries. </w:t>
            </w:r>
          </w:p>
          <w:p w14:paraId="152DAC88" w14:textId="77777777" w:rsidR="007E06B9" w:rsidRPr="006331C6" w:rsidRDefault="007E06B9" w:rsidP="7E378A1F">
            <w:pPr>
              <w:rPr>
                <w:rFonts w:cstheme="minorHAnsi"/>
                <w:sz w:val="20"/>
                <w:szCs w:val="20"/>
              </w:rPr>
            </w:pPr>
          </w:p>
          <w:p w14:paraId="40200651" w14:textId="1371F470" w:rsidR="007E06B9" w:rsidRPr="006331C6" w:rsidRDefault="007E06B9" w:rsidP="7E378A1F">
            <w:pPr>
              <w:rPr>
                <w:rFonts w:cstheme="minorHAnsi"/>
                <w:sz w:val="20"/>
                <w:szCs w:val="20"/>
              </w:rPr>
            </w:pPr>
            <w:r w:rsidRPr="006331C6">
              <w:rPr>
                <w:rFonts w:cstheme="minorHAnsi"/>
                <w:sz w:val="20"/>
                <w:szCs w:val="20"/>
              </w:rPr>
              <w:t xml:space="preserve">Through the Pacific Girl Network and other regional platforms and partnerships such as HRSD </w:t>
            </w:r>
            <w:r w:rsidR="003E4F06" w:rsidRPr="006331C6">
              <w:rPr>
                <w:rFonts w:cstheme="minorHAnsi"/>
                <w:sz w:val="20"/>
                <w:szCs w:val="20"/>
              </w:rPr>
              <w:t>country focal officers</w:t>
            </w:r>
            <w:r w:rsidRPr="006331C6">
              <w:rPr>
                <w:rFonts w:cstheme="minorHAnsi"/>
                <w:sz w:val="20"/>
                <w:szCs w:val="20"/>
              </w:rPr>
              <w:t xml:space="preserve"> and gender focal points, SPC is well placed to respond to this recommendation. Several key actions are already underway, reinforcing the way forward</w:t>
            </w:r>
            <w:r w:rsidR="0073363D">
              <w:rPr>
                <w:rFonts w:cstheme="minorHAnsi"/>
                <w:sz w:val="20"/>
                <w:szCs w:val="20"/>
              </w:rPr>
              <w:t xml:space="preserve"> within and beyond HRSD/SPC</w:t>
            </w:r>
            <w:r w:rsidR="008E1EB2">
              <w:rPr>
                <w:rFonts w:cstheme="minorHAnsi"/>
                <w:sz w:val="20"/>
                <w:szCs w:val="20"/>
              </w:rPr>
              <w:t xml:space="preserve"> and other development partners. </w:t>
            </w:r>
            <w:r w:rsidR="0073363D" w:rsidRPr="006331C6">
              <w:rPr>
                <w:rFonts w:cstheme="minorHAnsi"/>
                <w:sz w:val="20"/>
                <w:szCs w:val="20"/>
              </w:rPr>
              <w:t xml:space="preserve"> </w:t>
            </w:r>
          </w:p>
          <w:p w14:paraId="7728A1CF" w14:textId="77777777" w:rsidR="007E06B9" w:rsidRPr="006331C6" w:rsidRDefault="007E06B9" w:rsidP="7E378A1F">
            <w:pPr>
              <w:rPr>
                <w:rFonts w:cstheme="minorHAnsi"/>
                <w:sz w:val="20"/>
                <w:szCs w:val="20"/>
              </w:rPr>
            </w:pPr>
          </w:p>
          <w:p w14:paraId="4BB35BAC" w14:textId="77777777" w:rsidR="00D0791F" w:rsidRPr="006331C6" w:rsidRDefault="007E06B9" w:rsidP="7E378A1F">
            <w:pPr>
              <w:rPr>
                <w:rFonts w:cstheme="minorHAnsi"/>
                <w:sz w:val="20"/>
                <w:szCs w:val="20"/>
              </w:rPr>
            </w:pPr>
            <w:r w:rsidRPr="006331C6">
              <w:rPr>
                <w:rFonts w:cstheme="minorHAnsi"/>
                <w:sz w:val="20"/>
                <w:szCs w:val="20"/>
              </w:rPr>
              <w:t xml:space="preserve">SPC also has existing adolescent girl focused research to further enhance Pacific Girl programming in the region and will continue to </w:t>
            </w:r>
            <w:r w:rsidR="00C51E0B" w:rsidRPr="006331C6">
              <w:rPr>
                <w:rFonts w:cstheme="minorHAnsi"/>
                <w:sz w:val="20"/>
                <w:szCs w:val="20"/>
              </w:rPr>
              <w:t xml:space="preserve">explore </w:t>
            </w:r>
            <w:r w:rsidR="4CADFDE9" w:rsidRPr="006331C6">
              <w:rPr>
                <w:rFonts w:cstheme="minorHAnsi"/>
                <w:sz w:val="20"/>
                <w:szCs w:val="20"/>
              </w:rPr>
              <w:t xml:space="preserve">opportunities for girls, in all their diversity to participate. </w:t>
            </w:r>
          </w:p>
          <w:p w14:paraId="7551D2DB" w14:textId="66851B1F" w:rsidR="007A7AAA" w:rsidRPr="006331C6" w:rsidRDefault="007A7AAA" w:rsidP="7E378A1F">
            <w:pPr>
              <w:rPr>
                <w:rFonts w:cstheme="minorHAnsi"/>
                <w:sz w:val="20"/>
                <w:szCs w:val="20"/>
              </w:rPr>
            </w:pPr>
          </w:p>
        </w:tc>
        <w:tc>
          <w:tcPr>
            <w:tcW w:w="4111" w:type="dxa"/>
            <w:tcBorders>
              <w:top w:val="single" w:sz="4" w:space="0" w:color="auto"/>
              <w:left w:val="nil"/>
              <w:bottom w:val="single" w:sz="4" w:space="0" w:color="auto"/>
              <w:right w:val="nil"/>
            </w:tcBorders>
            <w:shd w:val="clear" w:color="auto" w:fill="E7DAEB"/>
          </w:tcPr>
          <w:p w14:paraId="6BE2E350" w14:textId="7F679071" w:rsidR="001C1010" w:rsidRPr="006331C6" w:rsidRDefault="001C1010" w:rsidP="6A7DEB79">
            <w:pPr>
              <w:rPr>
                <w:rFonts w:cstheme="minorHAnsi"/>
                <w:sz w:val="20"/>
                <w:szCs w:val="20"/>
              </w:rPr>
            </w:pPr>
            <w:r w:rsidRPr="006331C6">
              <w:rPr>
                <w:rFonts w:cstheme="minorHAnsi"/>
                <w:sz w:val="20"/>
                <w:szCs w:val="20"/>
              </w:rPr>
              <w:t xml:space="preserve">SPC </w:t>
            </w:r>
            <w:r w:rsidR="00805B8D" w:rsidRPr="006331C6">
              <w:rPr>
                <w:rFonts w:cstheme="minorHAnsi"/>
                <w:sz w:val="20"/>
                <w:szCs w:val="20"/>
              </w:rPr>
              <w:t>already engages partners in the region on an ad hoc basis</w:t>
            </w:r>
            <w:r w:rsidR="00DE3C2A" w:rsidRPr="006331C6">
              <w:rPr>
                <w:rFonts w:cstheme="minorHAnsi"/>
                <w:sz w:val="20"/>
                <w:szCs w:val="20"/>
              </w:rPr>
              <w:t xml:space="preserve">, including through the provision of </w:t>
            </w:r>
            <w:r w:rsidR="00B173FB" w:rsidRPr="006331C6">
              <w:rPr>
                <w:rFonts w:cstheme="minorHAnsi"/>
                <w:sz w:val="20"/>
                <w:szCs w:val="20"/>
              </w:rPr>
              <w:t>expertise</w:t>
            </w:r>
            <w:r w:rsidR="00DE3C2A" w:rsidRPr="006331C6">
              <w:rPr>
                <w:rFonts w:cstheme="minorHAnsi"/>
                <w:sz w:val="20"/>
                <w:szCs w:val="20"/>
              </w:rPr>
              <w:t xml:space="preserve"> and small grants</w:t>
            </w:r>
            <w:r w:rsidR="009B4784" w:rsidRPr="006331C6">
              <w:rPr>
                <w:rFonts w:cstheme="minorHAnsi"/>
                <w:sz w:val="20"/>
                <w:szCs w:val="20"/>
              </w:rPr>
              <w:t xml:space="preserve"> and through the Pacific Girl Network. </w:t>
            </w:r>
          </w:p>
          <w:p w14:paraId="2D0687D5" w14:textId="77777777" w:rsidR="00FA523E" w:rsidRPr="006331C6" w:rsidRDefault="00FA523E" w:rsidP="6A7DEB79">
            <w:pPr>
              <w:rPr>
                <w:rFonts w:cstheme="minorHAnsi"/>
                <w:sz w:val="20"/>
                <w:szCs w:val="20"/>
              </w:rPr>
            </w:pPr>
          </w:p>
          <w:p w14:paraId="0DD770D5" w14:textId="1BBD8034" w:rsidR="00664267" w:rsidRPr="006331C6" w:rsidRDefault="00FA523E" w:rsidP="005967D6">
            <w:pPr>
              <w:rPr>
                <w:rFonts w:cstheme="minorHAnsi"/>
                <w:sz w:val="20"/>
                <w:szCs w:val="20"/>
              </w:rPr>
            </w:pPr>
            <w:r w:rsidRPr="006331C6">
              <w:rPr>
                <w:rFonts w:cstheme="minorHAnsi"/>
                <w:sz w:val="20"/>
                <w:szCs w:val="20"/>
              </w:rPr>
              <w:t>SPC</w:t>
            </w:r>
            <w:r w:rsidR="00206CBF" w:rsidRPr="006331C6">
              <w:rPr>
                <w:rFonts w:cstheme="minorHAnsi"/>
                <w:sz w:val="20"/>
                <w:szCs w:val="20"/>
              </w:rPr>
              <w:t xml:space="preserve"> through the HRSD Division</w:t>
            </w:r>
            <w:r w:rsidRPr="006331C6">
              <w:rPr>
                <w:rFonts w:cstheme="minorHAnsi"/>
                <w:sz w:val="20"/>
                <w:szCs w:val="20"/>
              </w:rPr>
              <w:t xml:space="preserve"> </w:t>
            </w:r>
            <w:r w:rsidR="00BA764D" w:rsidRPr="006331C6">
              <w:rPr>
                <w:rFonts w:cstheme="minorHAnsi"/>
                <w:sz w:val="20"/>
                <w:szCs w:val="20"/>
              </w:rPr>
              <w:t xml:space="preserve">is already working on strategies </w:t>
            </w:r>
            <w:r w:rsidR="61B503D7" w:rsidRPr="006331C6">
              <w:rPr>
                <w:rFonts w:cstheme="minorHAnsi"/>
                <w:sz w:val="20"/>
                <w:szCs w:val="20"/>
              </w:rPr>
              <w:t>to scope</w:t>
            </w:r>
            <w:r w:rsidRPr="006331C6">
              <w:rPr>
                <w:rFonts w:cstheme="minorHAnsi"/>
                <w:sz w:val="20"/>
                <w:szCs w:val="20"/>
              </w:rPr>
              <w:t xml:space="preserve"> new potential partners </w:t>
            </w:r>
            <w:r w:rsidR="00BA764D" w:rsidRPr="006331C6">
              <w:rPr>
                <w:rFonts w:cstheme="minorHAnsi"/>
                <w:sz w:val="20"/>
                <w:szCs w:val="20"/>
              </w:rPr>
              <w:t>to</w:t>
            </w:r>
            <w:r w:rsidRPr="006331C6">
              <w:rPr>
                <w:rFonts w:cstheme="minorHAnsi"/>
                <w:sz w:val="20"/>
                <w:szCs w:val="20"/>
              </w:rPr>
              <w:t xml:space="preserve"> work with adolescent girls in the region. </w:t>
            </w:r>
            <w:r w:rsidR="005967D6" w:rsidRPr="006331C6">
              <w:rPr>
                <w:rFonts w:cstheme="minorHAnsi"/>
                <w:sz w:val="20"/>
                <w:szCs w:val="20"/>
              </w:rPr>
              <w:t>This includes</w:t>
            </w:r>
            <w:r w:rsidR="2D780295" w:rsidRPr="006331C6">
              <w:rPr>
                <w:rFonts w:cstheme="minorHAnsi"/>
                <w:sz w:val="20"/>
                <w:szCs w:val="20"/>
              </w:rPr>
              <w:t xml:space="preserve"> initial</w:t>
            </w:r>
            <w:r w:rsidR="33E39D5B" w:rsidRPr="006331C6">
              <w:rPr>
                <w:rFonts w:cstheme="minorHAnsi"/>
                <w:sz w:val="20"/>
                <w:szCs w:val="20"/>
              </w:rPr>
              <w:t xml:space="preserve"> strategic</w:t>
            </w:r>
            <w:r w:rsidR="2D780295" w:rsidRPr="006331C6">
              <w:rPr>
                <w:rFonts w:cstheme="minorHAnsi"/>
                <w:sz w:val="20"/>
                <w:szCs w:val="20"/>
              </w:rPr>
              <w:t xml:space="preserve"> partnerships</w:t>
            </w:r>
            <w:r w:rsidR="673576C7" w:rsidRPr="006331C6">
              <w:rPr>
                <w:rFonts w:cstheme="minorHAnsi"/>
                <w:sz w:val="20"/>
                <w:szCs w:val="20"/>
              </w:rPr>
              <w:t xml:space="preserve"> </w:t>
            </w:r>
            <w:r w:rsidR="74FEE317" w:rsidRPr="006331C6">
              <w:rPr>
                <w:rFonts w:cstheme="minorHAnsi"/>
                <w:sz w:val="20"/>
                <w:szCs w:val="20"/>
              </w:rPr>
              <w:t xml:space="preserve">in </w:t>
            </w:r>
            <w:r w:rsidR="6B605F18" w:rsidRPr="006331C6">
              <w:rPr>
                <w:rFonts w:cstheme="minorHAnsi"/>
                <w:sz w:val="20"/>
                <w:szCs w:val="20"/>
              </w:rPr>
              <w:t xml:space="preserve">the </w:t>
            </w:r>
            <w:r w:rsidR="74FEE317" w:rsidRPr="006331C6">
              <w:rPr>
                <w:rFonts w:cstheme="minorHAnsi"/>
                <w:sz w:val="20"/>
                <w:szCs w:val="20"/>
              </w:rPr>
              <w:t xml:space="preserve">Solomon Islands and </w:t>
            </w:r>
            <w:r w:rsidR="39440711" w:rsidRPr="006331C6">
              <w:rPr>
                <w:rFonts w:cstheme="minorHAnsi"/>
                <w:sz w:val="20"/>
                <w:szCs w:val="20"/>
              </w:rPr>
              <w:t>PNG and</w:t>
            </w:r>
            <w:r w:rsidR="707B0328" w:rsidRPr="006331C6">
              <w:rPr>
                <w:rFonts w:cstheme="minorHAnsi"/>
                <w:sz w:val="20"/>
                <w:szCs w:val="20"/>
              </w:rPr>
              <w:t xml:space="preserve"> will </w:t>
            </w:r>
            <w:r w:rsidR="6CC73319" w:rsidRPr="006331C6">
              <w:rPr>
                <w:rFonts w:cstheme="minorHAnsi"/>
                <w:sz w:val="20"/>
                <w:szCs w:val="20"/>
              </w:rPr>
              <w:t xml:space="preserve">seek to </w:t>
            </w:r>
            <w:r w:rsidR="33E39D5B" w:rsidRPr="006331C6">
              <w:rPr>
                <w:rFonts w:cstheme="minorHAnsi"/>
                <w:sz w:val="20"/>
                <w:szCs w:val="20"/>
              </w:rPr>
              <w:t xml:space="preserve">deepen these </w:t>
            </w:r>
            <w:r w:rsidR="6CC73319" w:rsidRPr="006331C6">
              <w:rPr>
                <w:rFonts w:cstheme="minorHAnsi"/>
                <w:sz w:val="20"/>
                <w:szCs w:val="20"/>
              </w:rPr>
              <w:t>partnerships</w:t>
            </w:r>
            <w:r w:rsidR="005C7D7A" w:rsidRPr="006331C6">
              <w:rPr>
                <w:rFonts w:cstheme="minorHAnsi"/>
                <w:sz w:val="20"/>
                <w:szCs w:val="20"/>
              </w:rPr>
              <w:t xml:space="preserve"> through grant funding. </w:t>
            </w:r>
          </w:p>
          <w:p w14:paraId="63AF9C2A" w14:textId="0DF7C1CC" w:rsidR="7E378A1F" w:rsidRPr="006331C6" w:rsidRDefault="7E378A1F" w:rsidP="7E378A1F">
            <w:pPr>
              <w:rPr>
                <w:rFonts w:cstheme="minorHAnsi"/>
                <w:sz w:val="20"/>
                <w:szCs w:val="20"/>
              </w:rPr>
            </w:pPr>
          </w:p>
          <w:p w14:paraId="4722AC3A" w14:textId="4FEC0363" w:rsidR="107B6615" w:rsidRPr="006331C6" w:rsidRDefault="107B6615" w:rsidP="7E378A1F">
            <w:pPr>
              <w:rPr>
                <w:rFonts w:cstheme="minorHAnsi"/>
                <w:sz w:val="20"/>
                <w:szCs w:val="20"/>
              </w:rPr>
            </w:pPr>
            <w:r w:rsidRPr="006331C6">
              <w:rPr>
                <w:rFonts w:cstheme="minorHAnsi"/>
                <w:sz w:val="20"/>
                <w:szCs w:val="20"/>
              </w:rPr>
              <w:t>SPC to share resources and training with partners to ensure that child protection obligations continue to be met.</w:t>
            </w:r>
          </w:p>
          <w:p w14:paraId="5F131A30" w14:textId="31FC0AB2" w:rsidR="00282530" w:rsidRPr="006331C6" w:rsidRDefault="00282530" w:rsidP="6A7DEB79">
            <w:pPr>
              <w:rPr>
                <w:rFonts w:cstheme="minorHAnsi"/>
                <w:sz w:val="20"/>
                <w:szCs w:val="20"/>
              </w:rPr>
            </w:pPr>
          </w:p>
        </w:tc>
        <w:tc>
          <w:tcPr>
            <w:tcW w:w="1343" w:type="dxa"/>
            <w:tcBorders>
              <w:top w:val="single" w:sz="4" w:space="0" w:color="auto"/>
              <w:left w:val="nil"/>
              <w:bottom w:val="single" w:sz="4" w:space="0" w:color="auto"/>
              <w:right w:val="nil"/>
            </w:tcBorders>
            <w:shd w:val="clear" w:color="auto" w:fill="F4EEF6"/>
          </w:tcPr>
          <w:p w14:paraId="7AE0934D" w14:textId="551DB63B" w:rsidR="00054AE7" w:rsidRPr="006331C6" w:rsidRDefault="00BF0938" w:rsidP="00054036">
            <w:pPr>
              <w:rPr>
                <w:rFonts w:cstheme="minorHAnsi"/>
                <w:sz w:val="20"/>
                <w:szCs w:val="20"/>
              </w:rPr>
            </w:pPr>
            <w:r w:rsidRPr="006331C6">
              <w:rPr>
                <w:rFonts w:cstheme="minorHAnsi"/>
                <w:sz w:val="20"/>
                <w:szCs w:val="20"/>
              </w:rPr>
              <w:t>Q1 2024</w:t>
            </w:r>
          </w:p>
        </w:tc>
      </w:tr>
      <w:tr w:rsidR="00383CB6" w:rsidRPr="00383CB6" w14:paraId="59CA5E83" w14:textId="77777777" w:rsidTr="00E91DEA">
        <w:tc>
          <w:tcPr>
            <w:tcW w:w="2547" w:type="dxa"/>
            <w:tcBorders>
              <w:top w:val="single" w:sz="4" w:space="0" w:color="auto"/>
              <w:left w:val="nil"/>
              <w:bottom w:val="single" w:sz="4" w:space="0" w:color="auto"/>
              <w:right w:val="nil"/>
            </w:tcBorders>
            <w:shd w:val="clear" w:color="auto" w:fill="BEBCDE"/>
          </w:tcPr>
          <w:p w14:paraId="4C87543A" w14:textId="77777777" w:rsidR="00383CB6" w:rsidRPr="006331C6" w:rsidRDefault="00383CB6" w:rsidP="00054036">
            <w:pPr>
              <w:rPr>
                <w:rFonts w:cstheme="minorHAnsi"/>
                <w:b/>
                <w:bCs/>
                <w:sz w:val="20"/>
                <w:szCs w:val="20"/>
              </w:rPr>
            </w:pPr>
            <w:r w:rsidRPr="006331C6">
              <w:rPr>
                <w:rFonts w:cstheme="minorHAnsi"/>
                <w:b/>
                <w:bCs/>
                <w:sz w:val="20"/>
                <w:szCs w:val="20"/>
              </w:rPr>
              <w:lastRenderedPageBreak/>
              <w:t>Recommendation 3</w:t>
            </w:r>
          </w:p>
          <w:p w14:paraId="0C6AF07A" w14:textId="52247845" w:rsidR="00054AE7" w:rsidRPr="006331C6" w:rsidRDefault="00383CB6" w:rsidP="6A7DEB79">
            <w:pPr>
              <w:rPr>
                <w:rFonts w:cstheme="minorHAnsi"/>
                <w:i/>
                <w:iCs/>
                <w:sz w:val="20"/>
                <w:szCs w:val="20"/>
              </w:rPr>
            </w:pPr>
            <w:r w:rsidRPr="006331C6">
              <w:rPr>
                <w:rFonts w:cstheme="minorHAnsi"/>
                <w:i/>
                <w:iCs/>
                <w:sz w:val="20"/>
                <w:szCs w:val="20"/>
              </w:rPr>
              <w:t xml:space="preserve">Reframe the Regional Learning Network as the Pacific Girl </w:t>
            </w:r>
            <w:r w:rsidR="00E32A41" w:rsidRPr="006331C6">
              <w:rPr>
                <w:rFonts w:cstheme="minorHAnsi"/>
                <w:i/>
                <w:iCs/>
                <w:sz w:val="20"/>
                <w:szCs w:val="20"/>
              </w:rPr>
              <w:t>Network and</w:t>
            </w:r>
            <w:r w:rsidRPr="006331C6">
              <w:rPr>
                <w:rFonts w:cstheme="minorHAnsi"/>
                <w:i/>
                <w:iCs/>
                <w:sz w:val="20"/>
                <w:szCs w:val="20"/>
              </w:rPr>
              <w:t xml:space="preserve"> prioritise its reinvigoration.</w:t>
            </w:r>
          </w:p>
        </w:tc>
        <w:tc>
          <w:tcPr>
            <w:tcW w:w="1139" w:type="dxa"/>
            <w:tcBorders>
              <w:top w:val="single" w:sz="4" w:space="0" w:color="auto"/>
              <w:left w:val="nil"/>
              <w:bottom w:val="single" w:sz="4" w:space="0" w:color="auto"/>
              <w:right w:val="nil"/>
            </w:tcBorders>
            <w:shd w:val="clear" w:color="auto" w:fill="DEDDEF"/>
          </w:tcPr>
          <w:p w14:paraId="7D984199" w14:textId="05802736" w:rsidR="00054AE7" w:rsidRPr="006331C6" w:rsidRDefault="00054AE7" w:rsidP="00054036">
            <w:pPr>
              <w:rPr>
                <w:rFonts w:cstheme="minorHAnsi"/>
                <w:sz w:val="20"/>
                <w:szCs w:val="20"/>
              </w:rPr>
            </w:pPr>
            <w:r w:rsidRPr="006331C6">
              <w:rPr>
                <w:rFonts w:cstheme="minorHAnsi"/>
                <w:sz w:val="20"/>
                <w:szCs w:val="20"/>
              </w:rPr>
              <w:t>Agree</w:t>
            </w:r>
            <w:r w:rsidR="002F6BFE" w:rsidRPr="006331C6">
              <w:rPr>
                <w:rFonts w:cstheme="minorHAnsi"/>
                <w:sz w:val="20"/>
                <w:szCs w:val="20"/>
              </w:rPr>
              <w:t xml:space="preserve"> </w:t>
            </w:r>
          </w:p>
        </w:tc>
        <w:tc>
          <w:tcPr>
            <w:tcW w:w="5528" w:type="dxa"/>
            <w:tcBorders>
              <w:top w:val="single" w:sz="4" w:space="0" w:color="auto"/>
              <w:left w:val="nil"/>
              <w:bottom w:val="single" w:sz="4" w:space="0" w:color="auto"/>
              <w:right w:val="nil"/>
            </w:tcBorders>
            <w:shd w:val="clear" w:color="auto" w:fill="FDE9F1"/>
          </w:tcPr>
          <w:p w14:paraId="54C83AE2" w14:textId="77777777" w:rsidR="00686E5D" w:rsidRPr="006331C6" w:rsidRDefault="00686E5D" w:rsidP="00686E5D">
            <w:pPr>
              <w:rPr>
                <w:rFonts w:cstheme="minorHAnsi"/>
                <w:sz w:val="20"/>
                <w:szCs w:val="20"/>
              </w:rPr>
            </w:pPr>
            <w:r w:rsidRPr="006331C6">
              <w:rPr>
                <w:rFonts w:cstheme="minorHAnsi"/>
                <w:sz w:val="20"/>
                <w:szCs w:val="20"/>
              </w:rPr>
              <w:t xml:space="preserve">SPC acknowledges that the there is potential for further tangible and intentional support to the Pacific Girl Learning Network, beyond the Pacific Girl grant-funded partners. Reframing the Learning Network to the Pacific Girl Network broadens the scope of the network’s purpose beyond sharing learning amongst existing grant funded partners. </w:t>
            </w:r>
          </w:p>
          <w:p w14:paraId="5786F865" w14:textId="77777777" w:rsidR="00133183" w:rsidRPr="006331C6" w:rsidRDefault="00133183" w:rsidP="00686E5D">
            <w:pPr>
              <w:rPr>
                <w:rFonts w:cstheme="minorHAnsi"/>
                <w:sz w:val="20"/>
                <w:szCs w:val="20"/>
              </w:rPr>
            </w:pPr>
          </w:p>
          <w:p w14:paraId="031A87B1" w14:textId="5D2E6F78" w:rsidR="00133183" w:rsidRPr="006331C6" w:rsidRDefault="00133183" w:rsidP="00686E5D">
            <w:pPr>
              <w:rPr>
                <w:rFonts w:cstheme="minorHAnsi"/>
                <w:sz w:val="20"/>
                <w:szCs w:val="20"/>
              </w:rPr>
            </w:pPr>
            <w:r w:rsidRPr="006331C6">
              <w:rPr>
                <w:rFonts w:cstheme="minorHAnsi"/>
                <w:sz w:val="20"/>
                <w:szCs w:val="20"/>
              </w:rPr>
              <w:t>The network will enable SPC, Pacific Girl programme partners and other relevant stakeholders to share resources and best practice across the region, collaborate and to enhance AGI.</w:t>
            </w:r>
          </w:p>
          <w:p w14:paraId="55197D25" w14:textId="59772390" w:rsidR="00AB7FBC" w:rsidRPr="006331C6" w:rsidRDefault="00AB7FBC" w:rsidP="00054036">
            <w:pPr>
              <w:rPr>
                <w:rFonts w:cstheme="minorHAnsi"/>
                <w:sz w:val="20"/>
                <w:szCs w:val="20"/>
              </w:rPr>
            </w:pPr>
          </w:p>
        </w:tc>
        <w:tc>
          <w:tcPr>
            <w:tcW w:w="4111" w:type="dxa"/>
            <w:tcBorders>
              <w:top w:val="single" w:sz="4" w:space="0" w:color="auto"/>
              <w:left w:val="nil"/>
              <w:bottom w:val="single" w:sz="4" w:space="0" w:color="auto"/>
              <w:right w:val="nil"/>
            </w:tcBorders>
            <w:shd w:val="clear" w:color="auto" w:fill="E7DAEB"/>
          </w:tcPr>
          <w:p w14:paraId="62AF1328" w14:textId="4921F822" w:rsidR="00054AE7" w:rsidRPr="006331C6" w:rsidRDefault="4D350A21" w:rsidP="7E378A1F">
            <w:pPr>
              <w:rPr>
                <w:rFonts w:cstheme="minorHAnsi"/>
                <w:sz w:val="20"/>
                <w:szCs w:val="20"/>
              </w:rPr>
            </w:pPr>
            <w:r w:rsidRPr="006331C6">
              <w:rPr>
                <w:rFonts w:cstheme="minorHAnsi"/>
                <w:sz w:val="20"/>
                <w:szCs w:val="20"/>
              </w:rPr>
              <w:t xml:space="preserve">SPC </w:t>
            </w:r>
            <w:r w:rsidR="00686E5D" w:rsidRPr="006331C6">
              <w:rPr>
                <w:rFonts w:cstheme="minorHAnsi"/>
                <w:sz w:val="20"/>
                <w:szCs w:val="20"/>
              </w:rPr>
              <w:t>have recruited two new Program Officers in Q3 2023 to provide dedicated support on</w:t>
            </w:r>
            <w:r w:rsidR="28D1988D" w:rsidRPr="006331C6">
              <w:rPr>
                <w:rFonts w:cstheme="minorHAnsi"/>
                <w:sz w:val="20"/>
                <w:szCs w:val="20"/>
              </w:rPr>
              <w:t xml:space="preserve"> </w:t>
            </w:r>
            <w:r w:rsidR="00CF66CC" w:rsidRPr="006331C6">
              <w:rPr>
                <w:rFonts w:cstheme="minorHAnsi"/>
                <w:sz w:val="20"/>
                <w:szCs w:val="20"/>
              </w:rPr>
              <w:t xml:space="preserve">building and </w:t>
            </w:r>
            <w:r w:rsidR="5FAC6CBC" w:rsidRPr="006331C6">
              <w:rPr>
                <w:rFonts w:cstheme="minorHAnsi"/>
                <w:sz w:val="20"/>
                <w:szCs w:val="20"/>
              </w:rPr>
              <w:t xml:space="preserve">maintaining </w:t>
            </w:r>
            <w:r w:rsidR="00CF66CC" w:rsidRPr="006331C6">
              <w:rPr>
                <w:rFonts w:cstheme="minorHAnsi"/>
                <w:sz w:val="20"/>
                <w:szCs w:val="20"/>
              </w:rPr>
              <w:t xml:space="preserve">the </w:t>
            </w:r>
            <w:r w:rsidR="5FAC6CBC" w:rsidRPr="006331C6">
              <w:rPr>
                <w:rFonts w:cstheme="minorHAnsi"/>
                <w:sz w:val="20"/>
                <w:szCs w:val="20"/>
              </w:rPr>
              <w:t>network</w:t>
            </w:r>
            <w:r w:rsidR="1D42E0A5" w:rsidRPr="006331C6">
              <w:rPr>
                <w:rFonts w:cstheme="minorHAnsi"/>
                <w:sz w:val="20"/>
                <w:szCs w:val="20"/>
              </w:rPr>
              <w:t xml:space="preserve">. </w:t>
            </w:r>
          </w:p>
          <w:p w14:paraId="29DA14C2" w14:textId="40AF1E2A" w:rsidR="00054AE7" w:rsidRPr="006331C6" w:rsidRDefault="00054AE7" w:rsidP="7E378A1F">
            <w:pPr>
              <w:rPr>
                <w:rFonts w:cstheme="minorHAnsi"/>
                <w:sz w:val="20"/>
                <w:szCs w:val="20"/>
              </w:rPr>
            </w:pPr>
          </w:p>
          <w:p w14:paraId="363D1763" w14:textId="77777777" w:rsidR="00054AE7" w:rsidRPr="006331C6" w:rsidRDefault="4014005C" w:rsidP="7E378A1F">
            <w:pPr>
              <w:rPr>
                <w:rFonts w:cstheme="minorHAnsi"/>
                <w:sz w:val="20"/>
                <w:szCs w:val="20"/>
              </w:rPr>
            </w:pPr>
            <w:r w:rsidRPr="006331C6">
              <w:rPr>
                <w:rFonts w:cstheme="minorHAnsi"/>
                <w:sz w:val="20"/>
                <w:szCs w:val="20"/>
              </w:rPr>
              <w:t>T</w:t>
            </w:r>
            <w:r w:rsidR="00686E5D" w:rsidRPr="006331C6">
              <w:rPr>
                <w:rFonts w:cstheme="minorHAnsi"/>
                <w:sz w:val="20"/>
                <w:szCs w:val="20"/>
              </w:rPr>
              <w:t>he T</w:t>
            </w:r>
            <w:r w:rsidRPr="006331C6">
              <w:rPr>
                <w:rFonts w:cstheme="minorHAnsi"/>
                <w:sz w:val="20"/>
                <w:szCs w:val="20"/>
              </w:rPr>
              <w:t>erms of reference</w:t>
            </w:r>
            <w:r w:rsidR="00686E5D" w:rsidRPr="006331C6">
              <w:rPr>
                <w:rFonts w:cstheme="minorHAnsi"/>
                <w:sz w:val="20"/>
                <w:szCs w:val="20"/>
              </w:rPr>
              <w:t xml:space="preserve"> will be shared and </w:t>
            </w:r>
            <w:r w:rsidRPr="006331C6">
              <w:rPr>
                <w:rFonts w:cstheme="minorHAnsi"/>
                <w:sz w:val="20"/>
                <w:szCs w:val="20"/>
              </w:rPr>
              <w:t xml:space="preserve">reviewed by DFAT in early 2024. </w:t>
            </w:r>
          </w:p>
          <w:p w14:paraId="6879DA44" w14:textId="77777777" w:rsidR="00E76458" w:rsidRPr="006331C6" w:rsidRDefault="00E76458" w:rsidP="00E76458">
            <w:pPr>
              <w:rPr>
                <w:rFonts w:cstheme="minorHAnsi"/>
                <w:sz w:val="20"/>
                <w:szCs w:val="20"/>
              </w:rPr>
            </w:pPr>
          </w:p>
          <w:p w14:paraId="2B1E03F3" w14:textId="77777777" w:rsidR="00274EF2" w:rsidRDefault="00E76458" w:rsidP="00E76458">
            <w:pPr>
              <w:rPr>
                <w:rFonts w:cstheme="minorHAnsi"/>
                <w:sz w:val="20"/>
                <w:szCs w:val="20"/>
              </w:rPr>
            </w:pPr>
            <w:r w:rsidRPr="006331C6">
              <w:rPr>
                <w:rFonts w:cstheme="minorHAnsi"/>
                <w:sz w:val="20"/>
                <w:szCs w:val="20"/>
              </w:rPr>
              <w:t>A soft launch of the Mid-Term Review report and the revitalization of the Pacific Network will be held during the upcoming Pacific Girl Annual Convening in April 2024.</w:t>
            </w:r>
          </w:p>
          <w:p w14:paraId="4DE2EA4E" w14:textId="79DCFA5B" w:rsidR="00E0470A" w:rsidRPr="006331C6" w:rsidRDefault="00E0470A" w:rsidP="00E76458">
            <w:pPr>
              <w:rPr>
                <w:rFonts w:cstheme="minorHAnsi"/>
                <w:sz w:val="20"/>
                <w:szCs w:val="20"/>
              </w:rPr>
            </w:pPr>
          </w:p>
        </w:tc>
        <w:tc>
          <w:tcPr>
            <w:tcW w:w="1343" w:type="dxa"/>
            <w:tcBorders>
              <w:top w:val="single" w:sz="4" w:space="0" w:color="auto"/>
              <w:left w:val="nil"/>
              <w:bottom w:val="single" w:sz="4" w:space="0" w:color="auto"/>
              <w:right w:val="nil"/>
            </w:tcBorders>
            <w:shd w:val="clear" w:color="auto" w:fill="F4EEF6"/>
          </w:tcPr>
          <w:p w14:paraId="15438177" w14:textId="413DA3D7" w:rsidR="00054AE7" w:rsidRPr="006331C6" w:rsidRDefault="003F6F5A" w:rsidP="00054036">
            <w:pPr>
              <w:rPr>
                <w:rFonts w:cstheme="minorHAnsi"/>
                <w:sz w:val="20"/>
                <w:szCs w:val="20"/>
              </w:rPr>
            </w:pPr>
            <w:r w:rsidRPr="006331C6">
              <w:rPr>
                <w:rFonts w:cstheme="minorHAnsi"/>
                <w:sz w:val="20"/>
                <w:szCs w:val="20"/>
              </w:rPr>
              <w:t>Q1 2024</w:t>
            </w:r>
          </w:p>
        </w:tc>
      </w:tr>
      <w:tr w:rsidR="00383CB6" w:rsidRPr="00383CB6" w14:paraId="4E7AF818" w14:textId="77777777" w:rsidTr="00E91DEA">
        <w:tc>
          <w:tcPr>
            <w:tcW w:w="2547" w:type="dxa"/>
            <w:tcBorders>
              <w:top w:val="single" w:sz="4" w:space="0" w:color="auto"/>
              <w:left w:val="nil"/>
              <w:bottom w:val="single" w:sz="4" w:space="0" w:color="auto"/>
              <w:right w:val="nil"/>
            </w:tcBorders>
            <w:shd w:val="clear" w:color="auto" w:fill="BEBCDE"/>
          </w:tcPr>
          <w:p w14:paraId="7061E30F" w14:textId="77777777" w:rsidR="00383CB6" w:rsidRPr="006331C6" w:rsidRDefault="00383CB6" w:rsidP="00054036">
            <w:pPr>
              <w:rPr>
                <w:rFonts w:cstheme="minorHAnsi"/>
                <w:b/>
                <w:bCs/>
                <w:sz w:val="20"/>
                <w:szCs w:val="20"/>
              </w:rPr>
            </w:pPr>
            <w:r w:rsidRPr="006331C6">
              <w:rPr>
                <w:rFonts w:cstheme="minorHAnsi"/>
                <w:b/>
                <w:bCs/>
                <w:sz w:val="20"/>
                <w:szCs w:val="20"/>
              </w:rPr>
              <w:t>Recommendation 4</w:t>
            </w:r>
          </w:p>
          <w:p w14:paraId="4398AED7" w14:textId="6FF3A084" w:rsidR="00054AE7" w:rsidRPr="006331C6" w:rsidRDefault="00383CB6" w:rsidP="6A7DEB79">
            <w:pPr>
              <w:rPr>
                <w:rFonts w:cstheme="minorHAnsi"/>
                <w:i/>
                <w:iCs/>
                <w:sz w:val="20"/>
                <w:szCs w:val="20"/>
              </w:rPr>
            </w:pPr>
            <w:r w:rsidRPr="006331C6">
              <w:rPr>
                <w:rFonts w:cstheme="minorHAnsi"/>
                <w:i/>
                <w:iCs/>
                <w:sz w:val="20"/>
                <w:szCs w:val="20"/>
              </w:rPr>
              <w:t>Support Pacific Girl, Pacific Girl partners, and adolescent girls to work together to strengthen the Pacific Girl Theory of Change and Monitoring, Evaluation and Learning Framework.</w:t>
            </w:r>
          </w:p>
        </w:tc>
        <w:tc>
          <w:tcPr>
            <w:tcW w:w="1139" w:type="dxa"/>
            <w:tcBorders>
              <w:top w:val="single" w:sz="4" w:space="0" w:color="auto"/>
              <w:left w:val="nil"/>
              <w:bottom w:val="single" w:sz="4" w:space="0" w:color="auto"/>
              <w:right w:val="nil"/>
            </w:tcBorders>
            <w:shd w:val="clear" w:color="auto" w:fill="DEDDEF"/>
          </w:tcPr>
          <w:p w14:paraId="5378537C" w14:textId="206CE9F5" w:rsidR="00054AE7" w:rsidRPr="006331C6" w:rsidRDefault="00054AE7" w:rsidP="00054036">
            <w:pPr>
              <w:rPr>
                <w:rFonts w:cstheme="minorHAnsi"/>
                <w:sz w:val="20"/>
                <w:szCs w:val="20"/>
              </w:rPr>
            </w:pPr>
            <w:r w:rsidRPr="006331C6">
              <w:rPr>
                <w:rFonts w:cstheme="minorHAnsi"/>
                <w:sz w:val="20"/>
                <w:szCs w:val="20"/>
              </w:rPr>
              <w:t>Agree</w:t>
            </w:r>
            <w:r w:rsidR="002F6BFE" w:rsidRPr="006331C6">
              <w:rPr>
                <w:rFonts w:cstheme="minorHAnsi"/>
                <w:sz w:val="20"/>
                <w:szCs w:val="20"/>
              </w:rPr>
              <w:t xml:space="preserve"> </w:t>
            </w:r>
          </w:p>
        </w:tc>
        <w:tc>
          <w:tcPr>
            <w:tcW w:w="5528" w:type="dxa"/>
            <w:tcBorders>
              <w:top w:val="single" w:sz="4" w:space="0" w:color="auto"/>
              <w:left w:val="nil"/>
              <w:bottom w:val="single" w:sz="4" w:space="0" w:color="auto"/>
              <w:right w:val="nil"/>
            </w:tcBorders>
            <w:shd w:val="clear" w:color="auto" w:fill="FDE9F1"/>
          </w:tcPr>
          <w:p w14:paraId="44F295AE" w14:textId="2C4AC528" w:rsidR="002243FC" w:rsidRPr="006331C6" w:rsidRDefault="002243FC" w:rsidP="7E378A1F">
            <w:pPr>
              <w:rPr>
                <w:rFonts w:cstheme="minorHAnsi"/>
                <w:sz w:val="20"/>
                <w:szCs w:val="20"/>
              </w:rPr>
            </w:pPr>
            <w:r w:rsidRPr="006331C6">
              <w:rPr>
                <w:rFonts w:cstheme="minorHAnsi"/>
                <w:sz w:val="20"/>
                <w:szCs w:val="20"/>
              </w:rPr>
              <w:t>SPC have a commitment to ensuring the Pacific Girl Theory of Change and Monitoring, Evaluation and Learning Framework reflects the current reality and transition of the programme, since inception</w:t>
            </w:r>
            <w:r w:rsidR="00012CD8">
              <w:rPr>
                <w:rFonts w:cstheme="minorHAnsi"/>
                <w:sz w:val="20"/>
                <w:szCs w:val="20"/>
              </w:rPr>
              <w:t>.</w:t>
            </w:r>
          </w:p>
          <w:p w14:paraId="23A8281B" w14:textId="77777777" w:rsidR="002243FC" w:rsidRPr="006331C6" w:rsidRDefault="002243FC" w:rsidP="7E378A1F">
            <w:pPr>
              <w:rPr>
                <w:rFonts w:cstheme="minorHAnsi"/>
                <w:sz w:val="20"/>
                <w:szCs w:val="20"/>
              </w:rPr>
            </w:pPr>
          </w:p>
          <w:p w14:paraId="071D03C6" w14:textId="7A5997A9" w:rsidR="00054AE7" w:rsidRDefault="00841533" w:rsidP="7E378A1F">
            <w:pPr>
              <w:rPr>
                <w:rFonts w:cstheme="minorHAnsi"/>
                <w:sz w:val="20"/>
                <w:szCs w:val="20"/>
              </w:rPr>
            </w:pPr>
            <w:r w:rsidRPr="006331C6">
              <w:rPr>
                <w:rFonts w:cstheme="minorHAnsi"/>
                <w:sz w:val="20"/>
                <w:szCs w:val="20"/>
              </w:rPr>
              <w:t xml:space="preserve">SPC is </w:t>
            </w:r>
            <w:r w:rsidR="00D52AB2" w:rsidRPr="006331C6">
              <w:rPr>
                <w:rFonts w:cstheme="minorHAnsi"/>
                <w:sz w:val="20"/>
                <w:szCs w:val="20"/>
              </w:rPr>
              <w:t xml:space="preserve">aims </w:t>
            </w:r>
            <w:r w:rsidRPr="006331C6">
              <w:rPr>
                <w:rFonts w:cstheme="minorHAnsi"/>
                <w:sz w:val="20"/>
                <w:szCs w:val="20"/>
              </w:rPr>
              <w:t xml:space="preserve">to revise the Theory of Change and MELF to continue </w:t>
            </w:r>
            <w:r w:rsidR="00AE3406" w:rsidRPr="006331C6">
              <w:rPr>
                <w:rFonts w:cstheme="minorHAnsi"/>
                <w:sz w:val="20"/>
                <w:szCs w:val="20"/>
              </w:rPr>
              <w:t xml:space="preserve">the application of </w:t>
            </w:r>
            <w:r w:rsidRPr="006331C6">
              <w:rPr>
                <w:rFonts w:cstheme="minorHAnsi"/>
                <w:sz w:val="20"/>
                <w:szCs w:val="20"/>
              </w:rPr>
              <w:t>a girl-led</w:t>
            </w:r>
            <w:r w:rsidR="00AE3406" w:rsidRPr="006331C6">
              <w:rPr>
                <w:rFonts w:cstheme="minorHAnsi"/>
                <w:sz w:val="20"/>
                <w:szCs w:val="20"/>
              </w:rPr>
              <w:t xml:space="preserve"> approach</w:t>
            </w:r>
            <w:r w:rsidR="005E7C89" w:rsidRPr="006331C6">
              <w:rPr>
                <w:rFonts w:cstheme="minorHAnsi"/>
                <w:sz w:val="20"/>
                <w:szCs w:val="20"/>
              </w:rPr>
              <w:t xml:space="preserve">, utilising the </w:t>
            </w:r>
            <w:r w:rsidRPr="006331C6">
              <w:rPr>
                <w:rFonts w:cstheme="minorHAnsi"/>
                <w:sz w:val="20"/>
                <w:szCs w:val="20"/>
              </w:rPr>
              <w:t xml:space="preserve">feminist participatory action </w:t>
            </w:r>
            <w:r w:rsidR="005E7C89" w:rsidRPr="006331C6">
              <w:rPr>
                <w:rFonts w:cstheme="minorHAnsi"/>
                <w:sz w:val="20"/>
                <w:szCs w:val="20"/>
              </w:rPr>
              <w:t xml:space="preserve">research </w:t>
            </w:r>
            <w:r w:rsidR="00EA61D8" w:rsidRPr="006331C6">
              <w:rPr>
                <w:rFonts w:cstheme="minorHAnsi"/>
                <w:sz w:val="20"/>
                <w:szCs w:val="20"/>
              </w:rPr>
              <w:t>principles. The MELF refresh will include updating</w:t>
            </w:r>
            <w:r w:rsidRPr="006331C6">
              <w:rPr>
                <w:rFonts w:cstheme="minorHAnsi"/>
                <w:sz w:val="20"/>
                <w:szCs w:val="20"/>
              </w:rPr>
              <w:t xml:space="preserve"> indicators and tools to enabling </w:t>
            </w:r>
            <w:r w:rsidR="00E3796F" w:rsidRPr="006331C6">
              <w:rPr>
                <w:rFonts w:cstheme="minorHAnsi"/>
                <w:sz w:val="20"/>
                <w:szCs w:val="20"/>
              </w:rPr>
              <w:t xml:space="preserve">participatory </w:t>
            </w:r>
            <w:r w:rsidRPr="006331C6">
              <w:rPr>
                <w:rFonts w:cstheme="minorHAnsi"/>
                <w:sz w:val="20"/>
                <w:szCs w:val="20"/>
              </w:rPr>
              <w:t>lea</w:t>
            </w:r>
            <w:r w:rsidR="00E3796F" w:rsidRPr="006331C6">
              <w:rPr>
                <w:rFonts w:cstheme="minorHAnsi"/>
                <w:sz w:val="20"/>
                <w:szCs w:val="20"/>
              </w:rPr>
              <w:t>r</w:t>
            </w:r>
            <w:r w:rsidRPr="006331C6">
              <w:rPr>
                <w:rFonts w:cstheme="minorHAnsi"/>
                <w:sz w:val="20"/>
                <w:szCs w:val="20"/>
              </w:rPr>
              <w:t>ning and effective measurement of programme progress</w:t>
            </w:r>
            <w:r w:rsidR="00EB7E75" w:rsidRPr="006331C6">
              <w:rPr>
                <w:rFonts w:cstheme="minorHAnsi"/>
                <w:sz w:val="20"/>
                <w:szCs w:val="20"/>
              </w:rPr>
              <w:t>. The MELF will also ensure to</w:t>
            </w:r>
            <w:r w:rsidR="00D577BD" w:rsidRPr="006331C6">
              <w:rPr>
                <w:rFonts w:cstheme="minorHAnsi"/>
                <w:sz w:val="20"/>
                <w:szCs w:val="20"/>
              </w:rPr>
              <w:t xml:space="preserve"> </w:t>
            </w:r>
            <w:r w:rsidR="00E32A41" w:rsidRPr="006331C6">
              <w:rPr>
                <w:rFonts w:cstheme="minorHAnsi"/>
                <w:sz w:val="20"/>
                <w:szCs w:val="20"/>
              </w:rPr>
              <w:t>combine MEL</w:t>
            </w:r>
            <w:r w:rsidR="005625D7" w:rsidRPr="006331C6">
              <w:rPr>
                <w:rFonts w:cstheme="minorHAnsi"/>
                <w:sz w:val="20"/>
                <w:szCs w:val="20"/>
              </w:rPr>
              <w:t xml:space="preserve"> needs and </w:t>
            </w:r>
            <w:r w:rsidRPr="006331C6">
              <w:rPr>
                <w:rFonts w:cstheme="minorHAnsi"/>
                <w:sz w:val="20"/>
                <w:szCs w:val="20"/>
              </w:rPr>
              <w:t xml:space="preserve">communications for development </w:t>
            </w:r>
            <w:r w:rsidR="005625D7" w:rsidRPr="006331C6">
              <w:rPr>
                <w:rFonts w:cstheme="minorHAnsi"/>
                <w:sz w:val="20"/>
                <w:szCs w:val="20"/>
              </w:rPr>
              <w:t>to ensure the MELF is meeting the needs of both MEL and communications to tell the story of change from Pacific Girl programming</w:t>
            </w:r>
            <w:r w:rsidRPr="006331C6">
              <w:rPr>
                <w:rFonts w:cstheme="minorHAnsi"/>
                <w:sz w:val="20"/>
                <w:szCs w:val="20"/>
              </w:rPr>
              <w:t xml:space="preserve">. </w:t>
            </w:r>
          </w:p>
          <w:p w14:paraId="4A278CAB" w14:textId="4A152599" w:rsidR="00E0470A" w:rsidRPr="006331C6" w:rsidRDefault="00E0470A" w:rsidP="7E378A1F">
            <w:pPr>
              <w:rPr>
                <w:rFonts w:cstheme="minorHAnsi"/>
                <w:sz w:val="20"/>
                <w:szCs w:val="20"/>
              </w:rPr>
            </w:pPr>
          </w:p>
        </w:tc>
        <w:tc>
          <w:tcPr>
            <w:tcW w:w="4111" w:type="dxa"/>
            <w:tcBorders>
              <w:top w:val="single" w:sz="4" w:space="0" w:color="auto"/>
              <w:left w:val="nil"/>
              <w:bottom w:val="single" w:sz="4" w:space="0" w:color="auto"/>
              <w:right w:val="nil"/>
            </w:tcBorders>
            <w:shd w:val="clear" w:color="auto" w:fill="E7DAEB"/>
          </w:tcPr>
          <w:p w14:paraId="2E6ABE7F" w14:textId="65299A64" w:rsidR="005F0C24" w:rsidRPr="006331C6" w:rsidRDefault="00A70A86" w:rsidP="00054036">
            <w:pPr>
              <w:rPr>
                <w:rFonts w:cstheme="minorHAnsi"/>
                <w:sz w:val="20"/>
                <w:szCs w:val="20"/>
              </w:rPr>
            </w:pPr>
            <w:r w:rsidRPr="006331C6">
              <w:rPr>
                <w:rFonts w:cstheme="minorHAnsi"/>
                <w:sz w:val="20"/>
                <w:szCs w:val="20"/>
              </w:rPr>
              <w:t xml:space="preserve">SPC </w:t>
            </w:r>
            <w:r w:rsidR="005F0C24" w:rsidRPr="006331C6">
              <w:rPr>
                <w:rFonts w:cstheme="minorHAnsi"/>
                <w:sz w:val="20"/>
                <w:szCs w:val="20"/>
              </w:rPr>
              <w:t>have</w:t>
            </w:r>
            <w:r w:rsidR="00132690" w:rsidRPr="006331C6">
              <w:rPr>
                <w:rFonts w:cstheme="minorHAnsi"/>
                <w:sz w:val="20"/>
                <w:szCs w:val="20"/>
              </w:rPr>
              <w:t xml:space="preserve"> already</w:t>
            </w:r>
            <w:r w:rsidR="005F0C24" w:rsidRPr="006331C6">
              <w:rPr>
                <w:rFonts w:cstheme="minorHAnsi"/>
                <w:sz w:val="20"/>
                <w:szCs w:val="20"/>
              </w:rPr>
              <w:t xml:space="preserve"> identified areas for improvement in the </w:t>
            </w:r>
            <w:r w:rsidR="00510BDD" w:rsidRPr="006331C6">
              <w:rPr>
                <w:rFonts w:cstheme="minorHAnsi"/>
                <w:sz w:val="20"/>
                <w:szCs w:val="20"/>
              </w:rPr>
              <w:t xml:space="preserve">Pacific Girl </w:t>
            </w:r>
            <w:r w:rsidR="005F0C24" w:rsidRPr="006331C6">
              <w:rPr>
                <w:rFonts w:cstheme="minorHAnsi"/>
                <w:sz w:val="20"/>
                <w:szCs w:val="20"/>
              </w:rPr>
              <w:t>MEL framework</w:t>
            </w:r>
            <w:r w:rsidR="00510BDD" w:rsidRPr="006331C6">
              <w:rPr>
                <w:rFonts w:cstheme="minorHAnsi"/>
                <w:sz w:val="20"/>
                <w:szCs w:val="20"/>
              </w:rPr>
              <w:t xml:space="preserve"> and alignment to the PWL at SPC MELF. </w:t>
            </w:r>
          </w:p>
          <w:p w14:paraId="32B559D5" w14:textId="77777777" w:rsidR="005F0C24" w:rsidRPr="006331C6" w:rsidRDefault="005F0C24" w:rsidP="00054036">
            <w:pPr>
              <w:rPr>
                <w:rFonts w:cstheme="minorHAnsi"/>
                <w:sz w:val="20"/>
                <w:szCs w:val="20"/>
              </w:rPr>
            </w:pPr>
          </w:p>
          <w:p w14:paraId="75460730" w14:textId="2D2E32C4" w:rsidR="00054AE7" w:rsidRPr="006331C6" w:rsidRDefault="00C7CAB9" w:rsidP="7E378A1F">
            <w:pPr>
              <w:rPr>
                <w:rFonts w:cstheme="minorHAnsi"/>
                <w:sz w:val="20"/>
                <w:szCs w:val="20"/>
              </w:rPr>
            </w:pPr>
            <w:r w:rsidRPr="006331C6">
              <w:rPr>
                <w:rFonts w:cstheme="minorHAnsi"/>
                <w:sz w:val="20"/>
                <w:szCs w:val="20"/>
              </w:rPr>
              <w:t xml:space="preserve">SPC </w:t>
            </w:r>
            <w:r w:rsidR="0063613C" w:rsidRPr="006331C6">
              <w:rPr>
                <w:rFonts w:cstheme="minorHAnsi"/>
                <w:sz w:val="20"/>
                <w:szCs w:val="20"/>
              </w:rPr>
              <w:t>have commenced support to Pacific Girl partners in reviewing</w:t>
            </w:r>
            <w:r w:rsidR="00012CD8">
              <w:rPr>
                <w:rFonts w:cstheme="minorHAnsi"/>
                <w:sz w:val="20"/>
                <w:szCs w:val="20"/>
              </w:rPr>
              <w:t xml:space="preserve"> and creating</w:t>
            </w:r>
            <w:r w:rsidR="0063613C" w:rsidRPr="006331C6">
              <w:rPr>
                <w:rFonts w:cstheme="minorHAnsi"/>
                <w:sz w:val="20"/>
                <w:szCs w:val="20"/>
              </w:rPr>
              <w:t xml:space="preserve"> </w:t>
            </w:r>
            <w:r w:rsidR="009918FF" w:rsidRPr="006331C6">
              <w:rPr>
                <w:rFonts w:cstheme="minorHAnsi"/>
                <w:sz w:val="20"/>
                <w:szCs w:val="20"/>
              </w:rPr>
              <w:t xml:space="preserve">partner-specific </w:t>
            </w:r>
            <w:r w:rsidR="0063613C" w:rsidRPr="006331C6">
              <w:rPr>
                <w:rFonts w:cstheme="minorHAnsi"/>
                <w:sz w:val="20"/>
                <w:szCs w:val="20"/>
              </w:rPr>
              <w:t>MEL frameworks</w:t>
            </w:r>
            <w:r w:rsidR="001C5665" w:rsidRPr="006331C6">
              <w:rPr>
                <w:rFonts w:cstheme="minorHAnsi"/>
                <w:sz w:val="20"/>
                <w:szCs w:val="20"/>
              </w:rPr>
              <w:t xml:space="preserve">, </w:t>
            </w:r>
            <w:r w:rsidR="755A4B8B" w:rsidRPr="006331C6">
              <w:rPr>
                <w:rFonts w:cstheme="minorHAnsi"/>
                <w:sz w:val="20"/>
                <w:szCs w:val="20"/>
              </w:rPr>
              <w:t xml:space="preserve">with input from adolescent girls and implementing partners. </w:t>
            </w:r>
          </w:p>
          <w:p w14:paraId="1F2814E7" w14:textId="4CD3663C" w:rsidR="00054AE7" w:rsidRPr="006331C6" w:rsidRDefault="00054AE7" w:rsidP="7E378A1F">
            <w:pPr>
              <w:rPr>
                <w:rFonts w:cstheme="minorHAnsi"/>
                <w:sz w:val="20"/>
                <w:szCs w:val="20"/>
              </w:rPr>
            </w:pPr>
          </w:p>
          <w:p w14:paraId="6A4C670B" w14:textId="7988355E" w:rsidR="00054AE7" w:rsidRPr="006331C6" w:rsidRDefault="1523B28F" w:rsidP="7E378A1F">
            <w:pPr>
              <w:rPr>
                <w:rFonts w:cstheme="minorHAnsi"/>
                <w:sz w:val="20"/>
                <w:szCs w:val="20"/>
              </w:rPr>
            </w:pPr>
            <w:r w:rsidRPr="006331C6">
              <w:rPr>
                <w:rFonts w:cstheme="minorHAnsi"/>
                <w:sz w:val="20"/>
                <w:szCs w:val="20"/>
              </w:rPr>
              <w:t xml:space="preserve">SPC will </w:t>
            </w:r>
            <w:r w:rsidR="00D048DD" w:rsidRPr="006331C6">
              <w:rPr>
                <w:rFonts w:cstheme="minorHAnsi"/>
                <w:sz w:val="20"/>
                <w:szCs w:val="20"/>
              </w:rPr>
              <w:t xml:space="preserve">continue to </w:t>
            </w:r>
            <w:r w:rsidRPr="006331C6">
              <w:rPr>
                <w:rFonts w:cstheme="minorHAnsi"/>
                <w:sz w:val="20"/>
                <w:szCs w:val="20"/>
              </w:rPr>
              <w:t>work with the Pacific Women Lead Enabling Services to ensure MELF aligns with others across the Pacific Women Lead program</w:t>
            </w:r>
            <w:r w:rsidR="00775136" w:rsidRPr="006331C6">
              <w:rPr>
                <w:rFonts w:cstheme="minorHAnsi"/>
                <w:sz w:val="20"/>
                <w:szCs w:val="20"/>
              </w:rPr>
              <w:t xml:space="preserve"> portfolio. </w:t>
            </w:r>
          </w:p>
        </w:tc>
        <w:tc>
          <w:tcPr>
            <w:tcW w:w="1343" w:type="dxa"/>
            <w:tcBorders>
              <w:top w:val="single" w:sz="4" w:space="0" w:color="auto"/>
              <w:left w:val="nil"/>
              <w:bottom w:val="single" w:sz="4" w:space="0" w:color="auto"/>
              <w:right w:val="nil"/>
            </w:tcBorders>
            <w:shd w:val="clear" w:color="auto" w:fill="F4EEF6"/>
          </w:tcPr>
          <w:p w14:paraId="1019F28E" w14:textId="6BB9C155" w:rsidR="00054AE7" w:rsidRPr="006331C6" w:rsidRDefault="00663E04" w:rsidP="00054036">
            <w:pPr>
              <w:rPr>
                <w:rFonts w:cstheme="minorHAnsi"/>
                <w:sz w:val="20"/>
                <w:szCs w:val="20"/>
              </w:rPr>
            </w:pPr>
            <w:r w:rsidRPr="006331C6">
              <w:rPr>
                <w:rFonts w:cstheme="minorHAnsi"/>
                <w:sz w:val="20"/>
                <w:szCs w:val="20"/>
              </w:rPr>
              <w:t>Q1 and Q2 2024</w:t>
            </w:r>
          </w:p>
        </w:tc>
      </w:tr>
    </w:tbl>
    <w:p w14:paraId="034CB29D" w14:textId="60A62575" w:rsidR="6A7DEB79" w:rsidRDefault="6A7DEB79" w:rsidP="6A7DEB79"/>
    <w:sectPr w:rsidR="6A7DEB79" w:rsidSect="00E0470A">
      <w:headerReference w:type="default" r:id="rId7"/>
      <w:footerReference w:type="default" r:id="rId8"/>
      <w:pgSz w:w="16838" w:h="11906" w:orient="landscape"/>
      <w:pgMar w:top="1701" w:right="1080" w:bottom="156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04F14" w14:textId="77777777" w:rsidR="00E65F29" w:rsidRDefault="00E65F29" w:rsidP="00054AE7">
      <w:pPr>
        <w:spacing w:after="0" w:line="240" w:lineRule="auto"/>
      </w:pPr>
      <w:r>
        <w:separator/>
      </w:r>
    </w:p>
  </w:endnote>
  <w:endnote w:type="continuationSeparator" w:id="0">
    <w:p w14:paraId="7F3B9009" w14:textId="77777777" w:rsidR="00E65F29" w:rsidRDefault="00E65F29" w:rsidP="00054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410151"/>
      <w:docPartObj>
        <w:docPartGallery w:val="Page Numbers (Bottom of Page)"/>
        <w:docPartUnique/>
      </w:docPartObj>
    </w:sdtPr>
    <w:sdtEndPr>
      <w:rPr>
        <w:noProof/>
      </w:rPr>
    </w:sdtEndPr>
    <w:sdtContent>
      <w:p w14:paraId="677DFAB0" w14:textId="6E5A00D7" w:rsidR="00054AE7" w:rsidRDefault="008E1F84">
        <w:pPr>
          <w:pStyle w:val="Footer"/>
          <w:jc w:val="right"/>
        </w:pPr>
        <w:r w:rsidRPr="00B268ED">
          <w:rPr>
            <w:noProof/>
            <w:color w:val="000000" w:themeColor="text1"/>
          </w:rPr>
          <w:drawing>
            <wp:anchor distT="0" distB="0" distL="114300" distR="114300" simplePos="0" relativeHeight="251663360" behindDoc="1" locked="0" layoutInCell="1" allowOverlap="1" wp14:anchorId="31831878" wp14:editId="2069A7C8">
              <wp:simplePos x="0" y="0"/>
              <wp:positionH relativeFrom="column">
                <wp:posOffset>-2514600</wp:posOffset>
              </wp:positionH>
              <wp:positionV relativeFrom="paragraph">
                <wp:posOffset>-76200</wp:posOffset>
              </wp:positionV>
              <wp:extent cx="8475345" cy="848995"/>
              <wp:effectExtent l="0" t="0" r="0" b="8255"/>
              <wp:wrapNone/>
              <wp:docPr id="1314958020" name="Picture 13149580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958020" name="Picture 13149580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5345" cy="848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68ED">
          <w:rPr>
            <w:noProof/>
            <w:color w:val="000000" w:themeColor="text1"/>
          </w:rPr>
          <w:drawing>
            <wp:anchor distT="0" distB="0" distL="114300" distR="114300" simplePos="0" relativeHeight="251664384" behindDoc="1" locked="0" layoutInCell="1" allowOverlap="1" wp14:anchorId="158F9B4C" wp14:editId="105665F9">
              <wp:simplePos x="0" y="0"/>
              <wp:positionH relativeFrom="column">
                <wp:posOffset>4991100</wp:posOffset>
              </wp:positionH>
              <wp:positionV relativeFrom="paragraph">
                <wp:posOffset>-77470</wp:posOffset>
              </wp:positionV>
              <wp:extent cx="8475345" cy="848995"/>
              <wp:effectExtent l="0" t="0" r="0" b="8255"/>
              <wp:wrapNone/>
              <wp:docPr id="723414725" name="Picture 7234147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414725" name="Picture 72341472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5345" cy="848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4AE7">
          <w:fldChar w:fldCharType="begin"/>
        </w:r>
        <w:r w:rsidR="00054AE7">
          <w:instrText xml:space="preserve"> PAGE   \* MERGEFORMAT </w:instrText>
        </w:r>
        <w:r w:rsidR="00054AE7">
          <w:fldChar w:fldCharType="separate"/>
        </w:r>
        <w:r w:rsidR="00054AE7">
          <w:rPr>
            <w:noProof/>
          </w:rPr>
          <w:t>2</w:t>
        </w:r>
        <w:r w:rsidR="00054AE7">
          <w:rPr>
            <w:noProof/>
          </w:rPr>
          <w:fldChar w:fldCharType="end"/>
        </w:r>
      </w:p>
    </w:sdtContent>
  </w:sdt>
  <w:p w14:paraId="22E95A70" w14:textId="2781EA05" w:rsidR="00054AE7" w:rsidRDefault="00054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67E8B" w14:textId="77777777" w:rsidR="00E65F29" w:rsidRDefault="00E65F29" w:rsidP="00054AE7">
      <w:pPr>
        <w:spacing w:after="0" w:line="240" w:lineRule="auto"/>
      </w:pPr>
      <w:r>
        <w:separator/>
      </w:r>
    </w:p>
  </w:footnote>
  <w:footnote w:type="continuationSeparator" w:id="0">
    <w:p w14:paraId="2378B7E2" w14:textId="77777777" w:rsidR="00E65F29" w:rsidRDefault="00E65F29" w:rsidP="00054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028F" w14:textId="66642879" w:rsidR="00DC158A" w:rsidRDefault="00E96FED">
    <w:pPr>
      <w:pStyle w:val="Header"/>
    </w:pPr>
    <w:r w:rsidRPr="00B268ED">
      <w:rPr>
        <w:noProof/>
        <w:color w:val="000000" w:themeColor="text1"/>
      </w:rPr>
      <w:drawing>
        <wp:anchor distT="0" distB="0" distL="114300" distR="114300" simplePos="0" relativeHeight="251659264" behindDoc="1" locked="0" layoutInCell="1" allowOverlap="1" wp14:anchorId="540311F4" wp14:editId="2302BB39">
          <wp:simplePos x="0" y="0"/>
          <wp:positionH relativeFrom="column">
            <wp:posOffset>-2524125</wp:posOffset>
          </wp:positionH>
          <wp:positionV relativeFrom="paragraph">
            <wp:posOffset>-410210</wp:posOffset>
          </wp:positionV>
          <wp:extent cx="8475345" cy="848995"/>
          <wp:effectExtent l="0" t="0" r="0" b="8255"/>
          <wp:wrapNone/>
          <wp:docPr id="1095165166" name="Picture 10951651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165166" name="Picture 109516516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5345" cy="848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68ED">
      <w:rPr>
        <w:noProof/>
        <w:color w:val="000000" w:themeColor="text1"/>
      </w:rPr>
      <w:drawing>
        <wp:anchor distT="0" distB="0" distL="114300" distR="114300" simplePos="0" relativeHeight="251661312" behindDoc="1" locked="0" layoutInCell="1" allowOverlap="1" wp14:anchorId="4DA515B7" wp14:editId="3AD53547">
          <wp:simplePos x="0" y="0"/>
          <wp:positionH relativeFrom="column">
            <wp:posOffset>4981575</wp:posOffset>
          </wp:positionH>
          <wp:positionV relativeFrom="paragraph">
            <wp:posOffset>-411480</wp:posOffset>
          </wp:positionV>
          <wp:extent cx="8475345" cy="848995"/>
          <wp:effectExtent l="0" t="0" r="0" b="8255"/>
          <wp:wrapNone/>
          <wp:docPr id="920448090" name="Picture 9204480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448090" name="Picture 92044809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5345" cy="8489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E7"/>
    <w:rsid w:val="0000366A"/>
    <w:rsid w:val="00012CD8"/>
    <w:rsid w:val="00030AD4"/>
    <w:rsid w:val="00054036"/>
    <w:rsid w:val="00054AE7"/>
    <w:rsid w:val="000845C7"/>
    <w:rsid w:val="000870AD"/>
    <w:rsid w:val="000A00FD"/>
    <w:rsid w:val="000B009E"/>
    <w:rsid w:val="000B2418"/>
    <w:rsid w:val="000D3183"/>
    <w:rsid w:val="000F7312"/>
    <w:rsid w:val="00120D38"/>
    <w:rsid w:val="00132690"/>
    <w:rsid w:val="00132AE0"/>
    <w:rsid w:val="00133183"/>
    <w:rsid w:val="00147126"/>
    <w:rsid w:val="001A042F"/>
    <w:rsid w:val="001C1010"/>
    <w:rsid w:val="001C5665"/>
    <w:rsid w:val="001E045E"/>
    <w:rsid w:val="001E6FAF"/>
    <w:rsid w:val="00203CAD"/>
    <w:rsid w:val="002059FA"/>
    <w:rsid w:val="00206CBF"/>
    <w:rsid w:val="00216008"/>
    <w:rsid w:val="00222C79"/>
    <w:rsid w:val="002243FC"/>
    <w:rsid w:val="0023464C"/>
    <w:rsid w:val="0025072C"/>
    <w:rsid w:val="00263255"/>
    <w:rsid w:val="00274EF2"/>
    <w:rsid w:val="00281516"/>
    <w:rsid w:val="00282530"/>
    <w:rsid w:val="002B4039"/>
    <w:rsid w:val="002B7F49"/>
    <w:rsid w:val="002F6BFE"/>
    <w:rsid w:val="002F772F"/>
    <w:rsid w:val="00305A95"/>
    <w:rsid w:val="00335AF7"/>
    <w:rsid w:val="003474F4"/>
    <w:rsid w:val="00356B58"/>
    <w:rsid w:val="003611B3"/>
    <w:rsid w:val="00376582"/>
    <w:rsid w:val="00383CB6"/>
    <w:rsid w:val="003B0C5A"/>
    <w:rsid w:val="003E4F06"/>
    <w:rsid w:val="003F6F5A"/>
    <w:rsid w:val="0041603E"/>
    <w:rsid w:val="00432CD0"/>
    <w:rsid w:val="004423A2"/>
    <w:rsid w:val="00452A1E"/>
    <w:rsid w:val="004536C2"/>
    <w:rsid w:val="00464A5D"/>
    <w:rsid w:val="004C4FBE"/>
    <w:rsid w:val="004F0E42"/>
    <w:rsid w:val="004F111F"/>
    <w:rsid w:val="004F1656"/>
    <w:rsid w:val="004F19B1"/>
    <w:rsid w:val="005025A2"/>
    <w:rsid w:val="00510BDD"/>
    <w:rsid w:val="005213FC"/>
    <w:rsid w:val="00526862"/>
    <w:rsid w:val="00533E9C"/>
    <w:rsid w:val="0053771C"/>
    <w:rsid w:val="005625D7"/>
    <w:rsid w:val="005967D6"/>
    <w:rsid w:val="005A4577"/>
    <w:rsid w:val="005C7D7A"/>
    <w:rsid w:val="005E545E"/>
    <w:rsid w:val="005E7C89"/>
    <w:rsid w:val="005F0C24"/>
    <w:rsid w:val="005F41CB"/>
    <w:rsid w:val="005F79F3"/>
    <w:rsid w:val="00623F8A"/>
    <w:rsid w:val="006331C6"/>
    <w:rsid w:val="0063613C"/>
    <w:rsid w:val="006379A2"/>
    <w:rsid w:val="00663E04"/>
    <w:rsid w:val="00664267"/>
    <w:rsid w:val="00686E5D"/>
    <w:rsid w:val="00686EC6"/>
    <w:rsid w:val="00690AFE"/>
    <w:rsid w:val="00692E2E"/>
    <w:rsid w:val="006930B2"/>
    <w:rsid w:val="006B04E7"/>
    <w:rsid w:val="006B7287"/>
    <w:rsid w:val="006C0516"/>
    <w:rsid w:val="006D0F21"/>
    <w:rsid w:val="006F20E5"/>
    <w:rsid w:val="00702F92"/>
    <w:rsid w:val="00716950"/>
    <w:rsid w:val="00721790"/>
    <w:rsid w:val="0073363D"/>
    <w:rsid w:val="00734588"/>
    <w:rsid w:val="00765481"/>
    <w:rsid w:val="00775136"/>
    <w:rsid w:val="007962C2"/>
    <w:rsid w:val="007A7AAA"/>
    <w:rsid w:val="007B6306"/>
    <w:rsid w:val="007B6DD6"/>
    <w:rsid w:val="007E06B9"/>
    <w:rsid w:val="007E2215"/>
    <w:rsid w:val="007F5532"/>
    <w:rsid w:val="007F67FD"/>
    <w:rsid w:val="0080157C"/>
    <w:rsid w:val="0080367D"/>
    <w:rsid w:val="00805B8D"/>
    <w:rsid w:val="00824F02"/>
    <w:rsid w:val="00832BEB"/>
    <w:rsid w:val="00841533"/>
    <w:rsid w:val="00861E2B"/>
    <w:rsid w:val="008A5B8D"/>
    <w:rsid w:val="008B0526"/>
    <w:rsid w:val="008D59AD"/>
    <w:rsid w:val="008E1EB2"/>
    <w:rsid w:val="008E1F84"/>
    <w:rsid w:val="009114F7"/>
    <w:rsid w:val="009241D0"/>
    <w:rsid w:val="009317A6"/>
    <w:rsid w:val="009548F6"/>
    <w:rsid w:val="009918FF"/>
    <w:rsid w:val="009A21C6"/>
    <w:rsid w:val="009B4784"/>
    <w:rsid w:val="009D19D9"/>
    <w:rsid w:val="009F4DBC"/>
    <w:rsid w:val="009F7BF1"/>
    <w:rsid w:val="00A05707"/>
    <w:rsid w:val="00A401EF"/>
    <w:rsid w:val="00A5381F"/>
    <w:rsid w:val="00A56D8F"/>
    <w:rsid w:val="00A62B43"/>
    <w:rsid w:val="00A70A86"/>
    <w:rsid w:val="00A87E21"/>
    <w:rsid w:val="00AA048E"/>
    <w:rsid w:val="00AB6556"/>
    <w:rsid w:val="00AB7FBC"/>
    <w:rsid w:val="00AC2715"/>
    <w:rsid w:val="00AC5503"/>
    <w:rsid w:val="00AE3406"/>
    <w:rsid w:val="00AF1069"/>
    <w:rsid w:val="00B07104"/>
    <w:rsid w:val="00B11DA8"/>
    <w:rsid w:val="00B173FB"/>
    <w:rsid w:val="00B64D5E"/>
    <w:rsid w:val="00B94046"/>
    <w:rsid w:val="00BA764D"/>
    <w:rsid w:val="00BD44A3"/>
    <w:rsid w:val="00BF0938"/>
    <w:rsid w:val="00BF36A6"/>
    <w:rsid w:val="00C05E64"/>
    <w:rsid w:val="00C2141C"/>
    <w:rsid w:val="00C51E0B"/>
    <w:rsid w:val="00C7CAB9"/>
    <w:rsid w:val="00C85C69"/>
    <w:rsid w:val="00C86277"/>
    <w:rsid w:val="00C929AE"/>
    <w:rsid w:val="00C9674D"/>
    <w:rsid w:val="00CB1F2E"/>
    <w:rsid w:val="00CB7022"/>
    <w:rsid w:val="00CD156D"/>
    <w:rsid w:val="00CD64EF"/>
    <w:rsid w:val="00CE6052"/>
    <w:rsid w:val="00CF66CC"/>
    <w:rsid w:val="00D048DD"/>
    <w:rsid w:val="00D04D14"/>
    <w:rsid w:val="00D0791F"/>
    <w:rsid w:val="00D117E9"/>
    <w:rsid w:val="00D52700"/>
    <w:rsid w:val="00D52AB2"/>
    <w:rsid w:val="00D577BD"/>
    <w:rsid w:val="00D82372"/>
    <w:rsid w:val="00D9483F"/>
    <w:rsid w:val="00DB2A9E"/>
    <w:rsid w:val="00DC158A"/>
    <w:rsid w:val="00DC6D96"/>
    <w:rsid w:val="00DD68C8"/>
    <w:rsid w:val="00DE3C2A"/>
    <w:rsid w:val="00DE7BD3"/>
    <w:rsid w:val="00E002FC"/>
    <w:rsid w:val="00E0470A"/>
    <w:rsid w:val="00E06FBA"/>
    <w:rsid w:val="00E0775C"/>
    <w:rsid w:val="00E13878"/>
    <w:rsid w:val="00E21719"/>
    <w:rsid w:val="00E2611B"/>
    <w:rsid w:val="00E32A41"/>
    <w:rsid w:val="00E3796F"/>
    <w:rsid w:val="00E65F29"/>
    <w:rsid w:val="00E71829"/>
    <w:rsid w:val="00E725CD"/>
    <w:rsid w:val="00E76458"/>
    <w:rsid w:val="00E8715C"/>
    <w:rsid w:val="00E91DEA"/>
    <w:rsid w:val="00E96FED"/>
    <w:rsid w:val="00EA61D8"/>
    <w:rsid w:val="00EB7E75"/>
    <w:rsid w:val="00EC53CC"/>
    <w:rsid w:val="00EE0F39"/>
    <w:rsid w:val="00F112C9"/>
    <w:rsid w:val="00F33CD5"/>
    <w:rsid w:val="00F363FE"/>
    <w:rsid w:val="00F631D6"/>
    <w:rsid w:val="00F65751"/>
    <w:rsid w:val="00F7022B"/>
    <w:rsid w:val="00FA471A"/>
    <w:rsid w:val="00FA478A"/>
    <w:rsid w:val="00FA523E"/>
    <w:rsid w:val="00FE334C"/>
    <w:rsid w:val="02353871"/>
    <w:rsid w:val="030C1CBE"/>
    <w:rsid w:val="04F87CD8"/>
    <w:rsid w:val="07B472C3"/>
    <w:rsid w:val="0827529D"/>
    <w:rsid w:val="0A11954D"/>
    <w:rsid w:val="0BE64992"/>
    <w:rsid w:val="0CD689D9"/>
    <w:rsid w:val="0E19C820"/>
    <w:rsid w:val="0E5F6686"/>
    <w:rsid w:val="107B6615"/>
    <w:rsid w:val="12B98D91"/>
    <w:rsid w:val="1523B28F"/>
    <w:rsid w:val="15741837"/>
    <w:rsid w:val="1714ACAC"/>
    <w:rsid w:val="18268144"/>
    <w:rsid w:val="1840ADAB"/>
    <w:rsid w:val="18CF3236"/>
    <w:rsid w:val="195BB3ED"/>
    <w:rsid w:val="1A47895A"/>
    <w:rsid w:val="1B8FBFB9"/>
    <w:rsid w:val="1BE359BB"/>
    <w:rsid w:val="1D42E0A5"/>
    <w:rsid w:val="1FA08804"/>
    <w:rsid w:val="2262876F"/>
    <w:rsid w:val="22D47325"/>
    <w:rsid w:val="24E9254E"/>
    <w:rsid w:val="25FAB5B3"/>
    <w:rsid w:val="26133DDC"/>
    <w:rsid w:val="27980F8B"/>
    <w:rsid w:val="27D38009"/>
    <w:rsid w:val="27ED0B08"/>
    <w:rsid w:val="28C9CA49"/>
    <w:rsid w:val="28CF8E0D"/>
    <w:rsid w:val="28D1988D"/>
    <w:rsid w:val="2D780295"/>
    <w:rsid w:val="2D9D3B6C"/>
    <w:rsid w:val="309D039D"/>
    <w:rsid w:val="32E8482F"/>
    <w:rsid w:val="33E39D5B"/>
    <w:rsid w:val="36F3388E"/>
    <w:rsid w:val="3898A2A8"/>
    <w:rsid w:val="38A1EA41"/>
    <w:rsid w:val="39061986"/>
    <w:rsid w:val="39440711"/>
    <w:rsid w:val="3EADF893"/>
    <w:rsid w:val="3F19159F"/>
    <w:rsid w:val="3F323DFC"/>
    <w:rsid w:val="3FE3A21F"/>
    <w:rsid w:val="4014005C"/>
    <w:rsid w:val="41642E30"/>
    <w:rsid w:val="43627917"/>
    <w:rsid w:val="4363A48B"/>
    <w:rsid w:val="441567CB"/>
    <w:rsid w:val="4420241B"/>
    <w:rsid w:val="44698E9F"/>
    <w:rsid w:val="44A177B5"/>
    <w:rsid w:val="44FD3B50"/>
    <w:rsid w:val="47FD0381"/>
    <w:rsid w:val="498A5D27"/>
    <w:rsid w:val="49A6A058"/>
    <w:rsid w:val="49D5F601"/>
    <w:rsid w:val="4B4917FE"/>
    <w:rsid w:val="4BCCF508"/>
    <w:rsid w:val="4CABF4F0"/>
    <w:rsid w:val="4CADFDE9"/>
    <w:rsid w:val="4D350A21"/>
    <w:rsid w:val="4EB15ED6"/>
    <w:rsid w:val="4F64307E"/>
    <w:rsid w:val="4FA4EF82"/>
    <w:rsid w:val="548E9798"/>
    <w:rsid w:val="558753C4"/>
    <w:rsid w:val="55C3E086"/>
    <w:rsid w:val="5670F4F3"/>
    <w:rsid w:val="577F867A"/>
    <w:rsid w:val="5A12ECBB"/>
    <w:rsid w:val="5ABDEAB5"/>
    <w:rsid w:val="5C017799"/>
    <w:rsid w:val="5C1B0C3C"/>
    <w:rsid w:val="5D4D66BF"/>
    <w:rsid w:val="5F5B85FA"/>
    <w:rsid w:val="5FAC6CBC"/>
    <w:rsid w:val="6017AFFB"/>
    <w:rsid w:val="612485CC"/>
    <w:rsid w:val="61B503D7"/>
    <w:rsid w:val="6410067E"/>
    <w:rsid w:val="64313B95"/>
    <w:rsid w:val="64C200BB"/>
    <w:rsid w:val="65A5E3CF"/>
    <w:rsid w:val="673576C7"/>
    <w:rsid w:val="67FCB58F"/>
    <w:rsid w:val="69D43613"/>
    <w:rsid w:val="6A7DEB79"/>
    <w:rsid w:val="6B605F18"/>
    <w:rsid w:val="6C823AC1"/>
    <w:rsid w:val="6CC73319"/>
    <w:rsid w:val="6CFB961E"/>
    <w:rsid w:val="6EDF865E"/>
    <w:rsid w:val="6F47A146"/>
    <w:rsid w:val="707B0328"/>
    <w:rsid w:val="710597D8"/>
    <w:rsid w:val="72A16839"/>
    <w:rsid w:val="72B5FE61"/>
    <w:rsid w:val="734B500B"/>
    <w:rsid w:val="73D334E4"/>
    <w:rsid w:val="74FEE317"/>
    <w:rsid w:val="755A4B8B"/>
    <w:rsid w:val="79A27CFD"/>
    <w:rsid w:val="7AA601AC"/>
    <w:rsid w:val="7BDF3419"/>
    <w:rsid w:val="7BE697C6"/>
    <w:rsid w:val="7C0397E3"/>
    <w:rsid w:val="7C9BB9BE"/>
    <w:rsid w:val="7DEC19D2"/>
    <w:rsid w:val="7E378A1F"/>
    <w:rsid w:val="7E76B86B"/>
    <w:rsid w:val="7EDBAB90"/>
    <w:rsid w:val="7F3AD9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9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4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4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AE7"/>
  </w:style>
  <w:style w:type="paragraph" w:styleId="Footer">
    <w:name w:val="footer"/>
    <w:basedOn w:val="Normal"/>
    <w:link w:val="FooterChar"/>
    <w:uiPriority w:val="99"/>
    <w:unhideWhenUsed/>
    <w:rsid w:val="00054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AE7"/>
  </w:style>
  <w:style w:type="character" w:styleId="CommentReference">
    <w:name w:val="annotation reference"/>
    <w:basedOn w:val="DefaultParagraphFont"/>
    <w:uiPriority w:val="99"/>
    <w:semiHidden/>
    <w:unhideWhenUsed/>
    <w:rsid w:val="00E2611B"/>
    <w:rPr>
      <w:sz w:val="16"/>
      <w:szCs w:val="16"/>
    </w:rPr>
  </w:style>
  <w:style w:type="paragraph" w:styleId="CommentText">
    <w:name w:val="annotation text"/>
    <w:basedOn w:val="Normal"/>
    <w:link w:val="CommentTextChar"/>
    <w:uiPriority w:val="99"/>
    <w:unhideWhenUsed/>
    <w:rsid w:val="00E2611B"/>
    <w:pPr>
      <w:spacing w:line="240" w:lineRule="auto"/>
    </w:pPr>
    <w:rPr>
      <w:sz w:val="20"/>
      <w:szCs w:val="20"/>
    </w:rPr>
  </w:style>
  <w:style w:type="character" w:customStyle="1" w:styleId="CommentTextChar">
    <w:name w:val="Comment Text Char"/>
    <w:basedOn w:val="DefaultParagraphFont"/>
    <w:link w:val="CommentText"/>
    <w:uiPriority w:val="99"/>
    <w:rsid w:val="00E2611B"/>
    <w:rPr>
      <w:sz w:val="20"/>
      <w:szCs w:val="20"/>
    </w:rPr>
  </w:style>
  <w:style w:type="paragraph" w:styleId="CommentSubject">
    <w:name w:val="annotation subject"/>
    <w:basedOn w:val="CommentText"/>
    <w:next w:val="CommentText"/>
    <w:link w:val="CommentSubjectChar"/>
    <w:uiPriority w:val="99"/>
    <w:semiHidden/>
    <w:unhideWhenUsed/>
    <w:rsid w:val="00E2611B"/>
    <w:rPr>
      <w:b/>
      <w:bCs/>
    </w:rPr>
  </w:style>
  <w:style w:type="character" w:customStyle="1" w:styleId="CommentSubjectChar">
    <w:name w:val="Comment Subject Char"/>
    <w:basedOn w:val="CommentTextChar"/>
    <w:link w:val="CommentSubject"/>
    <w:uiPriority w:val="99"/>
    <w:semiHidden/>
    <w:rsid w:val="00E2611B"/>
    <w:rPr>
      <w:b/>
      <w:bCs/>
      <w:sz w:val="20"/>
      <w:szCs w:val="20"/>
    </w:rPr>
  </w:style>
  <w:style w:type="character" w:styleId="Mention">
    <w:name w:val="Mention"/>
    <w:basedOn w:val="DefaultParagraphFont"/>
    <w:uiPriority w:val="99"/>
    <w:unhideWhenUsed/>
    <w:rsid w:val="00E2611B"/>
    <w:rPr>
      <w:color w:val="2B579A"/>
      <w:shd w:val="clear" w:color="auto" w:fill="E1DFDD"/>
    </w:rPr>
  </w:style>
  <w:style w:type="paragraph" w:styleId="Revision">
    <w:name w:val="Revision"/>
    <w:hidden/>
    <w:uiPriority w:val="99"/>
    <w:semiHidden/>
    <w:rsid w:val="00F11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80B89-BE75-4132-B32A-0F47FBC6F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4525</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Pacific Community (SPC) Management response</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Girl Mid-Term Review 2023 – Pacific Community (SPC) Management response</dc:title>
  <dc:subject/>
  <dc:creator/>
  <cp:keywords>[SEC=OFFICIAL]</cp:keywords>
  <dc:description/>
  <cp:lastModifiedBy/>
  <cp:revision>1</cp:revision>
  <dcterms:created xsi:type="dcterms:W3CDTF">2024-03-25T03:30:00Z</dcterms:created>
  <dcterms:modified xsi:type="dcterms:W3CDTF">2024-03-25T03:32:00Z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v=2022.1;a=SHA256;h=D6EFF8A3D68F0A469771ECA48D999BC7BC6C327D3C17345B11EEDD93B08815BB</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2023-12-15T05:21:42Z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899E4EA469A04FB023F4432B63374BB33589BF8A</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CE55A645F4714B08AAE721395B627231</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290C9CFCFE70E139C4500567FB5830ACF9049F26A1998DDACA65669D45D5D2AD</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3D073D957F46BACFFD369AAB6EFDFE21</vt:lpwstr>
  </property>
  <property fmtid="{D5CDD505-2E9C-101B-9397-08002B2CF9AE}" pid="24" name="PM_Hash_Salt">
    <vt:lpwstr>B39789E4D9D9515F7503B8E0576950A5</vt:lpwstr>
  </property>
  <property fmtid="{D5CDD505-2E9C-101B-9397-08002B2CF9AE}" pid="25" name="PM_Hash_SHA1">
    <vt:lpwstr>3A8ED7036A88986F503132E807974C897936DDEE</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