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6BF0D" w14:textId="2BBAA952" w:rsidR="00302FD0" w:rsidRPr="0069249E" w:rsidRDefault="00D12DD1" w:rsidP="00D12DD1">
      <w:pPr>
        <w:pStyle w:val="Heading1"/>
        <w:rPr>
          <w:rFonts w:eastAsia="MS Gothic"/>
          <w:sz w:val="28"/>
          <w:szCs w:val="28"/>
        </w:rPr>
      </w:pPr>
      <w:r w:rsidRPr="0069249E">
        <w:rPr>
          <w:rFonts w:eastAsia="MS Gothic"/>
          <w:sz w:val="28"/>
          <w:szCs w:val="28"/>
        </w:rPr>
        <w:t>Management Response for Pacific Insurance and Climate Adaptation Programme Mid-term Review Report</w:t>
      </w:r>
      <w:r w:rsidR="00E12BCA" w:rsidRPr="0069249E">
        <w:rPr>
          <w:rFonts w:eastAsia="MS Gothic"/>
          <w:sz w:val="28"/>
          <w:szCs w:val="28"/>
        </w:rPr>
        <w:t>, December 2022</w:t>
      </w:r>
    </w:p>
    <w:p w14:paraId="1CDBFE69" w14:textId="099C9DFF" w:rsidR="00302FD0" w:rsidRPr="0069249E" w:rsidRDefault="00302FD0" w:rsidP="00886F03">
      <w:pPr>
        <w:suppressAutoHyphens/>
        <w:spacing w:before="120" w:after="60" w:line="260" w:lineRule="atLeast"/>
        <w:jc w:val="both"/>
        <w:rPr>
          <w:rFonts w:ascii="Calibri Light" w:eastAsia="Calibri Light" w:hAnsi="Calibri Light" w:cs="Times New Roman"/>
          <w:color w:val="495965"/>
          <w:lang w:val="en-GB"/>
        </w:rPr>
      </w:pPr>
      <w:r w:rsidRPr="0069249E">
        <w:rPr>
          <w:rFonts w:ascii="Calibri Light" w:eastAsia="Calibri Light" w:hAnsi="Calibri Light" w:cs="Times New Roman"/>
          <w:color w:val="495965"/>
          <w:lang w:val="en-GB"/>
        </w:rPr>
        <w:t>This is a Management Response of the Australian Department of Foreign Affairs and Trade (DFAT) for the Mid-term Review</w:t>
      </w:r>
      <w:r w:rsidR="00A660D2" w:rsidRPr="0069249E">
        <w:rPr>
          <w:rFonts w:ascii="Calibri Light" w:eastAsia="Calibri Light" w:hAnsi="Calibri Light" w:cs="Times New Roman"/>
          <w:color w:val="495965"/>
          <w:lang w:val="en-GB"/>
        </w:rPr>
        <w:t xml:space="preserve"> Report (Report)</w:t>
      </w:r>
      <w:r w:rsidRPr="0069249E">
        <w:rPr>
          <w:rFonts w:ascii="Calibri Light" w:eastAsia="Calibri Light" w:hAnsi="Calibri Light" w:cs="Times New Roman"/>
          <w:color w:val="495965"/>
          <w:lang w:val="en-GB"/>
        </w:rPr>
        <w:t xml:space="preserve"> on the inception phase of the Pacific Insurance and Climate Adaptation Programme (PICAP). </w:t>
      </w:r>
    </w:p>
    <w:p w14:paraId="401540E5" w14:textId="5F6988E3" w:rsidR="00886F03" w:rsidRPr="0069249E" w:rsidRDefault="00886F03" w:rsidP="00886F03">
      <w:pPr>
        <w:suppressAutoHyphens/>
        <w:spacing w:before="120" w:after="60" w:line="260" w:lineRule="atLeast"/>
        <w:jc w:val="both"/>
        <w:rPr>
          <w:rFonts w:ascii="Calibri Light" w:eastAsia="Calibri Light" w:hAnsi="Calibri Light" w:cs="Times New Roman"/>
          <w:color w:val="495965"/>
          <w:lang w:val="en-GB"/>
        </w:rPr>
      </w:pPr>
      <w:r w:rsidRPr="0069249E">
        <w:rPr>
          <w:rFonts w:ascii="Calibri Light" w:eastAsia="Calibri Light" w:hAnsi="Calibri Light" w:cs="Times New Roman"/>
          <w:color w:val="495965"/>
          <w:lang w:val="en-GB"/>
        </w:rPr>
        <w:t>PICAP was designed to “improve the financial preparedness of “Pacific households, communities, small businesses, organizations, and governments towards climate change and natural hazards”. The PICAP Theory of Change (TOC) expected to allow for a positive change in the mindset and awareness of C</w:t>
      </w:r>
      <w:r w:rsidR="00BC455C" w:rsidRPr="0069249E">
        <w:rPr>
          <w:rFonts w:ascii="Calibri Light" w:eastAsia="Calibri Light" w:hAnsi="Calibri Light" w:cs="Times New Roman"/>
          <w:color w:val="495965"/>
          <w:lang w:val="en-GB"/>
        </w:rPr>
        <w:t xml:space="preserve">limate </w:t>
      </w:r>
      <w:r w:rsidRPr="0069249E">
        <w:rPr>
          <w:rFonts w:ascii="Calibri Light" w:eastAsia="Calibri Light" w:hAnsi="Calibri Light" w:cs="Times New Roman"/>
          <w:color w:val="495965"/>
          <w:lang w:val="en-GB"/>
        </w:rPr>
        <w:t>D</w:t>
      </w:r>
      <w:r w:rsidR="00BC455C" w:rsidRPr="0069249E">
        <w:rPr>
          <w:rFonts w:ascii="Calibri Light" w:eastAsia="Calibri Light" w:hAnsi="Calibri Light" w:cs="Times New Roman"/>
          <w:color w:val="495965"/>
          <w:lang w:val="en-GB"/>
        </w:rPr>
        <w:t xml:space="preserve">isaster </w:t>
      </w:r>
      <w:r w:rsidRPr="0069249E">
        <w:rPr>
          <w:rFonts w:ascii="Calibri Light" w:eastAsia="Calibri Light" w:hAnsi="Calibri Light" w:cs="Times New Roman"/>
          <w:color w:val="495965"/>
          <w:lang w:val="en-GB"/>
        </w:rPr>
        <w:t>R</w:t>
      </w:r>
      <w:r w:rsidR="00BC455C" w:rsidRPr="0069249E">
        <w:rPr>
          <w:rFonts w:ascii="Calibri Light" w:eastAsia="Calibri Light" w:hAnsi="Calibri Light" w:cs="Times New Roman"/>
          <w:color w:val="495965"/>
          <w:lang w:val="en-GB"/>
        </w:rPr>
        <w:t xml:space="preserve">isk </w:t>
      </w:r>
      <w:r w:rsidRPr="0069249E">
        <w:rPr>
          <w:rFonts w:ascii="Calibri Light" w:eastAsia="Calibri Light" w:hAnsi="Calibri Light" w:cs="Times New Roman"/>
          <w:color w:val="495965"/>
          <w:lang w:val="en-GB"/>
        </w:rPr>
        <w:t>F</w:t>
      </w:r>
      <w:r w:rsidR="00BC455C" w:rsidRPr="0069249E">
        <w:rPr>
          <w:rFonts w:ascii="Calibri Light" w:eastAsia="Calibri Light" w:hAnsi="Calibri Light" w:cs="Times New Roman"/>
          <w:color w:val="495965"/>
          <w:lang w:val="en-GB"/>
        </w:rPr>
        <w:t xml:space="preserve">inancing </w:t>
      </w:r>
      <w:r w:rsidRPr="0069249E">
        <w:rPr>
          <w:rFonts w:ascii="Calibri Light" w:eastAsia="Calibri Light" w:hAnsi="Calibri Light" w:cs="Times New Roman"/>
          <w:color w:val="495965"/>
          <w:lang w:val="en-GB"/>
        </w:rPr>
        <w:t>I</w:t>
      </w:r>
      <w:r w:rsidR="00BC455C" w:rsidRPr="0069249E">
        <w:rPr>
          <w:rFonts w:ascii="Calibri Light" w:eastAsia="Calibri Light" w:hAnsi="Calibri Light" w:cs="Times New Roman"/>
          <w:color w:val="495965"/>
          <w:lang w:val="en-GB"/>
        </w:rPr>
        <w:t>nitiatives (CDRFI)</w:t>
      </w:r>
      <w:r w:rsidRPr="0069249E">
        <w:rPr>
          <w:rFonts w:ascii="Calibri Light" w:eastAsia="Calibri Light" w:hAnsi="Calibri Light" w:cs="Times New Roman"/>
          <w:color w:val="495965"/>
          <w:lang w:val="en-GB"/>
        </w:rPr>
        <w:t xml:space="preserve"> products among stakeholders, specifically, policymakers, the private sector and development partners. </w:t>
      </w:r>
      <w:r w:rsidR="00BC455C" w:rsidRPr="0069249E">
        <w:rPr>
          <w:rFonts w:ascii="Calibri Light" w:eastAsia="Calibri Light" w:hAnsi="Calibri Light" w:cs="Times New Roman"/>
          <w:color w:val="495965"/>
          <w:lang w:val="en-GB"/>
        </w:rPr>
        <w:t>In</w:t>
      </w:r>
      <w:r w:rsidRPr="0069249E">
        <w:rPr>
          <w:rFonts w:ascii="Calibri Light" w:eastAsia="Calibri Light" w:hAnsi="Calibri Light" w:cs="Times New Roman"/>
          <w:color w:val="495965"/>
          <w:lang w:val="en-GB"/>
        </w:rPr>
        <w:t xml:space="preserve"> the medium </w:t>
      </w:r>
      <w:r w:rsidR="00BC455C" w:rsidRPr="0069249E">
        <w:rPr>
          <w:rFonts w:ascii="Calibri Light" w:eastAsia="Calibri Light" w:hAnsi="Calibri Light" w:cs="Times New Roman"/>
          <w:color w:val="495965"/>
          <w:lang w:val="en-GB"/>
        </w:rPr>
        <w:t>term</w:t>
      </w:r>
      <w:r w:rsidRPr="0069249E">
        <w:rPr>
          <w:rFonts w:ascii="Calibri Light" w:eastAsia="Calibri Light" w:hAnsi="Calibri Light" w:cs="Times New Roman"/>
          <w:color w:val="495965"/>
          <w:lang w:val="en-GB"/>
        </w:rPr>
        <w:t>, these outputs would translate into a harmonized regulatory approach towards CDRFI products, which would also allow for the deployment of CDRFI products at scale, along with an enhanced value chain at the last mile where development partners would be able to deliver the needed literacy to beneficiaries to allow for enhanced uptake and usage of the CDRFI products. The final anticipated and desired impact from PICAP is the improved financial preparedness and resilience of Pacific governments and communities, specifically vulnerable segments of society and economic sectors towards climate change and natural hazards.</w:t>
      </w:r>
    </w:p>
    <w:p w14:paraId="2E5237EB" w14:textId="2D402331" w:rsidR="00F3078C" w:rsidRPr="0069249E" w:rsidRDefault="00302FD0" w:rsidP="003B353D">
      <w:pPr>
        <w:suppressAutoHyphens/>
        <w:spacing w:before="120" w:after="60" w:line="260" w:lineRule="atLeast"/>
        <w:jc w:val="both"/>
        <w:rPr>
          <w:rFonts w:ascii="Calibri Light" w:eastAsia="Calibri Light" w:hAnsi="Calibri Light" w:cs="Times New Roman"/>
          <w:color w:val="495965"/>
          <w:lang w:val="en-GB"/>
        </w:rPr>
      </w:pPr>
      <w:r w:rsidRPr="0069249E">
        <w:rPr>
          <w:rFonts w:ascii="Calibri Light" w:eastAsia="Calibri Light" w:hAnsi="Calibri Light" w:cs="Times New Roman"/>
          <w:color w:val="495965"/>
          <w:lang w:val="en-GB"/>
        </w:rPr>
        <w:t>The mid-term review was conducted by an independent consultant, Ms Bhavana Srivastava</w:t>
      </w:r>
      <w:r w:rsidR="00192B30" w:rsidRPr="0069249E">
        <w:rPr>
          <w:rFonts w:ascii="Calibri Light" w:eastAsia="Calibri Light" w:hAnsi="Calibri Light" w:cs="Times New Roman"/>
          <w:color w:val="495965"/>
          <w:lang w:val="en-GB"/>
        </w:rPr>
        <w:t xml:space="preserve">. The report provides </w:t>
      </w:r>
      <w:r w:rsidRPr="0069249E">
        <w:rPr>
          <w:rFonts w:ascii="Calibri Light" w:eastAsia="Calibri Light" w:hAnsi="Calibri Light" w:cs="Times New Roman"/>
          <w:color w:val="495965"/>
          <w:lang w:val="en-GB"/>
        </w:rPr>
        <w:t xml:space="preserve">an assessment of programme performance using evidence-based analysis to inform decisions about the strategic priorities, program approach and financing during the </w:t>
      </w:r>
      <w:r w:rsidR="00007136" w:rsidRPr="0069249E">
        <w:rPr>
          <w:rFonts w:ascii="Calibri Light" w:eastAsia="Calibri Light" w:hAnsi="Calibri Light" w:cs="Times New Roman"/>
          <w:color w:val="495965"/>
          <w:lang w:val="en-GB"/>
        </w:rPr>
        <w:t xml:space="preserve">subsequent </w:t>
      </w:r>
      <w:r w:rsidRPr="0069249E">
        <w:rPr>
          <w:rFonts w:ascii="Calibri Light" w:eastAsia="Calibri Light" w:hAnsi="Calibri Light" w:cs="Times New Roman"/>
          <w:color w:val="495965"/>
          <w:lang w:val="en-GB"/>
        </w:rPr>
        <w:t>phase of the PICAP program</w:t>
      </w:r>
      <w:r w:rsidR="003B353D" w:rsidRPr="0069249E">
        <w:rPr>
          <w:rFonts w:ascii="Calibri Light" w:eastAsia="Calibri Light" w:hAnsi="Calibri Light" w:cs="Times New Roman"/>
          <w:color w:val="495965"/>
          <w:lang w:val="en-GB"/>
        </w:rPr>
        <w:t xml:space="preserve">. </w:t>
      </w:r>
      <w:r w:rsidR="00EE1195" w:rsidRPr="0069249E">
        <w:rPr>
          <w:rFonts w:ascii="Calibri Light" w:eastAsia="Calibri Light" w:hAnsi="Calibri Light" w:cs="Times New Roman"/>
          <w:color w:val="495965"/>
          <w:lang w:val="en-GB"/>
        </w:rPr>
        <w:t xml:space="preserve">Some key findings of this report include: </w:t>
      </w:r>
    </w:p>
    <w:p w14:paraId="2BC4DA63" w14:textId="1D76A13F" w:rsidR="00625AEC" w:rsidRPr="0069249E" w:rsidRDefault="0069249E" w:rsidP="004F5B91">
      <w:pPr>
        <w:pStyle w:val="ListParagraph"/>
        <w:numPr>
          <w:ilvl w:val="0"/>
          <w:numId w:val="4"/>
        </w:numPr>
        <w:suppressAutoHyphens/>
        <w:spacing w:before="120" w:after="60" w:line="260" w:lineRule="atLeast"/>
        <w:jc w:val="both"/>
        <w:rPr>
          <w:rFonts w:ascii="Calibri Light" w:eastAsia="Calibri Light" w:hAnsi="Calibri Light" w:cs="Times New Roman"/>
          <w:color w:val="495965"/>
          <w:lang w:val="en-GB"/>
        </w:rPr>
      </w:pPr>
      <w:r w:rsidRPr="0069249E">
        <w:rPr>
          <w:rFonts w:ascii="Calibri Light" w:eastAsia="Calibri Light" w:hAnsi="Calibri Light" w:cs="Times New Roman"/>
          <w:color w:val="495965"/>
          <w:lang w:val="en-GB"/>
        </w:rPr>
        <w:t>Visible</w:t>
      </w:r>
      <w:r w:rsidR="00F3078C" w:rsidRPr="0069249E">
        <w:rPr>
          <w:rFonts w:ascii="Calibri Light" w:eastAsia="Calibri Light" w:hAnsi="Calibri Light" w:cs="Times New Roman"/>
          <w:color w:val="495965"/>
          <w:lang w:val="en-GB"/>
        </w:rPr>
        <w:t xml:space="preserve"> progress under all indicators of the Results Framework though the progress in Q2 and Q3 of 2021 slowed down due to the restrictions induced by COVID-19. Despite the lockdown, key activities under specific workstreams continued in virtual mode and made significant progress in line with the annual work plan.</w:t>
      </w:r>
    </w:p>
    <w:p w14:paraId="64887E83" w14:textId="6B0976D2" w:rsidR="00625AEC" w:rsidRPr="0069249E" w:rsidRDefault="00127D6B" w:rsidP="00625AEC">
      <w:pPr>
        <w:pStyle w:val="ListParagraph"/>
        <w:numPr>
          <w:ilvl w:val="0"/>
          <w:numId w:val="4"/>
        </w:numPr>
        <w:rPr>
          <w:rFonts w:ascii="Calibri Light" w:eastAsia="Calibri Light" w:hAnsi="Calibri Light" w:cs="Times New Roman"/>
          <w:color w:val="495965"/>
          <w:lang w:val="en-GB"/>
        </w:rPr>
      </w:pPr>
      <w:r>
        <w:rPr>
          <w:rFonts w:ascii="Calibri Light" w:eastAsia="Calibri Light" w:hAnsi="Calibri Light" w:cs="Times New Roman"/>
          <w:color w:val="495965"/>
          <w:lang w:val="en-GB"/>
        </w:rPr>
        <w:t xml:space="preserve">At the end of 2021, </w:t>
      </w:r>
      <w:r w:rsidR="00625AEC" w:rsidRPr="0069249E">
        <w:rPr>
          <w:rFonts w:ascii="Calibri Light" w:eastAsia="Calibri Light" w:hAnsi="Calibri Light" w:cs="Times New Roman"/>
          <w:color w:val="495965"/>
          <w:lang w:val="en-GB"/>
        </w:rPr>
        <w:t xml:space="preserve">around 1,388 people registered with parametric insurance products of which 42% are women. 720 people are registered to high-speed windspeed cover, 393 individuals have wind and rainfall cover while 275 are registered to the Department of Social Welfare. </w:t>
      </w:r>
    </w:p>
    <w:p w14:paraId="36509B46" w14:textId="5E76F57B" w:rsidR="00F3078C" w:rsidRPr="0069249E" w:rsidRDefault="00192B30" w:rsidP="004F5B91">
      <w:pPr>
        <w:pStyle w:val="ListParagraph"/>
        <w:numPr>
          <w:ilvl w:val="0"/>
          <w:numId w:val="4"/>
        </w:numPr>
        <w:suppressAutoHyphens/>
        <w:spacing w:before="120" w:after="60" w:line="260" w:lineRule="atLeast"/>
        <w:jc w:val="both"/>
        <w:rPr>
          <w:rFonts w:ascii="Calibri Light" w:eastAsia="Calibri Light" w:hAnsi="Calibri Light" w:cs="Times New Roman"/>
          <w:color w:val="495965"/>
          <w:lang w:val="en-GB"/>
        </w:rPr>
      </w:pPr>
      <w:r w:rsidRPr="0069249E">
        <w:rPr>
          <w:rFonts w:ascii="Calibri Light" w:eastAsia="Calibri Light" w:hAnsi="Calibri Light" w:cs="Times New Roman"/>
          <w:color w:val="495965"/>
          <w:lang w:val="en-GB"/>
        </w:rPr>
        <w:t>PICAP</w:t>
      </w:r>
      <w:r w:rsidR="00F3078C" w:rsidRPr="0069249E">
        <w:rPr>
          <w:rFonts w:ascii="Calibri Light" w:eastAsia="Calibri Light" w:hAnsi="Calibri Light" w:cs="Times New Roman"/>
          <w:color w:val="495965"/>
          <w:lang w:val="en-GB"/>
        </w:rPr>
        <w:t xml:space="preserve"> has mobilized USD 2,447,518 worth of partner contribution against UNCDF’s grant contribution of USD 2,045,979. The cost-sharing modality of the Programme has ensured ownership from partners where they are invested in the Programme given their involvement of time, money, and human resources. </w:t>
      </w:r>
    </w:p>
    <w:p w14:paraId="306843AC" w14:textId="65203572" w:rsidR="004F5B91" w:rsidRPr="0069249E" w:rsidRDefault="004F5B91" w:rsidP="004F5B91">
      <w:pPr>
        <w:pStyle w:val="ListParagraph"/>
        <w:numPr>
          <w:ilvl w:val="0"/>
          <w:numId w:val="4"/>
        </w:numPr>
        <w:suppressAutoHyphens/>
        <w:spacing w:before="120" w:after="60" w:line="260" w:lineRule="atLeast"/>
        <w:jc w:val="both"/>
        <w:rPr>
          <w:rFonts w:ascii="Calibri Light" w:eastAsia="Calibri Light" w:hAnsi="Calibri Light" w:cs="Times New Roman"/>
          <w:color w:val="495965"/>
          <w:lang w:val="en-GB"/>
        </w:rPr>
      </w:pPr>
      <w:r w:rsidRPr="0069249E">
        <w:rPr>
          <w:rFonts w:ascii="Calibri Light" w:eastAsia="Calibri Light" w:hAnsi="Calibri Light" w:cs="Times New Roman"/>
          <w:color w:val="495965"/>
          <w:lang w:val="en-GB"/>
        </w:rPr>
        <w:t>PICAP has</w:t>
      </w:r>
      <w:r w:rsidR="00EE1195" w:rsidRPr="0069249E">
        <w:rPr>
          <w:rFonts w:ascii="Calibri Light" w:eastAsia="Calibri Light" w:hAnsi="Calibri Light" w:cs="Times New Roman"/>
          <w:color w:val="495965"/>
          <w:lang w:val="en-GB"/>
        </w:rPr>
        <w:t xml:space="preserve"> also</w:t>
      </w:r>
      <w:r w:rsidRPr="0069249E">
        <w:rPr>
          <w:rFonts w:ascii="Calibri Light" w:eastAsia="Calibri Light" w:hAnsi="Calibri Light" w:cs="Times New Roman"/>
          <w:color w:val="495965"/>
          <w:lang w:val="en-GB"/>
        </w:rPr>
        <w:t xml:space="preserve"> </w:t>
      </w:r>
      <w:r w:rsidR="00EE1195" w:rsidRPr="0069249E">
        <w:rPr>
          <w:rFonts w:ascii="Calibri Light" w:eastAsia="Calibri Light" w:hAnsi="Calibri Light" w:cs="Times New Roman"/>
          <w:color w:val="495965"/>
          <w:lang w:val="en-GB"/>
        </w:rPr>
        <w:t xml:space="preserve">made strategic alliances with UN organizations like UNDRR, WFP, UN Women, regional partners like Pacific </w:t>
      </w:r>
      <w:r w:rsidR="00286B1A">
        <w:rPr>
          <w:rFonts w:ascii="Calibri Light" w:eastAsia="Calibri Light" w:hAnsi="Calibri Light" w:cs="Times New Roman"/>
          <w:color w:val="495965"/>
          <w:lang w:val="en-GB"/>
        </w:rPr>
        <w:t>Islands</w:t>
      </w:r>
      <w:r w:rsidR="00286B1A" w:rsidRPr="0069249E">
        <w:rPr>
          <w:rFonts w:ascii="Calibri Light" w:eastAsia="Calibri Light" w:hAnsi="Calibri Light" w:cs="Times New Roman"/>
          <w:color w:val="495965"/>
          <w:lang w:val="en-GB"/>
        </w:rPr>
        <w:t xml:space="preserve"> </w:t>
      </w:r>
      <w:r w:rsidR="00EE1195" w:rsidRPr="0069249E">
        <w:rPr>
          <w:rFonts w:ascii="Calibri Light" w:eastAsia="Calibri Light" w:hAnsi="Calibri Light" w:cs="Times New Roman"/>
          <w:color w:val="495965"/>
          <w:lang w:val="en-GB"/>
        </w:rPr>
        <w:t xml:space="preserve">Forum, PCRIC, and academia like the University of South Pacific to join hands to provide technical assistance, research, and analysis, de-risking financial instruments to expand the Programme operations in other small island developing states and develop solutions to cover low-income people, particularly people engaged in sectors acutely affected by natural hazards like fishing, agriculture, tourism, and MSMEs. </w:t>
      </w:r>
    </w:p>
    <w:p w14:paraId="4BED12A4" w14:textId="1FAF4AA1" w:rsidR="00EE1195" w:rsidRPr="0069249E" w:rsidRDefault="00EE1195" w:rsidP="004F5B91">
      <w:pPr>
        <w:pStyle w:val="ListParagraph"/>
        <w:numPr>
          <w:ilvl w:val="0"/>
          <w:numId w:val="4"/>
        </w:numPr>
        <w:suppressAutoHyphens/>
        <w:spacing w:before="120" w:after="60" w:line="260" w:lineRule="atLeast"/>
        <w:jc w:val="both"/>
        <w:rPr>
          <w:rFonts w:ascii="Calibri Light" w:eastAsia="Calibri Light" w:hAnsi="Calibri Light" w:cs="Times New Roman"/>
          <w:color w:val="495965"/>
          <w:lang w:val="en-GB"/>
        </w:rPr>
      </w:pPr>
      <w:r w:rsidRPr="0069249E">
        <w:rPr>
          <w:rFonts w:ascii="Calibri Light" w:eastAsia="Calibri Light" w:hAnsi="Calibri Light" w:cs="Times New Roman"/>
          <w:color w:val="495965"/>
          <w:lang w:val="en-GB"/>
        </w:rPr>
        <w:t xml:space="preserve">PICAP has been successful in forging technical partnerships with global and regional players in the climate and disaster risk financing space. These include partnerships with the </w:t>
      </w:r>
      <w:proofErr w:type="spellStart"/>
      <w:r w:rsidRPr="0069249E">
        <w:rPr>
          <w:rFonts w:ascii="Calibri Light" w:eastAsia="Calibri Light" w:hAnsi="Calibri Light" w:cs="Times New Roman"/>
          <w:color w:val="495965"/>
          <w:lang w:val="en-GB"/>
        </w:rPr>
        <w:t>InsuResilience</w:t>
      </w:r>
      <w:proofErr w:type="spellEnd"/>
      <w:r w:rsidRPr="0069249E">
        <w:rPr>
          <w:rFonts w:ascii="Calibri Light" w:eastAsia="Calibri Light" w:hAnsi="Calibri Light" w:cs="Times New Roman"/>
          <w:color w:val="495965"/>
          <w:lang w:val="en-GB"/>
        </w:rPr>
        <w:t xml:space="preserve"> Global Partnership (IGP), a2ii, </w:t>
      </w:r>
      <w:r w:rsidR="00FD37EE">
        <w:rPr>
          <w:rFonts w:ascii="Calibri Light" w:eastAsia="Calibri Light" w:hAnsi="Calibri Light" w:cs="Times New Roman"/>
          <w:color w:val="495965"/>
          <w:lang w:val="en-GB"/>
        </w:rPr>
        <w:t>Microinsurance network (</w:t>
      </w:r>
      <w:proofErr w:type="spellStart"/>
      <w:r w:rsidR="00FD37EE">
        <w:rPr>
          <w:rFonts w:ascii="Calibri Light" w:eastAsia="Calibri Light" w:hAnsi="Calibri Light" w:cs="Times New Roman"/>
          <w:color w:val="495965"/>
          <w:lang w:val="en-GB"/>
        </w:rPr>
        <w:t>MiN</w:t>
      </w:r>
      <w:proofErr w:type="spellEnd"/>
      <w:r w:rsidR="00FD37EE">
        <w:rPr>
          <w:rFonts w:ascii="Calibri Light" w:eastAsia="Calibri Light" w:hAnsi="Calibri Light" w:cs="Times New Roman"/>
          <w:color w:val="495965"/>
          <w:lang w:val="en-GB"/>
        </w:rPr>
        <w:t xml:space="preserve">), </w:t>
      </w:r>
      <w:r w:rsidRPr="0069249E">
        <w:rPr>
          <w:rFonts w:ascii="Calibri Light" w:eastAsia="Calibri Light" w:hAnsi="Calibri Light" w:cs="Times New Roman"/>
          <w:color w:val="495965"/>
          <w:lang w:val="en-GB"/>
        </w:rPr>
        <w:t>representation in the Risk Finance Working Group (RWFG) under the Pacific Resilience Partnership</w:t>
      </w:r>
      <w:r w:rsidR="003B353D" w:rsidRPr="0069249E">
        <w:rPr>
          <w:rFonts w:ascii="Calibri Light" w:eastAsia="Calibri Light" w:hAnsi="Calibri Light" w:cs="Times New Roman"/>
          <w:color w:val="495965"/>
          <w:lang w:val="en-GB"/>
        </w:rPr>
        <w:t xml:space="preserve">. </w:t>
      </w:r>
      <w:r w:rsidRPr="0069249E">
        <w:rPr>
          <w:rFonts w:ascii="Calibri Light" w:eastAsia="Calibri Light" w:hAnsi="Calibri Light" w:cs="Times New Roman"/>
          <w:color w:val="495965"/>
          <w:lang w:val="en-GB"/>
        </w:rPr>
        <w:t xml:space="preserve">PICAP successfully established an </w:t>
      </w:r>
      <w:r w:rsidR="00FD37EE">
        <w:rPr>
          <w:rFonts w:ascii="Calibri Light" w:eastAsia="Calibri Light" w:hAnsi="Calibri Light" w:cs="Times New Roman"/>
          <w:color w:val="495965"/>
          <w:lang w:val="en-GB"/>
        </w:rPr>
        <w:t xml:space="preserve">Inclusive </w:t>
      </w:r>
      <w:r w:rsidRPr="0069249E">
        <w:rPr>
          <w:rFonts w:ascii="Calibri Light" w:eastAsia="Calibri Light" w:hAnsi="Calibri Light" w:cs="Times New Roman"/>
          <w:color w:val="495965"/>
          <w:lang w:val="en-GB"/>
        </w:rPr>
        <w:t>Insurance</w:t>
      </w:r>
      <w:r w:rsidR="00FD37EE">
        <w:rPr>
          <w:rFonts w:ascii="Calibri Light" w:eastAsia="Calibri Light" w:hAnsi="Calibri Light" w:cs="Times New Roman"/>
          <w:color w:val="495965"/>
          <w:lang w:val="en-GB"/>
        </w:rPr>
        <w:t xml:space="preserve"> solutions</w:t>
      </w:r>
      <w:r w:rsidR="00FD37EE" w:rsidRPr="0069249E">
        <w:rPr>
          <w:rFonts w:ascii="Calibri Light" w:eastAsia="Calibri Light" w:hAnsi="Calibri Light" w:cs="Times New Roman"/>
          <w:color w:val="495965"/>
          <w:lang w:val="en-GB"/>
        </w:rPr>
        <w:t xml:space="preserve"> Hub</w:t>
      </w:r>
      <w:r w:rsidRPr="0069249E">
        <w:rPr>
          <w:rFonts w:ascii="Calibri Light" w:eastAsia="Calibri Light" w:hAnsi="Calibri Light" w:cs="Times New Roman"/>
          <w:color w:val="495965"/>
          <w:lang w:val="en-GB"/>
        </w:rPr>
        <w:t xml:space="preserve"> in 2022 to support the development of inclusive insurance markets in the Pacific.</w:t>
      </w:r>
    </w:p>
    <w:p w14:paraId="6AD60BB9" w14:textId="4FB0A2B6" w:rsidR="0099185F" w:rsidRDefault="004F5B91" w:rsidP="0099185F">
      <w:pPr>
        <w:suppressAutoHyphens/>
        <w:spacing w:before="120" w:after="60" w:line="260" w:lineRule="atLeast"/>
        <w:rPr>
          <w:rFonts w:ascii="Calibri Light" w:eastAsia="Calibri Light" w:hAnsi="Calibri Light" w:cs="Times New Roman"/>
          <w:color w:val="495965"/>
          <w:lang w:val="en-GB"/>
        </w:rPr>
      </w:pPr>
      <w:r w:rsidRPr="0069249E">
        <w:rPr>
          <w:rFonts w:ascii="Calibri Light" w:eastAsia="Calibri Light" w:hAnsi="Calibri Light" w:cs="Times New Roman"/>
          <w:color w:val="495965"/>
          <w:lang w:val="en-GB"/>
        </w:rPr>
        <w:t>The report has provided recommendations here below to which we have provided responses</w:t>
      </w:r>
      <w:r w:rsidR="00145EA2">
        <w:rPr>
          <w:rFonts w:ascii="Calibri Light" w:eastAsia="Calibri Light" w:hAnsi="Calibri Light" w:cs="Times New Roman"/>
          <w:color w:val="495965"/>
          <w:lang w:val="en-GB"/>
        </w:rPr>
        <w:t>.</w:t>
      </w:r>
    </w:p>
    <w:p w14:paraId="5E66FD9A" w14:textId="18752BE1" w:rsidR="0099185F" w:rsidRDefault="0099185F" w:rsidP="0099185F">
      <w:pPr>
        <w:rPr>
          <w:rFonts w:ascii="Calibri Light" w:eastAsia="Calibri Light" w:hAnsi="Calibri Light" w:cs="Times New Roman"/>
          <w:color w:val="495965"/>
          <w:lang w:val="en-GB"/>
        </w:rPr>
        <w:sectPr w:rsidR="0099185F" w:rsidSect="003B353D">
          <w:footerReference w:type="default" r:id="rId8"/>
          <w:headerReference w:type="first" r:id="rId9"/>
          <w:footerReference w:type="first" r:id="rId10"/>
          <w:pgSz w:w="11906" w:h="16838" w:code="9"/>
          <w:pgMar w:top="1080" w:right="1134" w:bottom="990" w:left="1134" w:header="567" w:footer="567" w:gutter="0"/>
          <w:cols w:space="708"/>
          <w:titlePg/>
          <w:docGrid w:linePitch="360"/>
        </w:sectPr>
      </w:pPr>
    </w:p>
    <w:tbl>
      <w:tblPr>
        <w:tblStyle w:val="TableGrid"/>
        <w:tblW w:w="0" w:type="auto"/>
        <w:tblLook w:val="04A0" w:firstRow="1" w:lastRow="0" w:firstColumn="1" w:lastColumn="0" w:noHBand="0" w:noVBand="1"/>
      </w:tblPr>
      <w:tblGrid>
        <w:gridCol w:w="3543"/>
        <w:gridCol w:w="3543"/>
        <w:gridCol w:w="3544"/>
        <w:gridCol w:w="3544"/>
      </w:tblGrid>
      <w:tr w:rsidR="0099185F" w:rsidRPr="00FE69FC" w14:paraId="1F4DD3A2" w14:textId="77777777" w:rsidTr="00245AAC">
        <w:trPr>
          <w:tblHeader/>
        </w:trPr>
        <w:tc>
          <w:tcPr>
            <w:tcW w:w="3543" w:type="dxa"/>
          </w:tcPr>
          <w:p w14:paraId="622118D3" w14:textId="77777777" w:rsidR="0099185F" w:rsidRPr="00FE69FC" w:rsidRDefault="0099185F" w:rsidP="00245AAC">
            <w:r w:rsidRPr="00FE69FC">
              <w:rPr>
                <w:rFonts w:asciiTheme="majorHAnsi" w:eastAsia="Calibri Light" w:hAnsiTheme="majorHAnsi" w:cstheme="majorHAnsi"/>
                <w:b/>
                <w:lang w:val="en-GB"/>
              </w:rPr>
              <w:lastRenderedPageBreak/>
              <w:t>Recommendation</w:t>
            </w:r>
          </w:p>
        </w:tc>
        <w:tc>
          <w:tcPr>
            <w:tcW w:w="3543" w:type="dxa"/>
          </w:tcPr>
          <w:p w14:paraId="2AC2386F" w14:textId="77777777" w:rsidR="0099185F" w:rsidRPr="00FE69FC" w:rsidRDefault="0099185F" w:rsidP="00245AAC">
            <w:r w:rsidRPr="00FE69FC">
              <w:rPr>
                <w:rFonts w:asciiTheme="majorHAnsi" w:eastAsia="Calibri Light" w:hAnsiTheme="majorHAnsi" w:cstheme="majorHAnsi"/>
                <w:b/>
                <w:lang w:val="en-GB"/>
              </w:rPr>
              <w:t xml:space="preserve">Response </w:t>
            </w:r>
          </w:p>
        </w:tc>
        <w:tc>
          <w:tcPr>
            <w:tcW w:w="3544" w:type="dxa"/>
          </w:tcPr>
          <w:p w14:paraId="77FBD5BC" w14:textId="77777777" w:rsidR="0099185F" w:rsidRPr="00FE69FC" w:rsidRDefault="0099185F" w:rsidP="00245AAC">
            <w:r w:rsidRPr="00FE69FC">
              <w:rPr>
                <w:rFonts w:asciiTheme="majorHAnsi" w:eastAsia="Calibri Light" w:hAnsiTheme="majorHAnsi" w:cstheme="majorHAnsi"/>
                <w:b/>
                <w:lang w:val="en-GB"/>
              </w:rPr>
              <w:t>Explanation and Action plan</w:t>
            </w:r>
          </w:p>
        </w:tc>
        <w:tc>
          <w:tcPr>
            <w:tcW w:w="3544" w:type="dxa"/>
          </w:tcPr>
          <w:p w14:paraId="13437E38" w14:textId="77777777" w:rsidR="0099185F" w:rsidRPr="00FE69FC" w:rsidRDefault="0099185F" w:rsidP="00245AAC">
            <w:pPr>
              <w:suppressAutoHyphens/>
              <w:rPr>
                <w:rFonts w:asciiTheme="majorHAnsi" w:eastAsia="Calibri Light" w:hAnsiTheme="majorHAnsi" w:cstheme="majorHAnsi"/>
                <w:b/>
                <w:lang w:val="en-GB"/>
              </w:rPr>
            </w:pPr>
            <w:r w:rsidRPr="00FE69FC">
              <w:rPr>
                <w:rFonts w:asciiTheme="majorHAnsi" w:eastAsia="Calibri Light" w:hAnsiTheme="majorHAnsi" w:cstheme="majorHAnsi"/>
                <w:b/>
                <w:lang w:val="en-GB"/>
              </w:rPr>
              <w:t>Timeframe</w:t>
            </w:r>
          </w:p>
        </w:tc>
      </w:tr>
      <w:tr w:rsidR="0099185F" w14:paraId="31BC3CC0" w14:textId="77777777" w:rsidTr="000E3C21">
        <w:tc>
          <w:tcPr>
            <w:tcW w:w="3543" w:type="dxa"/>
          </w:tcPr>
          <w:p w14:paraId="07BCA48E" w14:textId="77777777" w:rsidR="0099185F" w:rsidRDefault="0099185F" w:rsidP="00245AAC">
            <w:r w:rsidRPr="00975755">
              <w:rPr>
                <w:rFonts w:asciiTheme="majorHAnsi" w:hAnsiTheme="majorHAnsi" w:cstheme="majorHAnsi"/>
                <w:color w:val="000000"/>
              </w:rPr>
              <w:t>There is an urgent need to re-evaluate the product and its surrounding processes in terms of its gender centricity for the last mile beneficiary.</w:t>
            </w:r>
          </w:p>
        </w:tc>
        <w:tc>
          <w:tcPr>
            <w:tcW w:w="3543" w:type="dxa"/>
            <w:shd w:val="clear" w:color="auto" w:fill="E2EFD9" w:themeFill="accent6" w:themeFillTint="33"/>
          </w:tcPr>
          <w:p w14:paraId="6B017FA0" w14:textId="77777777" w:rsidR="0099185F" w:rsidRDefault="0099185F" w:rsidP="00245AAC">
            <w:r w:rsidRPr="00975755">
              <w:rPr>
                <w:rFonts w:asciiTheme="majorHAnsi" w:eastAsia="MS Gothic" w:hAnsiTheme="majorHAnsi" w:cstheme="majorHAnsi"/>
                <w:bCs/>
              </w:rPr>
              <w:t>Agree</w:t>
            </w:r>
          </w:p>
        </w:tc>
        <w:tc>
          <w:tcPr>
            <w:tcW w:w="3544" w:type="dxa"/>
          </w:tcPr>
          <w:p w14:paraId="338A0520" w14:textId="77777777" w:rsidR="0099185F" w:rsidRPr="00975755" w:rsidRDefault="0099185F" w:rsidP="00245AAC">
            <w:pPr>
              <w:suppressAutoHyphens/>
              <w:rPr>
                <w:rFonts w:asciiTheme="majorHAnsi" w:eastAsia="Calibri Light" w:hAnsiTheme="majorHAnsi" w:cstheme="majorHAnsi"/>
                <w:lang w:val="en-GB"/>
              </w:rPr>
            </w:pPr>
            <w:r w:rsidRPr="00975755">
              <w:rPr>
                <w:rFonts w:asciiTheme="majorHAnsi" w:eastAsia="Calibri Light" w:hAnsiTheme="majorHAnsi" w:cstheme="majorHAnsi"/>
                <w:lang w:val="en-GB"/>
              </w:rPr>
              <w:t>PICAP has agreed to sharpen its focus on women and other vulnerable segments. 47% of the total beneficiaries covered are women</w:t>
            </w:r>
            <w:r>
              <w:rPr>
                <w:rFonts w:asciiTheme="majorHAnsi" w:eastAsia="Calibri Light" w:hAnsiTheme="majorHAnsi" w:cstheme="majorHAnsi"/>
                <w:lang w:val="en-GB"/>
              </w:rPr>
              <w:t xml:space="preserve"> - </w:t>
            </w:r>
            <w:r w:rsidRPr="00975755">
              <w:rPr>
                <w:rFonts w:asciiTheme="majorHAnsi" w:eastAsia="Calibri Light" w:hAnsiTheme="majorHAnsi" w:cstheme="majorHAnsi"/>
                <w:lang w:val="en-GB"/>
              </w:rPr>
              <w:t>demonstrating th</w:t>
            </w:r>
            <w:r>
              <w:rPr>
                <w:rFonts w:asciiTheme="majorHAnsi" w:eastAsia="Calibri Light" w:hAnsiTheme="majorHAnsi" w:cstheme="majorHAnsi"/>
                <w:lang w:val="en-GB"/>
              </w:rPr>
              <w:t>at a strong gender focus is needed</w:t>
            </w:r>
            <w:r w:rsidRPr="00975755">
              <w:rPr>
                <w:rFonts w:asciiTheme="majorHAnsi" w:eastAsia="Calibri Light" w:hAnsiTheme="majorHAnsi" w:cstheme="majorHAnsi"/>
                <w:lang w:val="en-GB"/>
              </w:rPr>
              <w:t xml:space="preserve">. PICAP has recruited </w:t>
            </w:r>
            <w:r>
              <w:rPr>
                <w:rFonts w:asciiTheme="majorHAnsi" w:eastAsia="Calibri Light" w:hAnsiTheme="majorHAnsi" w:cstheme="majorHAnsi"/>
                <w:lang w:val="en-GB"/>
              </w:rPr>
              <w:t xml:space="preserve">a </w:t>
            </w:r>
            <w:r w:rsidRPr="00975755">
              <w:rPr>
                <w:rFonts w:asciiTheme="majorHAnsi" w:eastAsia="Calibri Light" w:hAnsiTheme="majorHAnsi" w:cstheme="majorHAnsi"/>
                <w:lang w:val="en-GB"/>
              </w:rPr>
              <w:t>GESI specialist with the task to develop a workplan that will be integrated into the programme WP f</w:t>
            </w:r>
            <w:r>
              <w:rPr>
                <w:rFonts w:asciiTheme="majorHAnsi" w:eastAsia="Calibri Light" w:hAnsiTheme="majorHAnsi" w:cstheme="majorHAnsi"/>
                <w:lang w:val="en-GB"/>
              </w:rPr>
              <w:t>rom</w:t>
            </w:r>
            <w:r w:rsidRPr="00975755">
              <w:rPr>
                <w:rFonts w:asciiTheme="majorHAnsi" w:eastAsia="Calibri Light" w:hAnsiTheme="majorHAnsi" w:cstheme="majorHAnsi"/>
                <w:lang w:val="en-GB"/>
              </w:rPr>
              <w:t xml:space="preserve"> 2023 and onwards. In the expansion phase, exclusive products for women will be developed and tested, subject to acceptance by the insurers.</w:t>
            </w:r>
          </w:p>
          <w:p w14:paraId="50F37AF6" w14:textId="77777777" w:rsidR="0099185F" w:rsidRDefault="0099185F" w:rsidP="00245AAC"/>
        </w:tc>
        <w:tc>
          <w:tcPr>
            <w:tcW w:w="3544" w:type="dxa"/>
          </w:tcPr>
          <w:p w14:paraId="27C0FD25" w14:textId="77777777" w:rsidR="0099185F" w:rsidRDefault="0099185F" w:rsidP="00245AAC">
            <w:r w:rsidRPr="00975755">
              <w:rPr>
                <w:rFonts w:asciiTheme="majorHAnsi" w:eastAsia="Calibri Light" w:hAnsiTheme="majorHAnsi" w:cstheme="majorHAnsi"/>
                <w:lang w:val="en-GB"/>
              </w:rPr>
              <w:t>Immediately and ongoing</w:t>
            </w:r>
          </w:p>
        </w:tc>
      </w:tr>
      <w:tr w:rsidR="0099185F" w14:paraId="01A9E54D" w14:textId="77777777" w:rsidTr="000E3C21">
        <w:tc>
          <w:tcPr>
            <w:tcW w:w="3543" w:type="dxa"/>
          </w:tcPr>
          <w:p w14:paraId="1D735018" w14:textId="77777777" w:rsidR="0099185F" w:rsidRDefault="0099185F" w:rsidP="00245AAC">
            <w:r w:rsidRPr="003B353D">
              <w:rPr>
                <w:rFonts w:asciiTheme="majorHAnsi" w:eastAsia="Times New Roman" w:hAnsiTheme="majorHAnsi" w:cstheme="majorHAnsi"/>
                <w:color w:val="000000"/>
              </w:rPr>
              <w:t>There needs to be a higher level of “effective” financial literacy for the last mile beneficiary so that there is an increase in the perceived value of the product for these beneficiaries. This should include ensuring no miscommunication on the larger owner or validator of the product. </w:t>
            </w:r>
          </w:p>
        </w:tc>
        <w:tc>
          <w:tcPr>
            <w:tcW w:w="3543" w:type="dxa"/>
            <w:shd w:val="clear" w:color="auto" w:fill="E2EFD9" w:themeFill="accent6" w:themeFillTint="33"/>
          </w:tcPr>
          <w:p w14:paraId="6BD460FD" w14:textId="77777777" w:rsidR="0099185F" w:rsidRDefault="0099185F" w:rsidP="00245AAC">
            <w:r w:rsidRPr="003B353D">
              <w:rPr>
                <w:rFonts w:asciiTheme="majorHAnsi" w:eastAsia="MS Gothic" w:hAnsiTheme="majorHAnsi" w:cstheme="majorHAnsi"/>
                <w:bCs/>
              </w:rPr>
              <w:t>Agree</w:t>
            </w:r>
          </w:p>
        </w:tc>
        <w:tc>
          <w:tcPr>
            <w:tcW w:w="3544" w:type="dxa"/>
          </w:tcPr>
          <w:p w14:paraId="4D99B38F" w14:textId="77777777" w:rsidR="0099185F" w:rsidRDefault="0099185F" w:rsidP="00245AAC">
            <w:r w:rsidRPr="003B353D">
              <w:rPr>
                <w:rFonts w:asciiTheme="majorHAnsi" w:eastAsia="Calibri Light" w:hAnsiTheme="majorHAnsi" w:cstheme="majorHAnsi"/>
                <w:lang w:val="en-GB"/>
              </w:rPr>
              <w:t xml:space="preserve">DFAT encourages collaboration to maximise the value of our investments. DFAT concurs with the action plan suggested by PICAP to work with PDEP to develop an appropriate intervention strategy for financial literacy. </w:t>
            </w:r>
          </w:p>
        </w:tc>
        <w:tc>
          <w:tcPr>
            <w:tcW w:w="3544" w:type="dxa"/>
          </w:tcPr>
          <w:p w14:paraId="1C8A5349" w14:textId="77777777" w:rsidR="0099185F" w:rsidRDefault="0099185F" w:rsidP="00245AAC">
            <w:r>
              <w:rPr>
                <w:rFonts w:asciiTheme="majorHAnsi" w:eastAsia="Calibri Light" w:hAnsiTheme="majorHAnsi" w:cstheme="majorHAnsi"/>
                <w:lang w:val="en-GB"/>
              </w:rPr>
              <w:t>Immediate and ongoing</w:t>
            </w:r>
          </w:p>
        </w:tc>
      </w:tr>
      <w:tr w:rsidR="0099185F" w14:paraId="6B839666" w14:textId="77777777" w:rsidTr="000E3C21">
        <w:tc>
          <w:tcPr>
            <w:tcW w:w="3543" w:type="dxa"/>
          </w:tcPr>
          <w:p w14:paraId="6DCE5CEA" w14:textId="77777777" w:rsidR="0099185F" w:rsidRDefault="0099185F" w:rsidP="00245AAC">
            <w:r w:rsidRPr="003B353D">
              <w:rPr>
                <w:rFonts w:asciiTheme="majorHAnsi" w:eastAsia="Times New Roman" w:hAnsiTheme="majorHAnsi" w:cstheme="majorHAnsi"/>
                <w:color w:val="000000"/>
              </w:rPr>
              <w:t>At the same time, the product needs to be reconfigured to be more affordable given the odds of a natural disaster happening, especially given climate change. </w:t>
            </w:r>
          </w:p>
        </w:tc>
        <w:tc>
          <w:tcPr>
            <w:tcW w:w="3543" w:type="dxa"/>
            <w:shd w:val="clear" w:color="auto" w:fill="E2EFD9" w:themeFill="accent6" w:themeFillTint="33"/>
          </w:tcPr>
          <w:p w14:paraId="20CF61B7" w14:textId="77777777" w:rsidR="0099185F" w:rsidRDefault="0099185F" w:rsidP="00245AAC">
            <w:r w:rsidRPr="003B353D">
              <w:rPr>
                <w:rFonts w:asciiTheme="majorHAnsi" w:eastAsia="MS Gothic" w:hAnsiTheme="majorHAnsi" w:cstheme="majorHAnsi"/>
                <w:bCs/>
              </w:rPr>
              <w:t>Agree</w:t>
            </w:r>
          </w:p>
        </w:tc>
        <w:tc>
          <w:tcPr>
            <w:tcW w:w="3544" w:type="dxa"/>
          </w:tcPr>
          <w:p w14:paraId="4EE46D4A" w14:textId="77777777" w:rsidR="0099185F" w:rsidRDefault="0099185F" w:rsidP="00245AAC">
            <w:r w:rsidRPr="003B353D">
              <w:rPr>
                <w:rFonts w:asciiTheme="majorHAnsi" w:eastAsia="Calibri Light" w:hAnsiTheme="majorHAnsi" w:cstheme="majorHAnsi"/>
                <w:lang w:val="en-GB"/>
              </w:rPr>
              <w:t>DFAT recognises that initially, when setting the premium for the product, the views of the service providers were the primary concern and a stronger effort was made</w:t>
            </w:r>
            <w:r>
              <w:rPr>
                <w:rFonts w:asciiTheme="majorHAnsi" w:eastAsia="Calibri Light" w:hAnsiTheme="majorHAnsi" w:cstheme="majorHAnsi"/>
                <w:lang w:val="en-GB"/>
              </w:rPr>
              <w:t xml:space="preserve"> to</w:t>
            </w:r>
            <w:r w:rsidRPr="003B353D">
              <w:rPr>
                <w:rFonts w:asciiTheme="majorHAnsi" w:eastAsia="Calibri Light" w:hAnsiTheme="majorHAnsi" w:cstheme="majorHAnsi"/>
                <w:lang w:val="en-GB"/>
              </w:rPr>
              <w:t xml:space="preserve"> ensure that this innovation made the best, more sensible business case for insurance service providers, underwriters as well as aggregators. </w:t>
            </w:r>
            <w:r w:rsidRPr="003B353D">
              <w:rPr>
                <w:rFonts w:asciiTheme="majorHAnsi" w:eastAsia="Calibri Light" w:hAnsiTheme="majorHAnsi" w:cstheme="majorHAnsi"/>
                <w:lang w:val="en-GB"/>
              </w:rPr>
              <w:lastRenderedPageBreak/>
              <w:t>Moving into phase 2, DFAT agrees that t</w:t>
            </w:r>
            <w:r w:rsidRPr="003B353D">
              <w:rPr>
                <w:rFonts w:asciiTheme="majorHAnsi" w:hAnsiTheme="majorHAnsi" w:cstheme="majorHAnsi"/>
              </w:rPr>
              <w:t>here is a need to reconfigure the pricing of the product offered so that it is perceived to be more affordable, otherwise the larger objective of the Programme will collapse in the long run</w:t>
            </w:r>
            <w:r w:rsidRPr="003B353D">
              <w:rPr>
                <w:rStyle w:val="CommentReference"/>
                <w:rFonts w:asciiTheme="majorHAnsi" w:hAnsiTheme="majorHAnsi" w:cstheme="majorHAnsi"/>
                <w:sz w:val="22"/>
                <w:szCs w:val="22"/>
              </w:rPr>
              <w:t>. T</w:t>
            </w:r>
            <w:r w:rsidRPr="003B353D">
              <w:rPr>
                <w:rFonts w:asciiTheme="majorHAnsi" w:hAnsiTheme="majorHAnsi" w:cstheme="majorHAnsi"/>
              </w:rPr>
              <w:t>here is a need to devise innovative ways to convey nuances of the product, in digestible format. PICAP is requested to consider this early in the next phase.</w:t>
            </w:r>
          </w:p>
        </w:tc>
        <w:tc>
          <w:tcPr>
            <w:tcW w:w="3544" w:type="dxa"/>
          </w:tcPr>
          <w:p w14:paraId="2C41987C" w14:textId="77777777" w:rsidR="0099185F" w:rsidRDefault="0099185F" w:rsidP="00245AAC">
            <w:r w:rsidRPr="003B353D">
              <w:rPr>
                <w:rFonts w:asciiTheme="majorHAnsi" w:eastAsia="Calibri Light" w:hAnsiTheme="majorHAnsi" w:cstheme="majorHAnsi"/>
                <w:lang w:val="en-GB"/>
              </w:rPr>
              <w:lastRenderedPageBreak/>
              <w:t>Immediate and ongoing</w:t>
            </w:r>
          </w:p>
        </w:tc>
      </w:tr>
      <w:tr w:rsidR="0099185F" w14:paraId="74CD4A25" w14:textId="77777777" w:rsidTr="000E3C21">
        <w:tc>
          <w:tcPr>
            <w:tcW w:w="3543" w:type="dxa"/>
          </w:tcPr>
          <w:p w14:paraId="322DC097" w14:textId="77777777" w:rsidR="0099185F" w:rsidRDefault="0099185F" w:rsidP="00245AAC">
            <w:r w:rsidRPr="003B353D">
              <w:rPr>
                <w:rFonts w:asciiTheme="majorHAnsi" w:eastAsia="Times New Roman" w:hAnsiTheme="majorHAnsi" w:cstheme="majorHAnsi"/>
                <w:color w:val="000000"/>
              </w:rPr>
              <w:t>There is an urgent need to analy</w:t>
            </w:r>
            <w:r>
              <w:rPr>
                <w:rFonts w:asciiTheme="majorHAnsi" w:eastAsia="Times New Roman" w:hAnsiTheme="majorHAnsi" w:cstheme="majorHAnsi"/>
                <w:color w:val="000000"/>
              </w:rPr>
              <w:t>s</w:t>
            </w:r>
            <w:r w:rsidRPr="003B353D">
              <w:rPr>
                <w:rFonts w:asciiTheme="majorHAnsi" w:eastAsia="Times New Roman" w:hAnsiTheme="majorHAnsi" w:cstheme="majorHAnsi"/>
                <w:color w:val="000000"/>
              </w:rPr>
              <w:t>e the climate risks faced by the youth and design a nuanced product for them. </w:t>
            </w:r>
          </w:p>
        </w:tc>
        <w:tc>
          <w:tcPr>
            <w:tcW w:w="3543" w:type="dxa"/>
            <w:shd w:val="clear" w:color="auto" w:fill="FBE4D5" w:themeFill="accent2" w:themeFillTint="33"/>
          </w:tcPr>
          <w:p w14:paraId="20422C4F" w14:textId="77777777" w:rsidR="0099185F" w:rsidRDefault="0099185F" w:rsidP="00245AAC">
            <w:r w:rsidRPr="003B353D">
              <w:rPr>
                <w:rFonts w:asciiTheme="majorHAnsi" w:eastAsia="MS Gothic" w:hAnsiTheme="majorHAnsi" w:cstheme="majorHAnsi"/>
                <w:bCs/>
              </w:rPr>
              <w:t>Partially Agree</w:t>
            </w:r>
          </w:p>
        </w:tc>
        <w:tc>
          <w:tcPr>
            <w:tcW w:w="3544" w:type="dxa"/>
          </w:tcPr>
          <w:p w14:paraId="25AAA92B" w14:textId="77777777" w:rsidR="0099185F" w:rsidRDefault="0099185F" w:rsidP="00245AAC">
            <w:r w:rsidRPr="003B353D">
              <w:rPr>
                <w:rFonts w:asciiTheme="majorHAnsi" w:eastAsia="Calibri Light" w:hAnsiTheme="majorHAnsi" w:cstheme="majorHAnsi"/>
                <w:lang w:val="en-GB"/>
              </w:rPr>
              <w:t>In line with the need to consider the needs of women and vulne</w:t>
            </w:r>
            <w:r>
              <w:rPr>
                <w:rFonts w:asciiTheme="majorHAnsi" w:eastAsia="Calibri Light" w:hAnsiTheme="majorHAnsi" w:cstheme="majorHAnsi"/>
                <w:lang w:val="en-GB"/>
              </w:rPr>
              <w:t xml:space="preserve">rable members </w:t>
            </w:r>
            <w:r w:rsidRPr="003B353D">
              <w:rPr>
                <w:rFonts w:asciiTheme="majorHAnsi" w:eastAsia="Calibri Light" w:hAnsiTheme="majorHAnsi" w:cstheme="majorHAnsi"/>
                <w:lang w:val="en-GB"/>
              </w:rPr>
              <w:t>of society, some consideration could be given here as well. However, DFAT is also mindful of the ‘insurable interest’ of this market segment.  DFAT agrees with the approach of PICAP to engage youth groups or entities working with youth on interventions that target this segment. There is a possibility of developing other CDRF products like targeted savings delivered through digital interfaces that could be attractive to youth.</w:t>
            </w:r>
            <w:r>
              <w:rPr>
                <w:rFonts w:asciiTheme="majorHAnsi" w:eastAsia="Calibri Light" w:hAnsiTheme="majorHAnsi" w:cstheme="majorHAnsi"/>
                <w:lang w:val="en-GB"/>
              </w:rPr>
              <w:t xml:space="preserve"> Suggest that this be taken up for research under the Insurance Solutions Hub for further consideration. </w:t>
            </w:r>
          </w:p>
        </w:tc>
        <w:tc>
          <w:tcPr>
            <w:tcW w:w="3544" w:type="dxa"/>
          </w:tcPr>
          <w:p w14:paraId="1F28A1A0" w14:textId="77777777" w:rsidR="0099185F" w:rsidRDefault="0099185F" w:rsidP="00245AAC"/>
        </w:tc>
      </w:tr>
      <w:tr w:rsidR="0099185F" w14:paraId="332B0F6C" w14:textId="77777777" w:rsidTr="000E3C21">
        <w:tc>
          <w:tcPr>
            <w:tcW w:w="3543" w:type="dxa"/>
          </w:tcPr>
          <w:p w14:paraId="02A2512D" w14:textId="77777777" w:rsidR="0099185F" w:rsidRDefault="0099185F" w:rsidP="00245AAC">
            <w:r w:rsidRPr="003B353D">
              <w:rPr>
                <w:rFonts w:asciiTheme="majorHAnsi" w:hAnsiTheme="majorHAnsi" w:cstheme="majorHAnsi"/>
                <w:color w:val="000000"/>
              </w:rPr>
              <w:t xml:space="preserve">Going forward, PICAP needs to adopt a customer journey-driven approach to identifying the needs, pain points, barriers and experiences of different </w:t>
            </w:r>
            <w:r w:rsidRPr="003B353D">
              <w:rPr>
                <w:rFonts w:asciiTheme="majorHAnsi" w:hAnsiTheme="majorHAnsi" w:cstheme="majorHAnsi"/>
                <w:color w:val="000000"/>
              </w:rPr>
              <w:lastRenderedPageBreak/>
              <w:t>customer segments. This approach will help PICAP identify specific actionable areas that should be pursued under the four workstreams.</w:t>
            </w:r>
          </w:p>
        </w:tc>
        <w:tc>
          <w:tcPr>
            <w:tcW w:w="3543" w:type="dxa"/>
            <w:shd w:val="clear" w:color="auto" w:fill="E2EFD9" w:themeFill="accent6" w:themeFillTint="33"/>
          </w:tcPr>
          <w:p w14:paraId="2810D5D5" w14:textId="77777777" w:rsidR="0099185F" w:rsidRDefault="0099185F" w:rsidP="00245AAC">
            <w:r w:rsidRPr="003B353D">
              <w:rPr>
                <w:rFonts w:asciiTheme="majorHAnsi" w:eastAsia="MS Gothic" w:hAnsiTheme="majorHAnsi" w:cstheme="majorHAnsi"/>
                <w:bCs/>
              </w:rPr>
              <w:lastRenderedPageBreak/>
              <w:t>Agree</w:t>
            </w:r>
          </w:p>
        </w:tc>
        <w:tc>
          <w:tcPr>
            <w:tcW w:w="3544" w:type="dxa"/>
          </w:tcPr>
          <w:p w14:paraId="28E825D9" w14:textId="77777777" w:rsidR="0099185F" w:rsidRPr="003B353D" w:rsidRDefault="0099185F" w:rsidP="00245AAC">
            <w:pPr>
              <w:suppressAutoHyphens/>
              <w:rPr>
                <w:rFonts w:asciiTheme="majorHAnsi" w:eastAsia="Calibri Light" w:hAnsiTheme="majorHAnsi" w:cstheme="majorHAnsi"/>
                <w:lang w:val="en-GB"/>
              </w:rPr>
            </w:pPr>
            <w:r w:rsidRPr="003B353D">
              <w:rPr>
                <w:rFonts w:asciiTheme="majorHAnsi" w:eastAsia="Calibri Light" w:hAnsiTheme="majorHAnsi" w:cstheme="majorHAnsi"/>
                <w:lang w:val="en-GB"/>
              </w:rPr>
              <w:t>DFAT agrees with this recommendation and understand</w:t>
            </w:r>
            <w:r>
              <w:rPr>
                <w:rFonts w:asciiTheme="majorHAnsi" w:eastAsia="Calibri Light" w:hAnsiTheme="majorHAnsi" w:cstheme="majorHAnsi"/>
                <w:lang w:val="en-GB"/>
              </w:rPr>
              <w:t>s</w:t>
            </w:r>
            <w:r w:rsidRPr="003B353D">
              <w:rPr>
                <w:rFonts w:asciiTheme="majorHAnsi" w:eastAsia="Calibri Light" w:hAnsiTheme="majorHAnsi" w:cstheme="majorHAnsi"/>
                <w:lang w:val="en-GB"/>
              </w:rPr>
              <w:t xml:space="preserve"> that PICAP has a plan of action in place to ensure that appropriate </w:t>
            </w:r>
            <w:r w:rsidRPr="003B353D">
              <w:rPr>
                <w:rFonts w:asciiTheme="majorHAnsi" w:eastAsia="Calibri Light" w:hAnsiTheme="majorHAnsi" w:cstheme="majorHAnsi"/>
                <w:lang w:val="en-GB"/>
              </w:rPr>
              <w:lastRenderedPageBreak/>
              <w:t xml:space="preserve">measures are taken to develop a viable product that is beneficial to customers. </w:t>
            </w:r>
          </w:p>
          <w:p w14:paraId="6D00BBAA" w14:textId="77777777" w:rsidR="0099185F" w:rsidRPr="003B353D" w:rsidRDefault="0099185F" w:rsidP="00245AAC">
            <w:pPr>
              <w:suppressAutoHyphens/>
              <w:rPr>
                <w:rFonts w:asciiTheme="majorHAnsi" w:eastAsia="Calibri Light" w:hAnsiTheme="majorHAnsi" w:cstheme="majorHAnsi"/>
                <w:lang w:val="en-GB"/>
              </w:rPr>
            </w:pPr>
          </w:p>
          <w:p w14:paraId="502C4DB0" w14:textId="77777777" w:rsidR="0099185F" w:rsidRPr="003B353D" w:rsidRDefault="0099185F" w:rsidP="00245AAC">
            <w:pPr>
              <w:suppressAutoHyphens/>
              <w:rPr>
                <w:rFonts w:asciiTheme="majorHAnsi" w:eastAsia="Calibri Light" w:hAnsiTheme="majorHAnsi" w:cstheme="majorHAnsi"/>
                <w:lang w:val="en-GB"/>
              </w:rPr>
            </w:pPr>
            <w:r w:rsidRPr="003B353D">
              <w:rPr>
                <w:rFonts w:asciiTheme="majorHAnsi" w:eastAsia="Calibri Light" w:hAnsiTheme="majorHAnsi" w:cstheme="majorHAnsi"/>
                <w:lang w:val="en-GB"/>
              </w:rPr>
              <w:t xml:space="preserve">We also note that the outcome areas were reduced from four to three key areas. As such, DFAT strongly supports closer collaboration between PICAP and PDEP in its work around digitally enabled inclusive innovation. </w:t>
            </w:r>
          </w:p>
          <w:p w14:paraId="4EAD2630" w14:textId="77777777" w:rsidR="0099185F" w:rsidRPr="003B353D" w:rsidRDefault="0099185F" w:rsidP="00245AAC">
            <w:pPr>
              <w:suppressAutoHyphens/>
              <w:rPr>
                <w:rFonts w:asciiTheme="majorHAnsi" w:eastAsia="Calibri Light" w:hAnsiTheme="majorHAnsi" w:cstheme="majorHAnsi"/>
                <w:lang w:val="en-GB"/>
              </w:rPr>
            </w:pPr>
          </w:p>
          <w:p w14:paraId="639EE3B1" w14:textId="77777777" w:rsidR="0099185F" w:rsidRDefault="0099185F" w:rsidP="00245AAC">
            <w:r w:rsidRPr="003B353D">
              <w:rPr>
                <w:rFonts w:asciiTheme="majorHAnsi" w:eastAsia="Calibri Light" w:hAnsiTheme="majorHAnsi" w:cstheme="majorHAnsi"/>
                <w:lang w:val="en-GB"/>
              </w:rPr>
              <w:t>In the next phase, the program should also explore other distribution channels or delivery models e.g. Mobile Model, Joint product-Joint Sale model, Community Captive model, Public sector insurance model (</w:t>
            </w:r>
            <w:proofErr w:type="spellStart"/>
            <w:r w:rsidRPr="003B353D">
              <w:rPr>
                <w:rFonts w:asciiTheme="majorHAnsi" w:eastAsia="Calibri Light" w:hAnsiTheme="majorHAnsi" w:cstheme="majorHAnsi"/>
                <w:lang w:val="en-GB"/>
              </w:rPr>
              <w:t>Kousky</w:t>
            </w:r>
            <w:proofErr w:type="spellEnd"/>
            <w:r w:rsidRPr="003B353D">
              <w:rPr>
                <w:rFonts w:asciiTheme="majorHAnsi" w:eastAsia="Calibri Light" w:hAnsiTheme="majorHAnsi" w:cstheme="majorHAnsi"/>
                <w:lang w:val="en-GB"/>
              </w:rPr>
              <w:t xml:space="preserve"> C, </w:t>
            </w:r>
            <w:proofErr w:type="gramStart"/>
            <w:r w:rsidRPr="003B353D">
              <w:rPr>
                <w:rFonts w:asciiTheme="majorHAnsi" w:eastAsia="Calibri Light" w:hAnsiTheme="majorHAnsi" w:cstheme="majorHAnsi"/>
                <w:lang w:val="en-GB"/>
              </w:rPr>
              <w:t>Wiley ,</w:t>
            </w:r>
            <w:proofErr w:type="gramEnd"/>
            <w:r w:rsidRPr="003B353D">
              <w:rPr>
                <w:rFonts w:asciiTheme="majorHAnsi" w:eastAsia="Calibri Light" w:hAnsiTheme="majorHAnsi" w:cstheme="majorHAnsi"/>
                <w:lang w:val="en-GB"/>
              </w:rPr>
              <w:t xml:space="preserve"> </w:t>
            </w:r>
            <w:proofErr w:type="spellStart"/>
            <w:r w:rsidRPr="003B353D">
              <w:rPr>
                <w:rFonts w:asciiTheme="majorHAnsi" w:eastAsia="Calibri Light" w:hAnsiTheme="majorHAnsi" w:cstheme="majorHAnsi"/>
                <w:lang w:val="en-GB"/>
              </w:rPr>
              <w:t>Shabman</w:t>
            </w:r>
            <w:proofErr w:type="spellEnd"/>
            <w:r w:rsidRPr="003B353D">
              <w:rPr>
                <w:rFonts w:asciiTheme="majorHAnsi" w:eastAsia="Calibri Light" w:hAnsiTheme="majorHAnsi" w:cstheme="majorHAnsi"/>
                <w:lang w:val="en-GB"/>
              </w:rPr>
              <w:t xml:space="preserve"> L, 2020) to improve sustainability and over market challenges. </w:t>
            </w:r>
          </w:p>
        </w:tc>
        <w:tc>
          <w:tcPr>
            <w:tcW w:w="3544" w:type="dxa"/>
          </w:tcPr>
          <w:p w14:paraId="6191D87D" w14:textId="77777777" w:rsidR="0099185F" w:rsidRDefault="0099185F" w:rsidP="00245AAC">
            <w:r w:rsidRPr="003B353D">
              <w:rPr>
                <w:rFonts w:asciiTheme="majorHAnsi" w:eastAsia="Calibri Light" w:hAnsiTheme="majorHAnsi" w:cstheme="majorHAnsi"/>
                <w:lang w:val="en-GB"/>
              </w:rPr>
              <w:lastRenderedPageBreak/>
              <w:t xml:space="preserve">Immediate and ongoing </w:t>
            </w:r>
          </w:p>
        </w:tc>
      </w:tr>
      <w:tr w:rsidR="0099185F" w14:paraId="39A1EAA1" w14:textId="77777777" w:rsidTr="000E3C21">
        <w:tc>
          <w:tcPr>
            <w:tcW w:w="3543" w:type="dxa"/>
          </w:tcPr>
          <w:p w14:paraId="15FB7E2D" w14:textId="77777777" w:rsidR="0099185F" w:rsidRDefault="0099185F" w:rsidP="00245AAC">
            <w:r w:rsidRPr="003B353D">
              <w:rPr>
                <w:rFonts w:asciiTheme="majorHAnsi" w:eastAsia="Times New Roman" w:hAnsiTheme="majorHAnsi" w:cstheme="majorHAnsi"/>
                <w:color w:val="000000"/>
              </w:rPr>
              <w:t xml:space="preserve">Greater engagement on the part of PICAP to become a member of government’s committees would enable it to influence conducive </w:t>
            </w:r>
            <w:proofErr w:type="gramStart"/>
            <w:r w:rsidRPr="003B353D">
              <w:rPr>
                <w:rFonts w:asciiTheme="majorHAnsi" w:eastAsia="Times New Roman" w:hAnsiTheme="majorHAnsi" w:cstheme="majorHAnsi"/>
                <w:color w:val="000000"/>
              </w:rPr>
              <w:t>policy-making</w:t>
            </w:r>
            <w:proofErr w:type="gramEnd"/>
            <w:r w:rsidRPr="003B353D">
              <w:rPr>
                <w:rFonts w:asciiTheme="majorHAnsi" w:eastAsia="Times New Roman" w:hAnsiTheme="majorHAnsi" w:cstheme="majorHAnsi"/>
                <w:color w:val="000000"/>
              </w:rPr>
              <w:t xml:space="preserve"> by the governments. PICAP should continue to engage more proactively and closely with RBF to maintain a good handle on regulatory issues confronting the central bank and provide them with technical support on appropriate regulatory interventions from time to time.  </w:t>
            </w:r>
          </w:p>
        </w:tc>
        <w:tc>
          <w:tcPr>
            <w:tcW w:w="3543" w:type="dxa"/>
            <w:shd w:val="clear" w:color="auto" w:fill="E2EFD9" w:themeFill="accent6" w:themeFillTint="33"/>
          </w:tcPr>
          <w:p w14:paraId="6C2432F3" w14:textId="77777777" w:rsidR="0099185F" w:rsidRDefault="0099185F" w:rsidP="00245AAC">
            <w:r w:rsidRPr="003B353D">
              <w:rPr>
                <w:rFonts w:asciiTheme="majorHAnsi" w:eastAsia="MS Gothic" w:hAnsiTheme="majorHAnsi" w:cstheme="majorHAnsi"/>
                <w:bCs/>
              </w:rPr>
              <w:t>Agree</w:t>
            </w:r>
          </w:p>
        </w:tc>
        <w:tc>
          <w:tcPr>
            <w:tcW w:w="3544" w:type="dxa"/>
          </w:tcPr>
          <w:p w14:paraId="43C393BB" w14:textId="77777777" w:rsidR="0099185F" w:rsidRDefault="0099185F" w:rsidP="00245AAC">
            <w:pPr>
              <w:suppressAutoHyphens/>
              <w:rPr>
                <w:rFonts w:asciiTheme="majorHAnsi" w:eastAsia="Calibri Light" w:hAnsiTheme="majorHAnsi" w:cstheme="majorHAnsi"/>
                <w:lang w:val="en-GB"/>
              </w:rPr>
            </w:pPr>
            <w:r w:rsidRPr="003B353D">
              <w:rPr>
                <w:rFonts w:asciiTheme="majorHAnsi" w:eastAsia="Calibri Light" w:hAnsiTheme="majorHAnsi" w:cstheme="majorHAnsi"/>
                <w:lang w:val="en-GB"/>
              </w:rPr>
              <w:t>Engaging with appropriate levels of government to maintain political buy-in and influence</w:t>
            </w:r>
            <w:r>
              <w:rPr>
                <w:rFonts w:asciiTheme="majorHAnsi" w:eastAsia="Calibri Light" w:hAnsiTheme="majorHAnsi" w:cstheme="majorHAnsi"/>
                <w:lang w:val="en-GB"/>
              </w:rPr>
              <w:t xml:space="preserve"> positive</w:t>
            </w:r>
            <w:r w:rsidRPr="003B353D">
              <w:rPr>
                <w:rFonts w:asciiTheme="majorHAnsi" w:eastAsia="Calibri Light" w:hAnsiTheme="majorHAnsi" w:cstheme="majorHAnsi"/>
                <w:lang w:val="en-GB"/>
              </w:rPr>
              <w:t xml:space="preserve"> policy change is imperative for the scale-up of the parametric insurance product variants. The ability of the program to firmly establish itself in Tonga and Vanuatu and other Pacific countries, weighs heavily on its ability to </w:t>
            </w:r>
            <w:r>
              <w:rPr>
                <w:rFonts w:asciiTheme="majorHAnsi" w:eastAsia="Calibri Light" w:hAnsiTheme="majorHAnsi" w:cstheme="majorHAnsi"/>
                <w:lang w:val="en-GB"/>
              </w:rPr>
              <w:t>engage with</w:t>
            </w:r>
            <w:r w:rsidRPr="003B353D">
              <w:rPr>
                <w:rFonts w:asciiTheme="majorHAnsi" w:eastAsia="Calibri Light" w:hAnsiTheme="majorHAnsi" w:cstheme="majorHAnsi"/>
                <w:lang w:val="en-GB"/>
              </w:rPr>
              <w:t xml:space="preserve"> policymakers and government of those countries. Experience in Fiji has provided </w:t>
            </w:r>
            <w:proofErr w:type="gramStart"/>
            <w:r w:rsidRPr="003B353D">
              <w:rPr>
                <w:rFonts w:asciiTheme="majorHAnsi" w:eastAsia="Calibri Light" w:hAnsiTheme="majorHAnsi" w:cstheme="majorHAnsi"/>
                <w:lang w:val="en-GB"/>
              </w:rPr>
              <w:t>a number of</w:t>
            </w:r>
            <w:proofErr w:type="gramEnd"/>
            <w:r w:rsidRPr="003B353D">
              <w:rPr>
                <w:rFonts w:asciiTheme="majorHAnsi" w:eastAsia="Calibri Light" w:hAnsiTheme="majorHAnsi" w:cstheme="majorHAnsi"/>
                <w:lang w:val="en-GB"/>
              </w:rPr>
              <w:t xml:space="preserve"> great lessons for the program to draw on. </w:t>
            </w:r>
          </w:p>
          <w:p w14:paraId="410745B9" w14:textId="77777777" w:rsidR="0099185F" w:rsidRPr="003B353D" w:rsidRDefault="0099185F" w:rsidP="00245AAC">
            <w:pPr>
              <w:suppressAutoHyphens/>
              <w:rPr>
                <w:rFonts w:asciiTheme="majorHAnsi" w:eastAsia="Calibri Light" w:hAnsiTheme="majorHAnsi" w:cstheme="majorHAnsi"/>
                <w:lang w:val="en-GB"/>
              </w:rPr>
            </w:pPr>
          </w:p>
          <w:p w14:paraId="4F0AAD69" w14:textId="77777777" w:rsidR="0099185F" w:rsidRDefault="0099185F" w:rsidP="00245AAC">
            <w:r w:rsidRPr="003B353D">
              <w:rPr>
                <w:rFonts w:asciiTheme="majorHAnsi" w:eastAsia="Calibri Light" w:hAnsiTheme="majorHAnsi" w:cstheme="majorHAnsi"/>
                <w:lang w:val="en-GB"/>
              </w:rPr>
              <w:t>DFAT will encourage the program to work collaboratively with its sister program PDEP under the UNCDF umbrella to build political recognition of the program in the region</w:t>
            </w:r>
            <w:r>
              <w:rPr>
                <w:rFonts w:asciiTheme="majorHAnsi" w:eastAsia="Calibri Light" w:hAnsiTheme="majorHAnsi" w:cstheme="majorHAnsi"/>
                <w:lang w:val="en-GB"/>
              </w:rPr>
              <w:t xml:space="preserve">, </w:t>
            </w:r>
            <w:r w:rsidRPr="003B353D">
              <w:rPr>
                <w:rFonts w:asciiTheme="majorHAnsi" w:eastAsia="Calibri Light" w:hAnsiTheme="majorHAnsi" w:cstheme="majorHAnsi"/>
                <w:lang w:val="en-GB"/>
              </w:rPr>
              <w:t xml:space="preserve">being mindful of other CDRF products through development partners – Red Cross and UNDRR. </w:t>
            </w:r>
          </w:p>
        </w:tc>
        <w:tc>
          <w:tcPr>
            <w:tcW w:w="3544" w:type="dxa"/>
          </w:tcPr>
          <w:p w14:paraId="67AB81DD" w14:textId="77777777" w:rsidR="0099185F" w:rsidRDefault="0099185F" w:rsidP="00245AAC">
            <w:r w:rsidRPr="003B353D">
              <w:rPr>
                <w:rFonts w:asciiTheme="majorHAnsi" w:eastAsia="Calibri Light" w:hAnsiTheme="majorHAnsi" w:cstheme="majorHAnsi"/>
                <w:lang w:val="en-GB"/>
              </w:rPr>
              <w:lastRenderedPageBreak/>
              <w:t>Immediate and ongoing</w:t>
            </w:r>
          </w:p>
        </w:tc>
      </w:tr>
      <w:tr w:rsidR="0099185F" w14:paraId="3FC4F1F2" w14:textId="77777777" w:rsidTr="000E3C21">
        <w:tc>
          <w:tcPr>
            <w:tcW w:w="3543" w:type="dxa"/>
          </w:tcPr>
          <w:p w14:paraId="13B2F92F" w14:textId="77777777" w:rsidR="0099185F" w:rsidRDefault="0099185F" w:rsidP="00245AAC">
            <w:r w:rsidRPr="003B353D">
              <w:rPr>
                <w:rFonts w:asciiTheme="majorHAnsi" w:eastAsia="Times New Roman" w:hAnsiTheme="majorHAnsi" w:cstheme="majorHAnsi"/>
                <w:color w:val="000000"/>
              </w:rPr>
              <w:t>Given the ambitious goal of PICAP of bringing about an ecosystem-level change in the Pacific with respect to climate adaptation and financial resilience building, there is a strong rationale for donors, governments and other development partners to come forward and support the Programme for the next 3-5 years, to help it scale -up and replicate the successful initiative across the region.</w:t>
            </w:r>
          </w:p>
        </w:tc>
        <w:tc>
          <w:tcPr>
            <w:tcW w:w="3543" w:type="dxa"/>
            <w:shd w:val="clear" w:color="auto" w:fill="FBE4D5" w:themeFill="accent2" w:themeFillTint="33"/>
          </w:tcPr>
          <w:p w14:paraId="540E399E" w14:textId="77777777" w:rsidR="0099185F" w:rsidRDefault="0099185F" w:rsidP="00245AAC">
            <w:r w:rsidRPr="003B353D">
              <w:rPr>
                <w:rFonts w:asciiTheme="majorHAnsi" w:eastAsia="MS Gothic" w:hAnsiTheme="majorHAnsi" w:cstheme="majorHAnsi"/>
                <w:bCs/>
              </w:rPr>
              <w:t>Partially Agree</w:t>
            </w:r>
          </w:p>
        </w:tc>
        <w:tc>
          <w:tcPr>
            <w:tcW w:w="3544" w:type="dxa"/>
          </w:tcPr>
          <w:p w14:paraId="40C54F6B" w14:textId="77777777" w:rsidR="0099185F" w:rsidRDefault="0099185F" w:rsidP="00245AAC">
            <w:pPr>
              <w:suppressAutoHyphens/>
              <w:rPr>
                <w:rFonts w:asciiTheme="majorHAnsi" w:eastAsia="Calibri Light" w:hAnsiTheme="majorHAnsi" w:cstheme="majorHAnsi"/>
                <w:lang w:val="en-GB"/>
              </w:rPr>
            </w:pPr>
            <w:r w:rsidRPr="003B353D">
              <w:rPr>
                <w:rFonts w:asciiTheme="majorHAnsi" w:eastAsia="Calibri Light" w:hAnsiTheme="majorHAnsi" w:cstheme="majorHAnsi"/>
                <w:lang w:val="en-GB"/>
              </w:rPr>
              <w:t>We recognise that bringing about the eco-system level change in the Pacific with respect of climate adaptation and financial resilience will take time.</w:t>
            </w:r>
            <w:r>
              <w:rPr>
                <w:rFonts w:asciiTheme="majorHAnsi" w:eastAsia="Calibri Light" w:hAnsiTheme="majorHAnsi" w:cstheme="majorHAnsi"/>
                <w:lang w:val="en-GB"/>
              </w:rPr>
              <w:t xml:space="preserve"> </w:t>
            </w:r>
            <w:r w:rsidRPr="003B353D">
              <w:rPr>
                <w:rFonts w:asciiTheme="majorHAnsi" w:eastAsia="Calibri Light" w:hAnsiTheme="majorHAnsi" w:cstheme="majorHAnsi"/>
                <w:lang w:val="en-GB"/>
              </w:rPr>
              <w:t>DFAT currently</w:t>
            </w:r>
            <w:r>
              <w:rPr>
                <w:rFonts w:asciiTheme="majorHAnsi" w:eastAsia="Calibri Light" w:hAnsiTheme="majorHAnsi" w:cstheme="majorHAnsi"/>
                <w:lang w:val="en-GB"/>
              </w:rPr>
              <w:t xml:space="preserve"> </w:t>
            </w:r>
            <w:r w:rsidRPr="003B353D">
              <w:rPr>
                <w:rFonts w:asciiTheme="majorHAnsi" w:eastAsia="Calibri Light" w:hAnsiTheme="majorHAnsi" w:cstheme="majorHAnsi"/>
                <w:lang w:val="en-GB"/>
              </w:rPr>
              <w:t>has a Standard</w:t>
            </w:r>
            <w:r>
              <w:rPr>
                <w:rFonts w:asciiTheme="majorHAnsi" w:eastAsia="Calibri Light" w:hAnsiTheme="majorHAnsi" w:cstheme="majorHAnsi"/>
                <w:lang w:val="en-GB"/>
              </w:rPr>
              <w:t xml:space="preserve"> </w:t>
            </w:r>
            <w:r w:rsidRPr="003B353D">
              <w:rPr>
                <w:rFonts w:asciiTheme="majorHAnsi" w:eastAsia="Calibri Light" w:hAnsiTheme="majorHAnsi" w:cstheme="majorHAnsi"/>
                <w:lang w:val="en-GB"/>
              </w:rPr>
              <w:t xml:space="preserve">Administrative Arrangement that ends in 3-years </w:t>
            </w:r>
            <w:proofErr w:type="gramStart"/>
            <w:r w:rsidRPr="003B353D">
              <w:rPr>
                <w:rFonts w:asciiTheme="majorHAnsi" w:eastAsia="Calibri Light" w:hAnsiTheme="majorHAnsi" w:cstheme="majorHAnsi"/>
                <w:lang w:val="en-GB"/>
              </w:rPr>
              <w:t>i.e.</w:t>
            </w:r>
            <w:proofErr w:type="gramEnd"/>
            <w:r w:rsidRPr="003B353D">
              <w:rPr>
                <w:rFonts w:asciiTheme="majorHAnsi" w:eastAsia="Calibri Light" w:hAnsiTheme="majorHAnsi" w:cstheme="majorHAnsi"/>
                <w:lang w:val="en-GB"/>
              </w:rPr>
              <w:t xml:space="preserve"> 30 December 2025. And we will uphold this agreement, however, any discussions to continue support beyond 3-years will </w:t>
            </w:r>
            <w:r>
              <w:rPr>
                <w:rFonts w:asciiTheme="majorHAnsi" w:eastAsia="Calibri Light" w:hAnsiTheme="majorHAnsi" w:cstheme="majorHAnsi"/>
                <w:lang w:val="en-GB"/>
              </w:rPr>
              <w:t xml:space="preserve">need to be supported by an evidence-based assessment. </w:t>
            </w:r>
            <w:r w:rsidRPr="003B353D">
              <w:rPr>
                <w:rFonts w:asciiTheme="majorHAnsi" w:eastAsia="Calibri Light" w:hAnsiTheme="majorHAnsi" w:cstheme="majorHAnsi"/>
                <w:lang w:val="en-GB"/>
              </w:rPr>
              <w:t xml:space="preserve">PICAP </w:t>
            </w:r>
            <w:r>
              <w:rPr>
                <w:rFonts w:asciiTheme="majorHAnsi" w:eastAsia="Calibri Light" w:hAnsiTheme="majorHAnsi" w:cstheme="majorHAnsi"/>
                <w:lang w:val="en-GB"/>
              </w:rPr>
              <w:t xml:space="preserve">is advised to </w:t>
            </w:r>
            <w:r w:rsidRPr="003B353D">
              <w:rPr>
                <w:rFonts w:asciiTheme="majorHAnsi" w:eastAsia="Calibri Light" w:hAnsiTheme="majorHAnsi" w:cstheme="majorHAnsi"/>
                <w:lang w:val="en-GB"/>
              </w:rPr>
              <w:t xml:space="preserve">revise its MRM </w:t>
            </w:r>
            <w:r>
              <w:rPr>
                <w:rFonts w:asciiTheme="majorHAnsi" w:eastAsia="Calibri Light" w:hAnsiTheme="majorHAnsi" w:cstheme="majorHAnsi"/>
                <w:lang w:val="en-GB"/>
              </w:rPr>
              <w:t>key performance targets</w:t>
            </w:r>
            <w:r w:rsidRPr="003B353D">
              <w:rPr>
                <w:rFonts w:asciiTheme="majorHAnsi" w:eastAsia="Calibri Light" w:hAnsiTheme="majorHAnsi" w:cstheme="majorHAnsi"/>
                <w:lang w:val="en-GB"/>
              </w:rPr>
              <w:t xml:space="preserve"> </w:t>
            </w:r>
            <w:r>
              <w:rPr>
                <w:rFonts w:asciiTheme="majorHAnsi" w:eastAsia="Calibri Light" w:hAnsiTheme="majorHAnsi" w:cstheme="majorHAnsi"/>
                <w:lang w:val="en-GB"/>
              </w:rPr>
              <w:t xml:space="preserve">to help us measure the progress of program implementation over the next phase.  </w:t>
            </w:r>
            <w:r w:rsidRPr="003B353D">
              <w:rPr>
                <w:rFonts w:asciiTheme="majorHAnsi" w:eastAsia="Calibri Light" w:hAnsiTheme="majorHAnsi" w:cstheme="majorHAnsi"/>
                <w:lang w:val="en-GB"/>
              </w:rPr>
              <w:t xml:space="preserve"> </w:t>
            </w:r>
          </w:p>
          <w:p w14:paraId="6C84A0B9" w14:textId="77777777" w:rsidR="0099185F" w:rsidRDefault="0099185F" w:rsidP="00245AAC">
            <w:pPr>
              <w:suppressAutoHyphens/>
              <w:rPr>
                <w:rFonts w:asciiTheme="majorHAnsi" w:eastAsia="Calibri Light" w:hAnsiTheme="majorHAnsi" w:cstheme="majorHAnsi"/>
                <w:lang w:val="en-GB"/>
              </w:rPr>
            </w:pPr>
          </w:p>
          <w:p w14:paraId="3716C5C7" w14:textId="77777777" w:rsidR="0099185F" w:rsidRDefault="0099185F" w:rsidP="00245AAC">
            <w:pPr>
              <w:suppressAutoHyphens/>
              <w:rPr>
                <w:rFonts w:asciiTheme="majorHAnsi" w:eastAsia="Calibri Light" w:hAnsiTheme="majorHAnsi" w:cstheme="majorHAnsi"/>
                <w:lang w:val="en-GB"/>
              </w:rPr>
            </w:pPr>
            <w:r>
              <w:rPr>
                <w:rFonts w:asciiTheme="majorHAnsi" w:eastAsia="Calibri Light" w:hAnsiTheme="majorHAnsi" w:cstheme="majorHAnsi"/>
                <w:lang w:val="en-GB"/>
              </w:rPr>
              <w:t>Any</w:t>
            </w:r>
            <w:r w:rsidRPr="00127D6B">
              <w:rPr>
                <w:rFonts w:asciiTheme="majorHAnsi" w:eastAsia="Calibri Light" w:hAnsiTheme="majorHAnsi" w:cstheme="majorHAnsi"/>
                <w:lang w:val="en-GB"/>
              </w:rPr>
              <w:t xml:space="preserve"> decision to support innovative initiatives like PICAP beyond 2025 should be taken in the light of the region's market development, national capacities to </w:t>
            </w:r>
            <w:proofErr w:type="gramStart"/>
            <w:r w:rsidRPr="00127D6B">
              <w:rPr>
                <w:rFonts w:asciiTheme="majorHAnsi" w:eastAsia="Calibri Light" w:hAnsiTheme="majorHAnsi" w:cstheme="majorHAnsi"/>
                <w:lang w:val="en-GB"/>
              </w:rPr>
              <w:t>continue on</w:t>
            </w:r>
            <w:proofErr w:type="gramEnd"/>
            <w:r w:rsidRPr="00127D6B">
              <w:rPr>
                <w:rFonts w:asciiTheme="majorHAnsi" w:eastAsia="Calibri Light" w:hAnsiTheme="majorHAnsi" w:cstheme="majorHAnsi"/>
                <w:lang w:val="en-GB"/>
              </w:rPr>
              <w:t xml:space="preserve"> their own and global trends</w:t>
            </w:r>
            <w:r>
              <w:rPr>
                <w:rFonts w:asciiTheme="majorHAnsi" w:eastAsia="Calibri Light" w:hAnsiTheme="majorHAnsi" w:cstheme="majorHAnsi"/>
                <w:lang w:val="en-GB"/>
              </w:rPr>
              <w:t>.</w:t>
            </w:r>
          </w:p>
          <w:p w14:paraId="7FAE44C5" w14:textId="77777777" w:rsidR="0099185F" w:rsidRDefault="0099185F" w:rsidP="00245AAC">
            <w:pPr>
              <w:suppressAutoHyphens/>
              <w:rPr>
                <w:rFonts w:asciiTheme="majorHAnsi" w:eastAsia="Calibri Light" w:hAnsiTheme="majorHAnsi" w:cstheme="majorHAnsi"/>
                <w:lang w:val="en-GB"/>
              </w:rPr>
            </w:pPr>
          </w:p>
          <w:p w14:paraId="5B9145D5" w14:textId="77777777" w:rsidR="0099185F" w:rsidRDefault="0099185F" w:rsidP="00245AAC">
            <w:r>
              <w:rPr>
                <w:rFonts w:asciiTheme="majorHAnsi" w:eastAsia="Calibri Light" w:hAnsiTheme="majorHAnsi" w:cstheme="majorHAnsi"/>
                <w:lang w:val="en-GB"/>
              </w:rPr>
              <w:lastRenderedPageBreak/>
              <w:t>DFAT would also encourage that PICAP</w:t>
            </w:r>
            <w:r w:rsidRPr="003B353D">
              <w:rPr>
                <w:rFonts w:asciiTheme="majorHAnsi" w:eastAsia="Calibri Light" w:hAnsiTheme="majorHAnsi" w:cstheme="majorHAnsi"/>
                <w:lang w:val="en-GB"/>
              </w:rPr>
              <w:t xml:space="preserve"> </w:t>
            </w:r>
            <w:r>
              <w:rPr>
                <w:rFonts w:asciiTheme="majorHAnsi" w:eastAsia="Calibri Light" w:hAnsiTheme="majorHAnsi" w:cstheme="majorHAnsi"/>
                <w:lang w:val="en-GB"/>
              </w:rPr>
              <w:t xml:space="preserve">look seriously at </w:t>
            </w:r>
            <w:r w:rsidRPr="003B353D">
              <w:rPr>
                <w:rFonts w:asciiTheme="majorHAnsi" w:eastAsia="Calibri Light" w:hAnsiTheme="majorHAnsi" w:cstheme="majorHAnsi"/>
                <w:lang w:val="en-GB"/>
              </w:rPr>
              <w:t xml:space="preserve">developing deeper and meaningful engagement between stakeholders (policymakers, insurance service providers, aggregators etc.) and insurance beneficiaries. </w:t>
            </w:r>
            <w:r>
              <w:rPr>
                <w:rFonts w:asciiTheme="majorHAnsi" w:eastAsia="Calibri Light" w:hAnsiTheme="majorHAnsi" w:cstheme="majorHAnsi"/>
                <w:lang w:val="en-GB"/>
              </w:rPr>
              <w:t xml:space="preserve">Furthermore, </w:t>
            </w:r>
            <w:r w:rsidRPr="003B353D">
              <w:rPr>
                <w:rFonts w:asciiTheme="majorHAnsi" w:eastAsia="Calibri Light" w:hAnsiTheme="majorHAnsi" w:cstheme="majorHAnsi"/>
                <w:lang w:val="en-GB"/>
              </w:rPr>
              <w:t xml:space="preserve">Phase 2 should look at improving the capacities of program stakeholders to better manage the product roll-out scale-up and further development. </w:t>
            </w:r>
          </w:p>
        </w:tc>
        <w:tc>
          <w:tcPr>
            <w:tcW w:w="3544" w:type="dxa"/>
          </w:tcPr>
          <w:p w14:paraId="6F30D76A" w14:textId="77777777" w:rsidR="0099185F" w:rsidRDefault="0099185F" w:rsidP="00245AAC">
            <w:r>
              <w:rPr>
                <w:rFonts w:asciiTheme="majorHAnsi" w:eastAsia="Calibri Light" w:hAnsiTheme="majorHAnsi" w:cstheme="majorHAnsi"/>
                <w:lang w:val="en-GB"/>
              </w:rPr>
              <w:lastRenderedPageBreak/>
              <w:t>2023-2025</w:t>
            </w:r>
          </w:p>
        </w:tc>
      </w:tr>
      <w:tr w:rsidR="0099185F" w14:paraId="5D839AB7" w14:textId="77777777" w:rsidTr="000E3C21">
        <w:tc>
          <w:tcPr>
            <w:tcW w:w="3543" w:type="dxa"/>
          </w:tcPr>
          <w:p w14:paraId="0182B53F" w14:textId="77777777" w:rsidR="0099185F" w:rsidRPr="003B353D" w:rsidRDefault="0099185F" w:rsidP="00245AAC">
            <w:pPr>
              <w:rPr>
                <w:rFonts w:asciiTheme="majorHAnsi" w:eastAsia="Times New Roman" w:hAnsiTheme="majorHAnsi" w:cstheme="majorHAnsi"/>
                <w:color w:val="000000"/>
              </w:rPr>
            </w:pPr>
            <w:r w:rsidRPr="003B353D">
              <w:rPr>
                <w:rFonts w:asciiTheme="majorHAnsi" w:eastAsia="Times New Roman" w:hAnsiTheme="majorHAnsi" w:cstheme="majorHAnsi"/>
                <w:color w:val="000000"/>
              </w:rPr>
              <w:t>The sustainability of PICAP beyond the funding commitment by UNCDF is the most critical issue that requires the attention of all stakeholders going forward. Given the complexities involved in establishing an ecosystem that promotes sustainable CDRF in Pacific countries, continued and longer support is needed to help all stakeholders including governments, regulators, the private sector, delivery channel partners, and the customers, at large. To that extent, PICAP and its supporting partners including donors, funding agencies, governments and regulators should explore the possibility of institutionalizing the PICAP beyond its defined life term.</w:t>
            </w:r>
          </w:p>
        </w:tc>
        <w:tc>
          <w:tcPr>
            <w:tcW w:w="3543" w:type="dxa"/>
            <w:shd w:val="clear" w:color="auto" w:fill="FBE4D5" w:themeFill="accent2" w:themeFillTint="33"/>
          </w:tcPr>
          <w:p w14:paraId="0E6FEDAF" w14:textId="77777777" w:rsidR="0099185F" w:rsidRPr="003B353D" w:rsidRDefault="0099185F" w:rsidP="00245AAC">
            <w:pPr>
              <w:rPr>
                <w:rFonts w:asciiTheme="majorHAnsi" w:eastAsia="MS Gothic" w:hAnsiTheme="majorHAnsi" w:cstheme="majorHAnsi"/>
                <w:bCs/>
              </w:rPr>
            </w:pPr>
            <w:r w:rsidRPr="003B353D">
              <w:rPr>
                <w:rFonts w:asciiTheme="majorHAnsi" w:eastAsia="MS Gothic" w:hAnsiTheme="majorHAnsi" w:cstheme="majorHAnsi"/>
                <w:bCs/>
              </w:rPr>
              <w:t>Partially agree</w:t>
            </w:r>
          </w:p>
        </w:tc>
        <w:tc>
          <w:tcPr>
            <w:tcW w:w="3544" w:type="dxa"/>
          </w:tcPr>
          <w:p w14:paraId="76FE041A" w14:textId="77777777" w:rsidR="0099185F" w:rsidRDefault="0099185F" w:rsidP="00245AAC">
            <w:pPr>
              <w:suppressAutoHyphens/>
              <w:rPr>
                <w:rFonts w:asciiTheme="majorHAnsi" w:eastAsia="Calibri Light" w:hAnsiTheme="majorHAnsi" w:cstheme="majorHAnsi"/>
                <w:lang w:val="en-GB"/>
              </w:rPr>
            </w:pPr>
            <w:r>
              <w:rPr>
                <w:rFonts w:asciiTheme="majorHAnsi" w:eastAsia="Calibri Light" w:hAnsiTheme="majorHAnsi" w:cstheme="majorHAnsi"/>
                <w:lang w:val="en-GB"/>
              </w:rPr>
              <w:t>D</w:t>
            </w:r>
            <w:r w:rsidRPr="003B353D">
              <w:rPr>
                <w:rFonts w:asciiTheme="majorHAnsi" w:eastAsia="Calibri Light" w:hAnsiTheme="majorHAnsi" w:cstheme="majorHAnsi"/>
                <w:lang w:val="en-GB"/>
              </w:rPr>
              <w:t>FAT recognises that the program will continue to require donor support until such a time it is deemed financial</w:t>
            </w:r>
            <w:r>
              <w:rPr>
                <w:rFonts w:asciiTheme="majorHAnsi" w:eastAsia="Calibri Light" w:hAnsiTheme="majorHAnsi" w:cstheme="majorHAnsi"/>
                <w:lang w:val="en-GB"/>
              </w:rPr>
              <w:t>ly</w:t>
            </w:r>
            <w:r w:rsidRPr="003B353D">
              <w:rPr>
                <w:rFonts w:asciiTheme="majorHAnsi" w:eastAsia="Calibri Light" w:hAnsiTheme="majorHAnsi" w:cstheme="majorHAnsi"/>
                <w:lang w:val="en-GB"/>
              </w:rPr>
              <w:t xml:space="preserve"> sustainable by businesses.</w:t>
            </w:r>
          </w:p>
          <w:p w14:paraId="09F04143" w14:textId="77777777" w:rsidR="0099185F" w:rsidRPr="003B353D" w:rsidRDefault="0099185F" w:rsidP="00245AAC">
            <w:pPr>
              <w:suppressAutoHyphens/>
              <w:rPr>
                <w:rFonts w:asciiTheme="majorHAnsi" w:eastAsia="Calibri Light" w:hAnsiTheme="majorHAnsi" w:cstheme="majorHAnsi"/>
                <w:lang w:val="en-GB"/>
              </w:rPr>
            </w:pPr>
          </w:p>
          <w:p w14:paraId="6104611C" w14:textId="77777777" w:rsidR="0099185F" w:rsidRPr="003B353D" w:rsidRDefault="0099185F" w:rsidP="00245AAC">
            <w:pPr>
              <w:suppressAutoHyphens/>
              <w:rPr>
                <w:rFonts w:asciiTheme="majorHAnsi" w:eastAsia="Calibri Light" w:hAnsiTheme="majorHAnsi" w:cstheme="majorHAnsi"/>
                <w:lang w:val="en-GB"/>
              </w:rPr>
            </w:pPr>
            <w:r w:rsidRPr="003B353D">
              <w:rPr>
                <w:rFonts w:asciiTheme="majorHAnsi" w:eastAsia="Calibri Light" w:hAnsiTheme="majorHAnsi" w:cstheme="majorHAnsi"/>
                <w:lang w:val="en-GB"/>
              </w:rPr>
              <w:t xml:space="preserve">DFAT would like to see the program continue to support insurance service providers in their capacity development by bringing global technical experts </w:t>
            </w:r>
            <w:r>
              <w:rPr>
                <w:rFonts w:asciiTheme="majorHAnsi" w:eastAsia="Calibri Light" w:hAnsiTheme="majorHAnsi" w:cstheme="majorHAnsi"/>
                <w:lang w:val="en-GB"/>
              </w:rPr>
              <w:t xml:space="preserve">to </w:t>
            </w:r>
            <w:r w:rsidRPr="003B353D">
              <w:rPr>
                <w:rFonts w:asciiTheme="majorHAnsi" w:eastAsia="Calibri Light" w:hAnsiTheme="majorHAnsi" w:cstheme="majorHAnsi"/>
                <w:lang w:val="en-GB"/>
              </w:rPr>
              <w:t>help local institutions build their capacities in terms of product development, risk management, advanced digital technologies, actuarial services, product pricing, etc. besides developmental initiatives such as financial literacy training.</w:t>
            </w:r>
          </w:p>
        </w:tc>
        <w:tc>
          <w:tcPr>
            <w:tcW w:w="3544" w:type="dxa"/>
          </w:tcPr>
          <w:p w14:paraId="000E4ABD" w14:textId="77777777" w:rsidR="0099185F" w:rsidRDefault="0099185F" w:rsidP="00245AAC">
            <w:pPr>
              <w:suppressAutoHyphens/>
              <w:rPr>
                <w:rFonts w:asciiTheme="majorHAnsi" w:eastAsia="Calibri Light" w:hAnsiTheme="majorHAnsi" w:cstheme="majorHAnsi"/>
                <w:lang w:val="en-GB"/>
              </w:rPr>
            </w:pPr>
          </w:p>
          <w:p w14:paraId="3F55E6CA" w14:textId="77777777" w:rsidR="0099185F" w:rsidRDefault="0099185F" w:rsidP="00245AAC">
            <w:pPr>
              <w:rPr>
                <w:rFonts w:asciiTheme="majorHAnsi" w:eastAsia="Calibri Light" w:hAnsiTheme="majorHAnsi" w:cstheme="majorHAnsi"/>
                <w:lang w:val="en-GB"/>
              </w:rPr>
            </w:pPr>
            <w:r>
              <w:rPr>
                <w:rFonts w:asciiTheme="majorHAnsi" w:eastAsia="Calibri Light" w:hAnsiTheme="majorHAnsi" w:cstheme="majorHAnsi"/>
                <w:lang w:val="en-GB"/>
              </w:rPr>
              <w:t>2023-2025</w:t>
            </w:r>
          </w:p>
        </w:tc>
      </w:tr>
      <w:tr w:rsidR="0099185F" w14:paraId="34E89DEA" w14:textId="77777777" w:rsidTr="000E3C21">
        <w:tc>
          <w:tcPr>
            <w:tcW w:w="3543" w:type="dxa"/>
          </w:tcPr>
          <w:p w14:paraId="1CD342F6" w14:textId="77777777" w:rsidR="0099185F" w:rsidRPr="003B353D" w:rsidRDefault="0099185F" w:rsidP="00245AAC">
            <w:pPr>
              <w:rPr>
                <w:rFonts w:asciiTheme="majorHAnsi" w:eastAsia="Times New Roman" w:hAnsiTheme="majorHAnsi" w:cstheme="majorHAnsi"/>
                <w:color w:val="000000"/>
              </w:rPr>
            </w:pPr>
            <w:r w:rsidRPr="003B353D">
              <w:rPr>
                <w:rFonts w:asciiTheme="majorHAnsi" w:eastAsia="Times New Roman" w:hAnsiTheme="majorHAnsi" w:cstheme="majorHAnsi"/>
                <w:color w:val="000000"/>
              </w:rPr>
              <w:t xml:space="preserve">It is critical to ensure that the learnings from this Programme are not lost, and hence, are documented </w:t>
            </w:r>
            <w:r w:rsidRPr="003B353D">
              <w:rPr>
                <w:rFonts w:asciiTheme="majorHAnsi" w:eastAsia="Times New Roman" w:hAnsiTheme="majorHAnsi" w:cstheme="majorHAnsi"/>
                <w:color w:val="000000"/>
              </w:rPr>
              <w:lastRenderedPageBreak/>
              <w:t>in effective, easy-to-digest formats for the consumption of a variety of stakeholders. Learning sessions, and strategic planning exercises should be undertaken with the core PICAP team before replicating the Programme in other geographies given the nuanced context of both the target segments in each country and the product design in specific. </w:t>
            </w:r>
          </w:p>
        </w:tc>
        <w:tc>
          <w:tcPr>
            <w:tcW w:w="3543" w:type="dxa"/>
            <w:shd w:val="clear" w:color="auto" w:fill="E2EFD9" w:themeFill="accent6" w:themeFillTint="33"/>
          </w:tcPr>
          <w:p w14:paraId="6FBCA118" w14:textId="77777777" w:rsidR="0099185F" w:rsidRPr="003B353D" w:rsidRDefault="0099185F" w:rsidP="00245AAC">
            <w:pPr>
              <w:rPr>
                <w:rFonts w:asciiTheme="majorHAnsi" w:eastAsia="MS Gothic" w:hAnsiTheme="majorHAnsi" w:cstheme="majorHAnsi"/>
                <w:bCs/>
              </w:rPr>
            </w:pPr>
            <w:r w:rsidRPr="003B353D">
              <w:rPr>
                <w:rFonts w:asciiTheme="majorHAnsi" w:eastAsia="MS Gothic" w:hAnsiTheme="majorHAnsi" w:cstheme="majorHAnsi"/>
                <w:bCs/>
              </w:rPr>
              <w:lastRenderedPageBreak/>
              <w:t>Agree</w:t>
            </w:r>
          </w:p>
        </w:tc>
        <w:tc>
          <w:tcPr>
            <w:tcW w:w="3544" w:type="dxa"/>
          </w:tcPr>
          <w:p w14:paraId="327D0BBB" w14:textId="77777777" w:rsidR="0099185F" w:rsidRDefault="0099185F" w:rsidP="00245AAC">
            <w:pPr>
              <w:suppressAutoHyphens/>
              <w:rPr>
                <w:rFonts w:asciiTheme="majorHAnsi" w:eastAsia="Calibri Light" w:hAnsiTheme="majorHAnsi" w:cstheme="majorHAnsi"/>
                <w:lang w:val="en-GB"/>
              </w:rPr>
            </w:pPr>
            <w:r w:rsidRPr="003B353D">
              <w:rPr>
                <w:rFonts w:asciiTheme="majorHAnsi" w:eastAsia="Calibri Light" w:hAnsiTheme="majorHAnsi" w:cstheme="majorHAnsi"/>
                <w:lang w:val="en-GB"/>
              </w:rPr>
              <w:t xml:space="preserve">Knowledge management and information sharing is imperative to </w:t>
            </w:r>
            <w:r>
              <w:rPr>
                <w:rFonts w:asciiTheme="majorHAnsi" w:eastAsia="Calibri Light" w:hAnsiTheme="majorHAnsi" w:cstheme="majorHAnsi"/>
                <w:lang w:val="en-GB"/>
              </w:rPr>
              <w:t>e</w:t>
            </w:r>
            <w:r w:rsidRPr="003B353D">
              <w:rPr>
                <w:rFonts w:asciiTheme="majorHAnsi" w:eastAsia="Calibri Light" w:hAnsiTheme="majorHAnsi" w:cstheme="majorHAnsi"/>
                <w:lang w:val="en-GB"/>
              </w:rPr>
              <w:t xml:space="preserve">nsure that key lessons and </w:t>
            </w:r>
            <w:r w:rsidRPr="003B353D">
              <w:rPr>
                <w:rFonts w:asciiTheme="majorHAnsi" w:eastAsia="Calibri Light" w:hAnsiTheme="majorHAnsi" w:cstheme="majorHAnsi"/>
                <w:lang w:val="en-GB"/>
              </w:rPr>
              <w:lastRenderedPageBreak/>
              <w:t xml:space="preserve">approaches are not lost. </w:t>
            </w:r>
            <w:r>
              <w:rPr>
                <w:rFonts w:asciiTheme="majorHAnsi" w:eastAsia="Calibri Light" w:hAnsiTheme="majorHAnsi" w:cstheme="majorHAnsi"/>
                <w:lang w:val="en-GB"/>
              </w:rPr>
              <w:t>T</w:t>
            </w:r>
            <w:r w:rsidRPr="003B353D">
              <w:rPr>
                <w:rFonts w:asciiTheme="majorHAnsi" w:eastAsia="Calibri Light" w:hAnsiTheme="majorHAnsi" w:cstheme="majorHAnsi"/>
                <w:lang w:val="en-GB"/>
              </w:rPr>
              <w:t>he Pacific is a leader in this space and therefore the lessons from the program could help</w:t>
            </w:r>
            <w:r>
              <w:rPr>
                <w:rFonts w:asciiTheme="majorHAnsi" w:eastAsia="Calibri Light" w:hAnsiTheme="majorHAnsi" w:cstheme="majorHAnsi"/>
                <w:lang w:val="en-GB"/>
              </w:rPr>
              <w:t xml:space="preserve"> </w:t>
            </w:r>
            <w:r w:rsidRPr="003B353D">
              <w:rPr>
                <w:rFonts w:asciiTheme="majorHAnsi" w:eastAsia="Calibri Light" w:hAnsiTheme="majorHAnsi" w:cstheme="majorHAnsi"/>
                <w:lang w:val="en-GB"/>
              </w:rPr>
              <w:t xml:space="preserve">its development in other regions of the world. </w:t>
            </w:r>
          </w:p>
        </w:tc>
        <w:tc>
          <w:tcPr>
            <w:tcW w:w="3544" w:type="dxa"/>
          </w:tcPr>
          <w:p w14:paraId="0237E213" w14:textId="77777777" w:rsidR="0099185F" w:rsidRDefault="0099185F" w:rsidP="00245AAC">
            <w:pPr>
              <w:suppressAutoHyphens/>
              <w:rPr>
                <w:rFonts w:asciiTheme="majorHAnsi" w:eastAsia="Calibri Light" w:hAnsiTheme="majorHAnsi" w:cstheme="majorHAnsi"/>
                <w:lang w:val="en-GB"/>
              </w:rPr>
            </w:pPr>
            <w:r w:rsidRPr="003B353D">
              <w:rPr>
                <w:rFonts w:asciiTheme="majorHAnsi" w:eastAsia="Calibri Light" w:hAnsiTheme="majorHAnsi" w:cstheme="majorHAnsi"/>
                <w:lang w:val="en-GB"/>
              </w:rPr>
              <w:lastRenderedPageBreak/>
              <w:t>Immediate and</w:t>
            </w:r>
            <w:r>
              <w:rPr>
                <w:rFonts w:asciiTheme="majorHAnsi" w:eastAsia="Calibri Light" w:hAnsiTheme="majorHAnsi" w:cstheme="majorHAnsi"/>
                <w:lang w:val="en-GB"/>
              </w:rPr>
              <w:t xml:space="preserve"> </w:t>
            </w:r>
            <w:r w:rsidRPr="003B353D">
              <w:rPr>
                <w:rFonts w:asciiTheme="majorHAnsi" w:eastAsia="Calibri Light" w:hAnsiTheme="majorHAnsi" w:cstheme="majorHAnsi"/>
                <w:lang w:val="en-GB"/>
              </w:rPr>
              <w:t>ongoing</w:t>
            </w:r>
          </w:p>
        </w:tc>
      </w:tr>
    </w:tbl>
    <w:p w14:paraId="18C8D08E" w14:textId="5E946263" w:rsidR="004F5B91" w:rsidRPr="0069249E" w:rsidRDefault="004F5B91" w:rsidP="00EE1195">
      <w:pPr>
        <w:suppressAutoHyphens/>
        <w:spacing w:before="120" w:after="60" w:line="260" w:lineRule="atLeast"/>
        <w:rPr>
          <w:rFonts w:eastAsia="Calibri Light" w:cs="Times New Roman"/>
          <w:b/>
          <w:color w:val="FFFFFF"/>
          <w:lang w:val="en-GB"/>
        </w:rPr>
        <w:sectPr w:rsidR="004F5B91" w:rsidRPr="0069249E" w:rsidSect="0099185F">
          <w:pgSz w:w="16838" w:h="11906" w:orient="landscape" w:code="9"/>
          <w:pgMar w:top="1134" w:right="1080" w:bottom="1134" w:left="990" w:header="567" w:footer="567" w:gutter="0"/>
          <w:cols w:space="708"/>
          <w:titlePg/>
          <w:docGrid w:linePitch="360"/>
        </w:sectPr>
      </w:pPr>
    </w:p>
    <w:p w14:paraId="396FB1D0" w14:textId="0DBB9667" w:rsidR="0099185F" w:rsidRDefault="0099185F" w:rsidP="0099185F"/>
    <w:sectPr w:rsidR="0099185F" w:rsidSect="00A865DB">
      <w:pgSz w:w="11906" w:h="16838" w:code="9"/>
      <w:pgMar w:top="1702"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AF78B" w14:textId="77777777" w:rsidR="00445536" w:rsidRDefault="00445536">
      <w:pPr>
        <w:spacing w:after="0" w:line="240" w:lineRule="auto"/>
      </w:pPr>
      <w:r>
        <w:separator/>
      </w:r>
    </w:p>
  </w:endnote>
  <w:endnote w:type="continuationSeparator" w:id="0">
    <w:p w14:paraId="3828A807" w14:textId="77777777" w:rsidR="00445536" w:rsidRDefault="004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573758"/>
      <w:docPartObj>
        <w:docPartGallery w:val="Page Numbers (Bottom of Page)"/>
        <w:docPartUnique/>
      </w:docPartObj>
    </w:sdtPr>
    <w:sdtEndPr>
      <w:rPr>
        <w:noProof/>
      </w:rPr>
    </w:sdtEndPr>
    <w:sdtContent>
      <w:p w14:paraId="590E97F4" w14:textId="2FF46C5F" w:rsidR="00684328" w:rsidRDefault="006843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FDBB7E" w14:textId="77777777" w:rsidR="00684328" w:rsidRDefault="00684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550569"/>
      <w:docPartObj>
        <w:docPartGallery w:val="Page Numbers (Bottom of Page)"/>
        <w:docPartUnique/>
      </w:docPartObj>
    </w:sdtPr>
    <w:sdtEndPr>
      <w:rPr>
        <w:noProof/>
      </w:rPr>
    </w:sdtEndPr>
    <w:sdtContent>
      <w:p w14:paraId="16F16001" w14:textId="32495E0D" w:rsidR="00684328" w:rsidRDefault="006843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3C6C9B" w14:textId="77777777" w:rsidR="00B01585" w:rsidRDefault="00B015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7266" w14:textId="77777777" w:rsidR="00445536" w:rsidRDefault="00445536">
      <w:pPr>
        <w:spacing w:after="0" w:line="240" w:lineRule="auto"/>
      </w:pPr>
      <w:r>
        <w:separator/>
      </w:r>
    </w:p>
  </w:footnote>
  <w:footnote w:type="continuationSeparator" w:id="0">
    <w:p w14:paraId="0FA0F274" w14:textId="77777777" w:rsidR="00445536" w:rsidRDefault="004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6852" w14:textId="70E3EB16" w:rsidR="00863F4E" w:rsidRDefault="00000000">
    <w:pPr>
      <w:pStyle w:val="Header"/>
      <w:jc w:val="right"/>
    </w:pPr>
  </w:p>
  <w:p w14:paraId="2087CF75" w14:textId="77777777" w:rsidR="00863F4E" w:rsidRDefault="00000000">
    <w:pPr>
      <w:pStyle w:val="Header"/>
    </w:pPr>
  </w:p>
  <w:p w14:paraId="3CB40948" w14:textId="77777777" w:rsidR="00B01585" w:rsidRDefault="00B015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9CD"/>
    <w:multiLevelType w:val="multilevel"/>
    <w:tmpl w:val="BF7A4E4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5B93559"/>
    <w:multiLevelType w:val="hybridMultilevel"/>
    <w:tmpl w:val="556EC47C"/>
    <w:lvl w:ilvl="0" w:tplc="F2704DC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932D6"/>
    <w:multiLevelType w:val="hybridMultilevel"/>
    <w:tmpl w:val="F9BA190A"/>
    <w:lvl w:ilvl="0" w:tplc="0C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DC7B31"/>
    <w:multiLevelType w:val="hybridMultilevel"/>
    <w:tmpl w:val="6D4A1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B5636B"/>
    <w:multiLevelType w:val="hybridMultilevel"/>
    <w:tmpl w:val="A484F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87915061">
    <w:abstractNumId w:val="4"/>
  </w:num>
  <w:num w:numId="2" w16cid:durableId="446049319">
    <w:abstractNumId w:val="3"/>
  </w:num>
  <w:num w:numId="3" w16cid:durableId="1702707701">
    <w:abstractNumId w:val="0"/>
  </w:num>
  <w:num w:numId="4" w16cid:durableId="96680179">
    <w:abstractNumId w:val="2"/>
  </w:num>
  <w:num w:numId="5" w16cid:durableId="579606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FD0"/>
    <w:rsid w:val="00007136"/>
    <w:rsid w:val="000414D7"/>
    <w:rsid w:val="000606BA"/>
    <w:rsid w:val="0006231F"/>
    <w:rsid w:val="000D41A0"/>
    <w:rsid w:val="000E3C21"/>
    <w:rsid w:val="000E6FCF"/>
    <w:rsid w:val="00101A9C"/>
    <w:rsid w:val="00127D6B"/>
    <w:rsid w:val="00130703"/>
    <w:rsid w:val="001378A6"/>
    <w:rsid w:val="00145EA2"/>
    <w:rsid w:val="00192008"/>
    <w:rsid w:val="00192B30"/>
    <w:rsid w:val="001E1293"/>
    <w:rsid w:val="002069C1"/>
    <w:rsid w:val="00206CA0"/>
    <w:rsid w:val="00234BF9"/>
    <w:rsid w:val="002411A1"/>
    <w:rsid w:val="00267652"/>
    <w:rsid w:val="00286B1A"/>
    <w:rsid w:val="002E1F58"/>
    <w:rsid w:val="002F2997"/>
    <w:rsid w:val="00302FD0"/>
    <w:rsid w:val="0030353A"/>
    <w:rsid w:val="00336013"/>
    <w:rsid w:val="00341861"/>
    <w:rsid w:val="00346DFF"/>
    <w:rsid w:val="003B353D"/>
    <w:rsid w:val="003C57B3"/>
    <w:rsid w:val="003E3D6B"/>
    <w:rsid w:val="003F21F7"/>
    <w:rsid w:val="004260BB"/>
    <w:rsid w:val="00434080"/>
    <w:rsid w:val="00445536"/>
    <w:rsid w:val="004504FA"/>
    <w:rsid w:val="00464564"/>
    <w:rsid w:val="00467A7E"/>
    <w:rsid w:val="004C4DE1"/>
    <w:rsid w:val="004F0A5E"/>
    <w:rsid w:val="004F5B91"/>
    <w:rsid w:val="00506C6A"/>
    <w:rsid w:val="00532324"/>
    <w:rsid w:val="005340F4"/>
    <w:rsid w:val="00541A1B"/>
    <w:rsid w:val="005F16E2"/>
    <w:rsid w:val="005F4BA9"/>
    <w:rsid w:val="00625AEC"/>
    <w:rsid w:val="00646670"/>
    <w:rsid w:val="006730E9"/>
    <w:rsid w:val="00684328"/>
    <w:rsid w:val="006846BB"/>
    <w:rsid w:val="0069249E"/>
    <w:rsid w:val="006A6D77"/>
    <w:rsid w:val="006B5B4F"/>
    <w:rsid w:val="006D076E"/>
    <w:rsid w:val="006F2764"/>
    <w:rsid w:val="00724CDD"/>
    <w:rsid w:val="007823C7"/>
    <w:rsid w:val="00791ABC"/>
    <w:rsid w:val="007A204C"/>
    <w:rsid w:val="007B74A0"/>
    <w:rsid w:val="007E236C"/>
    <w:rsid w:val="007E71C8"/>
    <w:rsid w:val="007F7C11"/>
    <w:rsid w:val="008340B8"/>
    <w:rsid w:val="008625A8"/>
    <w:rsid w:val="008648F7"/>
    <w:rsid w:val="00867153"/>
    <w:rsid w:val="00886F03"/>
    <w:rsid w:val="008A2960"/>
    <w:rsid w:val="008F2C93"/>
    <w:rsid w:val="00924484"/>
    <w:rsid w:val="00942BED"/>
    <w:rsid w:val="009506FF"/>
    <w:rsid w:val="00975755"/>
    <w:rsid w:val="009824AB"/>
    <w:rsid w:val="0099185F"/>
    <w:rsid w:val="009B1396"/>
    <w:rsid w:val="00A37581"/>
    <w:rsid w:val="00A45FF9"/>
    <w:rsid w:val="00A63406"/>
    <w:rsid w:val="00A660D2"/>
    <w:rsid w:val="00A80650"/>
    <w:rsid w:val="00A8443B"/>
    <w:rsid w:val="00AB0DFD"/>
    <w:rsid w:val="00AD0093"/>
    <w:rsid w:val="00AD2C31"/>
    <w:rsid w:val="00AE0007"/>
    <w:rsid w:val="00AF389A"/>
    <w:rsid w:val="00B01585"/>
    <w:rsid w:val="00B424CD"/>
    <w:rsid w:val="00B5298F"/>
    <w:rsid w:val="00BC455C"/>
    <w:rsid w:val="00BF21EA"/>
    <w:rsid w:val="00C046A5"/>
    <w:rsid w:val="00C42024"/>
    <w:rsid w:val="00C70493"/>
    <w:rsid w:val="00CC17FA"/>
    <w:rsid w:val="00CC29F9"/>
    <w:rsid w:val="00CD0F13"/>
    <w:rsid w:val="00CE744F"/>
    <w:rsid w:val="00D101E3"/>
    <w:rsid w:val="00D12DD1"/>
    <w:rsid w:val="00D2727C"/>
    <w:rsid w:val="00D70295"/>
    <w:rsid w:val="00DB7492"/>
    <w:rsid w:val="00E07666"/>
    <w:rsid w:val="00E12BCA"/>
    <w:rsid w:val="00E23B4D"/>
    <w:rsid w:val="00E37F32"/>
    <w:rsid w:val="00E60212"/>
    <w:rsid w:val="00EE1195"/>
    <w:rsid w:val="00F04084"/>
    <w:rsid w:val="00F25B50"/>
    <w:rsid w:val="00F3078C"/>
    <w:rsid w:val="00F457A3"/>
    <w:rsid w:val="00F5426E"/>
    <w:rsid w:val="00FA21E8"/>
    <w:rsid w:val="00FA6DCE"/>
    <w:rsid w:val="00FD37EE"/>
    <w:rsid w:val="00FE2DD8"/>
    <w:rsid w:val="00FE7B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26A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FD0"/>
  </w:style>
  <w:style w:type="paragraph" w:styleId="Heading1">
    <w:name w:val="heading 1"/>
    <w:basedOn w:val="Normal"/>
    <w:next w:val="Normal"/>
    <w:link w:val="Heading1Char"/>
    <w:uiPriority w:val="9"/>
    <w:qFormat/>
    <w:rsid w:val="00302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FD0"/>
    <w:rPr>
      <w:rFonts w:asciiTheme="majorHAnsi" w:eastAsiaTheme="majorEastAsia" w:hAnsiTheme="majorHAnsi" w:cstheme="majorBidi"/>
      <w:color w:val="2F5496" w:themeColor="accent1" w:themeShade="BF"/>
      <w:sz w:val="32"/>
      <w:szCs w:val="32"/>
    </w:rPr>
  </w:style>
  <w:style w:type="table" w:customStyle="1" w:styleId="DFATTable1">
    <w:name w:val="DFAT Table 1"/>
    <w:basedOn w:val="TableNormal"/>
    <w:uiPriority w:val="99"/>
    <w:rsid w:val="00302FD0"/>
    <w:pPr>
      <w:spacing w:before="60" w:after="60" w:line="260" w:lineRule="atLeast"/>
    </w:pPr>
    <w:rPr>
      <w:rFonts w:ascii="Calibri" w:hAnsi="Calibri"/>
      <w:color w:val="49596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rPr>
        <w:tblHeader/>
      </w:trPr>
      <w:tcPr>
        <w:tcBorders>
          <w:top w:val="single" w:sz="4" w:space="0" w:color="D3875F"/>
          <w:bottom w:val="single" w:sz="4" w:space="0" w:color="D3875F"/>
          <w:insideH w:val="single" w:sz="4" w:space="0" w:color="D3875F"/>
        </w:tcBorders>
        <w:shd w:val="clear" w:color="auto" w:fill="D3875F"/>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F6E6DE"/>
      </w:tcPr>
    </w:tblStylePr>
    <w:tblStylePr w:type="band2Vert">
      <w:tblPr/>
      <w:tcPr>
        <w:shd w:val="clear" w:color="auto" w:fill="EDCEBE"/>
      </w:tcPr>
    </w:tblStylePr>
    <w:tblStylePr w:type="band1Horz">
      <w:tblPr/>
      <w:tcPr>
        <w:shd w:val="clear" w:color="auto" w:fill="F6E6DE"/>
      </w:tcPr>
    </w:tblStylePr>
    <w:tblStylePr w:type="band2Horz">
      <w:tblPr/>
      <w:tcPr>
        <w:shd w:val="clear" w:color="auto" w:fill="EDCEBE"/>
      </w:tcPr>
    </w:tblStylePr>
  </w:style>
  <w:style w:type="paragraph" w:styleId="Header">
    <w:name w:val="header"/>
    <w:basedOn w:val="Normal"/>
    <w:link w:val="HeaderChar"/>
    <w:uiPriority w:val="99"/>
    <w:unhideWhenUsed/>
    <w:rsid w:val="00302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FD0"/>
  </w:style>
  <w:style w:type="paragraph" w:styleId="Footer">
    <w:name w:val="footer"/>
    <w:basedOn w:val="Normal"/>
    <w:link w:val="FooterChar"/>
    <w:uiPriority w:val="99"/>
    <w:unhideWhenUsed/>
    <w:rsid w:val="00302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FD0"/>
  </w:style>
  <w:style w:type="paragraph" w:styleId="ListParagraph">
    <w:name w:val="List Paragraph"/>
    <w:basedOn w:val="Normal"/>
    <w:uiPriority w:val="34"/>
    <w:qFormat/>
    <w:rsid w:val="00302FD0"/>
    <w:pPr>
      <w:ind w:left="720"/>
      <w:contextualSpacing/>
    </w:pPr>
  </w:style>
  <w:style w:type="character" w:styleId="CommentReference">
    <w:name w:val="annotation reference"/>
    <w:basedOn w:val="DefaultParagraphFont"/>
    <w:uiPriority w:val="99"/>
    <w:semiHidden/>
    <w:unhideWhenUsed/>
    <w:rsid w:val="00234BF9"/>
    <w:rPr>
      <w:sz w:val="16"/>
      <w:szCs w:val="16"/>
    </w:rPr>
  </w:style>
  <w:style w:type="paragraph" w:styleId="CommentText">
    <w:name w:val="annotation text"/>
    <w:basedOn w:val="Normal"/>
    <w:link w:val="CommentTextChar"/>
    <w:uiPriority w:val="99"/>
    <w:unhideWhenUsed/>
    <w:rsid w:val="00234BF9"/>
    <w:pPr>
      <w:spacing w:after="0" w:line="240" w:lineRule="auto"/>
      <w:jc w:val="both"/>
    </w:pPr>
    <w:rPr>
      <w:rFonts w:ascii="Georgia" w:eastAsia="Calibri" w:hAnsi="Georgia" w:cs="Calibri"/>
      <w:sz w:val="20"/>
      <w:szCs w:val="20"/>
      <w:lang w:val="en-US"/>
    </w:rPr>
  </w:style>
  <w:style w:type="character" w:customStyle="1" w:styleId="CommentTextChar">
    <w:name w:val="Comment Text Char"/>
    <w:basedOn w:val="DefaultParagraphFont"/>
    <w:link w:val="CommentText"/>
    <w:uiPriority w:val="99"/>
    <w:rsid w:val="00234BF9"/>
    <w:rPr>
      <w:rFonts w:ascii="Georgia" w:eastAsia="Calibri" w:hAnsi="Georgia" w:cs="Calibri"/>
      <w:sz w:val="20"/>
      <w:szCs w:val="20"/>
      <w:lang w:val="en-US"/>
    </w:rPr>
  </w:style>
  <w:style w:type="paragraph" w:styleId="CommentSubject">
    <w:name w:val="annotation subject"/>
    <w:basedOn w:val="CommentText"/>
    <w:next w:val="CommentText"/>
    <w:link w:val="CommentSubjectChar"/>
    <w:uiPriority w:val="99"/>
    <w:semiHidden/>
    <w:unhideWhenUsed/>
    <w:rsid w:val="008A2960"/>
    <w:pPr>
      <w:spacing w:after="160"/>
      <w:jc w:val="left"/>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8A2960"/>
    <w:rPr>
      <w:rFonts w:ascii="Georgia" w:eastAsia="Calibri" w:hAnsi="Georgia" w:cs="Calibri"/>
      <w:b/>
      <w:bCs/>
      <w:sz w:val="20"/>
      <w:szCs w:val="20"/>
      <w:lang w:val="en-US"/>
    </w:rPr>
  </w:style>
  <w:style w:type="paragraph" w:styleId="Revision">
    <w:name w:val="Revision"/>
    <w:hidden/>
    <w:uiPriority w:val="99"/>
    <w:semiHidden/>
    <w:rsid w:val="00286B1A"/>
    <w:pPr>
      <w:spacing w:after="0" w:line="240" w:lineRule="auto"/>
    </w:pPr>
  </w:style>
  <w:style w:type="table" w:styleId="TableGrid">
    <w:name w:val="Table Grid"/>
    <w:basedOn w:val="TableNormal"/>
    <w:uiPriority w:val="39"/>
    <w:rsid w:val="00CD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2CA37-DBA0-42B4-844C-FFA64125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1850</Words>
  <Characters>10458</Characters>
  <Application>Microsoft Office Word</Application>
  <DocSecurity>0</DocSecurity>
  <Lines>324</Lines>
  <Paragraphs>55</Paragraphs>
  <ScaleCrop>false</ScaleCrop>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Response for Pacific Insurance and Climate Adaptation Programme Mid-term Review Report, December 2022</dc:title>
  <dc:subject/>
  <dc:creator/>
  <cp:keywords>[SEC=OFFICIAL]</cp:keywords>
  <dc:description/>
  <cp:lastModifiedBy/>
  <cp:revision>1</cp:revision>
  <dcterms:created xsi:type="dcterms:W3CDTF">2023-02-26T23:21:00Z</dcterms:created>
  <dcterms:modified xsi:type="dcterms:W3CDTF">2023-02-27T00:38:00Z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0F5E84F934E4490991EF12CF8BC00B05</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2023-02-27T00:38:28Z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8E9729C17B2780C0982B5D32A25B89F6</vt:lpwstr>
  </property>
  <property fmtid="{D5CDD505-2E9C-101B-9397-08002B2CF9AE}" pid="21" name="PM_Hash_Salt">
    <vt:lpwstr>5C27C0D23DE3852AAF6342741C97C676</vt:lpwstr>
  </property>
  <property fmtid="{D5CDD505-2E9C-101B-9397-08002B2CF9AE}" pid="22" name="PM_Hash_SHA1">
    <vt:lpwstr>CD5AD61768124E41C7C5320F1C99C3197ACC55C4</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