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D1B5" w14:textId="351B24FD" w:rsidR="00250AFA" w:rsidRPr="00A02985" w:rsidRDefault="00DC6D41" w:rsidP="00DC6D41">
      <w:pPr>
        <w:jc w:val="center"/>
        <w:rPr>
          <w:b/>
          <w:bCs/>
          <w:sz w:val="32"/>
          <w:szCs w:val="32"/>
        </w:rPr>
      </w:pPr>
      <w:r w:rsidRPr="00A02985">
        <w:rPr>
          <w:b/>
          <w:bCs/>
          <w:sz w:val="32"/>
          <w:szCs w:val="32"/>
        </w:rPr>
        <w:t>Funding to address IUU fishing in the Pacific end of investment evaluation – management response</w:t>
      </w:r>
    </w:p>
    <w:p w14:paraId="6D66C1F1" w14:textId="7D0927DD" w:rsidR="00DC6D41" w:rsidRPr="00A02985" w:rsidRDefault="00DC6D41" w:rsidP="00DC6D41">
      <w:pPr>
        <w:rPr>
          <w:b/>
          <w:bCs/>
          <w:sz w:val="28"/>
          <w:szCs w:val="28"/>
        </w:rPr>
      </w:pPr>
      <w:r w:rsidRPr="00A02985">
        <w:rPr>
          <w:b/>
          <w:bCs/>
          <w:sz w:val="28"/>
          <w:szCs w:val="28"/>
        </w:rPr>
        <w:t>Summar</w:t>
      </w:r>
      <w:r w:rsidR="00A45324" w:rsidRPr="00A02985">
        <w:rPr>
          <w:b/>
          <w:bCs/>
          <w:sz w:val="28"/>
          <w:szCs w:val="28"/>
        </w:rPr>
        <w:t>y</w:t>
      </w:r>
      <w:r w:rsidRPr="00A02985">
        <w:rPr>
          <w:b/>
          <w:bCs/>
          <w:sz w:val="28"/>
          <w:szCs w:val="28"/>
        </w:rPr>
        <w:t xml:space="preserve"> of management response </w:t>
      </w:r>
    </w:p>
    <w:p w14:paraId="634B3601" w14:textId="7CEC14A9" w:rsidR="00EF6AE7" w:rsidRPr="004355BE" w:rsidRDefault="00C522A4" w:rsidP="00DC6D41">
      <w:pPr>
        <w:rPr>
          <w:sz w:val="24"/>
          <w:szCs w:val="24"/>
        </w:rPr>
      </w:pPr>
      <w:r>
        <w:rPr>
          <w:sz w:val="24"/>
          <w:szCs w:val="24"/>
        </w:rPr>
        <w:t xml:space="preserve">This evaluation </w:t>
      </w:r>
      <w:r w:rsidR="00170229">
        <w:rPr>
          <w:sz w:val="24"/>
          <w:szCs w:val="24"/>
        </w:rPr>
        <w:t>of funding to address</w:t>
      </w:r>
      <w:r w:rsidR="0050655E">
        <w:rPr>
          <w:sz w:val="24"/>
          <w:szCs w:val="24"/>
        </w:rPr>
        <w:t xml:space="preserve"> Illegal, Unreported and Unregulated</w:t>
      </w:r>
      <w:r w:rsidR="00170229">
        <w:rPr>
          <w:sz w:val="24"/>
          <w:szCs w:val="24"/>
        </w:rPr>
        <w:t xml:space="preserve"> </w:t>
      </w:r>
      <w:r w:rsidR="0050655E">
        <w:rPr>
          <w:sz w:val="24"/>
          <w:szCs w:val="24"/>
        </w:rPr>
        <w:t>(</w:t>
      </w:r>
      <w:r w:rsidR="00170229">
        <w:rPr>
          <w:sz w:val="24"/>
          <w:szCs w:val="24"/>
        </w:rPr>
        <w:t>IUU</w:t>
      </w:r>
      <w:r w:rsidR="0050655E">
        <w:rPr>
          <w:sz w:val="24"/>
          <w:szCs w:val="24"/>
        </w:rPr>
        <w:t>)</w:t>
      </w:r>
      <w:r w:rsidR="00170229">
        <w:rPr>
          <w:sz w:val="24"/>
          <w:szCs w:val="24"/>
        </w:rPr>
        <w:t xml:space="preserve"> fishing in the Pacific </w:t>
      </w:r>
      <w:r>
        <w:rPr>
          <w:sz w:val="24"/>
          <w:szCs w:val="24"/>
        </w:rPr>
        <w:t xml:space="preserve">was conducted for the Department of Foreign Affairs and Trade </w:t>
      </w:r>
      <w:r w:rsidR="00E94E24">
        <w:rPr>
          <w:sz w:val="24"/>
          <w:szCs w:val="24"/>
        </w:rPr>
        <w:t xml:space="preserve">(DFAT) </w:t>
      </w:r>
      <w:r w:rsidR="0063583B">
        <w:rPr>
          <w:sz w:val="24"/>
          <w:szCs w:val="24"/>
        </w:rPr>
        <w:t>to inform</w:t>
      </w:r>
      <w:r w:rsidR="00170229">
        <w:rPr>
          <w:sz w:val="24"/>
          <w:szCs w:val="24"/>
        </w:rPr>
        <w:t xml:space="preserve"> decision making on</w:t>
      </w:r>
      <w:r w:rsidR="0063583B">
        <w:rPr>
          <w:sz w:val="24"/>
          <w:szCs w:val="24"/>
        </w:rPr>
        <w:t xml:space="preserve"> </w:t>
      </w:r>
      <w:r w:rsidR="00BB6E9B">
        <w:rPr>
          <w:sz w:val="24"/>
          <w:szCs w:val="24"/>
        </w:rPr>
        <w:t xml:space="preserve">possible </w:t>
      </w:r>
      <w:r w:rsidR="0063583B">
        <w:rPr>
          <w:sz w:val="24"/>
          <w:szCs w:val="24"/>
        </w:rPr>
        <w:t xml:space="preserve">future </w:t>
      </w:r>
      <w:r w:rsidR="00170229">
        <w:rPr>
          <w:sz w:val="24"/>
          <w:szCs w:val="24"/>
        </w:rPr>
        <w:t xml:space="preserve">investments in this area. </w:t>
      </w:r>
      <w:r w:rsidR="00A44EED">
        <w:rPr>
          <w:sz w:val="24"/>
          <w:szCs w:val="24"/>
        </w:rPr>
        <w:t xml:space="preserve">DFAT agrees that Australia should continue to support efforts to address IUU fishing and ensure </w:t>
      </w:r>
      <w:proofErr w:type="gramStart"/>
      <w:r w:rsidR="00A44EED">
        <w:rPr>
          <w:sz w:val="24"/>
          <w:szCs w:val="24"/>
        </w:rPr>
        <w:t xml:space="preserve">Pacific </w:t>
      </w:r>
      <w:r w:rsidR="00BB6E9B">
        <w:rPr>
          <w:sz w:val="24"/>
          <w:szCs w:val="24"/>
        </w:rPr>
        <w:t>i</w:t>
      </w:r>
      <w:r w:rsidR="00A44EED">
        <w:rPr>
          <w:sz w:val="24"/>
          <w:szCs w:val="24"/>
        </w:rPr>
        <w:t>sland</w:t>
      </w:r>
      <w:proofErr w:type="gramEnd"/>
      <w:r w:rsidR="00A44EED">
        <w:rPr>
          <w:sz w:val="24"/>
          <w:szCs w:val="24"/>
        </w:rPr>
        <w:t xml:space="preserve"> countries (PICs) are aware of available Australian support. </w:t>
      </w:r>
      <w:r w:rsidR="008F131E">
        <w:rPr>
          <w:sz w:val="24"/>
          <w:szCs w:val="24"/>
        </w:rPr>
        <w:t xml:space="preserve">DFAT agrees that strengthened governance structures, capacity building and gender equality and social inclusion should be </w:t>
      </w:r>
      <w:r w:rsidR="00F80A91">
        <w:rPr>
          <w:sz w:val="24"/>
          <w:szCs w:val="24"/>
        </w:rPr>
        <w:t xml:space="preserve">prioritised in the design of future investments. </w:t>
      </w:r>
    </w:p>
    <w:p w14:paraId="763E59A3" w14:textId="0F175351" w:rsidR="00DC6D41" w:rsidRPr="00A02985" w:rsidRDefault="00DC6D41" w:rsidP="00DC6D41">
      <w:pPr>
        <w:rPr>
          <w:b/>
          <w:bCs/>
          <w:sz w:val="28"/>
          <w:szCs w:val="28"/>
        </w:rPr>
      </w:pPr>
      <w:r w:rsidRPr="00A02985">
        <w:rPr>
          <w:b/>
          <w:bCs/>
          <w:sz w:val="28"/>
          <w:szCs w:val="28"/>
        </w:rPr>
        <w:t>Individual management response to the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45324" w14:paraId="0668B611" w14:textId="77777777" w:rsidTr="00A02985">
        <w:trPr>
          <w:tblHeader/>
        </w:trPr>
        <w:tc>
          <w:tcPr>
            <w:tcW w:w="2789" w:type="dxa"/>
          </w:tcPr>
          <w:p w14:paraId="0A662C78" w14:textId="592C2C8C" w:rsidR="00A45324" w:rsidRPr="00472941" w:rsidRDefault="00A45324" w:rsidP="00DC6D41">
            <w:pPr>
              <w:rPr>
                <w:b/>
                <w:bCs/>
                <w:sz w:val="28"/>
                <w:szCs w:val="28"/>
              </w:rPr>
            </w:pPr>
            <w:r w:rsidRPr="00472941">
              <w:rPr>
                <w:b/>
                <w:bCs/>
                <w:sz w:val="28"/>
                <w:szCs w:val="28"/>
              </w:rPr>
              <w:t>Recommendation</w:t>
            </w:r>
          </w:p>
        </w:tc>
        <w:tc>
          <w:tcPr>
            <w:tcW w:w="2789" w:type="dxa"/>
          </w:tcPr>
          <w:p w14:paraId="0CC4BD21" w14:textId="1B0A9D02" w:rsidR="00A45324" w:rsidRPr="00472941" w:rsidRDefault="00A45324" w:rsidP="00DC6D41">
            <w:pPr>
              <w:rPr>
                <w:b/>
                <w:bCs/>
                <w:sz w:val="28"/>
                <w:szCs w:val="28"/>
              </w:rPr>
            </w:pPr>
            <w:r w:rsidRPr="00472941">
              <w:rPr>
                <w:b/>
                <w:bCs/>
                <w:sz w:val="28"/>
                <w:szCs w:val="28"/>
              </w:rPr>
              <w:t>Response</w:t>
            </w:r>
          </w:p>
        </w:tc>
        <w:tc>
          <w:tcPr>
            <w:tcW w:w="2790" w:type="dxa"/>
          </w:tcPr>
          <w:p w14:paraId="7298640A" w14:textId="1138B4A8" w:rsidR="00A45324" w:rsidRPr="00472941" w:rsidRDefault="00A45324" w:rsidP="00DC6D41">
            <w:pPr>
              <w:rPr>
                <w:b/>
                <w:bCs/>
                <w:sz w:val="28"/>
                <w:szCs w:val="28"/>
              </w:rPr>
            </w:pPr>
            <w:r w:rsidRPr="00472941">
              <w:rPr>
                <w:b/>
                <w:bCs/>
                <w:sz w:val="28"/>
                <w:szCs w:val="28"/>
              </w:rPr>
              <w:t>Explanation</w:t>
            </w:r>
          </w:p>
        </w:tc>
        <w:tc>
          <w:tcPr>
            <w:tcW w:w="2790" w:type="dxa"/>
          </w:tcPr>
          <w:p w14:paraId="5B42D7A8" w14:textId="088A09EB" w:rsidR="00A45324" w:rsidRPr="00472941" w:rsidRDefault="00D01FEC" w:rsidP="00DC6D41">
            <w:pPr>
              <w:rPr>
                <w:b/>
                <w:bCs/>
                <w:sz w:val="28"/>
                <w:szCs w:val="28"/>
              </w:rPr>
            </w:pPr>
            <w:r w:rsidRPr="00472941">
              <w:rPr>
                <w:b/>
                <w:bCs/>
                <w:sz w:val="28"/>
                <w:szCs w:val="28"/>
              </w:rPr>
              <w:t>Action plan</w:t>
            </w:r>
          </w:p>
        </w:tc>
        <w:tc>
          <w:tcPr>
            <w:tcW w:w="2790" w:type="dxa"/>
          </w:tcPr>
          <w:p w14:paraId="2E5823F8" w14:textId="7D0AF295" w:rsidR="00A45324" w:rsidRPr="00472941" w:rsidRDefault="00D01FEC" w:rsidP="00DC6D41">
            <w:pPr>
              <w:rPr>
                <w:b/>
                <w:bCs/>
                <w:sz w:val="28"/>
                <w:szCs w:val="28"/>
              </w:rPr>
            </w:pPr>
            <w:r w:rsidRPr="00472941">
              <w:rPr>
                <w:b/>
                <w:bCs/>
                <w:sz w:val="28"/>
                <w:szCs w:val="28"/>
              </w:rPr>
              <w:t xml:space="preserve">Timeframe </w:t>
            </w:r>
          </w:p>
        </w:tc>
      </w:tr>
      <w:tr w:rsidR="00A45324" w14:paraId="35D5AF8C" w14:textId="77777777" w:rsidTr="00472941">
        <w:tc>
          <w:tcPr>
            <w:tcW w:w="2789" w:type="dxa"/>
          </w:tcPr>
          <w:p w14:paraId="7A1D5CE6" w14:textId="07E1A503" w:rsidR="00A45324" w:rsidRPr="00472941" w:rsidRDefault="00C605F2" w:rsidP="00C605F2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>DFAT/</w:t>
            </w:r>
            <w:r w:rsidR="00366474">
              <w:rPr>
                <w:sz w:val="24"/>
                <w:szCs w:val="24"/>
              </w:rPr>
              <w:t xml:space="preserve">Forum Fisheries Agency (FFA) </w:t>
            </w:r>
            <w:r w:rsidRPr="00472941">
              <w:rPr>
                <w:sz w:val="24"/>
                <w:szCs w:val="24"/>
              </w:rPr>
              <w:t>communicate to PICs as to what is due to happen next with the support and how it might be transitioned.</w:t>
            </w:r>
          </w:p>
        </w:tc>
        <w:tc>
          <w:tcPr>
            <w:tcW w:w="2789" w:type="dxa"/>
            <w:shd w:val="clear" w:color="auto" w:fill="70AD47" w:themeFill="accent6"/>
          </w:tcPr>
          <w:p w14:paraId="5381E2A2" w14:textId="1D09B4C4" w:rsidR="00A45324" w:rsidRPr="00472941" w:rsidRDefault="00472941" w:rsidP="00DC6D41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>Agree</w:t>
            </w:r>
          </w:p>
        </w:tc>
        <w:tc>
          <w:tcPr>
            <w:tcW w:w="2790" w:type="dxa"/>
          </w:tcPr>
          <w:p w14:paraId="38E03D17" w14:textId="38BCB651" w:rsidR="00A45324" w:rsidRPr="005A778A" w:rsidRDefault="00F622A6" w:rsidP="00DC6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B6FC0">
              <w:rPr>
                <w:sz w:val="24"/>
                <w:szCs w:val="24"/>
              </w:rPr>
              <w:t>ountering IUU fishing is a p</w:t>
            </w:r>
            <w:r w:rsidR="0089529D">
              <w:rPr>
                <w:sz w:val="24"/>
                <w:szCs w:val="24"/>
              </w:rPr>
              <w:t xml:space="preserve">riority for PICs and for Australia. It is important </w:t>
            </w:r>
            <w:r w:rsidR="00B65A85">
              <w:rPr>
                <w:sz w:val="24"/>
                <w:szCs w:val="24"/>
              </w:rPr>
              <w:t xml:space="preserve">that Australia continue to provide support in this area and that PICs are aware of the support available. </w:t>
            </w:r>
          </w:p>
        </w:tc>
        <w:tc>
          <w:tcPr>
            <w:tcW w:w="2790" w:type="dxa"/>
          </w:tcPr>
          <w:p w14:paraId="0D9465D6" w14:textId="3588F57C" w:rsidR="00A45324" w:rsidRPr="00CC7E22" w:rsidRDefault="00543337" w:rsidP="00DC6D41">
            <w:pPr>
              <w:rPr>
                <w:sz w:val="24"/>
                <w:szCs w:val="24"/>
              </w:rPr>
            </w:pPr>
            <w:r w:rsidRPr="00CC7E22">
              <w:rPr>
                <w:sz w:val="24"/>
                <w:szCs w:val="24"/>
              </w:rPr>
              <w:t xml:space="preserve">DFAT </w:t>
            </w:r>
            <w:r w:rsidR="00A917D7">
              <w:rPr>
                <w:sz w:val="24"/>
                <w:szCs w:val="24"/>
              </w:rPr>
              <w:t>will</w:t>
            </w:r>
            <w:r w:rsidRPr="00CC7E22">
              <w:rPr>
                <w:sz w:val="24"/>
                <w:szCs w:val="24"/>
              </w:rPr>
              <w:t xml:space="preserve"> </w:t>
            </w:r>
            <w:r w:rsidR="00016A03">
              <w:rPr>
                <w:sz w:val="24"/>
                <w:szCs w:val="24"/>
              </w:rPr>
              <w:t xml:space="preserve">identify opportunities </w:t>
            </w:r>
            <w:r w:rsidR="00337D9C">
              <w:rPr>
                <w:sz w:val="24"/>
                <w:szCs w:val="24"/>
              </w:rPr>
              <w:t xml:space="preserve">to ensure PICs are aware of </w:t>
            </w:r>
            <w:r w:rsidR="00B65A85">
              <w:rPr>
                <w:sz w:val="24"/>
                <w:szCs w:val="24"/>
              </w:rPr>
              <w:t xml:space="preserve">current and future </w:t>
            </w:r>
            <w:r w:rsidR="00337D9C">
              <w:rPr>
                <w:sz w:val="24"/>
                <w:szCs w:val="24"/>
              </w:rPr>
              <w:t>support available for addressing IUU fishing</w:t>
            </w:r>
            <w:r w:rsidR="00A44EED">
              <w:rPr>
                <w:sz w:val="24"/>
                <w:szCs w:val="24"/>
              </w:rPr>
              <w:t>, including requests for assistance through the Niue Treaty Subsidiary Agreement</w:t>
            </w:r>
            <w:r w:rsidR="00530DB8">
              <w:rPr>
                <w:sz w:val="24"/>
                <w:szCs w:val="24"/>
              </w:rPr>
              <w:t xml:space="preserve"> (NTSA)</w:t>
            </w:r>
            <w:r w:rsidR="00337D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</w:tcPr>
          <w:p w14:paraId="11138B5A" w14:textId="2F859FB3" w:rsidR="00A45324" w:rsidRPr="002A38A1" w:rsidRDefault="002A38A1" w:rsidP="00DC6D41">
            <w:pPr>
              <w:rPr>
                <w:sz w:val="24"/>
                <w:szCs w:val="24"/>
              </w:rPr>
            </w:pPr>
            <w:r w:rsidRPr="002A38A1">
              <w:rPr>
                <w:sz w:val="24"/>
                <w:szCs w:val="24"/>
              </w:rPr>
              <w:t>Ongoing</w:t>
            </w:r>
          </w:p>
        </w:tc>
      </w:tr>
      <w:tr w:rsidR="00A45324" w14:paraId="0548A452" w14:textId="77777777" w:rsidTr="00472941">
        <w:tc>
          <w:tcPr>
            <w:tcW w:w="2789" w:type="dxa"/>
          </w:tcPr>
          <w:p w14:paraId="61BC5C02" w14:textId="61D9CF70" w:rsidR="00A45324" w:rsidRPr="00472941" w:rsidRDefault="00D766A7" w:rsidP="00D766A7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>In designing the next phase</w:t>
            </w:r>
            <w:r w:rsidR="00BB6E9B">
              <w:rPr>
                <w:sz w:val="24"/>
                <w:szCs w:val="24"/>
              </w:rPr>
              <w:t>,</w:t>
            </w:r>
            <w:r w:rsidRPr="00472941">
              <w:rPr>
                <w:sz w:val="24"/>
                <w:szCs w:val="24"/>
              </w:rPr>
              <w:t xml:space="preserve"> careful thought will be required as to the governance structure both in terms of its scope (and frequency of meetings) and its role in </w:t>
            </w:r>
            <w:r w:rsidRPr="00472941">
              <w:rPr>
                <w:sz w:val="24"/>
                <w:szCs w:val="24"/>
              </w:rPr>
              <w:lastRenderedPageBreak/>
              <w:t>enhancing coordination and coherence across the project</w:t>
            </w:r>
            <w:r w:rsidR="00BB6E9B">
              <w:rPr>
                <w:sz w:val="24"/>
                <w:szCs w:val="24"/>
              </w:rPr>
              <w:t>.</w:t>
            </w:r>
          </w:p>
        </w:tc>
        <w:tc>
          <w:tcPr>
            <w:tcW w:w="2789" w:type="dxa"/>
            <w:shd w:val="clear" w:color="auto" w:fill="70AD47" w:themeFill="accent6"/>
          </w:tcPr>
          <w:p w14:paraId="1222A3E1" w14:textId="3CD3DBD6" w:rsidR="00A45324" w:rsidRPr="00472941" w:rsidRDefault="00472941" w:rsidP="00DC6D41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lastRenderedPageBreak/>
              <w:t>Agree</w:t>
            </w:r>
          </w:p>
        </w:tc>
        <w:tc>
          <w:tcPr>
            <w:tcW w:w="2790" w:type="dxa"/>
          </w:tcPr>
          <w:p w14:paraId="55F59879" w14:textId="76842340" w:rsidR="00A45324" w:rsidRPr="005A778A" w:rsidRDefault="00524495" w:rsidP="00DC6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DFAT acknowledges s</w:t>
            </w:r>
            <w:r w:rsidR="0089529D">
              <w:rPr>
                <w:sz w:val="24"/>
                <w:szCs w:val="24"/>
              </w:rPr>
              <w:t>trengthened</w:t>
            </w:r>
            <w:r w:rsidR="003833C2">
              <w:rPr>
                <w:sz w:val="24"/>
                <w:szCs w:val="24"/>
              </w:rPr>
              <w:t xml:space="preserve"> governance structures </w:t>
            </w:r>
            <w:r w:rsidR="0088145F">
              <w:rPr>
                <w:sz w:val="24"/>
                <w:szCs w:val="24"/>
              </w:rPr>
              <w:t xml:space="preserve">play an important role in enabling communication and collaboration, increasing </w:t>
            </w:r>
            <w:r w:rsidR="0088145F">
              <w:rPr>
                <w:sz w:val="24"/>
                <w:szCs w:val="24"/>
              </w:rPr>
              <w:lastRenderedPageBreak/>
              <w:t xml:space="preserve">coordination across projects. </w:t>
            </w:r>
            <w:r w:rsidR="00B65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9E73A77" w14:textId="39D3D6CA" w:rsidR="00A45324" w:rsidRPr="00F34FC6" w:rsidRDefault="004D3999" w:rsidP="00DC6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DFAT will </w:t>
            </w:r>
            <w:r w:rsidR="00DD5FBB">
              <w:rPr>
                <w:sz w:val="24"/>
                <w:szCs w:val="24"/>
              </w:rPr>
              <w:t>consider</w:t>
            </w:r>
            <w:r w:rsidR="002B2DB3">
              <w:rPr>
                <w:sz w:val="24"/>
                <w:szCs w:val="24"/>
              </w:rPr>
              <w:t xml:space="preserve"> opportunities for</w:t>
            </w:r>
            <w:r>
              <w:rPr>
                <w:sz w:val="24"/>
                <w:szCs w:val="24"/>
              </w:rPr>
              <w:t xml:space="preserve"> </w:t>
            </w:r>
            <w:r w:rsidR="002B2DB3">
              <w:rPr>
                <w:sz w:val="24"/>
                <w:szCs w:val="24"/>
              </w:rPr>
              <w:t xml:space="preserve">strengthening governance structures and coordination in future investments addressing IUU fishing.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6BABF45" w14:textId="7F0F9472" w:rsidR="00A45324" w:rsidRPr="002A38A1" w:rsidRDefault="002A38A1" w:rsidP="00DC6D41">
            <w:pPr>
              <w:rPr>
                <w:sz w:val="24"/>
                <w:szCs w:val="24"/>
              </w:rPr>
            </w:pPr>
            <w:r w:rsidRPr="002A38A1">
              <w:rPr>
                <w:sz w:val="24"/>
                <w:szCs w:val="24"/>
              </w:rPr>
              <w:t>Ongoing</w:t>
            </w:r>
          </w:p>
        </w:tc>
      </w:tr>
      <w:tr w:rsidR="00A45324" w14:paraId="2A5E5BBB" w14:textId="77777777" w:rsidTr="00472941">
        <w:tc>
          <w:tcPr>
            <w:tcW w:w="2789" w:type="dxa"/>
          </w:tcPr>
          <w:p w14:paraId="4ED480A1" w14:textId="5F8E94C8" w:rsidR="00A45324" w:rsidRPr="00472941" w:rsidRDefault="00472941" w:rsidP="00DC6D41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>The next phase increases its focus on strengthening its capacity building initiatives</w:t>
            </w:r>
            <w:r w:rsidR="004355BE">
              <w:rPr>
                <w:sz w:val="24"/>
                <w:szCs w:val="24"/>
              </w:rPr>
              <w:t>.</w:t>
            </w:r>
          </w:p>
        </w:tc>
        <w:tc>
          <w:tcPr>
            <w:tcW w:w="2789" w:type="dxa"/>
            <w:shd w:val="clear" w:color="auto" w:fill="70AD47" w:themeFill="accent6"/>
          </w:tcPr>
          <w:p w14:paraId="49578C16" w14:textId="2F671F84" w:rsidR="00A45324" w:rsidRPr="00472941" w:rsidRDefault="00472941" w:rsidP="00DC6D41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>Agree</w:t>
            </w:r>
          </w:p>
        </w:tc>
        <w:tc>
          <w:tcPr>
            <w:tcW w:w="2790" w:type="dxa"/>
          </w:tcPr>
          <w:p w14:paraId="3EA5FB8A" w14:textId="254A692E" w:rsidR="00A45324" w:rsidRPr="005A778A" w:rsidRDefault="00E85C11" w:rsidP="00DC6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DFAT </w:t>
            </w:r>
            <w:r w:rsidR="00F622A6">
              <w:rPr>
                <w:sz w:val="24"/>
                <w:szCs w:val="24"/>
              </w:rPr>
              <w:t>notes</w:t>
            </w:r>
            <w:r>
              <w:rPr>
                <w:sz w:val="24"/>
                <w:szCs w:val="24"/>
              </w:rPr>
              <w:t xml:space="preserve"> </w:t>
            </w:r>
            <w:r w:rsidR="00506CA6">
              <w:rPr>
                <w:sz w:val="24"/>
                <w:szCs w:val="24"/>
              </w:rPr>
              <w:t>the importance of</w:t>
            </w:r>
            <w:r>
              <w:rPr>
                <w:sz w:val="24"/>
                <w:szCs w:val="24"/>
              </w:rPr>
              <w:t xml:space="preserve"> </w:t>
            </w:r>
            <w:r w:rsidR="00D51A5A">
              <w:rPr>
                <w:sz w:val="24"/>
                <w:szCs w:val="24"/>
              </w:rPr>
              <w:t>operationalisa</w:t>
            </w:r>
            <w:r w:rsidR="00C21298">
              <w:rPr>
                <w:sz w:val="24"/>
                <w:szCs w:val="24"/>
              </w:rPr>
              <w:t>tion</w:t>
            </w:r>
            <w:r w:rsidR="00506CA6">
              <w:rPr>
                <w:sz w:val="24"/>
                <w:szCs w:val="24"/>
              </w:rPr>
              <w:t xml:space="preserve"> of the NTSA and the potential contribution of capacity building to operationalisation</w:t>
            </w:r>
            <w:r w:rsidR="00C522A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</w:tcPr>
          <w:p w14:paraId="00AFA4EB" w14:textId="5D03ABF7" w:rsidR="00A45324" w:rsidRPr="005A778A" w:rsidRDefault="0079169C" w:rsidP="00DC6D41">
            <w:pPr>
              <w:rPr>
                <w:sz w:val="24"/>
                <w:szCs w:val="24"/>
              </w:rPr>
            </w:pPr>
            <w:r w:rsidRPr="005A778A">
              <w:rPr>
                <w:sz w:val="24"/>
                <w:szCs w:val="24"/>
              </w:rPr>
              <w:t xml:space="preserve">DFAT will </w:t>
            </w:r>
            <w:r w:rsidR="00D67859">
              <w:rPr>
                <w:sz w:val="24"/>
                <w:szCs w:val="24"/>
              </w:rPr>
              <w:t xml:space="preserve">consider options to </w:t>
            </w:r>
            <w:r w:rsidR="00506CA6">
              <w:rPr>
                <w:sz w:val="24"/>
                <w:szCs w:val="24"/>
              </w:rPr>
              <w:t>include capacity building in</w:t>
            </w:r>
            <w:r w:rsidRPr="005A778A">
              <w:rPr>
                <w:sz w:val="24"/>
                <w:szCs w:val="24"/>
              </w:rPr>
              <w:t xml:space="preserve"> future investments </w:t>
            </w:r>
            <w:r w:rsidR="007E5BAC">
              <w:rPr>
                <w:sz w:val="24"/>
                <w:szCs w:val="24"/>
              </w:rPr>
              <w:t xml:space="preserve">to address IUU fishing. </w:t>
            </w:r>
            <w:r w:rsidR="0003339B" w:rsidRPr="005A778A">
              <w:rPr>
                <w:sz w:val="24"/>
                <w:szCs w:val="24"/>
              </w:rPr>
              <w:t xml:space="preserve">This has already been </w:t>
            </w:r>
            <w:r w:rsidR="00A046B4">
              <w:rPr>
                <w:sz w:val="24"/>
                <w:szCs w:val="24"/>
              </w:rPr>
              <w:t>included</w:t>
            </w:r>
            <w:r w:rsidR="0003339B" w:rsidRPr="005A778A">
              <w:rPr>
                <w:sz w:val="24"/>
                <w:szCs w:val="24"/>
              </w:rPr>
              <w:t xml:space="preserve"> in a </w:t>
            </w:r>
            <w:r w:rsidR="005A778A" w:rsidRPr="005A778A">
              <w:rPr>
                <w:sz w:val="24"/>
                <w:szCs w:val="24"/>
              </w:rPr>
              <w:t>two</w:t>
            </w:r>
            <w:r w:rsidR="0003339B" w:rsidRPr="005A778A">
              <w:rPr>
                <w:sz w:val="24"/>
                <w:szCs w:val="24"/>
              </w:rPr>
              <w:t xml:space="preserve">-year </w:t>
            </w:r>
            <w:r w:rsidR="005A778A">
              <w:rPr>
                <w:sz w:val="24"/>
                <w:szCs w:val="24"/>
              </w:rPr>
              <w:t>R</w:t>
            </w:r>
            <w:r w:rsidR="005A778A" w:rsidRPr="005A778A">
              <w:rPr>
                <w:sz w:val="24"/>
                <w:szCs w:val="24"/>
              </w:rPr>
              <w:t xml:space="preserve">ecord of </w:t>
            </w:r>
            <w:r w:rsidR="005A778A">
              <w:rPr>
                <w:sz w:val="24"/>
                <w:szCs w:val="24"/>
              </w:rPr>
              <w:t>U</w:t>
            </w:r>
            <w:r w:rsidR="005A778A" w:rsidRPr="005A778A">
              <w:rPr>
                <w:sz w:val="24"/>
                <w:szCs w:val="24"/>
              </w:rPr>
              <w:t>nderstanding</w:t>
            </w:r>
            <w:r w:rsidR="00A046B4">
              <w:rPr>
                <w:sz w:val="24"/>
                <w:szCs w:val="24"/>
              </w:rPr>
              <w:t xml:space="preserve"> (2022-24)</w:t>
            </w:r>
            <w:r w:rsidR="005A778A" w:rsidRPr="005A778A">
              <w:rPr>
                <w:sz w:val="24"/>
                <w:szCs w:val="24"/>
              </w:rPr>
              <w:t xml:space="preserve"> with the Australian Fisheries Management Authority</w:t>
            </w:r>
            <w:r w:rsidR="00366474">
              <w:rPr>
                <w:sz w:val="24"/>
                <w:szCs w:val="24"/>
              </w:rPr>
              <w:t xml:space="preserve"> (AFMA)</w:t>
            </w:r>
            <w:r w:rsidR="005A778A" w:rsidRPr="005A778A">
              <w:rPr>
                <w:sz w:val="24"/>
                <w:szCs w:val="24"/>
              </w:rPr>
              <w:t xml:space="preserve"> </w:t>
            </w:r>
            <w:r w:rsidR="005A778A">
              <w:rPr>
                <w:sz w:val="24"/>
                <w:szCs w:val="24"/>
              </w:rPr>
              <w:t xml:space="preserve">to provide support to PICs and the FFA to address IUU fishing. </w:t>
            </w:r>
          </w:p>
        </w:tc>
        <w:tc>
          <w:tcPr>
            <w:tcW w:w="2790" w:type="dxa"/>
          </w:tcPr>
          <w:p w14:paraId="6D567F4B" w14:textId="39D963E3" w:rsidR="00A45324" w:rsidRPr="002A38A1" w:rsidRDefault="002A38A1" w:rsidP="00DC6D41">
            <w:pPr>
              <w:rPr>
                <w:sz w:val="24"/>
                <w:szCs w:val="24"/>
              </w:rPr>
            </w:pPr>
            <w:r w:rsidRPr="002A38A1">
              <w:rPr>
                <w:sz w:val="24"/>
                <w:szCs w:val="24"/>
              </w:rPr>
              <w:t>Ongoing</w:t>
            </w:r>
          </w:p>
        </w:tc>
      </w:tr>
      <w:tr w:rsidR="002B2DB3" w14:paraId="68A5229B" w14:textId="77777777" w:rsidTr="00472941">
        <w:tc>
          <w:tcPr>
            <w:tcW w:w="2789" w:type="dxa"/>
          </w:tcPr>
          <w:p w14:paraId="23F4A303" w14:textId="77777777" w:rsidR="002B2DB3" w:rsidRPr="00472941" w:rsidRDefault="002B2DB3" w:rsidP="002B2DB3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 xml:space="preserve">That in designing the next phase of support the project deliberately clarifies what it can </w:t>
            </w:r>
          </w:p>
          <w:p w14:paraId="59511A51" w14:textId="4649532C" w:rsidR="002B2DB3" w:rsidRPr="00472941" w:rsidRDefault="002B2DB3" w:rsidP="002B2DB3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>i. realistically and feasibly achieve within the next reporting period with regards to both gender equality and social inclusion,</w:t>
            </w:r>
          </w:p>
          <w:p w14:paraId="12B1B1AF" w14:textId="57B9B579" w:rsidR="002B2DB3" w:rsidRPr="00472941" w:rsidRDefault="002B2DB3" w:rsidP="002B2DB3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 xml:space="preserve">ii. the type of support it can provide to ensure its </w:t>
            </w:r>
            <w:r w:rsidRPr="00472941">
              <w:rPr>
                <w:sz w:val="24"/>
                <w:szCs w:val="24"/>
              </w:rPr>
              <w:lastRenderedPageBreak/>
              <w:t xml:space="preserve">implementing partners promote gender and social inclusion efforts, </w:t>
            </w:r>
          </w:p>
          <w:p w14:paraId="2D85FFE5" w14:textId="598DA3E3" w:rsidR="002B2DB3" w:rsidRPr="00472941" w:rsidRDefault="002B2DB3" w:rsidP="002B2DB3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 xml:space="preserve">iii. the steps the project will take to strengthen the commitment of PICs to promote gender and social inclusion within the sector, and </w:t>
            </w:r>
          </w:p>
          <w:p w14:paraId="00F1E124" w14:textId="6F887C17" w:rsidR="002B2DB3" w:rsidRPr="00472941" w:rsidRDefault="002B2DB3" w:rsidP="002B2DB3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t>iv. how the project will monitor progress against its commitment to gender equality and social inclusion.</w:t>
            </w:r>
          </w:p>
        </w:tc>
        <w:tc>
          <w:tcPr>
            <w:tcW w:w="2789" w:type="dxa"/>
            <w:shd w:val="clear" w:color="auto" w:fill="70AD47" w:themeFill="accent6"/>
          </w:tcPr>
          <w:p w14:paraId="5A56CB23" w14:textId="2214A788" w:rsidR="002B2DB3" w:rsidRPr="00472941" w:rsidRDefault="002B2DB3" w:rsidP="002B2DB3">
            <w:pPr>
              <w:rPr>
                <w:sz w:val="24"/>
                <w:szCs w:val="24"/>
              </w:rPr>
            </w:pPr>
            <w:r w:rsidRPr="00472941">
              <w:rPr>
                <w:sz w:val="24"/>
                <w:szCs w:val="24"/>
              </w:rPr>
              <w:lastRenderedPageBreak/>
              <w:t>Agree</w:t>
            </w:r>
          </w:p>
        </w:tc>
        <w:tc>
          <w:tcPr>
            <w:tcW w:w="2790" w:type="dxa"/>
          </w:tcPr>
          <w:p w14:paraId="4EBBEC3C" w14:textId="143498CF" w:rsidR="002B2DB3" w:rsidRPr="005A778A" w:rsidRDefault="007933A7" w:rsidP="002B2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D51A5A">
              <w:rPr>
                <w:sz w:val="24"/>
                <w:szCs w:val="24"/>
              </w:rPr>
              <w:t xml:space="preserve">ender equality and social inclusion are priorities </w:t>
            </w:r>
            <w:r w:rsidR="00BB6E9B">
              <w:rPr>
                <w:sz w:val="24"/>
                <w:szCs w:val="24"/>
              </w:rPr>
              <w:t>within</w:t>
            </w:r>
            <w:r w:rsidR="00D51A5A">
              <w:rPr>
                <w:sz w:val="24"/>
                <w:szCs w:val="24"/>
              </w:rPr>
              <w:t xml:space="preserve"> Australia</w:t>
            </w:r>
            <w:r w:rsidR="00BB6E9B">
              <w:rPr>
                <w:sz w:val="24"/>
                <w:szCs w:val="24"/>
              </w:rPr>
              <w:t>’s</w:t>
            </w:r>
            <w:r w:rsidR="00D51A5A">
              <w:rPr>
                <w:sz w:val="24"/>
                <w:szCs w:val="24"/>
              </w:rPr>
              <w:t xml:space="preserve"> </w:t>
            </w:r>
            <w:r w:rsidR="007270C0">
              <w:rPr>
                <w:sz w:val="24"/>
                <w:szCs w:val="24"/>
              </w:rPr>
              <w:t>development</w:t>
            </w:r>
            <w:r w:rsidR="00D51A5A">
              <w:rPr>
                <w:sz w:val="24"/>
                <w:szCs w:val="24"/>
              </w:rPr>
              <w:t xml:space="preserve"> program</w:t>
            </w:r>
            <w:r>
              <w:rPr>
                <w:sz w:val="24"/>
                <w:szCs w:val="24"/>
              </w:rPr>
              <w:t>.</w:t>
            </w:r>
            <w:r w:rsidR="00D51A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DFAT supports</w:t>
            </w:r>
            <w:r w:rsidR="00D51A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inclusion of realistic and feasible gender and social inclusion objectives in</w:t>
            </w:r>
            <w:r w:rsidR="00D51A5A">
              <w:rPr>
                <w:sz w:val="24"/>
                <w:szCs w:val="24"/>
              </w:rPr>
              <w:t xml:space="preserve"> future investments in addressing IUU fishing. </w:t>
            </w:r>
          </w:p>
        </w:tc>
        <w:tc>
          <w:tcPr>
            <w:tcW w:w="2790" w:type="dxa"/>
          </w:tcPr>
          <w:p w14:paraId="1A629C08" w14:textId="68E906F0" w:rsidR="002B2DB3" w:rsidRDefault="002B2DB3" w:rsidP="002B2DB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DFAT will consider opportunities for strengthening </w:t>
            </w:r>
            <w:r w:rsidR="00240EAD">
              <w:rPr>
                <w:sz w:val="24"/>
                <w:szCs w:val="24"/>
              </w:rPr>
              <w:t>gender and social inclusion objectives</w:t>
            </w:r>
            <w:r>
              <w:rPr>
                <w:sz w:val="24"/>
                <w:szCs w:val="24"/>
              </w:rPr>
              <w:t xml:space="preserve"> in future investments addressing IUU fishing</w:t>
            </w:r>
            <w:r w:rsidR="00F37096">
              <w:rPr>
                <w:sz w:val="24"/>
                <w:szCs w:val="24"/>
              </w:rPr>
              <w:t xml:space="preserve">. </w:t>
            </w:r>
            <w:r w:rsidR="003E45A7">
              <w:rPr>
                <w:sz w:val="24"/>
                <w:szCs w:val="24"/>
              </w:rPr>
              <w:t>A gender and social inclusion objective has been</w:t>
            </w:r>
            <w:r w:rsidR="00E35E6C" w:rsidRPr="005A778A">
              <w:rPr>
                <w:sz w:val="24"/>
                <w:szCs w:val="24"/>
              </w:rPr>
              <w:t xml:space="preserve"> </w:t>
            </w:r>
            <w:r w:rsidR="00E35E6C">
              <w:rPr>
                <w:sz w:val="24"/>
                <w:szCs w:val="24"/>
              </w:rPr>
              <w:t>included</w:t>
            </w:r>
            <w:r w:rsidR="00E35E6C" w:rsidRPr="005A778A">
              <w:rPr>
                <w:sz w:val="24"/>
                <w:szCs w:val="24"/>
              </w:rPr>
              <w:t xml:space="preserve"> in </w:t>
            </w:r>
            <w:r w:rsidR="003E45A7">
              <w:rPr>
                <w:sz w:val="24"/>
                <w:szCs w:val="24"/>
              </w:rPr>
              <w:t>the new</w:t>
            </w:r>
            <w:r w:rsidR="00E35E6C" w:rsidRPr="005A778A">
              <w:rPr>
                <w:sz w:val="24"/>
                <w:szCs w:val="24"/>
              </w:rPr>
              <w:t xml:space="preserve"> </w:t>
            </w:r>
            <w:r w:rsidR="00E35E6C">
              <w:rPr>
                <w:sz w:val="24"/>
                <w:szCs w:val="24"/>
              </w:rPr>
              <w:t>R</w:t>
            </w:r>
            <w:r w:rsidR="00E35E6C" w:rsidRPr="005A778A">
              <w:rPr>
                <w:sz w:val="24"/>
                <w:szCs w:val="24"/>
              </w:rPr>
              <w:t xml:space="preserve">ecord of </w:t>
            </w:r>
            <w:r w:rsidR="00E35E6C">
              <w:rPr>
                <w:sz w:val="24"/>
                <w:szCs w:val="24"/>
              </w:rPr>
              <w:t>U</w:t>
            </w:r>
            <w:r w:rsidR="00E35E6C" w:rsidRPr="005A778A">
              <w:rPr>
                <w:sz w:val="24"/>
                <w:szCs w:val="24"/>
              </w:rPr>
              <w:t>nderstanding</w:t>
            </w:r>
            <w:r w:rsidR="00E35E6C">
              <w:rPr>
                <w:sz w:val="24"/>
                <w:szCs w:val="24"/>
              </w:rPr>
              <w:t xml:space="preserve"> (2022-24)</w:t>
            </w:r>
            <w:r w:rsidR="00E35E6C" w:rsidRPr="005A778A">
              <w:rPr>
                <w:sz w:val="24"/>
                <w:szCs w:val="24"/>
              </w:rPr>
              <w:t xml:space="preserve"> with </w:t>
            </w:r>
            <w:r w:rsidR="003E45A7">
              <w:rPr>
                <w:sz w:val="24"/>
                <w:szCs w:val="24"/>
              </w:rPr>
              <w:t xml:space="preserve">AFMA. </w:t>
            </w:r>
          </w:p>
        </w:tc>
        <w:tc>
          <w:tcPr>
            <w:tcW w:w="2790" w:type="dxa"/>
          </w:tcPr>
          <w:p w14:paraId="54089767" w14:textId="00A8C3F9" w:rsidR="002B2DB3" w:rsidRPr="002A38A1" w:rsidRDefault="002B2DB3" w:rsidP="002B2DB3">
            <w:pPr>
              <w:rPr>
                <w:sz w:val="24"/>
                <w:szCs w:val="24"/>
              </w:rPr>
            </w:pPr>
            <w:r w:rsidRPr="002A38A1">
              <w:rPr>
                <w:sz w:val="24"/>
                <w:szCs w:val="24"/>
              </w:rPr>
              <w:t>Ongoing</w:t>
            </w:r>
          </w:p>
        </w:tc>
      </w:tr>
    </w:tbl>
    <w:p w14:paraId="0CE408B2" w14:textId="77777777" w:rsidR="00A45324" w:rsidRPr="00DC6D41" w:rsidRDefault="00A45324" w:rsidP="00DC6D41">
      <w:pPr>
        <w:rPr>
          <w:b/>
          <w:bCs/>
          <w:sz w:val="32"/>
          <w:szCs w:val="32"/>
          <w:u w:val="single"/>
        </w:rPr>
      </w:pPr>
    </w:p>
    <w:sectPr w:rsidR="00A45324" w:rsidRPr="00DC6D41" w:rsidSect="00DC6D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BA16" w14:textId="77777777" w:rsidR="002F013D" w:rsidRDefault="002F013D" w:rsidP="00DC6D41">
      <w:pPr>
        <w:spacing w:after="0" w:line="240" w:lineRule="auto"/>
      </w:pPr>
      <w:r>
        <w:separator/>
      </w:r>
    </w:p>
  </w:endnote>
  <w:endnote w:type="continuationSeparator" w:id="0">
    <w:p w14:paraId="63E3CD42" w14:textId="77777777" w:rsidR="002F013D" w:rsidRDefault="002F013D" w:rsidP="00D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38DF" w14:textId="77777777" w:rsidR="002F013D" w:rsidRDefault="002F013D" w:rsidP="00DC6D41">
      <w:pPr>
        <w:spacing w:after="0" w:line="240" w:lineRule="auto"/>
      </w:pPr>
      <w:r>
        <w:separator/>
      </w:r>
    </w:p>
  </w:footnote>
  <w:footnote w:type="continuationSeparator" w:id="0">
    <w:p w14:paraId="00C7143E" w14:textId="77777777" w:rsidR="002F013D" w:rsidRDefault="002F013D" w:rsidP="00DC6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41"/>
    <w:rsid w:val="00016A03"/>
    <w:rsid w:val="0003339B"/>
    <w:rsid w:val="000639D1"/>
    <w:rsid w:val="00170229"/>
    <w:rsid w:val="00240EAD"/>
    <w:rsid w:val="002971B2"/>
    <w:rsid w:val="002A38A1"/>
    <w:rsid w:val="002B2DB3"/>
    <w:rsid w:val="002F013D"/>
    <w:rsid w:val="00300B69"/>
    <w:rsid w:val="00337D9C"/>
    <w:rsid w:val="00366474"/>
    <w:rsid w:val="003833C2"/>
    <w:rsid w:val="003B6FC0"/>
    <w:rsid w:val="003E45A7"/>
    <w:rsid w:val="004355BE"/>
    <w:rsid w:val="00472941"/>
    <w:rsid w:val="00497F6E"/>
    <w:rsid w:val="004D3999"/>
    <w:rsid w:val="0050655E"/>
    <w:rsid w:val="00506CA6"/>
    <w:rsid w:val="00524495"/>
    <w:rsid w:val="00530DB8"/>
    <w:rsid w:val="00543337"/>
    <w:rsid w:val="005A778A"/>
    <w:rsid w:val="0063583B"/>
    <w:rsid w:val="007270C0"/>
    <w:rsid w:val="00754DB3"/>
    <w:rsid w:val="0079169C"/>
    <w:rsid w:val="007933A7"/>
    <w:rsid w:val="007D6506"/>
    <w:rsid w:val="007E5BAC"/>
    <w:rsid w:val="0088145F"/>
    <w:rsid w:val="0089529D"/>
    <w:rsid w:val="008F131E"/>
    <w:rsid w:val="008F2A6C"/>
    <w:rsid w:val="009265F0"/>
    <w:rsid w:val="00A02985"/>
    <w:rsid w:val="00A046B4"/>
    <w:rsid w:val="00A44EED"/>
    <w:rsid w:val="00A45324"/>
    <w:rsid w:val="00A917D7"/>
    <w:rsid w:val="00B65A85"/>
    <w:rsid w:val="00B9684C"/>
    <w:rsid w:val="00BB29A4"/>
    <w:rsid w:val="00BB6E9B"/>
    <w:rsid w:val="00C21298"/>
    <w:rsid w:val="00C334AA"/>
    <w:rsid w:val="00C522A4"/>
    <w:rsid w:val="00C605F2"/>
    <w:rsid w:val="00C87053"/>
    <w:rsid w:val="00CC7E22"/>
    <w:rsid w:val="00D01FEC"/>
    <w:rsid w:val="00D51A5A"/>
    <w:rsid w:val="00D67859"/>
    <w:rsid w:val="00D766A7"/>
    <w:rsid w:val="00DC6D41"/>
    <w:rsid w:val="00DD5FBB"/>
    <w:rsid w:val="00E35E6C"/>
    <w:rsid w:val="00E85C11"/>
    <w:rsid w:val="00E94E24"/>
    <w:rsid w:val="00ED324E"/>
    <w:rsid w:val="00EF6AE7"/>
    <w:rsid w:val="00F34FC6"/>
    <w:rsid w:val="00F37096"/>
    <w:rsid w:val="00F622A6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81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6E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AA"/>
  </w:style>
  <w:style w:type="paragraph" w:styleId="Footer">
    <w:name w:val="footer"/>
    <w:basedOn w:val="Normal"/>
    <w:link w:val="FooterChar"/>
    <w:uiPriority w:val="99"/>
    <w:unhideWhenUsed/>
    <w:rsid w:val="00C33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3015</Characters>
  <Application>Microsoft Office Word</Application>
  <DocSecurity>0</DocSecurity>
  <Lines>143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to address IUU fishing in the Pacific end of investment evaluation – management response</dc:title>
  <dc:subject/>
  <dc:creator/>
  <cp:keywords>[SEC=OFFICIAL]</cp:keywords>
  <dc:description/>
  <cp:lastModifiedBy/>
  <cp:revision>1</cp:revision>
  <dcterms:created xsi:type="dcterms:W3CDTF">2023-02-23T04:42:00Z</dcterms:created>
  <dcterms:modified xsi:type="dcterms:W3CDTF">2023-02-23T04:42:00Z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DE183294E8364EAF88D168AFBE28B562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2023-02-23T04:42:28Z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BF98CA73684ADA1B313C564171C8C848</vt:lpwstr>
  </property>
  <property fmtid="{D5CDD505-2E9C-101B-9397-08002B2CF9AE}" pid="21" name="PM_Hash_Salt">
    <vt:lpwstr>6CE420F58197A7DBD560636D1C519BB1</vt:lpwstr>
  </property>
  <property fmtid="{D5CDD505-2E9C-101B-9397-08002B2CF9AE}" pid="22" name="PM_Hash_SHA1">
    <vt:lpwstr>359F92CA66D40609104276FB8C5F963FF4B65D69</vt:lpwstr>
  </property>
  <property fmtid="{D5CDD505-2E9C-101B-9397-08002B2CF9AE}" pid="23" name="PM_OriginatorUserAccountName_SHA256">
    <vt:lpwstr>3F6D732A650B4EC715B623E0D837FB2B96AB69551124ACFE30889A7938FDE719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Uuid">
    <vt:lpwstr>ABBFF5E2-9674-55C9-B08D-C9980002FD58</vt:lpwstr>
  </property>
  <property fmtid="{D5CDD505-2E9C-101B-9397-08002B2CF9AE}" pid="29" name="PMUuidVer">
    <vt:lpwstr>2022.1</vt:lpwstr>
  </property>
</Properties>
</file>