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cific Leadership and Governance Precinct"/>
        <w:tblDescription w:val="Strategic Review"/>
      </w:tblPr>
      <w:tblGrid>
        <w:gridCol w:w="9010"/>
      </w:tblGrid>
      <w:tr w:rsidR="00557482" w:rsidRPr="00557482" w:rsidTr="00C508C9">
        <w:trPr>
          <w:trHeight w:val="401"/>
          <w:tblHeader/>
        </w:trPr>
        <w:tc>
          <w:tcPr>
            <w:tcW w:w="9010" w:type="dxa"/>
            <w:shd w:val="clear" w:color="auto" w:fill="0A1F50" w:themeFill="text2"/>
          </w:tcPr>
          <w:p w:rsidR="00557482" w:rsidRPr="00557482" w:rsidRDefault="00557482" w:rsidP="00557482">
            <w:pPr>
              <w:spacing w:after="0" w:line="276" w:lineRule="atLeast"/>
              <w:rPr>
                <w:rFonts w:ascii="Roboto Light" w:hAnsi="Roboto Light"/>
              </w:rPr>
            </w:pPr>
            <w:bookmarkStart w:id="0" w:name="_GoBack"/>
            <w:bookmarkEnd w:id="0"/>
          </w:p>
        </w:tc>
      </w:tr>
      <w:tr w:rsidR="00557482" w:rsidRPr="00557482" w:rsidTr="00C508C9">
        <w:trPr>
          <w:tblHeader/>
        </w:trPr>
        <w:tc>
          <w:tcPr>
            <w:tcW w:w="9010" w:type="dxa"/>
          </w:tcPr>
          <w:p w:rsidR="00557482" w:rsidRPr="00557482" w:rsidRDefault="0032045C" w:rsidP="00557482">
            <w:pPr>
              <w:spacing w:after="240" w:line="276" w:lineRule="atLeast"/>
              <w:rPr>
                <w:rFonts w:ascii="Roboto Light" w:hAnsi="Roboto Light"/>
              </w:rPr>
            </w:pPr>
            <w:r>
              <w:rPr>
                <w:rFonts w:ascii="Poppins" w:eastAsiaTheme="majorEastAsia" w:hAnsi="Poppins" w:cs="Poppins"/>
                <w:b/>
                <w:color w:val="0B1F51"/>
                <w:spacing w:val="-10"/>
                <w:kern w:val="28"/>
                <w:sz w:val="64"/>
                <w:szCs w:val="64"/>
              </w:rPr>
              <w:t>Pacific Leadership and Governance Precinct</w:t>
            </w:r>
          </w:p>
        </w:tc>
      </w:tr>
      <w:tr w:rsidR="00557482" w:rsidRPr="00557482" w:rsidTr="00C508C9">
        <w:tc>
          <w:tcPr>
            <w:tcW w:w="9010" w:type="dxa"/>
          </w:tcPr>
          <w:p w:rsidR="00557482" w:rsidRPr="00557482" w:rsidRDefault="0032045C" w:rsidP="00557482">
            <w:pPr>
              <w:spacing w:after="240" w:line="276" w:lineRule="atLeast"/>
              <w:rPr>
                <w:rFonts w:ascii="Poppins" w:eastAsiaTheme="majorEastAsia" w:hAnsi="Poppins" w:cs="Poppins"/>
                <w:color w:val="0B1F51"/>
                <w:spacing w:val="-10"/>
                <w:kern w:val="28"/>
                <w:sz w:val="64"/>
                <w:szCs w:val="64"/>
              </w:rPr>
            </w:pPr>
            <w:r>
              <w:rPr>
                <w:rFonts w:ascii="Poppins" w:eastAsiaTheme="majorEastAsia" w:hAnsi="Poppins" w:cs="Poppins"/>
                <w:color w:val="0B1F51"/>
                <w:spacing w:val="-10"/>
                <w:kern w:val="28"/>
                <w:sz w:val="44"/>
                <w:szCs w:val="64"/>
              </w:rPr>
              <w:t>Strategic Review</w:t>
            </w:r>
          </w:p>
        </w:tc>
      </w:tr>
    </w:tbl>
    <w:p w:rsidR="00557482" w:rsidRDefault="00557482" w:rsidP="00557482">
      <w:pPr>
        <w:spacing w:after="240" w:line="276" w:lineRule="atLeast"/>
        <w:rPr>
          <w:rFonts w:ascii="Roboto Light" w:hAnsi="Roboto Light"/>
        </w:rPr>
      </w:pPr>
    </w:p>
    <w:p w:rsidR="0032045C" w:rsidRPr="0032045C" w:rsidRDefault="0032045C" w:rsidP="0032045C">
      <w:pPr>
        <w:pStyle w:val="BodyText"/>
      </w:pPr>
    </w:p>
    <w:p w:rsidR="00557482" w:rsidRPr="00557482" w:rsidRDefault="00557482" w:rsidP="00557482">
      <w:pPr>
        <w:spacing w:after="240" w:line="276" w:lineRule="atLeast"/>
        <w:rPr>
          <w:rFonts w:ascii="Roboto Light" w:hAnsi="Roboto Light"/>
        </w:rPr>
      </w:pPr>
    </w:p>
    <w:tbl>
      <w:tblPr>
        <w:tblStyle w:val="TableGrid5"/>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uthor"/>
        <w:tblDescription w:val="The Quality and Technical Assurance Group. Finalised on 27 February 2019."/>
      </w:tblPr>
      <w:tblGrid>
        <w:gridCol w:w="2268"/>
        <w:gridCol w:w="567"/>
        <w:gridCol w:w="1985"/>
        <w:gridCol w:w="425"/>
        <w:gridCol w:w="3686"/>
      </w:tblGrid>
      <w:tr w:rsidR="00557482" w:rsidRPr="00557482" w:rsidTr="009C0F4F">
        <w:trPr>
          <w:tblHeader/>
        </w:trPr>
        <w:tc>
          <w:tcPr>
            <w:tcW w:w="2268" w:type="dxa"/>
            <w:tcBorders>
              <w:top w:val="single" w:sz="4" w:space="0" w:color="0A1F50" w:themeColor="text2"/>
            </w:tcBorders>
          </w:tcPr>
          <w:p w:rsidR="00557482" w:rsidRPr="00557482" w:rsidRDefault="00557482" w:rsidP="00557482">
            <w:pPr>
              <w:spacing w:after="0" w:line="240" w:lineRule="auto"/>
              <w:rPr>
                <w:rFonts w:ascii="Poppins" w:hAnsi="Poppins" w:cs="Poppins"/>
                <w:b/>
                <w:color w:val="0A1F50" w:themeColor="text2"/>
              </w:rPr>
            </w:pPr>
            <w:r w:rsidRPr="00557482">
              <w:rPr>
                <w:rFonts w:ascii="Poppins" w:hAnsi="Poppins" w:cs="Poppins"/>
                <w:b/>
                <w:color w:val="0A1F50" w:themeColor="text2"/>
              </w:rPr>
              <w:t>Date</w:t>
            </w:r>
          </w:p>
        </w:tc>
        <w:tc>
          <w:tcPr>
            <w:tcW w:w="567" w:type="dxa"/>
          </w:tcPr>
          <w:p w:rsidR="00557482" w:rsidRPr="00557482" w:rsidRDefault="00557482" w:rsidP="00557482">
            <w:pPr>
              <w:spacing w:after="0" w:line="240" w:lineRule="auto"/>
              <w:rPr>
                <w:rFonts w:ascii="Roboto Light" w:hAnsi="Roboto Light"/>
                <w:color w:val="0A1F50" w:themeColor="text2"/>
              </w:rPr>
            </w:pPr>
          </w:p>
        </w:tc>
        <w:tc>
          <w:tcPr>
            <w:tcW w:w="1985" w:type="dxa"/>
            <w:tcBorders>
              <w:top w:val="single" w:sz="4" w:space="0" w:color="auto"/>
            </w:tcBorders>
          </w:tcPr>
          <w:p w:rsidR="00557482" w:rsidRPr="00557482" w:rsidRDefault="00557482" w:rsidP="00557482">
            <w:pPr>
              <w:spacing w:after="0" w:line="240" w:lineRule="auto"/>
              <w:rPr>
                <w:rFonts w:ascii="Poppins" w:hAnsi="Poppins" w:cs="Poppins"/>
                <w:b/>
                <w:color w:val="0A1F50" w:themeColor="text2"/>
              </w:rPr>
            </w:pPr>
            <w:r w:rsidRPr="00557482">
              <w:rPr>
                <w:rFonts w:ascii="Poppins" w:hAnsi="Poppins" w:cs="Poppins"/>
                <w:b/>
                <w:color w:val="0A1F50" w:themeColor="text2"/>
              </w:rPr>
              <w:t>Document</w:t>
            </w:r>
          </w:p>
        </w:tc>
        <w:tc>
          <w:tcPr>
            <w:tcW w:w="425" w:type="dxa"/>
          </w:tcPr>
          <w:p w:rsidR="00557482" w:rsidRPr="00557482" w:rsidRDefault="00557482" w:rsidP="00557482">
            <w:pPr>
              <w:spacing w:after="0" w:line="240" w:lineRule="auto"/>
              <w:rPr>
                <w:rFonts w:ascii="Poppins" w:hAnsi="Poppins" w:cs="Poppins"/>
                <w:b/>
                <w:color w:val="0A1F50" w:themeColor="text2"/>
              </w:rPr>
            </w:pPr>
          </w:p>
        </w:tc>
        <w:tc>
          <w:tcPr>
            <w:tcW w:w="3686" w:type="dxa"/>
            <w:tcBorders>
              <w:top w:val="single" w:sz="4" w:space="0" w:color="0A1F50" w:themeColor="text2"/>
            </w:tcBorders>
          </w:tcPr>
          <w:p w:rsidR="00557482" w:rsidRPr="00557482" w:rsidRDefault="00557482" w:rsidP="00557482">
            <w:pPr>
              <w:spacing w:after="0" w:line="240" w:lineRule="auto"/>
              <w:rPr>
                <w:rFonts w:ascii="Poppins" w:hAnsi="Poppins" w:cs="Poppins"/>
                <w:b/>
                <w:color w:val="0A1F50" w:themeColor="text2"/>
              </w:rPr>
            </w:pPr>
            <w:r w:rsidRPr="00557482">
              <w:rPr>
                <w:rFonts w:ascii="Poppins" w:hAnsi="Poppins" w:cs="Poppins"/>
                <w:b/>
                <w:color w:val="0A1F50" w:themeColor="text2"/>
              </w:rPr>
              <w:t>Authors</w:t>
            </w:r>
          </w:p>
        </w:tc>
      </w:tr>
      <w:tr w:rsidR="00557482" w:rsidRPr="00557482" w:rsidTr="002C0B6C">
        <w:trPr>
          <w:trHeight w:val="537"/>
        </w:trPr>
        <w:tc>
          <w:tcPr>
            <w:tcW w:w="2268" w:type="dxa"/>
          </w:tcPr>
          <w:p w:rsidR="00FD57AB" w:rsidRPr="002C0B6C" w:rsidRDefault="00557482" w:rsidP="002C0B6C">
            <w:pPr>
              <w:spacing w:before="120" w:after="0" w:line="240" w:lineRule="auto"/>
              <w:rPr>
                <w:rFonts w:ascii="Roboto Light" w:hAnsi="Roboto Light"/>
                <w:sz w:val="20"/>
                <w:szCs w:val="18"/>
              </w:rPr>
            </w:pPr>
            <w:r w:rsidRPr="002C0B6C">
              <w:rPr>
                <w:rFonts w:ascii="Roboto Light" w:hAnsi="Roboto Light"/>
                <w:sz w:val="20"/>
                <w:szCs w:val="18"/>
              </w:rPr>
              <w:t xml:space="preserve">Draft </w:t>
            </w:r>
            <w:r w:rsidR="00FD57AB" w:rsidRPr="002C0B6C">
              <w:rPr>
                <w:rFonts w:ascii="Roboto Light" w:hAnsi="Roboto Light"/>
                <w:sz w:val="20"/>
                <w:szCs w:val="18"/>
              </w:rPr>
              <w:t>17 Sep 2018</w:t>
            </w:r>
          </w:p>
          <w:p w:rsidR="00FD57AB" w:rsidRPr="002C0B6C" w:rsidRDefault="00FD57AB" w:rsidP="002C0B6C">
            <w:pPr>
              <w:pStyle w:val="BodyText"/>
              <w:spacing w:after="0"/>
              <w:rPr>
                <w:sz w:val="20"/>
                <w:szCs w:val="18"/>
              </w:rPr>
            </w:pPr>
            <w:r w:rsidRPr="002C0B6C">
              <w:rPr>
                <w:sz w:val="20"/>
                <w:szCs w:val="18"/>
              </w:rPr>
              <w:t>Revised</w:t>
            </w:r>
            <w:r w:rsidR="002C0B6C" w:rsidRPr="002C0B6C">
              <w:rPr>
                <w:sz w:val="20"/>
                <w:szCs w:val="18"/>
              </w:rPr>
              <w:t xml:space="preserve"> 27 Jan 2019</w:t>
            </w:r>
          </w:p>
          <w:p w:rsidR="002C0B6C" w:rsidRPr="00FD57AB" w:rsidRDefault="00F61476" w:rsidP="002C0B6C">
            <w:pPr>
              <w:pStyle w:val="BodyText"/>
              <w:spacing w:after="0"/>
            </w:pPr>
            <w:r>
              <w:rPr>
                <w:sz w:val="20"/>
                <w:szCs w:val="18"/>
              </w:rPr>
              <w:t>Finalised</w:t>
            </w:r>
            <w:r w:rsidR="002C0B6C" w:rsidRPr="002C0B6C">
              <w:rPr>
                <w:sz w:val="20"/>
                <w:szCs w:val="18"/>
              </w:rPr>
              <w:t xml:space="preserve"> 2</w:t>
            </w:r>
            <w:r w:rsidR="008E4EF7">
              <w:rPr>
                <w:sz w:val="20"/>
                <w:szCs w:val="18"/>
              </w:rPr>
              <w:t>7</w:t>
            </w:r>
            <w:r w:rsidR="002C0B6C" w:rsidRPr="002C0B6C">
              <w:rPr>
                <w:sz w:val="20"/>
                <w:szCs w:val="18"/>
              </w:rPr>
              <w:t xml:space="preserve"> Feb 2019</w:t>
            </w:r>
          </w:p>
        </w:tc>
        <w:tc>
          <w:tcPr>
            <w:tcW w:w="567" w:type="dxa"/>
          </w:tcPr>
          <w:p w:rsidR="00557482" w:rsidRPr="00557482" w:rsidRDefault="00557482" w:rsidP="00557482">
            <w:pPr>
              <w:spacing w:after="240" w:line="240" w:lineRule="auto"/>
              <w:rPr>
                <w:rFonts w:ascii="Roboto Light" w:hAnsi="Roboto Light"/>
                <w:sz w:val="20"/>
              </w:rPr>
            </w:pPr>
          </w:p>
        </w:tc>
        <w:tc>
          <w:tcPr>
            <w:tcW w:w="1985" w:type="dxa"/>
          </w:tcPr>
          <w:p w:rsidR="00557482" w:rsidRPr="00557482" w:rsidRDefault="002C0B6C" w:rsidP="00557482">
            <w:pPr>
              <w:spacing w:before="120" w:after="120" w:line="240" w:lineRule="auto"/>
              <w:rPr>
                <w:rFonts w:ascii="Roboto Light" w:hAnsi="Roboto Light"/>
                <w:sz w:val="20"/>
              </w:rPr>
            </w:pPr>
            <w:r>
              <w:rPr>
                <w:rFonts w:ascii="Roboto Light" w:hAnsi="Roboto Light"/>
                <w:sz w:val="20"/>
              </w:rPr>
              <w:t>Report</w:t>
            </w:r>
          </w:p>
        </w:tc>
        <w:tc>
          <w:tcPr>
            <w:tcW w:w="425" w:type="dxa"/>
          </w:tcPr>
          <w:p w:rsidR="00557482" w:rsidRPr="00557482" w:rsidRDefault="00557482" w:rsidP="00557482">
            <w:pPr>
              <w:spacing w:after="240" w:line="240" w:lineRule="auto"/>
              <w:rPr>
                <w:rFonts w:ascii="Roboto Light" w:hAnsi="Roboto Light"/>
                <w:sz w:val="20"/>
              </w:rPr>
            </w:pPr>
          </w:p>
        </w:tc>
        <w:tc>
          <w:tcPr>
            <w:tcW w:w="3686" w:type="dxa"/>
          </w:tcPr>
          <w:p w:rsidR="00557482" w:rsidRPr="00557482" w:rsidRDefault="002C0B6C" w:rsidP="00557482">
            <w:pPr>
              <w:spacing w:before="120" w:after="120" w:line="240" w:lineRule="auto"/>
              <w:rPr>
                <w:rFonts w:ascii="Roboto Light" w:hAnsi="Roboto Light"/>
                <w:sz w:val="20"/>
              </w:rPr>
            </w:pPr>
            <w:r>
              <w:rPr>
                <w:rFonts w:ascii="Roboto Light" w:hAnsi="Roboto Light"/>
                <w:sz w:val="20"/>
              </w:rPr>
              <w:t>Quality and Technical Assurance Group</w:t>
            </w:r>
          </w:p>
        </w:tc>
      </w:tr>
    </w:tbl>
    <w:p w:rsidR="00557482" w:rsidRPr="00557482" w:rsidRDefault="00557482" w:rsidP="00557482">
      <w:pPr>
        <w:spacing w:after="240" w:line="276" w:lineRule="atLeast"/>
        <w:rPr>
          <w:rFonts w:ascii="Roboto Light" w:hAnsi="Roboto Light"/>
        </w:rPr>
      </w:pPr>
    </w:p>
    <w:p w:rsidR="00557482" w:rsidRPr="00557482" w:rsidRDefault="00557482" w:rsidP="00557482">
      <w:pPr>
        <w:spacing w:after="240" w:line="276" w:lineRule="atLeast"/>
        <w:rPr>
          <w:rFonts w:ascii="Roboto Light" w:hAnsi="Roboto Light"/>
        </w:rPr>
      </w:pPr>
    </w:p>
    <w:p w:rsidR="00557482" w:rsidRPr="00557482" w:rsidRDefault="00557482" w:rsidP="00557482">
      <w:pPr>
        <w:spacing w:after="240" w:line="276" w:lineRule="atLeast"/>
        <w:rPr>
          <w:rFonts w:ascii="Roboto Light" w:hAnsi="Roboto Light"/>
        </w:rPr>
      </w:pPr>
    </w:p>
    <w:p w:rsidR="00557482" w:rsidRPr="00557482" w:rsidRDefault="00557482" w:rsidP="00557482">
      <w:pPr>
        <w:spacing w:after="240" w:line="276" w:lineRule="atLeast"/>
        <w:rPr>
          <w:rFonts w:ascii="Roboto Light" w:hAnsi="Roboto Light"/>
        </w:rPr>
      </w:pPr>
    </w:p>
    <w:p w:rsidR="00557482" w:rsidRPr="00557482" w:rsidRDefault="00557482" w:rsidP="00557482">
      <w:pPr>
        <w:spacing w:after="240" w:line="276" w:lineRule="atLeast"/>
        <w:rPr>
          <w:rFonts w:ascii="Roboto Light" w:hAnsi="Roboto Light"/>
        </w:rPr>
      </w:pPr>
    </w:p>
    <w:p w:rsidR="00557482" w:rsidRPr="00557482" w:rsidRDefault="00557482" w:rsidP="00557482">
      <w:pPr>
        <w:spacing w:after="240" w:line="276" w:lineRule="atLeast"/>
        <w:rPr>
          <w:rFonts w:ascii="Roboto Light" w:hAnsi="Roboto Light"/>
        </w:rPr>
      </w:pPr>
    </w:p>
    <w:p w:rsidR="00557482" w:rsidRPr="00557482" w:rsidRDefault="00557482" w:rsidP="00557482">
      <w:pPr>
        <w:spacing w:after="240" w:line="276" w:lineRule="atLeast"/>
        <w:rPr>
          <w:rFonts w:ascii="Roboto Light" w:hAnsi="Roboto Light"/>
        </w:rPr>
      </w:pPr>
    </w:p>
    <w:p w:rsidR="00557482" w:rsidRDefault="00557482" w:rsidP="00557482">
      <w:pPr>
        <w:spacing w:after="240" w:line="276" w:lineRule="atLeast"/>
        <w:rPr>
          <w:rFonts w:ascii="Roboto Light" w:hAnsi="Roboto Light"/>
        </w:rPr>
      </w:pPr>
    </w:p>
    <w:p w:rsidR="0032045C" w:rsidRDefault="0032045C" w:rsidP="0032045C">
      <w:pPr>
        <w:pStyle w:val="BodyText"/>
      </w:pPr>
    </w:p>
    <w:p w:rsidR="0032045C" w:rsidRDefault="0032045C" w:rsidP="0032045C">
      <w:pPr>
        <w:pStyle w:val="BodyText"/>
      </w:pPr>
    </w:p>
    <w:p w:rsidR="0032045C" w:rsidRDefault="0032045C" w:rsidP="0032045C">
      <w:pPr>
        <w:pStyle w:val="BodyText"/>
      </w:pPr>
    </w:p>
    <w:p w:rsidR="0032045C" w:rsidRDefault="0032045C" w:rsidP="0032045C">
      <w:pPr>
        <w:pStyle w:val="BodyText"/>
      </w:pPr>
    </w:p>
    <w:p w:rsidR="0032045C" w:rsidRPr="0032045C" w:rsidRDefault="0032045C" w:rsidP="0032045C">
      <w:pPr>
        <w:pStyle w:val="BodyText"/>
      </w:pPr>
    </w:p>
    <w:p w:rsidR="00557482" w:rsidRPr="00557482" w:rsidRDefault="00557482" w:rsidP="00557482">
      <w:pPr>
        <w:spacing w:after="0" w:line="240" w:lineRule="auto"/>
        <w:rPr>
          <w:rFonts w:ascii="Poppins ExtraBold" w:hAnsi="Poppins ExtraBold" w:cs="Poppins ExtraBold"/>
          <w:color w:val="0A1F50" w:themeColor="text2"/>
        </w:rPr>
      </w:pPr>
      <w:r w:rsidRPr="00557482">
        <w:rPr>
          <w:rFonts w:ascii="Poppins ExtraBold" w:hAnsi="Poppins ExtraBold" w:cs="Poppins ExtraBold"/>
          <w:noProof/>
          <w:color w:val="0A1F50" w:themeColor="text2"/>
          <w:lang w:val="en-AU" w:eastAsia="en-AU"/>
        </w:rPr>
        <mc:AlternateContent>
          <mc:Choice Requires="wps">
            <w:drawing>
              <wp:anchor distT="0" distB="0" distL="114300" distR="114300" simplePos="0" relativeHeight="251461632" behindDoc="0" locked="0" layoutInCell="1" allowOverlap="1" wp14:anchorId="56517A51" wp14:editId="332C21F1">
                <wp:simplePos x="0" y="0"/>
                <wp:positionH relativeFrom="margin">
                  <wp:posOffset>-44450</wp:posOffset>
                </wp:positionH>
                <wp:positionV relativeFrom="paragraph">
                  <wp:posOffset>-31115</wp:posOffset>
                </wp:positionV>
                <wp:extent cx="996950" cy="533400"/>
                <wp:effectExtent l="0" t="0" r="0" b="0"/>
                <wp:wrapSquare wrapText="bothSides"/>
                <wp:docPr id="2"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33400"/>
                        </a:xfrm>
                        <a:prstGeom prst="rect">
                          <a:avLst/>
                        </a:prstGeom>
                        <a:solidFill>
                          <a:srgbClr val="FFFFFF"/>
                        </a:solidFill>
                        <a:ln w="9525">
                          <a:noFill/>
                          <a:miter lim="800000"/>
                          <a:headEnd/>
                          <a:tailEnd/>
                        </a:ln>
                      </wps:spPr>
                      <wps:txbx>
                        <w:txbxContent>
                          <w:p w:rsidR="00166A4C" w:rsidRPr="00616DE7" w:rsidRDefault="00166A4C" w:rsidP="00557482">
                            <w:pPr>
                              <w:pBdr>
                                <w:right w:val="single" w:sz="4" w:space="4" w:color="auto"/>
                              </w:pBdr>
                              <w:spacing w:after="0" w:line="240" w:lineRule="auto"/>
                              <w:rPr>
                                <w:sz w:val="40"/>
                                <w:szCs w:val="40"/>
                              </w:rPr>
                            </w:pPr>
                            <w:r w:rsidRPr="00616DE7">
                              <w:rPr>
                                <w:rFonts w:ascii="Poppins ExtraBold" w:hAnsi="Poppins ExtraBold" w:cs="Poppins ExtraBold"/>
                                <w:color w:val="0A1F50" w:themeColor="text2"/>
                                <w:sz w:val="40"/>
                                <w:szCs w:val="40"/>
                              </w:rPr>
                              <w:t>QTAG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517A51" id="_x0000_t202" coordsize="21600,21600" o:spt="202" path="m,l,21600r21600,l21600,xe">
                <v:stroke joinstyle="miter"/>
                <v:path gradientshapeok="t" o:connecttype="rect"/>
              </v:shapetype>
              <v:shape id="Text Box 2" o:spid="_x0000_s1026" type="#_x0000_t202" style="position:absolute;margin-left:-3.5pt;margin-top:-2.45pt;width:78.5pt;height:42pt;z-index:25146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" stroked="f">
                <v:textbox>
                  <w:txbxContent>
                    <w:p w:rsidR="00166A4C" w:rsidRPr="00616DE7" w:rsidRDefault="00166A4C" w:rsidP="00557482">
                      <w:pPr>
                        <w:pBdr>
                          <w:right w:val="single" w:sz="4" w:space="4" w:color="auto"/>
                        </w:pBdr>
                        <w:spacing w:after="0" w:line="240" w:lineRule="auto"/>
                        <w:rPr>
                          <w:sz w:val="40"/>
                          <w:szCs w:val="40"/>
                        </w:rPr>
                      </w:pPr>
                      <w:r w:rsidRPr="00616DE7">
                        <w:rPr>
                          <w:rFonts w:ascii="Poppins ExtraBold" w:hAnsi="Poppins ExtraBold" w:cs="Poppins ExtraBold"/>
                          <w:color w:val="0A1F50" w:themeColor="text2"/>
                          <w:sz w:val="40"/>
                          <w:szCs w:val="40"/>
                        </w:rPr>
                        <w:t>QTAG</w:t>
                      </w:r>
                    </w:p>
                  </w:txbxContent>
                </v:textbox>
                <w10:wrap type="square" anchorx="margin"/>
              </v:shape>
            </w:pict>
          </mc:Fallback>
        </mc:AlternateContent>
      </w:r>
      <w:r w:rsidRPr="00557482">
        <w:rPr>
          <w:rFonts w:ascii="Poppins Light" w:hAnsi="Poppins Light" w:cs="Poppins Light"/>
          <w:color w:val="0A1F50" w:themeColor="text2"/>
        </w:rPr>
        <w:t>Papua New Guinea</w:t>
      </w:r>
      <w:r w:rsidRPr="00557482">
        <w:rPr>
          <w:rFonts w:ascii="Poppins ExtraBold" w:hAnsi="Poppins ExtraBold" w:cs="Poppins ExtraBold"/>
          <w:color w:val="0A1F50" w:themeColor="text2"/>
        </w:rPr>
        <w:t xml:space="preserve"> </w:t>
      </w:r>
    </w:p>
    <w:p w:rsidR="00557482" w:rsidRPr="00557482" w:rsidRDefault="00557482" w:rsidP="00557482">
      <w:pPr>
        <w:spacing w:after="0" w:line="240" w:lineRule="auto"/>
        <w:rPr>
          <w:rFonts w:ascii="Poppins ExtraBold" w:hAnsi="Poppins ExtraBold" w:cs="Poppins ExtraBold"/>
          <w:color w:val="0A1F50" w:themeColor="text2"/>
        </w:rPr>
      </w:pPr>
      <w:r w:rsidRPr="00557482">
        <w:rPr>
          <w:rFonts w:ascii="Poppins ExtraBold" w:hAnsi="Poppins ExtraBold" w:cs="Poppins ExtraBold"/>
          <w:color w:val="0A1F50" w:themeColor="text2"/>
        </w:rPr>
        <w:t>Quality and Technical Assurance Group</w:t>
      </w:r>
    </w:p>
    <w:p w:rsidR="00557482" w:rsidRPr="00557482" w:rsidRDefault="00557482" w:rsidP="00557482">
      <w:pPr>
        <w:spacing w:after="0" w:line="240" w:lineRule="auto"/>
        <w:rPr>
          <w:rFonts w:ascii="Poppins ExtraBold" w:hAnsi="Poppins ExtraBold" w:cs="Poppins ExtraBold"/>
          <w:color w:val="0A1F50" w:themeColor="text2"/>
        </w:rPr>
      </w:pPr>
    </w:p>
    <w:p w:rsidR="00ED1F4A" w:rsidRPr="00091600" w:rsidRDefault="00ED1F4A" w:rsidP="00557482">
      <w:pPr>
        <w:tabs>
          <w:tab w:val="left" w:pos="3436"/>
        </w:tabs>
        <w:rPr>
          <w:rFonts w:ascii="Roboto Light" w:hAnsi="Roboto Light"/>
          <w:lang w:val="en-AU"/>
        </w:rPr>
      </w:pPr>
      <w:r w:rsidRPr="00091600">
        <w:rPr>
          <w:rFonts w:ascii="Roboto Light" w:hAnsi="Roboto Light"/>
          <w:lang w:val="en-AU"/>
        </w:rPr>
        <w:tab/>
      </w:r>
    </w:p>
    <w:p w:rsidR="00D01D4C" w:rsidRPr="00091600" w:rsidRDefault="00D01D4C" w:rsidP="000A588E">
      <w:pPr>
        <w:pStyle w:val="Heading1NONUM"/>
        <w:rPr>
          <w:lang w:val="en-AU"/>
        </w:rPr>
      </w:pPr>
      <w:bookmarkStart w:id="1" w:name="_Toc2091538"/>
      <w:bookmarkStart w:id="2" w:name="_Toc523866145"/>
      <w:r w:rsidRPr="000A588E">
        <w:lastRenderedPageBreak/>
        <w:t>Acknowledg</w:t>
      </w:r>
      <w:r w:rsidR="00780A6F" w:rsidRPr="000A588E">
        <w:t>ements</w:t>
      </w:r>
      <w:bookmarkEnd w:id="1"/>
    </w:p>
    <w:p w:rsidR="003904E2" w:rsidRPr="001422B3" w:rsidRDefault="003D2089" w:rsidP="005975B5">
      <w:pPr>
        <w:pStyle w:val="BodyText"/>
        <w:rPr>
          <w:lang w:val="en-AU"/>
        </w:rPr>
      </w:pPr>
      <w:bookmarkStart w:id="3" w:name="_Hlk2142781"/>
      <w:r w:rsidRPr="00091600">
        <w:rPr>
          <w:lang w:val="en-AU"/>
        </w:rPr>
        <w:t xml:space="preserve">This Strategic Review was commissioned from the </w:t>
      </w:r>
      <w:r w:rsidR="005C24F7">
        <w:rPr>
          <w:lang w:val="en-AU"/>
        </w:rPr>
        <w:t xml:space="preserve">independent </w:t>
      </w:r>
      <w:r w:rsidRPr="00091600">
        <w:rPr>
          <w:lang w:val="en-AU"/>
        </w:rPr>
        <w:t>Quality and Technical Assurance Group</w:t>
      </w:r>
      <w:r w:rsidR="00FD50F9" w:rsidRPr="00091600">
        <w:rPr>
          <w:lang w:val="en-AU"/>
        </w:rPr>
        <w:t xml:space="preserve"> by the Australian Government</w:t>
      </w:r>
      <w:r w:rsidRPr="00091600">
        <w:rPr>
          <w:lang w:val="en-AU"/>
        </w:rPr>
        <w:t xml:space="preserve"> and supported by the Government of Papua New Guinea</w:t>
      </w:r>
      <w:bookmarkEnd w:id="3"/>
      <w:r w:rsidRPr="00091600">
        <w:rPr>
          <w:lang w:val="en-AU"/>
        </w:rPr>
        <w:t xml:space="preserve">. The review team comprised </w:t>
      </w:r>
      <w:r w:rsidR="00D01D4C" w:rsidRPr="00091600">
        <w:rPr>
          <w:lang w:val="en-AU"/>
        </w:rPr>
        <w:t>Laure-Hélène Piron, Sandra Naranjo Bautista, Dr Ann-Maree Nobelius</w:t>
      </w:r>
      <w:r w:rsidR="007B1F40" w:rsidRPr="00091600">
        <w:rPr>
          <w:lang w:val="en-AU"/>
        </w:rPr>
        <w:t>,</w:t>
      </w:r>
      <w:r w:rsidR="00D01D4C" w:rsidRPr="00091600">
        <w:rPr>
          <w:lang w:val="en-AU"/>
        </w:rPr>
        <w:t xml:space="preserve"> and Professor Maretta Kula-Semos</w:t>
      </w:r>
      <w:r w:rsidR="003904E2" w:rsidRPr="00091600">
        <w:rPr>
          <w:lang w:val="en-AU"/>
        </w:rPr>
        <w:t>.</w:t>
      </w:r>
      <w:r w:rsidR="001B30FA" w:rsidRPr="00091600">
        <w:rPr>
          <w:lang w:val="en-AU"/>
        </w:rPr>
        <w:t xml:space="preserve"> </w:t>
      </w:r>
      <w:r w:rsidR="003904E2" w:rsidRPr="00091600">
        <w:rPr>
          <w:lang w:val="en-AU"/>
        </w:rPr>
        <w:t>The team was assisted by Rishav Thakur (literature review) and Silky Agrawal (data analysis)</w:t>
      </w:r>
      <w:r w:rsidR="00D01D4C" w:rsidRPr="00091600">
        <w:rPr>
          <w:lang w:val="en-AU"/>
        </w:rPr>
        <w:t xml:space="preserve">. </w:t>
      </w:r>
    </w:p>
    <w:p w:rsidR="000F4B57" w:rsidRPr="00091600" w:rsidRDefault="003D18A0" w:rsidP="000F4B57">
      <w:pPr>
        <w:pStyle w:val="BodyText"/>
        <w:rPr>
          <w:lang w:val="en-AU"/>
        </w:rPr>
      </w:pPr>
      <w:r w:rsidRPr="00091600">
        <w:rPr>
          <w:lang w:val="en-AU"/>
        </w:rPr>
        <w:t>The review team</w:t>
      </w:r>
      <w:r w:rsidR="000F4B57" w:rsidRPr="00091600">
        <w:rPr>
          <w:lang w:val="en-AU"/>
        </w:rPr>
        <w:t xml:space="preserve"> would like to thank the Precinct Board and the Joint Steering Committee members, as well as all the Precinct course participants and other stakeholders, who shared their insights with the team during our visit to Papua New Guinea</w:t>
      </w:r>
      <w:r w:rsidR="00D01D4C" w:rsidRPr="00091600">
        <w:rPr>
          <w:lang w:val="en-AU"/>
        </w:rPr>
        <w:t>.</w:t>
      </w:r>
      <w:r w:rsidR="000F4B57" w:rsidRPr="00091600">
        <w:rPr>
          <w:lang w:val="en-AU"/>
        </w:rPr>
        <w:t xml:space="preserve"> We are grateful for the support we received from Penny </w:t>
      </w:r>
      <w:r w:rsidR="00D01D4C" w:rsidRPr="00091600">
        <w:rPr>
          <w:lang w:val="en-AU"/>
        </w:rPr>
        <w:t>D</w:t>
      </w:r>
      <w:r w:rsidR="001973A7" w:rsidRPr="00091600">
        <w:rPr>
          <w:lang w:val="en-AU"/>
        </w:rPr>
        <w:t>ennis</w:t>
      </w:r>
      <w:r w:rsidR="000F4B57" w:rsidRPr="00091600">
        <w:rPr>
          <w:lang w:val="en-AU"/>
        </w:rPr>
        <w:t xml:space="preserve"> and her colleagues at the Australian High Commission, from </w:t>
      </w:r>
      <w:r w:rsidR="00D01D4C" w:rsidRPr="00091600">
        <w:rPr>
          <w:lang w:val="en-AU"/>
        </w:rPr>
        <w:t>Geoff</w:t>
      </w:r>
      <w:r w:rsidR="000F4B57" w:rsidRPr="00091600">
        <w:rPr>
          <w:lang w:val="en-AU"/>
        </w:rPr>
        <w:t xml:space="preserve"> King (Department of Foreign Affairs and Trade</w:t>
      </w:r>
      <w:r w:rsidR="003E762C">
        <w:rPr>
          <w:lang w:val="en-AU"/>
        </w:rPr>
        <w:t>, Canberra</w:t>
      </w:r>
      <w:r w:rsidR="006640A6">
        <w:rPr>
          <w:lang w:val="en-AU"/>
        </w:rPr>
        <w:t>)</w:t>
      </w:r>
      <w:r w:rsidR="000F4B57" w:rsidRPr="00091600">
        <w:rPr>
          <w:lang w:val="en-AU"/>
        </w:rPr>
        <w:t xml:space="preserve"> </w:t>
      </w:r>
      <w:r w:rsidRPr="00091600">
        <w:rPr>
          <w:lang w:val="en-AU"/>
        </w:rPr>
        <w:t>who was an</w:t>
      </w:r>
      <w:r w:rsidR="000F4B57" w:rsidRPr="00091600">
        <w:rPr>
          <w:lang w:val="en-AU"/>
        </w:rPr>
        <w:t xml:space="preserve"> observer on the team, and from the Quality and Technical Assistance Group (Rob Lancaster, John Mooney, Jo Roberts, and Abeena Mohann, along with feedback from two peer reviewers). Joy Marie Waffi </w:t>
      </w:r>
      <w:r w:rsidR="00B80883">
        <w:rPr>
          <w:lang w:val="en-AU"/>
        </w:rPr>
        <w:t xml:space="preserve">from </w:t>
      </w:r>
      <w:r w:rsidR="000F4B57" w:rsidRPr="00091600">
        <w:rPr>
          <w:lang w:val="en-AU"/>
        </w:rPr>
        <w:t xml:space="preserve">Abt PNG went beyond the call of duty to prepare an extensive program of meetings in a short </w:t>
      </w:r>
      <w:r w:rsidR="00D01D4C" w:rsidRPr="00091600">
        <w:rPr>
          <w:lang w:val="en-AU"/>
        </w:rPr>
        <w:t>timeframe</w:t>
      </w:r>
      <w:r w:rsidR="000F4B57" w:rsidRPr="00091600">
        <w:rPr>
          <w:lang w:val="en-AU"/>
        </w:rPr>
        <w:t>.</w:t>
      </w:r>
    </w:p>
    <w:p w:rsidR="00E94C28" w:rsidRPr="00091600" w:rsidRDefault="00E94C28" w:rsidP="00535AC8">
      <w:pPr>
        <w:pStyle w:val="BodyText"/>
      </w:pPr>
    </w:p>
    <w:p w:rsidR="00E94C28" w:rsidRPr="00091600" w:rsidRDefault="00E94C28" w:rsidP="00535AC8">
      <w:pPr>
        <w:pStyle w:val="BodyText"/>
        <w:sectPr w:rsidR="00E94C28" w:rsidRPr="00091600" w:rsidSect="00D41BC1">
          <w:headerReference w:type="even" r:id="rId8"/>
          <w:headerReference w:type="default" r:id="rId9"/>
          <w:footerReference w:type="even" r:id="rId10"/>
          <w:footerReference w:type="default" r:id="rId11"/>
          <w:headerReference w:type="first" r:id="rId12"/>
          <w:footerReference w:type="first" r:id="rId13"/>
          <w:type w:val="continuous"/>
          <w:pgSz w:w="11900" w:h="16840"/>
          <w:pgMar w:top="1440" w:right="1080" w:bottom="1440" w:left="1080" w:header="709" w:footer="709" w:gutter="0"/>
          <w:pgNumType w:fmt="lowerRoman" w:start="1"/>
          <w:cols w:space="708"/>
          <w:titlePg/>
          <w:docGrid w:linePitch="360"/>
        </w:sectPr>
      </w:pPr>
    </w:p>
    <w:p w:rsidR="002556C0" w:rsidRPr="00091600" w:rsidRDefault="00694FD2" w:rsidP="000A588E">
      <w:pPr>
        <w:pStyle w:val="Heading1NONUM"/>
      </w:pPr>
      <w:bookmarkStart w:id="4" w:name="_Toc503428992"/>
      <w:bookmarkStart w:id="5" w:name="_Toc536719900"/>
      <w:bookmarkStart w:id="6" w:name="_Toc2091539"/>
      <w:r w:rsidRPr="00091600">
        <w:lastRenderedPageBreak/>
        <w:t xml:space="preserve">Executive </w:t>
      </w:r>
      <w:bookmarkEnd w:id="2"/>
      <w:r w:rsidR="004119CB" w:rsidRPr="000A588E">
        <w:t>s</w:t>
      </w:r>
      <w:r w:rsidRPr="000A588E">
        <w:t>ummary</w:t>
      </w:r>
      <w:bookmarkEnd w:id="4"/>
      <w:bookmarkEnd w:id="5"/>
      <w:r w:rsidR="00E93B2D" w:rsidRPr="00091600">
        <w:t xml:space="preserve"> </w:t>
      </w:r>
      <w:bookmarkEnd w:id="6"/>
    </w:p>
    <w:p w:rsidR="00AA2521" w:rsidRDefault="001C7FE9" w:rsidP="008C331E">
      <w:pPr>
        <w:pStyle w:val="Heading4"/>
        <w:rPr>
          <w:lang w:val="en-AU"/>
        </w:rPr>
      </w:pPr>
      <w:r>
        <w:rPr>
          <w:lang w:val="en-AU"/>
        </w:rPr>
        <w:t>Strate</w:t>
      </w:r>
      <w:r w:rsidR="008C331E">
        <w:rPr>
          <w:lang w:val="en-AU"/>
        </w:rPr>
        <w:t>gic</w:t>
      </w:r>
      <w:r>
        <w:rPr>
          <w:lang w:val="en-AU"/>
        </w:rPr>
        <w:t xml:space="preserve"> R</w:t>
      </w:r>
      <w:r w:rsidR="0073687E">
        <w:rPr>
          <w:lang w:val="en-AU"/>
        </w:rPr>
        <w:t>eview background</w:t>
      </w:r>
    </w:p>
    <w:p w:rsidR="00E17E01" w:rsidRPr="00091600" w:rsidRDefault="000F4B57" w:rsidP="000F4B57">
      <w:pPr>
        <w:pStyle w:val="BodyText"/>
        <w:rPr>
          <w:rStyle w:val="Emphasis"/>
          <w:i w:val="0"/>
          <w:iCs w:val="0"/>
          <w:lang w:val="en-AU"/>
        </w:rPr>
      </w:pPr>
      <w:r w:rsidRPr="00091600">
        <w:rPr>
          <w:rFonts w:eastAsia="Times New Roman"/>
          <w:lang w:val="en-AU"/>
        </w:rPr>
        <w:t xml:space="preserve">The </w:t>
      </w:r>
      <w:r w:rsidRPr="00091600">
        <w:rPr>
          <w:rStyle w:val="Emphasis"/>
          <w:i w:val="0"/>
          <w:color w:val="000000" w:themeColor="text1"/>
          <w:lang w:val="en-AU"/>
        </w:rPr>
        <w:t xml:space="preserve">Pacific Leadership and Governance Precinct </w:t>
      </w:r>
      <w:r w:rsidR="009F5553" w:rsidRPr="00662213">
        <w:rPr>
          <w:rStyle w:val="Emphasis"/>
          <w:i w:val="0"/>
          <w:color w:val="000000" w:themeColor="text1"/>
          <w:lang w:val="en-AU"/>
        </w:rPr>
        <w:t>P</w:t>
      </w:r>
      <w:r w:rsidR="00F850EC" w:rsidRPr="00662213">
        <w:rPr>
          <w:rStyle w:val="Emphasis"/>
          <w:i w:val="0"/>
          <w:color w:val="000000" w:themeColor="text1"/>
          <w:lang w:val="en-AU"/>
        </w:rPr>
        <w:t>rogram</w:t>
      </w:r>
      <w:r w:rsidRPr="00091600">
        <w:rPr>
          <w:rStyle w:val="Emphasis"/>
          <w:i w:val="0"/>
          <w:color w:val="000000" w:themeColor="text1"/>
          <w:lang w:val="en-AU"/>
        </w:rPr>
        <w:t xml:space="preserve"> (Precinct) is a flagship initiative of the Australian Department of Foreign Affairs and Trade in partnership with the Department of Personnel </w:t>
      </w:r>
      <w:r w:rsidRPr="00091600">
        <w:rPr>
          <w:rStyle w:val="Emphasis"/>
          <w:i w:val="0"/>
          <w:lang w:val="en-AU"/>
        </w:rPr>
        <w:t>Management</w:t>
      </w:r>
      <w:r w:rsidRPr="00091600">
        <w:rPr>
          <w:rStyle w:val="Emphasis"/>
          <w:i w:val="0"/>
          <w:color w:val="000000" w:themeColor="text1"/>
          <w:lang w:val="en-AU"/>
        </w:rPr>
        <w:t xml:space="preserve"> and the </w:t>
      </w:r>
      <w:r w:rsidRPr="00091600">
        <w:rPr>
          <w:lang w:val="en-AU"/>
        </w:rPr>
        <w:t>Department</w:t>
      </w:r>
      <w:r w:rsidRPr="00091600">
        <w:rPr>
          <w:spacing w:val="-13"/>
          <w:lang w:val="en-AU"/>
        </w:rPr>
        <w:t xml:space="preserve"> </w:t>
      </w:r>
      <w:r w:rsidRPr="00091600">
        <w:rPr>
          <w:lang w:val="en-AU"/>
        </w:rPr>
        <w:t>of</w:t>
      </w:r>
      <w:r w:rsidRPr="00091600">
        <w:rPr>
          <w:spacing w:val="-13"/>
          <w:lang w:val="en-AU"/>
        </w:rPr>
        <w:t xml:space="preserve"> </w:t>
      </w:r>
      <w:r w:rsidRPr="00091600">
        <w:rPr>
          <w:lang w:val="en-AU"/>
        </w:rPr>
        <w:t>Higher</w:t>
      </w:r>
      <w:r w:rsidRPr="00091600">
        <w:rPr>
          <w:spacing w:val="-13"/>
          <w:lang w:val="en-AU"/>
        </w:rPr>
        <w:t xml:space="preserve"> </w:t>
      </w:r>
      <w:r w:rsidRPr="00091600">
        <w:rPr>
          <w:spacing w:val="-3"/>
          <w:lang w:val="en-AU"/>
        </w:rPr>
        <w:t>Education,</w:t>
      </w:r>
      <w:r w:rsidRPr="00091600">
        <w:rPr>
          <w:spacing w:val="-13"/>
          <w:lang w:val="en-AU"/>
        </w:rPr>
        <w:t xml:space="preserve"> </w:t>
      </w:r>
      <w:r w:rsidRPr="00091600">
        <w:rPr>
          <w:spacing w:val="-3"/>
          <w:lang w:val="en-AU"/>
        </w:rPr>
        <w:t>Research,</w:t>
      </w:r>
      <w:r w:rsidRPr="00091600">
        <w:rPr>
          <w:spacing w:val="-13"/>
          <w:lang w:val="en-AU"/>
        </w:rPr>
        <w:t xml:space="preserve"> </w:t>
      </w:r>
      <w:r w:rsidRPr="00091600">
        <w:rPr>
          <w:spacing w:val="-3"/>
          <w:lang w:val="en-AU"/>
        </w:rPr>
        <w:t>Science,</w:t>
      </w:r>
      <w:r w:rsidRPr="00091600">
        <w:rPr>
          <w:spacing w:val="-13"/>
          <w:lang w:val="en-AU"/>
        </w:rPr>
        <w:t xml:space="preserve"> </w:t>
      </w:r>
      <w:r w:rsidRPr="00091600">
        <w:rPr>
          <w:lang w:val="en-AU"/>
        </w:rPr>
        <w:t>and</w:t>
      </w:r>
      <w:r w:rsidRPr="00091600">
        <w:rPr>
          <w:spacing w:val="-13"/>
          <w:lang w:val="en-AU"/>
        </w:rPr>
        <w:t xml:space="preserve"> </w:t>
      </w:r>
      <w:r w:rsidRPr="00091600">
        <w:rPr>
          <w:spacing w:val="-5"/>
          <w:lang w:val="en-AU"/>
        </w:rPr>
        <w:t>Technology (DHERST)</w:t>
      </w:r>
      <w:r w:rsidRPr="00091600">
        <w:rPr>
          <w:rStyle w:val="Emphasis"/>
          <w:i w:val="0"/>
          <w:color w:val="000000" w:themeColor="text1"/>
          <w:lang w:val="en-AU"/>
        </w:rPr>
        <w:t xml:space="preserve"> of the Government of Papua New Guinea. Its goal is ‘</w:t>
      </w:r>
      <w:r w:rsidRPr="00091600">
        <w:rPr>
          <w:lang w:val="en-AU"/>
        </w:rPr>
        <w:t xml:space="preserve">to support the </w:t>
      </w:r>
      <w:r w:rsidR="00E87298">
        <w:rPr>
          <w:lang w:val="en-AU"/>
        </w:rPr>
        <w:t>PNG Government</w:t>
      </w:r>
      <w:r w:rsidRPr="00091600">
        <w:rPr>
          <w:lang w:val="en-AU"/>
        </w:rPr>
        <w:t xml:space="preserve"> grow a new generation of ethical public service leaders, both women and men, with the capability and motivation to collaborate, lead and manage the delivery of equitable and inclusive government services to all citizens of the country’. It benefits from high level political support, particularly from the current </w:t>
      </w:r>
      <w:r w:rsidR="00E87298">
        <w:rPr>
          <w:lang w:val="en-AU"/>
        </w:rPr>
        <w:t>PNG Government</w:t>
      </w:r>
      <w:r w:rsidRPr="00091600">
        <w:rPr>
          <w:lang w:val="en-AU"/>
        </w:rPr>
        <w:t xml:space="preserve"> Minister of Public Service and senior PNG government officials.</w:t>
      </w:r>
    </w:p>
    <w:p w:rsidR="00AA2521" w:rsidRPr="00931BFA" w:rsidRDefault="000F4B57" w:rsidP="00AA2521">
      <w:pPr>
        <w:pStyle w:val="BodyText"/>
        <w:rPr>
          <w:rFonts w:ascii="Roboto" w:hAnsi="Roboto" w:cs="Times New Roman"/>
          <w:b/>
          <w:lang w:val="en-AU"/>
        </w:rPr>
      </w:pPr>
      <w:r w:rsidRPr="00091600">
        <w:rPr>
          <w:lang w:val="en-AU"/>
        </w:rPr>
        <w:t xml:space="preserve">The purpose of this Strategic Review is to assess the progress of the Precinct against the ‘rolling’ design towards its intermediate outcomes (using the January 2016 update of the Design Brief and Implementation), and to analyse early signs of practice change by the intended beneficiaries. The </w:t>
      </w:r>
      <w:r w:rsidR="007B1F40" w:rsidRPr="00091600">
        <w:rPr>
          <w:lang w:val="en-AU"/>
        </w:rPr>
        <w:t>r</w:t>
      </w:r>
      <w:r w:rsidR="00F850EC" w:rsidRPr="00091600">
        <w:rPr>
          <w:lang w:val="en-AU"/>
        </w:rPr>
        <w:t>eview</w:t>
      </w:r>
      <w:r w:rsidRPr="00091600">
        <w:rPr>
          <w:lang w:val="en-AU"/>
        </w:rPr>
        <w:t xml:space="preserve"> also </w:t>
      </w:r>
      <w:r w:rsidRPr="006B136C">
        <w:t xml:space="preserve">provides recommendations based on evidence from Papua New Guinea (PNG) and international experience, as well as best practice, regarding adjustments or new initiatives. The key review question is: </w:t>
      </w:r>
      <w:r w:rsidR="00AA2521" w:rsidRPr="00796636">
        <w:rPr>
          <w:rFonts w:ascii="Roboto" w:hAnsi="Roboto"/>
        </w:rPr>
        <w:t>‘To what extent is investment in the Precinct contributing to the desired outcomes of effective and ethical leadership?’</w:t>
      </w:r>
    </w:p>
    <w:p w:rsidR="000F4B57" w:rsidRDefault="000F4B57" w:rsidP="000F4B57">
      <w:pPr>
        <w:pStyle w:val="BodyText"/>
        <w:rPr>
          <w:lang w:val="en-AU"/>
        </w:rPr>
      </w:pPr>
      <w:r w:rsidRPr="00091600">
        <w:rPr>
          <w:lang w:val="en-AU"/>
        </w:rPr>
        <w:t xml:space="preserve">The </w:t>
      </w:r>
      <w:r w:rsidR="007B1F40" w:rsidRPr="00091600">
        <w:rPr>
          <w:lang w:val="en-AU"/>
        </w:rPr>
        <w:t>r</w:t>
      </w:r>
      <w:r w:rsidR="00F850EC" w:rsidRPr="00091600">
        <w:rPr>
          <w:lang w:val="en-AU"/>
        </w:rPr>
        <w:t>eview</w:t>
      </w:r>
      <w:r w:rsidRPr="00091600">
        <w:rPr>
          <w:lang w:val="en-AU"/>
        </w:rPr>
        <w:t xml:space="preserve"> team adopted a ‘strengths-based’ approach and visited PNG (Port Moresby and East New Britain Province) between </w:t>
      </w:r>
      <w:r w:rsidR="007B1F40" w:rsidRPr="00091600">
        <w:rPr>
          <w:lang w:val="en-AU"/>
        </w:rPr>
        <w:t>0</w:t>
      </w:r>
      <w:r w:rsidR="00F850EC" w:rsidRPr="00091600">
        <w:rPr>
          <w:lang w:val="en-AU"/>
        </w:rPr>
        <w:t>8</w:t>
      </w:r>
      <w:r w:rsidRPr="00091600">
        <w:rPr>
          <w:lang w:val="en-AU"/>
        </w:rPr>
        <w:t xml:space="preserve"> and 20 July 2018. </w:t>
      </w:r>
      <w:r w:rsidR="00014971" w:rsidRPr="00091600">
        <w:rPr>
          <w:lang w:val="en-AU"/>
        </w:rPr>
        <w:t>The</w:t>
      </w:r>
      <w:r w:rsidRPr="00091600">
        <w:rPr>
          <w:lang w:val="en-AU"/>
        </w:rPr>
        <w:t xml:space="preserve"> team interviewed 120 stakeholders and collected over 200 documents.</w:t>
      </w:r>
    </w:p>
    <w:p w:rsidR="000C49BB" w:rsidRPr="001422B3" w:rsidRDefault="000C49BB" w:rsidP="008C6A1D">
      <w:pPr>
        <w:pStyle w:val="Heading4"/>
        <w:rPr>
          <w:rFonts w:cs="Times New Roman"/>
          <w:lang w:val="en-AU"/>
        </w:rPr>
      </w:pPr>
      <w:r w:rsidRPr="001422B3">
        <w:rPr>
          <w:lang w:val="en-AU"/>
        </w:rPr>
        <w:t>P</w:t>
      </w:r>
      <w:r w:rsidR="0073687E">
        <w:rPr>
          <w:lang w:val="en-AU"/>
        </w:rPr>
        <w:t>recinct p</w:t>
      </w:r>
      <w:r w:rsidRPr="001422B3">
        <w:rPr>
          <w:lang w:val="en-AU"/>
        </w:rPr>
        <w:t>rogram overview</w:t>
      </w:r>
    </w:p>
    <w:p w:rsidR="000F4B57" w:rsidRPr="00091600" w:rsidRDefault="000F4B57" w:rsidP="000F4B57">
      <w:pPr>
        <w:pStyle w:val="BodyText"/>
        <w:rPr>
          <w:lang w:val="en-AU"/>
        </w:rPr>
      </w:pPr>
      <w:r w:rsidRPr="00091600">
        <w:rPr>
          <w:lang w:val="en-AU"/>
        </w:rPr>
        <w:t xml:space="preserve">The program supports the implementation of two core </w:t>
      </w:r>
      <w:r w:rsidR="00E87298">
        <w:rPr>
          <w:lang w:val="en-AU"/>
        </w:rPr>
        <w:t>PNG Government</w:t>
      </w:r>
      <w:r w:rsidRPr="00091600">
        <w:rPr>
          <w:lang w:val="en-AU"/>
        </w:rPr>
        <w:t xml:space="preserve"> documents: the Ethics and Values</w:t>
      </w:r>
      <w:r w:rsidR="000C49BB">
        <w:rPr>
          <w:lang w:val="en-AU"/>
        </w:rPr>
        <w:t xml:space="preserve"> </w:t>
      </w:r>
      <w:r w:rsidRPr="00091600">
        <w:rPr>
          <w:lang w:val="en-AU"/>
        </w:rPr>
        <w:t xml:space="preserve">Based Executive Leadership and Management Capability Framework (LCF), and the National Public Service Gender Equity and Social Inclusion (GESI) Policy. The </w:t>
      </w:r>
      <w:r w:rsidR="00340BCC" w:rsidRPr="00091600">
        <w:rPr>
          <w:lang w:val="en-AU"/>
        </w:rPr>
        <w:t>T</w:t>
      </w:r>
      <w:r w:rsidR="00107D5A" w:rsidRPr="00091600">
        <w:rPr>
          <w:lang w:val="en-AU"/>
        </w:rPr>
        <w:t>erms</w:t>
      </w:r>
      <w:r w:rsidRPr="00091600">
        <w:rPr>
          <w:lang w:val="en-AU"/>
        </w:rPr>
        <w:t xml:space="preserve"> of </w:t>
      </w:r>
      <w:r w:rsidR="00340BCC" w:rsidRPr="00091600">
        <w:rPr>
          <w:lang w:val="en-AU"/>
        </w:rPr>
        <w:t>R</w:t>
      </w:r>
      <w:r w:rsidR="00107D5A" w:rsidRPr="00091600">
        <w:rPr>
          <w:lang w:val="en-AU"/>
        </w:rPr>
        <w:t>eference</w:t>
      </w:r>
      <w:r w:rsidRPr="00091600">
        <w:rPr>
          <w:lang w:val="en-AU"/>
        </w:rPr>
        <w:t xml:space="preserve"> for the </w:t>
      </w:r>
      <w:r w:rsidR="006D3B7A" w:rsidRPr="00091600">
        <w:rPr>
          <w:lang w:val="en-AU"/>
        </w:rPr>
        <w:t>r</w:t>
      </w:r>
      <w:r w:rsidR="00F850EC" w:rsidRPr="00091600">
        <w:rPr>
          <w:lang w:val="en-AU"/>
        </w:rPr>
        <w:t>eview</w:t>
      </w:r>
      <w:r w:rsidRPr="00091600">
        <w:rPr>
          <w:lang w:val="en-AU"/>
        </w:rPr>
        <w:t xml:space="preserve"> presents the Precinct program logic through three ‘strategies for change’. The overarching assumption is that PNG’s long-term development needs to be led by well-informed PNG leaders, both male and female, with the critical and analytical skills to address economic and policy challenges. Training and improved infrastructure are the two main approaches used to develop this leadership. </w:t>
      </w:r>
    </w:p>
    <w:p w:rsidR="000F4B57" w:rsidRPr="00091600" w:rsidRDefault="000F4B57" w:rsidP="000F4B57">
      <w:pPr>
        <w:pStyle w:val="BodyText"/>
        <w:rPr>
          <w:rFonts w:cstheme="minorBidi"/>
          <w:lang w:val="en-AU"/>
        </w:rPr>
      </w:pPr>
      <w:r w:rsidRPr="00091600">
        <w:rPr>
          <w:lang w:val="en-AU"/>
        </w:rPr>
        <w:t>The three strategies are:</w:t>
      </w:r>
    </w:p>
    <w:p w:rsidR="000F4B57" w:rsidRPr="00091600" w:rsidRDefault="00F850EC" w:rsidP="008F7A55">
      <w:pPr>
        <w:pStyle w:val="BodyText"/>
        <w:numPr>
          <w:ilvl w:val="0"/>
          <w:numId w:val="18"/>
        </w:numPr>
        <w:rPr>
          <w:color w:val="000000" w:themeColor="text1"/>
          <w:lang w:val="en-AU"/>
        </w:rPr>
      </w:pPr>
      <w:r w:rsidRPr="001422B3">
        <w:rPr>
          <w:rFonts w:ascii="Roboto" w:hAnsi="Roboto"/>
          <w:b/>
          <w:color w:val="000000" w:themeColor="text1"/>
          <w:lang w:val="en-AU"/>
        </w:rPr>
        <w:t>Support</w:t>
      </w:r>
      <w:r w:rsidR="000F4B57" w:rsidRPr="001422B3">
        <w:rPr>
          <w:rFonts w:ascii="Roboto" w:hAnsi="Roboto"/>
          <w:b/>
          <w:color w:val="000000" w:themeColor="text1"/>
          <w:lang w:val="en-AU"/>
        </w:rPr>
        <w:t xml:space="preserve"> to the new School of Business and Public Policy</w:t>
      </w:r>
      <w:r w:rsidR="000F4B57" w:rsidRPr="00091600">
        <w:rPr>
          <w:color w:val="000000" w:themeColor="text1"/>
          <w:lang w:val="en-AU"/>
        </w:rPr>
        <w:t xml:space="preserve"> (SBPP) of the University of Papua New Guinea (UPNG</w:t>
      </w:r>
      <w:r w:rsidRPr="00091600">
        <w:rPr>
          <w:color w:val="000000" w:themeColor="text1"/>
          <w:lang w:val="en-AU"/>
        </w:rPr>
        <w:t>)</w:t>
      </w:r>
      <w:r w:rsidR="000F4B57" w:rsidRPr="00091600">
        <w:rPr>
          <w:color w:val="000000" w:themeColor="text1"/>
          <w:lang w:val="en-AU"/>
        </w:rPr>
        <w:t xml:space="preserve"> through a partnership with the Australia National University (ANU) Crawford School of Public Policy. This is seen as the Precinct’s long-term strategy</w:t>
      </w:r>
      <w:r w:rsidR="008D003B" w:rsidRPr="00091600">
        <w:rPr>
          <w:color w:val="000000" w:themeColor="text1"/>
          <w:lang w:val="en-AU"/>
        </w:rPr>
        <w:t>.</w:t>
      </w:r>
      <w:r w:rsidR="000F4B57" w:rsidRPr="00091600">
        <w:rPr>
          <w:color w:val="000000" w:themeColor="text1"/>
          <w:lang w:val="en-AU"/>
        </w:rPr>
        <w:t xml:space="preserve"> </w:t>
      </w:r>
    </w:p>
    <w:p w:rsidR="000F4B57" w:rsidRPr="00091600" w:rsidRDefault="00F850EC" w:rsidP="008F7A55">
      <w:pPr>
        <w:pStyle w:val="BodyText"/>
        <w:numPr>
          <w:ilvl w:val="0"/>
          <w:numId w:val="18"/>
        </w:numPr>
        <w:rPr>
          <w:color w:val="000000" w:themeColor="text1"/>
          <w:lang w:val="en-AU"/>
        </w:rPr>
      </w:pPr>
      <w:r w:rsidRPr="001422B3">
        <w:rPr>
          <w:rFonts w:ascii="Roboto" w:hAnsi="Roboto"/>
          <w:b/>
          <w:color w:val="000000" w:themeColor="text1"/>
          <w:lang w:val="en-AU"/>
        </w:rPr>
        <w:t>Support</w:t>
      </w:r>
      <w:r w:rsidR="000F4B57" w:rsidRPr="001422B3">
        <w:rPr>
          <w:rFonts w:ascii="Roboto" w:hAnsi="Roboto"/>
          <w:b/>
          <w:color w:val="000000" w:themeColor="text1"/>
          <w:lang w:val="en-AU"/>
        </w:rPr>
        <w:t xml:space="preserve"> to the Pacific Institute </w:t>
      </w:r>
      <w:r w:rsidR="006D3B7A" w:rsidRPr="001422B3">
        <w:rPr>
          <w:rFonts w:ascii="Roboto" w:hAnsi="Roboto"/>
          <w:b/>
          <w:color w:val="000000" w:themeColor="text1"/>
          <w:lang w:val="en-AU"/>
        </w:rPr>
        <w:t>of</w:t>
      </w:r>
      <w:r w:rsidR="000F4B57" w:rsidRPr="001422B3">
        <w:rPr>
          <w:rFonts w:ascii="Roboto" w:hAnsi="Roboto"/>
          <w:b/>
          <w:color w:val="000000" w:themeColor="text1"/>
          <w:lang w:val="en-AU"/>
        </w:rPr>
        <w:t xml:space="preserve"> Leadership and Governance</w:t>
      </w:r>
      <w:r w:rsidR="000F4B57" w:rsidRPr="00091600">
        <w:rPr>
          <w:color w:val="000000" w:themeColor="text1"/>
          <w:lang w:val="en-AU"/>
        </w:rPr>
        <w:t xml:space="preserve"> (PILAG), which trains public servants, through a collaboration with the Australian Public Service Commission (APSC) and its service provider (Canberra Institute of Technology (CIT) Solutions). This is presented as the Precinct’s medium-term strategy. The Precinct delivers additional leadership courses for public servants and other stakeholders through the University of Queensland (UQ). (For ease of analysis, the review examines all public servants’ training together in the PILAG section</w:t>
      </w:r>
      <w:r w:rsidR="003E01E8" w:rsidRPr="00091600">
        <w:rPr>
          <w:color w:val="000000" w:themeColor="text1"/>
          <w:lang w:val="en-AU"/>
        </w:rPr>
        <w:t>)</w:t>
      </w:r>
      <w:r w:rsidR="00481182">
        <w:rPr>
          <w:color w:val="000000" w:themeColor="text1"/>
          <w:lang w:val="en-AU"/>
        </w:rPr>
        <w:t>.</w:t>
      </w:r>
    </w:p>
    <w:p w:rsidR="000F4B57" w:rsidRPr="00091600" w:rsidRDefault="00F850EC" w:rsidP="008F7A55">
      <w:pPr>
        <w:pStyle w:val="BodyText"/>
        <w:numPr>
          <w:ilvl w:val="0"/>
          <w:numId w:val="18"/>
        </w:numPr>
        <w:rPr>
          <w:color w:val="000000" w:themeColor="text1"/>
          <w:lang w:val="en-AU"/>
        </w:rPr>
      </w:pPr>
      <w:r w:rsidRPr="001422B3">
        <w:rPr>
          <w:rFonts w:ascii="Roboto" w:hAnsi="Roboto"/>
          <w:b/>
          <w:color w:val="000000" w:themeColor="text1"/>
          <w:lang w:val="en-AU"/>
        </w:rPr>
        <w:t>Support</w:t>
      </w:r>
      <w:r w:rsidR="000F4B57" w:rsidRPr="001422B3">
        <w:rPr>
          <w:rFonts w:ascii="Roboto" w:hAnsi="Roboto"/>
          <w:b/>
          <w:color w:val="000000" w:themeColor="text1"/>
          <w:lang w:val="en-AU"/>
        </w:rPr>
        <w:t xml:space="preserve"> to pathways and enabling environment</w:t>
      </w:r>
      <w:r w:rsidR="000F4B57" w:rsidRPr="00091600">
        <w:rPr>
          <w:color w:val="000000" w:themeColor="text1"/>
          <w:lang w:val="en-AU"/>
        </w:rPr>
        <w:t>, including building a physical pathway between PILAG and SBPP and public policy events such as the PNG Update. The assumption is that higher education and classroom-based professional training will not be enough to deliver effective leaders that can contribute to PNG’s long-term development. This third strategy assumes that support to SBPP and PILAG needs to be complemented by activities to promote linkages, such as peer-to-peer learning and alliances.</w:t>
      </w:r>
    </w:p>
    <w:p w:rsidR="000F4B57" w:rsidRDefault="000F4B57" w:rsidP="001422B3">
      <w:pPr>
        <w:pStyle w:val="BodyText"/>
        <w:rPr>
          <w:color w:val="000000" w:themeColor="text1"/>
          <w:lang w:val="en-AU"/>
        </w:rPr>
      </w:pPr>
      <w:r w:rsidRPr="00091600">
        <w:rPr>
          <w:color w:val="000000" w:themeColor="text1"/>
          <w:lang w:val="en-AU"/>
        </w:rPr>
        <w:lastRenderedPageBreak/>
        <w:t xml:space="preserve">In addition, </w:t>
      </w:r>
      <w:r w:rsidR="001B26E3" w:rsidRPr="00212219">
        <w:rPr>
          <w:rFonts w:ascii="Roboto" w:hAnsi="Roboto"/>
          <w:color w:val="000000" w:themeColor="text1"/>
          <w:lang w:val="en-AU"/>
        </w:rPr>
        <w:t>g</w:t>
      </w:r>
      <w:r w:rsidR="00F850EC" w:rsidRPr="00212219">
        <w:rPr>
          <w:rFonts w:ascii="Roboto" w:hAnsi="Roboto"/>
          <w:color w:val="000000" w:themeColor="text1"/>
          <w:lang w:val="en-AU"/>
        </w:rPr>
        <w:t>ender equity and social inclusion</w:t>
      </w:r>
      <w:r w:rsidR="004F6577" w:rsidRPr="00091600">
        <w:rPr>
          <w:color w:val="000000" w:themeColor="text1"/>
          <w:lang w:val="en-AU"/>
        </w:rPr>
        <w:t xml:space="preserve"> </w:t>
      </w:r>
      <w:r w:rsidRPr="00091600">
        <w:rPr>
          <w:color w:val="000000" w:themeColor="text1"/>
          <w:lang w:val="en-AU"/>
        </w:rPr>
        <w:t xml:space="preserve">is considered by the </w:t>
      </w:r>
      <w:r w:rsidR="00676BA7" w:rsidRPr="00091600">
        <w:rPr>
          <w:color w:val="000000" w:themeColor="text1"/>
          <w:lang w:val="en-AU"/>
        </w:rPr>
        <w:t>r</w:t>
      </w:r>
      <w:r w:rsidR="004F6577" w:rsidRPr="00091600">
        <w:rPr>
          <w:color w:val="000000" w:themeColor="text1"/>
          <w:lang w:val="en-AU"/>
        </w:rPr>
        <w:t>eview</w:t>
      </w:r>
      <w:r w:rsidRPr="00091600">
        <w:rPr>
          <w:color w:val="000000" w:themeColor="text1"/>
          <w:lang w:val="en-AU"/>
        </w:rPr>
        <w:t xml:space="preserve"> team as the Precinct’s fourth strategy. Though it is not an explicit change strategy in the program documentation, the Precinct program goal is clear that both women and men are </w:t>
      </w:r>
      <w:r w:rsidR="00F850EC" w:rsidRPr="00091600">
        <w:rPr>
          <w:color w:val="000000" w:themeColor="text1"/>
          <w:lang w:val="en-AU"/>
        </w:rPr>
        <w:t>included in</w:t>
      </w:r>
      <w:r w:rsidRPr="00091600">
        <w:rPr>
          <w:color w:val="000000" w:themeColor="text1"/>
          <w:lang w:val="en-AU"/>
        </w:rPr>
        <w:t xml:space="preserve"> the vision of ethical leaders delivering inclusive services.</w:t>
      </w:r>
    </w:p>
    <w:p w:rsidR="00481182" w:rsidRPr="001422B3" w:rsidRDefault="00454584" w:rsidP="00212219">
      <w:pPr>
        <w:pStyle w:val="Heading4"/>
        <w:rPr>
          <w:lang w:val="en-AU"/>
        </w:rPr>
      </w:pPr>
      <w:r>
        <w:rPr>
          <w:lang w:val="en-AU"/>
        </w:rPr>
        <w:t xml:space="preserve">Findings on </w:t>
      </w:r>
      <w:r w:rsidR="00481182">
        <w:rPr>
          <w:lang w:val="en-AU"/>
        </w:rPr>
        <w:t>Precinct</w:t>
      </w:r>
      <w:r w:rsidR="002C02F5">
        <w:rPr>
          <w:lang w:val="en-AU"/>
        </w:rPr>
        <w:t xml:space="preserve"> </w:t>
      </w:r>
      <w:r w:rsidR="00A349E9">
        <w:rPr>
          <w:lang w:val="en-AU"/>
        </w:rPr>
        <w:t>achievements</w:t>
      </w:r>
      <w:r>
        <w:rPr>
          <w:lang w:val="en-AU"/>
        </w:rPr>
        <w:t xml:space="preserve"> and </w:t>
      </w:r>
      <w:r w:rsidR="00A349E9">
        <w:rPr>
          <w:lang w:val="en-AU"/>
        </w:rPr>
        <w:t>pillars’ strengths, challenges and opportunities</w:t>
      </w:r>
    </w:p>
    <w:p w:rsidR="000F4B57" w:rsidRPr="00091600" w:rsidRDefault="000F4B57" w:rsidP="001422B3">
      <w:pPr>
        <w:pStyle w:val="BodyText"/>
        <w:rPr>
          <w:lang w:val="en-AU"/>
        </w:rPr>
      </w:pPr>
      <w:r w:rsidRPr="00091600">
        <w:rPr>
          <w:lang w:val="en-AU"/>
        </w:rPr>
        <w:t>Overall, the Precinct</w:t>
      </w:r>
      <w:r w:rsidR="00E17E01" w:rsidRPr="00091600">
        <w:rPr>
          <w:lang w:val="en-AU"/>
        </w:rPr>
        <w:t xml:space="preserve"> </w:t>
      </w:r>
      <w:r w:rsidRPr="00091600">
        <w:rPr>
          <w:lang w:val="en-AU"/>
        </w:rPr>
        <w:t xml:space="preserve">has </w:t>
      </w:r>
      <w:r w:rsidR="00F850EC" w:rsidRPr="00091600">
        <w:rPr>
          <w:lang w:val="en-AU"/>
        </w:rPr>
        <w:t>delivered a number</w:t>
      </w:r>
      <w:r w:rsidR="00E17E01" w:rsidRPr="00091600">
        <w:rPr>
          <w:lang w:val="en-AU"/>
        </w:rPr>
        <w:t xml:space="preserve"> of concrete outputs </w:t>
      </w:r>
      <w:r w:rsidR="00F850EC" w:rsidRPr="00091600">
        <w:rPr>
          <w:lang w:val="en-AU"/>
        </w:rPr>
        <w:t>since</w:t>
      </w:r>
      <w:r w:rsidRPr="00091600">
        <w:rPr>
          <w:lang w:val="en-AU"/>
        </w:rPr>
        <w:t xml:space="preserve"> it started in 2015 (data up to May 2018):</w:t>
      </w:r>
    </w:p>
    <w:p w:rsidR="000F4B57" w:rsidRPr="00091600" w:rsidRDefault="000F4B57" w:rsidP="008F7A55">
      <w:pPr>
        <w:pStyle w:val="BodyText"/>
        <w:numPr>
          <w:ilvl w:val="0"/>
          <w:numId w:val="20"/>
        </w:numPr>
        <w:rPr>
          <w:lang w:val="en-AU"/>
        </w:rPr>
      </w:pPr>
      <w:r w:rsidRPr="00091600">
        <w:rPr>
          <w:lang w:val="en-AU"/>
        </w:rPr>
        <w:t>Precinct vocational courses and academic courses at SBPP have benefited 1,657 participants who appear motivated to use their newly-acquired skills;</w:t>
      </w:r>
      <w:r w:rsidR="00901D6C" w:rsidRPr="00091600">
        <w:rPr>
          <w:lang w:val="en-AU"/>
        </w:rPr>
        <w:t xml:space="preserve"> </w:t>
      </w:r>
    </w:p>
    <w:p w:rsidR="000F4B57" w:rsidRPr="00091600" w:rsidRDefault="00481182" w:rsidP="008F7A55">
      <w:pPr>
        <w:pStyle w:val="BodyText"/>
        <w:numPr>
          <w:ilvl w:val="0"/>
          <w:numId w:val="20"/>
        </w:numPr>
        <w:rPr>
          <w:lang w:val="en-AU"/>
        </w:rPr>
      </w:pPr>
      <w:r>
        <w:rPr>
          <w:lang w:val="en-AU"/>
        </w:rPr>
        <w:t>t</w:t>
      </w:r>
      <w:r w:rsidR="00F850EC" w:rsidRPr="00091600">
        <w:rPr>
          <w:lang w:val="en-AU"/>
        </w:rPr>
        <w:t>here</w:t>
      </w:r>
      <w:r w:rsidR="000F4B57" w:rsidRPr="00091600">
        <w:rPr>
          <w:lang w:val="en-AU"/>
        </w:rPr>
        <w:t xml:space="preserve"> has been an appropriate and valued expansion of activities to provinces and districts;</w:t>
      </w:r>
    </w:p>
    <w:p w:rsidR="000F4B57" w:rsidRPr="00091600" w:rsidRDefault="00481182" w:rsidP="008F7A55">
      <w:pPr>
        <w:pStyle w:val="BodyText"/>
        <w:numPr>
          <w:ilvl w:val="0"/>
          <w:numId w:val="20"/>
        </w:numPr>
        <w:rPr>
          <w:lang w:val="en-AU"/>
        </w:rPr>
      </w:pPr>
      <w:r>
        <w:rPr>
          <w:lang w:val="en-AU"/>
        </w:rPr>
        <w:t>t</w:t>
      </w:r>
      <w:r w:rsidR="00F850EC" w:rsidRPr="00091600">
        <w:rPr>
          <w:lang w:val="en-AU"/>
        </w:rPr>
        <w:t>he</w:t>
      </w:r>
      <w:r w:rsidR="000F4B57" w:rsidRPr="00091600">
        <w:rPr>
          <w:lang w:val="en-AU"/>
        </w:rPr>
        <w:t xml:space="preserve"> LCF and GESI Policy are integrated </w:t>
      </w:r>
      <w:r w:rsidR="00F850EC" w:rsidRPr="00091600">
        <w:rPr>
          <w:lang w:val="en-AU"/>
        </w:rPr>
        <w:t>in</w:t>
      </w:r>
      <w:r w:rsidR="00676BA7" w:rsidRPr="00091600">
        <w:rPr>
          <w:lang w:val="en-AU"/>
        </w:rPr>
        <w:t>to</w:t>
      </w:r>
      <w:r w:rsidR="000F4B57" w:rsidRPr="00091600">
        <w:rPr>
          <w:lang w:val="en-AU"/>
        </w:rPr>
        <w:t xml:space="preserve"> most Precinct courses, helping </w:t>
      </w:r>
      <w:r w:rsidR="00E87298">
        <w:rPr>
          <w:lang w:val="en-AU"/>
        </w:rPr>
        <w:t>the PNG Government</w:t>
      </w:r>
      <w:r w:rsidR="000F4B57" w:rsidRPr="00091600">
        <w:rPr>
          <w:lang w:val="en-AU"/>
        </w:rPr>
        <w:t xml:space="preserve"> increase awareness across the public service and beyond;</w:t>
      </w:r>
    </w:p>
    <w:p w:rsidR="000F4B57" w:rsidRPr="00091600" w:rsidRDefault="000F4B57" w:rsidP="008F7A55">
      <w:pPr>
        <w:pStyle w:val="BodyText"/>
        <w:numPr>
          <w:ilvl w:val="0"/>
          <w:numId w:val="20"/>
        </w:numPr>
        <w:rPr>
          <w:lang w:val="en-AU"/>
        </w:rPr>
      </w:pPr>
      <w:r w:rsidRPr="00091600">
        <w:rPr>
          <w:lang w:val="en-AU"/>
        </w:rPr>
        <w:t>SBPP and PILAG are benefiting from high-quality support from Australian organisations, which use good practice in adult learning methodologies;</w:t>
      </w:r>
    </w:p>
    <w:p w:rsidR="000F4B57" w:rsidRPr="00091600" w:rsidRDefault="00481182" w:rsidP="008F7A55">
      <w:pPr>
        <w:pStyle w:val="BodyText"/>
        <w:numPr>
          <w:ilvl w:val="0"/>
          <w:numId w:val="20"/>
        </w:numPr>
        <w:rPr>
          <w:lang w:val="en-AU"/>
        </w:rPr>
      </w:pPr>
      <w:r>
        <w:rPr>
          <w:lang w:val="en-AU"/>
        </w:rPr>
        <w:t>t</w:t>
      </w:r>
      <w:r w:rsidR="00F850EC" w:rsidRPr="00091600">
        <w:rPr>
          <w:lang w:val="en-AU"/>
        </w:rPr>
        <w:t>he</w:t>
      </w:r>
      <w:r w:rsidR="000F4B57" w:rsidRPr="00091600">
        <w:rPr>
          <w:lang w:val="en-AU"/>
        </w:rPr>
        <w:t xml:space="preserve"> program has delivered three high-standard buildings at PILAG and UPNG. In July, the SBPP building and a physical pathway between UPNG and PILAG were on track to be completed by November 2018;</w:t>
      </w:r>
    </w:p>
    <w:p w:rsidR="000F4B57" w:rsidRPr="00091600" w:rsidRDefault="00481182" w:rsidP="008F7A55">
      <w:pPr>
        <w:pStyle w:val="BodyText"/>
        <w:numPr>
          <w:ilvl w:val="0"/>
          <w:numId w:val="20"/>
        </w:numPr>
        <w:rPr>
          <w:lang w:val="en-AU"/>
        </w:rPr>
      </w:pPr>
      <w:r>
        <w:rPr>
          <w:lang w:val="en-AU"/>
        </w:rPr>
        <w:t>t</w:t>
      </w:r>
      <w:r w:rsidR="009A4999" w:rsidRPr="00091600">
        <w:rPr>
          <w:lang w:val="en-AU"/>
        </w:rPr>
        <w:t>he</w:t>
      </w:r>
      <w:r w:rsidR="000F4B57" w:rsidRPr="00091600">
        <w:rPr>
          <w:lang w:val="en-AU"/>
        </w:rPr>
        <w:t xml:space="preserve"> Precinct has assisted in the transformation of PNG’s Institute of Public Administration (IPA) into PILAG, through a new Act of Parliament;</w:t>
      </w:r>
    </w:p>
    <w:p w:rsidR="000F4B57" w:rsidRPr="00091600" w:rsidRDefault="00481182" w:rsidP="008F7A55">
      <w:pPr>
        <w:pStyle w:val="BodyText"/>
        <w:numPr>
          <w:ilvl w:val="0"/>
          <w:numId w:val="20"/>
        </w:numPr>
        <w:rPr>
          <w:lang w:val="en-AU"/>
        </w:rPr>
      </w:pPr>
      <w:r>
        <w:rPr>
          <w:lang w:val="en-AU"/>
        </w:rPr>
        <w:t>p</w:t>
      </w:r>
      <w:r w:rsidR="003904E2" w:rsidRPr="00091600">
        <w:rPr>
          <w:lang w:val="en-AU"/>
        </w:rPr>
        <w:t>ublic</w:t>
      </w:r>
      <w:r w:rsidR="000F4B57" w:rsidRPr="00091600">
        <w:rPr>
          <w:lang w:val="en-AU"/>
        </w:rPr>
        <w:t xml:space="preserve"> policy events have involved at least 3,878 persons (e.g. the PNG Update or the Asia</w:t>
      </w:r>
      <w:r w:rsidR="00676BA7" w:rsidRPr="00091600">
        <w:rPr>
          <w:lang w:val="en-AU"/>
        </w:rPr>
        <w:t>–</w:t>
      </w:r>
      <w:r w:rsidR="000F4B57" w:rsidRPr="00091600">
        <w:rPr>
          <w:lang w:val="en-AU"/>
        </w:rPr>
        <w:t>Pacific Economic Cooperation (APEC) series</w:t>
      </w:r>
      <w:r w:rsidR="003904E2" w:rsidRPr="00091600">
        <w:rPr>
          <w:lang w:val="en-AU"/>
        </w:rPr>
        <w:t>)</w:t>
      </w:r>
      <w:r w:rsidR="002051BB" w:rsidRPr="00091600">
        <w:rPr>
          <w:lang w:val="en-AU"/>
        </w:rPr>
        <w:t>;</w:t>
      </w:r>
      <w:r w:rsidR="000F4B57" w:rsidRPr="00091600">
        <w:rPr>
          <w:lang w:val="en-AU"/>
        </w:rPr>
        <w:t xml:space="preserve"> and</w:t>
      </w:r>
    </w:p>
    <w:p w:rsidR="000F4B57" w:rsidRDefault="00481182" w:rsidP="008F7A55">
      <w:pPr>
        <w:pStyle w:val="BodyText"/>
        <w:numPr>
          <w:ilvl w:val="0"/>
          <w:numId w:val="20"/>
        </w:numPr>
        <w:rPr>
          <w:lang w:val="en-AU"/>
        </w:rPr>
      </w:pPr>
      <w:r>
        <w:rPr>
          <w:lang w:val="en-AU"/>
        </w:rPr>
        <w:t>t</w:t>
      </w:r>
      <w:r w:rsidR="000F4B57" w:rsidRPr="00091600">
        <w:rPr>
          <w:lang w:val="en-AU"/>
        </w:rPr>
        <w:t xml:space="preserve">he Precinct is supporting complementary activities, such as a public dialogue around </w:t>
      </w:r>
      <w:r w:rsidR="001D58C1">
        <w:rPr>
          <w:lang w:val="en-AU"/>
        </w:rPr>
        <w:t xml:space="preserve">gender </w:t>
      </w:r>
      <w:r w:rsidR="000F4B57" w:rsidRPr="00091600">
        <w:rPr>
          <w:lang w:val="en-AU"/>
        </w:rPr>
        <w:t xml:space="preserve">(e.g. on </w:t>
      </w:r>
      <w:r w:rsidR="00F850EC" w:rsidRPr="00091600">
        <w:rPr>
          <w:lang w:val="en-AU"/>
        </w:rPr>
        <w:t>gender-based violence</w:t>
      </w:r>
      <w:r w:rsidR="000F4B57" w:rsidRPr="00091600">
        <w:rPr>
          <w:lang w:val="en-AU"/>
        </w:rPr>
        <w:t>), as well as some home-grown PNG leadership groups (e.g. The Voice Inc., for youth leaders)</w:t>
      </w:r>
      <w:r w:rsidR="00DF5579">
        <w:rPr>
          <w:lang w:val="en-AU"/>
        </w:rPr>
        <w:t xml:space="preserve">. </w:t>
      </w:r>
    </w:p>
    <w:p w:rsidR="000F4B57" w:rsidRPr="00091600" w:rsidRDefault="000F4B57" w:rsidP="00931BFA">
      <w:pPr>
        <w:pStyle w:val="Boxcaption"/>
        <w:rPr>
          <w:lang w:val="en-AU"/>
        </w:rPr>
      </w:pPr>
      <w:bookmarkStart w:id="7" w:name="_Toc536627536"/>
      <w:bookmarkStart w:id="8" w:name="_Toc1566598"/>
      <w:r w:rsidRPr="00091600">
        <w:rPr>
          <w:lang w:val="en-AU"/>
        </w:rPr>
        <w:t xml:space="preserve">Table </w:t>
      </w:r>
      <w:r w:rsidRPr="00091600">
        <w:rPr>
          <w:lang w:val="en-AU"/>
        </w:rPr>
        <w:fldChar w:fldCharType="begin"/>
      </w:r>
      <w:r w:rsidRPr="00091600">
        <w:rPr>
          <w:lang w:val="en-AU"/>
        </w:rPr>
        <w:instrText xml:space="preserve"> SEQ Table \* ARABIC </w:instrText>
      </w:r>
      <w:r w:rsidRPr="00091600">
        <w:rPr>
          <w:lang w:val="en-AU"/>
        </w:rPr>
        <w:fldChar w:fldCharType="separate"/>
      </w:r>
      <w:r w:rsidR="004964E9">
        <w:rPr>
          <w:noProof/>
          <w:lang w:val="en-AU"/>
        </w:rPr>
        <w:t>1</w:t>
      </w:r>
      <w:r w:rsidRPr="00091600">
        <w:rPr>
          <w:lang w:val="en-AU"/>
        </w:rPr>
        <w:fldChar w:fldCharType="end"/>
      </w:r>
      <w:r w:rsidRPr="00091600">
        <w:rPr>
          <w:lang w:val="en-AU"/>
        </w:rPr>
        <w:t>:</w:t>
      </w:r>
      <w:r w:rsidRPr="00091600">
        <w:rPr>
          <w:lang w:val="en-AU"/>
        </w:rPr>
        <w:tab/>
        <w:t>Summary of strengths-based assessment of Precinct pillars</w:t>
      </w:r>
      <w:bookmarkEnd w:id="7"/>
      <w:bookmarkEnd w:id="8"/>
    </w:p>
    <w:tbl>
      <w:tblPr>
        <w:tblStyle w:val="OPMTable"/>
        <w:tblW w:w="5000" w:type="pct"/>
        <w:tblBorders>
          <w:top w:val="single" w:sz="4" w:space="0" w:color="45A7E1" w:themeColor="accent1"/>
          <w:left w:val="single" w:sz="4" w:space="0" w:color="45A7E1" w:themeColor="accent1"/>
          <w:bottom w:val="single" w:sz="4" w:space="0" w:color="45A7E1" w:themeColor="accent1"/>
          <w:right w:val="single" w:sz="4" w:space="0" w:color="45A7E1" w:themeColor="accent1"/>
          <w:insideH w:val="single" w:sz="4" w:space="0" w:color="45A7E1" w:themeColor="accent1"/>
          <w:insideV w:val="single" w:sz="4" w:space="0" w:color="45A7E1" w:themeColor="accent1"/>
        </w:tblBorders>
        <w:tblLook w:val="04A0" w:firstRow="1" w:lastRow="0" w:firstColumn="1" w:lastColumn="0" w:noHBand="0" w:noVBand="1"/>
        <w:tblCaption w:val="Summary of strengths-based assessment of Precinct pillars"/>
        <w:tblDescription w:val="SBPP strength is high quality learning; the challenge is to move from capacity substitution towards capacity development; and the opportunity is to align with the SBPP strategy plan and wider partnerships. PILAG strengths are highly symbolic, the challenge is PILAG's training capacity and limited development and the opportunity is for the PILAG Act to spur modernisation. There is a commitment to gender parity, but the challenge is a narrow understanding of gender and social inclusion, and the opportunity is the ethical values based leadership expressed by interviewees."/>
      </w:tblPr>
      <w:tblGrid>
        <w:gridCol w:w="1951"/>
        <w:gridCol w:w="2456"/>
        <w:gridCol w:w="2678"/>
        <w:gridCol w:w="2645"/>
      </w:tblGrid>
      <w:tr w:rsidR="00AD3FF0" w:rsidRPr="00091600" w:rsidTr="009C0F4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03" w:type="pct"/>
            <w:tcBorders>
              <w:right w:val="single" w:sz="4" w:space="0" w:color="45A7E1" w:themeColor="accent1"/>
            </w:tcBorders>
            <w:shd w:val="clear" w:color="auto" w:fill="FFFFFF" w:themeFill="background1"/>
          </w:tcPr>
          <w:p w:rsidR="000F4B57" w:rsidRPr="00091600" w:rsidRDefault="000F4B57" w:rsidP="000F4B57">
            <w:pPr>
              <w:pStyle w:val="Tabletext"/>
              <w:rPr>
                <w:lang w:val="en-AU"/>
              </w:rPr>
            </w:pPr>
          </w:p>
        </w:tc>
        <w:tc>
          <w:tcPr>
            <w:tcW w:w="1262" w:type="pct"/>
            <w:tcBorders>
              <w:top w:val="single" w:sz="4" w:space="0" w:color="45A7E1" w:themeColor="accent1"/>
              <w:left w:val="single" w:sz="4" w:space="0" w:color="45A7E1" w:themeColor="accent1"/>
              <w:right w:val="single" w:sz="4" w:space="0" w:color="45A7E1" w:themeColor="accent1"/>
            </w:tcBorders>
            <w:hideMark/>
          </w:tcPr>
          <w:p w:rsidR="000F4B57" w:rsidRPr="00931BFA" w:rsidRDefault="000F4B57" w:rsidP="000F4B57">
            <w:pPr>
              <w:pStyle w:val="Tabletext"/>
              <w:jc w:val="left"/>
              <w:cnfStyle w:val="100000000000" w:firstRow="1" w:lastRow="0" w:firstColumn="0" w:lastColumn="0" w:oddVBand="0" w:evenVBand="0" w:oddHBand="0" w:evenHBand="0" w:firstRowFirstColumn="0" w:firstRowLastColumn="0" w:lastRowFirstColumn="0" w:lastRowLastColumn="0"/>
              <w:rPr>
                <w:rFonts w:ascii="Roboto" w:hAnsi="Roboto" w:cstheme="majorHAnsi"/>
                <w:lang w:val="en-AU"/>
              </w:rPr>
            </w:pPr>
            <w:r w:rsidRPr="00931BFA">
              <w:rPr>
                <w:rFonts w:ascii="Roboto" w:hAnsi="Roboto" w:cstheme="majorHAnsi"/>
                <w:lang w:val="en-AU"/>
              </w:rPr>
              <w:t>Strengths</w:t>
            </w:r>
          </w:p>
        </w:tc>
        <w:tc>
          <w:tcPr>
            <w:tcW w:w="1376" w:type="pct"/>
            <w:tcBorders>
              <w:top w:val="single" w:sz="4" w:space="0" w:color="45A7E1" w:themeColor="accent1"/>
              <w:left w:val="single" w:sz="4" w:space="0" w:color="45A7E1" w:themeColor="accent1"/>
              <w:right w:val="single" w:sz="4" w:space="0" w:color="45A7E1" w:themeColor="accent1"/>
            </w:tcBorders>
            <w:hideMark/>
          </w:tcPr>
          <w:p w:rsidR="000F4B57" w:rsidRPr="00931BFA" w:rsidRDefault="000F4B57" w:rsidP="000F4B57">
            <w:pPr>
              <w:pStyle w:val="Tabletext"/>
              <w:jc w:val="left"/>
              <w:cnfStyle w:val="100000000000" w:firstRow="1" w:lastRow="0" w:firstColumn="0" w:lastColumn="0" w:oddVBand="0" w:evenVBand="0" w:oddHBand="0" w:evenHBand="0" w:firstRowFirstColumn="0" w:firstRowLastColumn="0" w:lastRowFirstColumn="0" w:lastRowLastColumn="0"/>
              <w:rPr>
                <w:rFonts w:ascii="Roboto" w:hAnsi="Roboto" w:cstheme="majorHAnsi"/>
                <w:lang w:val="en-AU"/>
              </w:rPr>
            </w:pPr>
            <w:r w:rsidRPr="00931BFA">
              <w:rPr>
                <w:rFonts w:ascii="Roboto" w:hAnsi="Roboto" w:cstheme="majorHAnsi"/>
                <w:lang w:val="en-AU"/>
              </w:rPr>
              <w:t>Challenges</w:t>
            </w:r>
          </w:p>
        </w:tc>
        <w:tc>
          <w:tcPr>
            <w:tcW w:w="1360" w:type="pct"/>
            <w:tcBorders>
              <w:top w:val="single" w:sz="4" w:space="0" w:color="45A7E1" w:themeColor="accent1"/>
              <w:left w:val="single" w:sz="4" w:space="0" w:color="45A7E1" w:themeColor="accent1"/>
              <w:right w:val="single" w:sz="4" w:space="0" w:color="45A7E1" w:themeColor="accent1"/>
            </w:tcBorders>
            <w:hideMark/>
          </w:tcPr>
          <w:p w:rsidR="000F4B57" w:rsidRPr="00931BFA" w:rsidRDefault="000F4B57" w:rsidP="000F4B57">
            <w:pPr>
              <w:pStyle w:val="Tabletext"/>
              <w:jc w:val="left"/>
              <w:cnfStyle w:val="100000000000" w:firstRow="1" w:lastRow="0" w:firstColumn="0" w:lastColumn="0" w:oddVBand="0" w:evenVBand="0" w:oddHBand="0" w:evenHBand="0" w:firstRowFirstColumn="0" w:firstRowLastColumn="0" w:lastRowFirstColumn="0" w:lastRowLastColumn="0"/>
              <w:rPr>
                <w:rFonts w:ascii="Roboto" w:hAnsi="Roboto" w:cstheme="majorHAnsi"/>
                <w:lang w:val="en-AU"/>
              </w:rPr>
            </w:pPr>
            <w:r w:rsidRPr="00931BFA">
              <w:rPr>
                <w:rFonts w:ascii="Roboto" w:hAnsi="Roboto" w:cstheme="majorHAnsi"/>
                <w:lang w:val="en-AU"/>
              </w:rPr>
              <w:t>Opportunities</w:t>
            </w:r>
          </w:p>
        </w:tc>
      </w:tr>
      <w:tr w:rsidR="000F4B57" w:rsidRPr="00091600" w:rsidTr="00142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hideMark/>
          </w:tcPr>
          <w:p w:rsidR="000F4B57" w:rsidRPr="00931BFA" w:rsidRDefault="000F4B57" w:rsidP="000F4B57">
            <w:pPr>
              <w:pStyle w:val="Tabletext"/>
              <w:rPr>
                <w:rFonts w:ascii="Roboto" w:hAnsi="Roboto"/>
                <w:lang w:val="en-AU"/>
              </w:rPr>
            </w:pPr>
            <w:r w:rsidRPr="00931BFA">
              <w:rPr>
                <w:rFonts w:ascii="Roboto" w:hAnsi="Roboto"/>
                <w:lang w:val="en-AU"/>
              </w:rPr>
              <w:t>SBPP</w:t>
            </w:r>
          </w:p>
        </w:tc>
        <w:tc>
          <w:tcPr>
            <w:tcW w:w="1262" w:type="pct"/>
            <w:hideMark/>
          </w:tcPr>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High-quality learning;</w:t>
            </w:r>
          </w:p>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SBPP–UPNG–ANU partnership</w:t>
            </w:r>
          </w:p>
        </w:tc>
        <w:tc>
          <w:tcPr>
            <w:tcW w:w="1376" w:type="pct"/>
            <w:hideMark/>
          </w:tcPr>
          <w:p w:rsidR="000F4B57" w:rsidRPr="00091600" w:rsidRDefault="00E17E01" w:rsidP="000F4B5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 xml:space="preserve">Moving </w:t>
            </w:r>
            <w:r w:rsidR="001D58C1">
              <w:rPr>
                <w:lang w:val="en-AU"/>
              </w:rPr>
              <w:t xml:space="preserve">from capacity substitution </w:t>
            </w:r>
            <w:r w:rsidRPr="00091600">
              <w:rPr>
                <w:lang w:val="en-AU"/>
              </w:rPr>
              <w:t>towards a stronger</w:t>
            </w:r>
            <w:r w:rsidR="000F4B57" w:rsidRPr="00091600">
              <w:rPr>
                <w:lang w:val="en-AU"/>
              </w:rPr>
              <w:t xml:space="preserve"> capacity development approach;</w:t>
            </w:r>
          </w:p>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wider UPNG context</w:t>
            </w:r>
          </w:p>
        </w:tc>
        <w:tc>
          <w:tcPr>
            <w:tcW w:w="1360" w:type="pct"/>
            <w:hideMark/>
          </w:tcPr>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SBPP strategic plan</w:t>
            </w:r>
            <w:r w:rsidR="00E7189B">
              <w:rPr>
                <w:lang w:val="en-AU"/>
              </w:rPr>
              <w:t>;</w:t>
            </w:r>
            <w:r w:rsidRPr="00091600">
              <w:rPr>
                <w:lang w:val="en-AU"/>
              </w:rPr>
              <w:t xml:space="preserve"> integration within UPNG</w:t>
            </w:r>
            <w:r w:rsidR="00E7189B">
              <w:rPr>
                <w:lang w:val="en-AU"/>
              </w:rPr>
              <w:t>;</w:t>
            </w:r>
            <w:r w:rsidRPr="00091600">
              <w:rPr>
                <w:lang w:val="en-AU"/>
              </w:rPr>
              <w:t xml:space="preserve"> and potential for wider partnerships </w:t>
            </w:r>
          </w:p>
        </w:tc>
      </w:tr>
      <w:tr w:rsidR="000F4B57" w:rsidRPr="00091600" w:rsidTr="001422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hideMark/>
          </w:tcPr>
          <w:p w:rsidR="000F4B57" w:rsidRPr="00931BFA" w:rsidRDefault="000F4B57" w:rsidP="000F4B57">
            <w:pPr>
              <w:pStyle w:val="Tabletext"/>
              <w:rPr>
                <w:rFonts w:ascii="Roboto" w:hAnsi="Roboto"/>
                <w:lang w:val="en-AU"/>
              </w:rPr>
            </w:pPr>
            <w:r w:rsidRPr="00931BFA">
              <w:rPr>
                <w:rFonts w:ascii="Roboto" w:hAnsi="Roboto"/>
                <w:lang w:val="en-AU"/>
              </w:rPr>
              <w:t xml:space="preserve">PILAG and other public servants’ trainings </w:t>
            </w:r>
          </w:p>
        </w:tc>
        <w:tc>
          <w:tcPr>
            <w:tcW w:w="1262" w:type="pct"/>
            <w:hideMark/>
          </w:tcPr>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PILAG historic symbolism;</w:t>
            </w:r>
          </w:p>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APSC/CIT Solutions co-delivery;</w:t>
            </w:r>
          </w:p>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UQ high-quality courses</w:t>
            </w:r>
          </w:p>
        </w:tc>
        <w:tc>
          <w:tcPr>
            <w:tcW w:w="1376" w:type="pct"/>
            <w:hideMark/>
          </w:tcPr>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PILAG’s training capacity and limited progress with institutional development</w:t>
            </w:r>
          </w:p>
        </w:tc>
        <w:tc>
          <w:tcPr>
            <w:tcW w:w="1360" w:type="pct"/>
            <w:hideMark/>
          </w:tcPr>
          <w:p w:rsidR="000F4B57" w:rsidRPr="00091600" w:rsidRDefault="001D58C1" w:rsidP="000F4B5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Pr>
                <w:lang w:val="en-AU"/>
              </w:rPr>
              <w:t>PILAG Act can spur modernisation</w:t>
            </w:r>
          </w:p>
        </w:tc>
      </w:tr>
      <w:tr w:rsidR="000F4B57" w:rsidRPr="00091600" w:rsidTr="00142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hideMark/>
          </w:tcPr>
          <w:p w:rsidR="000F4B57" w:rsidRPr="00931BFA" w:rsidRDefault="000F4B57" w:rsidP="000F4B57">
            <w:pPr>
              <w:pStyle w:val="Tabletext"/>
              <w:rPr>
                <w:rFonts w:ascii="Roboto" w:hAnsi="Roboto"/>
                <w:lang w:val="en-AU"/>
              </w:rPr>
            </w:pPr>
            <w:r w:rsidRPr="00931BFA">
              <w:rPr>
                <w:rFonts w:ascii="Roboto" w:hAnsi="Roboto"/>
                <w:lang w:val="en-AU"/>
              </w:rPr>
              <w:t>Pathways</w:t>
            </w:r>
          </w:p>
        </w:tc>
        <w:tc>
          <w:tcPr>
            <w:tcW w:w="1262" w:type="pct"/>
            <w:hideMark/>
          </w:tcPr>
          <w:p w:rsidR="005A6912" w:rsidRPr="00091600" w:rsidRDefault="005A6912" w:rsidP="000F4B57">
            <w:pPr>
              <w:pStyle w:val="Tabletext"/>
              <w:jc w:val="left"/>
              <w:cnfStyle w:val="000000100000" w:firstRow="0" w:lastRow="0" w:firstColumn="0" w:lastColumn="0" w:oddVBand="0" w:evenVBand="0" w:oddHBand="1" w:evenHBand="0" w:firstRowFirstColumn="0" w:firstRowLastColumn="0" w:lastRowFirstColumn="0" w:lastRowLastColumn="0"/>
              <w:rPr>
                <w:lang w:val="en-AU"/>
              </w:rPr>
            </w:pPr>
          </w:p>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Potential to strengthen the Precinct’s overall theory of change</w:t>
            </w:r>
            <w:r w:rsidR="00112876" w:rsidRPr="00091600">
              <w:rPr>
                <w:lang w:val="en-AU"/>
              </w:rPr>
              <w:t xml:space="preserve"> </w:t>
            </w:r>
          </w:p>
        </w:tc>
        <w:tc>
          <w:tcPr>
            <w:tcW w:w="1376" w:type="pct"/>
            <w:hideMark/>
          </w:tcPr>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Training is an input to change that need</w:t>
            </w:r>
            <w:r w:rsidR="00976A48">
              <w:rPr>
                <w:lang w:val="en-AU"/>
              </w:rPr>
              <w:t>s</w:t>
            </w:r>
            <w:r w:rsidRPr="00091600">
              <w:rPr>
                <w:lang w:val="en-AU"/>
              </w:rPr>
              <w:t xml:space="preserve"> complementary support</w:t>
            </w:r>
            <w:r w:rsidR="000C627C">
              <w:rPr>
                <w:lang w:val="en-AU"/>
              </w:rPr>
              <w:t xml:space="preserve"> to address the</w:t>
            </w:r>
            <w:r w:rsidR="008E5AE9">
              <w:rPr>
                <w:lang w:val="en-AU"/>
              </w:rPr>
              <w:t xml:space="preserve"> barriers</w:t>
            </w:r>
            <w:r w:rsidR="000C627C">
              <w:rPr>
                <w:lang w:val="en-AU"/>
              </w:rPr>
              <w:t xml:space="preserve"> </w:t>
            </w:r>
            <w:r w:rsidR="00467C26">
              <w:rPr>
                <w:lang w:val="en-AU"/>
              </w:rPr>
              <w:t xml:space="preserve">faced by </w:t>
            </w:r>
            <w:r w:rsidR="000C627C">
              <w:rPr>
                <w:lang w:val="en-AU"/>
              </w:rPr>
              <w:t>leaders</w:t>
            </w:r>
            <w:r w:rsidRPr="00091600">
              <w:rPr>
                <w:lang w:val="en-AU"/>
              </w:rPr>
              <w:t xml:space="preserve"> </w:t>
            </w:r>
            <w:r w:rsidR="00976A48">
              <w:rPr>
                <w:lang w:val="en-AU"/>
              </w:rPr>
              <w:t>(</w:t>
            </w:r>
            <w:r w:rsidRPr="00091600">
              <w:rPr>
                <w:lang w:val="en-AU"/>
              </w:rPr>
              <w:t xml:space="preserve">in </w:t>
            </w:r>
            <w:r w:rsidR="00976A48">
              <w:rPr>
                <w:lang w:val="en-AU"/>
              </w:rPr>
              <w:t>their organisations, wider institutional environment and the need for coalitions)</w:t>
            </w:r>
          </w:p>
        </w:tc>
        <w:tc>
          <w:tcPr>
            <w:tcW w:w="1360" w:type="pct"/>
            <w:hideMark/>
          </w:tcPr>
          <w:p w:rsidR="000F4B57" w:rsidRPr="00091600" w:rsidRDefault="00976A48" w:rsidP="000F4B5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Pr>
                <w:lang w:val="en-AU"/>
              </w:rPr>
              <w:t>E</w:t>
            </w:r>
            <w:r w:rsidR="000F4B57" w:rsidRPr="00091600">
              <w:rPr>
                <w:lang w:val="en-AU"/>
              </w:rPr>
              <w:t>lements of original design</w:t>
            </w:r>
            <w:r>
              <w:rPr>
                <w:lang w:val="en-AU"/>
              </w:rPr>
              <w:t xml:space="preserve"> (</w:t>
            </w:r>
            <w:r w:rsidR="000F4B57" w:rsidRPr="00091600">
              <w:rPr>
                <w:lang w:val="en-AU"/>
              </w:rPr>
              <w:t>coaching, mentoring, alumni</w:t>
            </w:r>
            <w:r>
              <w:rPr>
                <w:lang w:val="en-AU"/>
              </w:rPr>
              <w:t xml:space="preserve"> networks)</w:t>
            </w:r>
            <w:r w:rsidR="000F4B57" w:rsidRPr="00091600">
              <w:rPr>
                <w:lang w:val="en-AU"/>
              </w:rPr>
              <w:t>;</w:t>
            </w:r>
          </w:p>
          <w:p w:rsidR="000F4B57" w:rsidRPr="00091600" w:rsidRDefault="00720C02" w:rsidP="000F4B5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Pr>
                <w:lang w:val="en-AU"/>
              </w:rPr>
              <w:t>T</w:t>
            </w:r>
            <w:r w:rsidR="000F4B57" w:rsidRPr="00091600">
              <w:rPr>
                <w:lang w:val="en-AU"/>
              </w:rPr>
              <w:t>argeted measures as part of ongoing public service reform or with reform-minded coalitions</w:t>
            </w:r>
          </w:p>
        </w:tc>
      </w:tr>
      <w:tr w:rsidR="000F4B57" w:rsidRPr="00091600" w:rsidTr="001422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hideMark/>
          </w:tcPr>
          <w:p w:rsidR="000F4B57" w:rsidRPr="00931BFA" w:rsidRDefault="001D58C1" w:rsidP="000F4B57">
            <w:pPr>
              <w:pStyle w:val="Tabletext"/>
              <w:rPr>
                <w:rFonts w:ascii="Roboto" w:hAnsi="Roboto"/>
                <w:lang w:val="en-AU"/>
              </w:rPr>
            </w:pPr>
            <w:r w:rsidRPr="008F6256">
              <w:rPr>
                <w:rFonts w:ascii="Roboto" w:hAnsi="Roboto"/>
                <w:lang w:val="en-AU"/>
              </w:rPr>
              <w:t>G</w:t>
            </w:r>
            <w:r>
              <w:rPr>
                <w:rFonts w:ascii="Roboto" w:hAnsi="Roboto"/>
                <w:lang w:val="en-AU"/>
              </w:rPr>
              <w:t xml:space="preserve">ender </w:t>
            </w:r>
            <w:r w:rsidRPr="008F6256">
              <w:rPr>
                <w:rFonts w:ascii="Roboto" w:hAnsi="Roboto"/>
                <w:lang w:val="en-AU"/>
              </w:rPr>
              <w:t>E</w:t>
            </w:r>
            <w:r>
              <w:rPr>
                <w:rFonts w:ascii="Roboto" w:hAnsi="Roboto"/>
                <w:lang w:val="en-AU"/>
              </w:rPr>
              <w:t xml:space="preserve">quity and </w:t>
            </w:r>
            <w:r w:rsidRPr="008F6256">
              <w:rPr>
                <w:rFonts w:ascii="Roboto" w:hAnsi="Roboto"/>
                <w:lang w:val="en-AU"/>
              </w:rPr>
              <w:t>S</w:t>
            </w:r>
            <w:r>
              <w:rPr>
                <w:rFonts w:ascii="Roboto" w:hAnsi="Roboto"/>
                <w:lang w:val="en-AU"/>
              </w:rPr>
              <w:t xml:space="preserve">ocial </w:t>
            </w:r>
            <w:r w:rsidRPr="008F6256">
              <w:rPr>
                <w:rFonts w:ascii="Roboto" w:hAnsi="Roboto"/>
                <w:lang w:val="en-AU"/>
              </w:rPr>
              <w:t>I</w:t>
            </w:r>
            <w:r>
              <w:rPr>
                <w:rFonts w:ascii="Roboto" w:hAnsi="Roboto"/>
                <w:lang w:val="en-AU"/>
              </w:rPr>
              <w:t>nclusion</w:t>
            </w:r>
          </w:p>
        </w:tc>
        <w:tc>
          <w:tcPr>
            <w:tcW w:w="1262" w:type="pct"/>
            <w:hideMark/>
          </w:tcPr>
          <w:p w:rsidR="000F4B57" w:rsidRPr="00AE4362" w:rsidRDefault="00FD5E87" w:rsidP="000F4B5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A44DA9">
              <w:rPr>
                <w:lang w:val="en-AU"/>
              </w:rPr>
              <w:t>Stakeholder c</w:t>
            </w:r>
            <w:r w:rsidR="000F4B57" w:rsidRPr="00983FF6">
              <w:rPr>
                <w:lang w:val="en-AU"/>
              </w:rPr>
              <w:t>ommitment to</w:t>
            </w:r>
            <w:r w:rsidR="000F4B57" w:rsidRPr="00A44DA9">
              <w:rPr>
                <w:lang w:val="en-AU"/>
              </w:rPr>
              <w:t xml:space="preserve"> </w:t>
            </w:r>
            <w:r w:rsidR="000F4B57" w:rsidRPr="00983FF6">
              <w:rPr>
                <w:lang w:val="en-AU"/>
              </w:rPr>
              <w:t>women–men parity in courses;</w:t>
            </w:r>
          </w:p>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AE4362">
              <w:rPr>
                <w:lang w:val="en-AU"/>
              </w:rPr>
              <w:t>GESI Policy embedded in training courses</w:t>
            </w:r>
          </w:p>
        </w:tc>
        <w:tc>
          <w:tcPr>
            <w:tcW w:w="1376" w:type="pct"/>
            <w:hideMark/>
          </w:tcPr>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Narrow understanding of gender and social inclusion and insufficient integration in the Precinct strategy;</w:t>
            </w:r>
          </w:p>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incomplete GESI Policy implementation</w:t>
            </w:r>
          </w:p>
        </w:tc>
        <w:tc>
          <w:tcPr>
            <w:tcW w:w="1360" w:type="pct"/>
            <w:hideMark/>
          </w:tcPr>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 xml:space="preserve">Commitment to GESI Policy by </w:t>
            </w:r>
            <w:r w:rsidR="00E87298">
              <w:rPr>
                <w:lang w:val="en-AU"/>
              </w:rPr>
              <w:t>the PNG Government</w:t>
            </w:r>
            <w:r w:rsidRPr="00091600">
              <w:rPr>
                <w:lang w:val="en-AU"/>
              </w:rPr>
              <w:t xml:space="preserve"> and to ethical values-based leadership over ‘</w:t>
            </w:r>
            <w:r w:rsidRPr="00091600">
              <w:rPr>
                <w:i/>
                <w:lang w:val="en-AU"/>
              </w:rPr>
              <w:t>wantok</w:t>
            </w:r>
            <w:r w:rsidRPr="00091600">
              <w:rPr>
                <w:lang w:val="en-AU"/>
              </w:rPr>
              <w:t>’ expressed by interviewees</w:t>
            </w:r>
          </w:p>
        </w:tc>
      </w:tr>
    </w:tbl>
    <w:p w:rsidR="00922AA4" w:rsidRDefault="00922AA4" w:rsidP="005975B5">
      <w:pPr>
        <w:pStyle w:val="BodyText"/>
        <w:rPr>
          <w:lang w:val="en-AU"/>
        </w:rPr>
      </w:pPr>
    </w:p>
    <w:p w:rsidR="00983FF6" w:rsidRPr="001422B3" w:rsidRDefault="00983FF6" w:rsidP="005975B5">
      <w:pPr>
        <w:pStyle w:val="BodyText"/>
        <w:rPr>
          <w:rFonts w:ascii="Roboto" w:hAnsi="Roboto"/>
          <w:b/>
          <w:lang w:val="en-AU"/>
        </w:rPr>
      </w:pPr>
      <w:r w:rsidRPr="001422B3">
        <w:rPr>
          <w:rFonts w:ascii="Roboto" w:hAnsi="Roboto"/>
          <w:b/>
          <w:lang w:val="en-AU"/>
        </w:rPr>
        <w:t>Precinct-wide main findings</w:t>
      </w:r>
      <w:r w:rsidR="00A23EC9" w:rsidRPr="001422B3">
        <w:rPr>
          <w:rFonts w:ascii="Roboto" w:hAnsi="Roboto"/>
          <w:b/>
          <w:lang w:val="en-AU"/>
        </w:rPr>
        <w:t xml:space="preserve"> and recommendations</w:t>
      </w:r>
    </w:p>
    <w:p w:rsidR="00341B3C" w:rsidRPr="00091600" w:rsidRDefault="0098249E" w:rsidP="005975B5">
      <w:pPr>
        <w:pStyle w:val="BodyText"/>
        <w:rPr>
          <w:lang w:val="en-AU"/>
        </w:rPr>
      </w:pPr>
      <w:r w:rsidRPr="00091600">
        <w:rPr>
          <w:lang w:val="en-AU"/>
        </w:rPr>
        <w:t>The Precinct is now at its mid-term point. Its initial years have focused on delivering concrete activities involving a wide range of individuals</w:t>
      </w:r>
      <w:r w:rsidR="00A92BD9" w:rsidRPr="00091600">
        <w:rPr>
          <w:lang w:val="en-AU"/>
        </w:rPr>
        <w:t xml:space="preserve">. The SBPP component shows good progress towards its quality of teaching medium-term (five to seven years) outcome, associated with (i) better-quality student learning and (ii) students’ increased problem-solving and critical thinking skills. </w:t>
      </w:r>
    </w:p>
    <w:p w:rsidR="00780265" w:rsidRPr="00091600" w:rsidRDefault="00A92BD9" w:rsidP="005975B5">
      <w:pPr>
        <w:pStyle w:val="BodyText"/>
        <w:rPr>
          <w:lang w:val="en-AU"/>
        </w:rPr>
      </w:pPr>
      <w:r w:rsidRPr="00091600">
        <w:rPr>
          <w:lang w:val="en-AU"/>
        </w:rPr>
        <w:t xml:space="preserve">Overall, </w:t>
      </w:r>
      <w:r w:rsidR="0098249E" w:rsidRPr="00091600">
        <w:rPr>
          <w:lang w:val="en-AU"/>
        </w:rPr>
        <w:t xml:space="preserve">the Precinct is at an early stage in progressing its other medium-term outcomes, especially its institutional development objectives for PILAG and SBPP, as well as </w:t>
      </w:r>
      <w:r w:rsidR="005E19A2">
        <w:rPr>
          <w:lang w:val="en-AU"/>
        </w:rPr>
        <w:t>an</w:t>
      </w:r>
      <w:r w:rsidR="005E19A2" w:rsidRPr="00091600">
        <w:rPr>
          <w:lang w:val="en-AU"/>
        </w:rPr>
        <w:t xml:space="preserve"> </w:t>
      </w:r>
      <w:r w:rsidR="0098249E" w:rsidRPr="00091600">
        <w:rPr>
          <w:lang w:val="en-AU"/>
        </w:rPr>
        <w:t>empowerment and inclusion agenda.</w:t>
      </w:r>
      <w:r w:rsidR="00780265" w:rsidRPr="00091600">
        <w:rPr>
          <w:lang w:val="en-AU"/>
        </w:rPr>
        <w:t xml:space="preserve"> </w:t>
      </w:r>
      <w:r w:rsidR="00983FF6" w:rsidRPr="00091600">
        <w:rPr>
          <w:lang w:val="en-AU"/>
        </w:rPr>
        <w:t>This is to be expected to some degree, as institutional and social change is highly complex and takes place over a long period of time. Further work is needed to gain a deep commitment from the all partners to implement the needed institutional transformations within SBPP and PILAG, and transformational gender and inclusion objectives</w:t>
      </w:r>
      <w:r w:rsidR="00983FF6">
        <w:rPr>
          <w:lang w:val="en-AU"/>
        </w:rPr>
        <w:t xml:space="preserve">. </w:t>
      </w:r>
      <w:r w:rsidR="00636706">
        <w:rPr>
          <w:lang w:val="en-AU"/>
        </w:rPr>
        <w:t>Overall, t</w:t>
      </w:r>
      <w:r w:rsidR="0098249E" w:rsidRPr="00091600">
        <w:rPr>
          <w:lang w:val="en-AU"/>
        </w:rPr>
        <w:t xml:space="preserve">he review team attributes </w:t>
      </w:r>
      <w:r w:rsidR="00872A63">
        <w:rPr>
          <w:lang w:val="en-AU"/>
        </w:rPr>
        <w:t>th</w:t>
      </w:r>
      <w:r w:rsidR="00467C26">
        <w:rPr>
          <w:lang w:val="en-AU"/>
        </w:rPr>
        <w:t xml:space="preserve">is degree of </w:t>
      </w:r>
      <w:r w:rsidR="00636706">
        <w:rPr>
          <w:lang w:val="en-AU"/>
        </w:rPr>
        <w:t xml:space="preserve">progress </w:t>
      </w:r>
      <w:r w:rsidR="0098249E" w:rsidRPr="00091600">
        <w:rPr>
          <w:lang w:val="en-AU"/>
        </w:rPr>
        <w:t xml:space="preserve">to </w:t>
      </w:r>
      <w:r w:rsidR="00872A63">
        <w:rPr>
          <w:lang w:val="en-AU"/>
        </w:rPr>
        <w:t>the Precinct’s</w:t>
      </w:r>
      <w:r w:rsidR="0098249E" w:rsidRPr="00091600">
        <w:rPr>
          <w:lang w:val="en-AU"/>
        </w:rPr>
        <w:t xml:space="preserve"> focus on training and infrastructure</w:t>
      </w:r>
      <w:r w:rsidR="00030FBD" w:rsidRPr="00091600">
        <w:rPr>
          <w:lang w:val="en-AU"/>
        </w:rPr>
        <w:t xml:space="preserve"> as the main strategies for change</w:t>
      </w:r>
      <w:r w:rsidR="0098249E" w:rsidRPr="00091600">
        <w:rPr>
          <w:lang w:val="en-AU"/>
        </w:rPr>
        <w:t xml:space="preserve">. </w:t>
      </w:r>
    </w:p>
    <w:p w:rsidR="00983FF6" w:rsidRPr="00091600" w:rsidRDefault="0098249E" w:rsidP="005975B5">
      <w:pPr>
        <w:pStyle w:val="BodyText"/>
        <w:rPr>
          <w:lang w:val="en-AU"/>
        </w:rPr>
      </w:pPr>
      <w:r w:rsidRPr="00091600">
        <w:rPr>
          <w:lang w:val="en-AU"/>
        </w:rPr>
        <w:t xml:space="preserve">Looking ahead, </w:t>
      </w:r>
      <w:r w:rsidR="00A92BD9" w:rsidRPr="00091600">
        <w:rPr>
          <w:lang w:val="en-AU"/>
        </w:rPr>
        <w:t>a design-strengthening process could promote</w:t>
      </w:r>
      <w:r w:rsidRPr="00091600">
        <w:rPr>
          <w:lang w:val="en-AU"/>
        </w:rPr>
        <w:t xml:space="preserve"> a different approach to capacity development of the public service and inclusive approaches, </w:t>
      </w:r>
      <w:r w:rsidR="00983FF6">
        <w:rPr>
          <w:lang w:val="en-AU"/>
        </w:rPr>
        <w:t xml:space="preserve">by learning from </w:t>
      </w:r>
      <w:r w:rsidR="00983FF6" w:rsidRPr="00091600">
        <w:rPr>
          <w:lang w:val="en-AU"/>
        </w:rPr>
        <w:t xml:space="preserve">international evidence and practice, </w:t>
      </w:r>
      <w:r w:rsidR="00983FF6">
        <w:rPr>
          <w:lang w:val="en-AU"/>
        </w:rPr>
        <w:t xml:space="preserve">and </w:t>
      </w:r>
      <w:r w:rsidR="00811C3A">
        <w:rPr>
          <w:lang w:val="en-AU"/>
        </w:rPr>
        <w:t xml:space="preserve">from </w:t>
      </w:r>
      <w:r w:rsidR="00983FF6">
        <w:rPr>
          <w:lang w:val="en-AU"/>
        </w:rPr>
        <w:t>the Precinct’s own lessons from experience over its first four years</w:t>
      </w:r>
      <w:r w:rsidR="00811C3A">
        <w:rPr>
          <w:lang w:val="en-AU"/>
        </w:rPr>
        <w:t xml:space="preserve">. This would </w:t>
      </w:r>
      <w:r w:rsidR="00A92BD9" w:rsidRPr="00091600">
        <w:rPr>
          <w:lang w:val="en-AU"/>
        </w:rPr>
        <w:t>enabl</w:t>
      </w:r>
      <w:r w:rsidR="00811C3A">
        <w:rPr>
          <w:lang w:val="en-AU"/>
        </w:rPr>
        <w:t>e</w:t>
      </w:r>
      <w:r w:rsidR="00A92BD9" w:rsidRPr="00091600">
        <w:rPr>
          <w:lang w:val="en-AU"/>
        </w:rPr>
        <w:t xml:space="preserve"> </w:t>
      </w:r>
      <w:r w:rsidRPr="00091600">
        <w:rPr>
          <w:lang w:val="en-AU"/>
        </w:rPr>
        <w:t xml:space="preserve">the Precinct </w:t>
      </w:r>
      <w:r w:rsidR="00A92BD9" w:rsidRPr="00091600">
        <w:rPr>
          <w:lang w:val="en-AU"/>
        </w:rPr>
        <w:t>to</w:t>
      </w:r>
      <w:r w:rsidRPr="00091600">
        <w:rPr>
          <w:lang w:val="en-AU"/>
        </w:rPr>
        <w:t xml:space="preserve"> more effectively contribute to achieving the ultimate goal of ‘equitable and inclusive government services to all citizens of the country’</w:t>
      </w:r>
      <w:r w:rsidR="00030FBD" w:rsidRPr="00091600">
        <w:rPr>
          <w:lang w:val="en-AU"/>
        </w:rPr>
        <w:t>.</w:t>
      </w:r>
    </w:p>
    <w:p w:rsidR="000F4B57" w:rsidRPr="00091600" w:rsidRDefault="000F4B57" w:rsidP="000F4B57">
      <w:pPr>
        <w:pStyle w:val="BodyText"/>
        <w:rPr>
          <w:lang w:val="en-AU"/>
        </w:rPr>
      </w:pPr>
      <w:r w:rsidRPr="00091600">
        <w:rPr>
          <w:lang w:val="en-AU"/>
        </w:rPr>
        <w:t xml:space="preserve">To address </w:t>
      </w:r>
      <w:r w:rsidR="00030FBD" w:rsidRPr="00091600">
        <w:rPr>
          <w:lang w:val="en-AU"/>
        </w:rPr>
        <w:t>the</w:t>
      </w:r>
      <w:r w:rsidR="00D22E0D" w:rsidRPr="00091600">
        <w:rPr>
          <w:lang w:val="en-AU"/>
        </w:rPr>
        <w:t xml:space="preserve"> </w:t>
      </w:r>
      <w:r w:rsidRPr="00091600">
        <w:rPr>
          <w:lang w:val="en-AU"/>
        </w:rPr>
        <w:t>challenges facing the Precinct</w:t>
      </w:r>
      <w:r w:rsidR="0098249E" w:rsidRPr="00091600">
        <w:rPr>
          <w:lang w:val="en-AU"/>
        </w:rPr>
        <w:t xml:space="preserve">, </w:t>
      </w:r>
      <w:r w:rsidR="00030FBD" w:rsidRPr="00091600">
        <w:rPr>
          <w:lang w:val="en-AU"/>
        </w:rPr>
        <w:t>b</w:t>
      </w:r>
      <w:r w:rsidR="0098249E" w:rsidRPr="00091600">
        <w:rPr>
          <w:lang w:val="en-AU"/>
        </w:rPr>
        <w:t>uild on</w:t>
      </w:r>
      <w:r w:rsidR="00030FBD" w:rsidRPr="00091600">
        <w:rPr>
          <w:lang w:val="en-AU"/>
        </w:rPr>
        <w:t xml:space="preserve"> its</w:t>
      </w:r>
      <w:r w:rsidR="0098249E" w:rsidRPr="00091600">
        <w:rPr>
          <w:lang w:val="en-AU"/>
        </w:rPr>
        <w:t xml:space="preserve"> </w:t>
      </w:r>
      <w:r w:rsidR="00341B3C" w:rsidRPr="00091600">
        <w:rPr>
          <w:lang w:val="en-AU"/>
        </w:rPr>
        <w:t xml:space="preserve">strengths and </w:t>
      </w:r>
      <w:r w:rsidR="0098249E" w:rsidRPr="00091600">
        <w:rPr>
          <w:lang w:val="en-AU"/>
        </w:rPr>
        <w:t xml:space="preserve">achievements </w:t>
      </w:r>
      <w:r w:rsidR="00C4796A" w:rsidRPr="00091600">
        <w:rPr>
          <w:lang w:val="en-AU"/>
        </w:rPr>
        <w:t>over the last four years</w:t>
      </w:r>
      <w:r w:rsidRPr="00091600">
        <w:rPr>
          <w:lang w:val="en-AU"/>
        </w:rPr>
        <w:t xml:space="preserve"> and to make the most of its opportunities, the Strategic Review recommends a design-strengthening process involving the following elements</w:t>
      </w:r>
      <w:r w:rsidR="00E9049E" w:rsidRPr="00091600">
        <w:rPr>
          <w:lang w:val="en-AU"/>
        </w:rPr>
        <w:t>:</w:t>
      </w:r>
    </w:p>
    <w:p w:rsidR="000F4B57" w:rsidRPr="00091600" w:rsidRDefault="00E17E01" w:rsidP="00013D3C">
      <w:pPr>
        <w:pStyle w:val="BodyText"/>
        <w:numPr>
          <w:ilvl w:val="0"/>
          <w:numId w:val="50"/>
        </w:numPr>
        <w:rPr>
          <w:lang w:val="en-AU"/>
        </w:rPr>
      </w:pPr>
      <w:r w:rsidRPr="001422B3">
        <w:rPr>
          <w:rFonts w:ascii="Roboto" w:hAnsi="Roboto"/>
          <w:b/>
          <w:color w:val="000000" w:themeColor="text1"/>
          <w:lang w:val="en-AU"/>
        </w:rPr>
        <w:t>Update the program goal, theory of change, strategy, and monitoring framework</w:t>
      </w:r>
      <w:r w:rsidR="00CF45C5" w:rsidRPr="00931BFA">
        <w:rPr>
          <w:rFonts w:ascii="Roboto" w:hAnsi="Roboto"/>
          <w:color w:val="000000" w:themeColor="text1"/>
          <w:lang w:val="en-AU"/>
        </w:rPr>
        <w:t>:</w:t>
      </w:r>
      <w:r w:rsidR="00F850EC" w:rsidRPr="00091600">
        <w:rPr>
          <w:color w:val="000000" w:themeColor="text1"/>
          <w:lang w:val="en-AU"/>
        </w:rPr>
        <w:t xml:space="preserve"> </w:t>
      </w:r>
      <w:r w:rsidR="00CF45C5" w:rsidRPr="00091600">
        <w:rPr>
          <w:lang w:val="en-AU"/>
        </w:rPr>
        <w:t>t</w:t>
      </w:r>
      <w:r w:rsidR="00F850EC" w:rsidRPr="00091600">
        <w:rPr>
          <w:lang w:val="en-AU"/>
        </w:rPr>
        <w:t>he</w:t>
      </w:r>
      <w:r w:rsidR="000F4B57" w:rsidRPr="00091600">
        <w:rPr>
          <w:lang w:val="en-AU"/>
        </w:rPr>
        <w:t xml:space="preserve"> Precinct partners</w:t>
      </w:r>
      <w:r w:rsidR="003E016E" w:rsidRPr="00091600">
        <w:rPr>
          <w:lang w:val="en-AU"/>
        </w:rPr>
        <w:t xml:space="preserve"> </w:t>
      </w:r>
      <w:r w:rsidR="00F850EC" w:rsidRPr="00091600">
        <w:rPr>
          <w:lang w:val="en-AU"/>
        </w:rPr>
        <w:t>urgently need</w:t>
      </w:r>
      <w:r w:rsidR="000F4B57" w:rsidRPr="00091600">
        <w:rPr>
          <w:lang w:val="en-AU"/>
        </w:rPr>
        <w:t xml:space="preserve"> to review, test, and clarify its main overarching goal, amend it if needed, and adopt the right strategy to achieve </w:t>
      </w:r>
      <w:r w:rsidR="00C4796A" w:rsidRPr="00091600">
        <w:rPr>
          <w:lang w:val="en-AU"/>
        </w:rPr>
        <w:t>it</w:t>
      </w:r>
      <w:r w:rsidR="00F850EC" w:rsidRPr="00091600">
        <w:rPr>
          <w:lang w:val="en-AU"/>
        </w:rPr>
        <w:t>. The Precinct theory of change ma</w:t>
      </w:r>
      <w:r w:rsidR="00CF0BC1" w:rsidRPr="00091600">
        <w:rPr>
          <w:lang w:val="en-AU"/>
        </w:rPr>
        <w:t>de</w:t>
      </w:r>
      <w:r w:rsidR="00F850EC" w:rsidRPr="00091600">
        <w:rPr>
          <w:lang w:val="en-AU"/>
        </w:rPr>
        <w:t xml:space="preserve"> a number of assumptions</w:t>
      </w:r>
      <w:r w:rsidR="00034B63" w:rsidRPr="00091600">
        <w:rPr>
          <w:lang w:val="en-AU"/>
        </w:rPr>
        <w:t xml:space="preserve"> </w:t>
      </w:r>
      <w:r w:rsidR="004E2EFE" w:rsidRPr="00091600">
        <w:rPr>
          <w:lang w:val="en-AU"/>
        </w:rPr>
        <w:t xml:space="preserve">that </w:t>
      </w:r>
      <w:r w:rsidR="00034B63" w:rsidRPr="00091600">
        <w:rPr>
          <w:lang w:val="en-AU"/>
        </w:rPr>
        <w:t xml:space="preserve">are not consistent with international evidence and </w:t>
      </w:r>
      <w:r w:rsidR="00E17728" w:rsidRPr="00091600">
        <w:rPr>
          <w:lang w:val="en-AU"/>
        </w:rPr>
        <w:t xml:space="preserve">good </w:t>
      </w:r>
      <w:r w:rsidR="00034B63" w:rsidRPr="00091600">
        <w:rPr>
          <w:lang w:val="en-AU"/>
        </w:rPr>
        <w:t>practice</w:t>
      </w:r>
      <w:r w:rsidR="00AD2BA4" w:rsidRPr="00091600">
        <w:rPr>
          <w:lang w:val="en-AU"/>
        </w:rPr>
        <w:t xml:space="preserve">, </w:t>
      </w:r>
      <w:r w:rsidR="00586CE2" w:rsidRPr="00091600">
        <w:rPr>
          <w:lang w:val="en-AU"/>
        </w:rPr>
        <w:t>in particular</w:t>
      </w:r>
      <w:r w:rsidR="00AD2BA4" w:rsidRPr="00091600">
        <w:rPr>
          <w:lang w:val="en-AU"/>
        </w:rPr>
        <w:t xml:space="preserve"> that training is sufficient to achieve the program goal</w:t>
      </w:r>
      <w:r w:rsidR="00F850EC" w:rsidRPr="00091600">
        <w:rPr>
          <w:lang w:val="en-AU"/>
        </w:rPr>
        <w:t>.</w:t>
      </w:r>
      <w:r w:rsidR="001B4D8A" w:rsidRPr="00091600">
        <w:rPr>
          <w:lang w:val="en-AU"/>
        </w:rPr>
        <w:t xml:space="preserve"> </w:t>
      </w:r>
      <w:r w:rsidR="00CF0BC1" w:rsidRPr="00091600">
        <w:rPr>
          <w:lang w:val="en-AU"/>
        </w:rPr>
        <w:t>L</w:t>
      </w:r>
      <w:r w:rsidR="00F850EC" w:rsidRPr="00091600">
        <w:rPr>
          <w:lang w:val="en-AU"/>
        </w:rPr>
        <w:t>eaders</w:t>
      </w:r>
      <w:r w:rsidR="000F4B57" w:rsidRPr="00091600">
        <w:rPr>
          <w:lang w:val="en-AU"/>
        </w:rPr>
        <w:t xml:space="preserve"> face barriers in their workplaces that training alone cannot overcome (</w:t>
      </w:r>
      <w:r w:rsidR="000F4B57" w:rsidRPr="00091600">
        <w:rPr>
          <w:rFonts w:cstheme="minorHAnsi"/>
          <w:lang w:val="en-AU"/>
        </w:rPr>
        <w:t xml:space="preserve">for example, the social pressure to give preference to members of the same ethnic group or to exclude women from decision making). </w:t>
      </w:r>
      <w:r w:rsidR="00780265" w:rsidRPr="00091600">
        <w:rPr>
          <w:lang w:val="en-AU"/>
        </w:rPr>
        <w:t>The</w:t>
      </w:r>
      <w:r w:rsidR="000959C2" w:rsidRPr="00091600">
        <w:rPr>
          <w:lang w:val="en-AU"/>
        </w:rPr>
        <w:t xml:space="preserve"> design strengthening process </w:t>
      </w:r>
      <w:r w:rsidR="00780265" w:rsidRPr="00091600">
        <w:rPr>
          <w:lang w:val="en-AU"/>
        </w:rPr>
        <w:t>would</w:t>
      </w:r>
      <w:r w:rsidR="000959C2" w:rsidRPr="00091600">
        <w:rPr>
          <w:lang w:val="en-AU"/>
        </w:rPr>
        <w:t xml:space="preserve"> also </w:t>
      </w:r>
      <w:r w:rsidR="00780265" w:rsidRPr="00091600">
        <w:rPr>
          <w:lang w:val="en-AU"/>
        </w:rPr>
        <w:t xml:space="preserve">lead to a more complete </w:t>
      </w:r>
      <w:r w:rsidR="00F850EC" w:rsidRPr="00091600">
        <w:rPr>
          <w:lang w:val="en-AU"/>
        </w:rPr>
        <w:t>approach to gender eq</w:t>
      </w:r>
      <w:r w:rsidR="00916E82" w:rsidRPr="00091600">
        <w:rPr>
          <w:lang w:val="en-AU"/>
        </w:rPr>
        <w:t>u</w:t>
      </w:r>
      <w:r w:rsidR="00F850EC" w:rsidRPr="00091600">
        <w:rPr>
          <w:lang w:val="en-AU"/>
        </w:rPr>
        <w:t>ity and social inclusion</w:t>
      </w:r>
      <w:r w:rsidR="00780265" w:rsidRPr="00091600">
        <w:rPr>
          <w:lang w:val="en-AU"/>
        </w:rPr>
        <w:t xml:space="preserve">, better </w:t>
      </w:r>
      <w:r w:rsidR="00F850EC" w:rsidRPr="00091600">
        <w:rPr>
          <w:lang w:val="en-AU"/>
        </w:rPr>
        <w:t xml:space="preserve">integrated across the program. </w:t>
      </w:r>
      <w:r w:rsidR="00780265" w:rsidRPr="00091600">
        <w:rPr>
          <w:lang w:val="en-AU"/>
        </w:rPr>
        <w:t xml:space="preserve">It would examine how to </w:t>
      </w:r>
      <w:r w:rsidR="005975B5" w:rsidRPr="00091600">
        <w:rPr>
          <w:lang w:val="en-AU"/>
        </w:rPr>
        <w:t>amend</w:t>
      </w:r>
      <w:r w:rsidR="00C4796A" w:rsidRPr="00091600">
        <w:rPr>
          <w:lang w:val="en-AU"/>
        </w:rPr>
        <w:t xml:space="preserve"> or complement</w:t>
      </w:r>
      <w:r w:rsidR="000959C2" w:rsidRPr="00091600">
        <w:rPr>
          <w:lang w:val="en-AU"/>
        </w:rPr>
        <w:t xml:space="preserve"> t</w:t>
      </w:r>
      <w:r w:rsidR="000F4B57" w:rsidRPr="00091600">
        <w:rPr>
          <w:lang w:val="en-AU"/>
        </w:rPr>
        <w:t>he separate strategies for change (long-term through SBPP; medium-term through PILAG; and complementarities through pathways</w:t>
      </w:r>
      <w:r w:rsidR="001B4D8A" w:rsidRPr="00091600">
        <w:rPr>
          <w:lang w:val="en-AU"/>
        </w:rPr>
        <w:t>)</w:t>
      </w:r>
      <w:r w:rsidR="00C4796A" w:rsidRPr="00091600">
        <w:rPr>
          <w:lang w:val="en-AU"/>
        </w:rPr>
        <w:t>,</w:t>
      </w:r>
      <w:r w:rsidR="001B4D8A" w:rsidRPr="00091600">
        <w:rPr>
          <w:lang w:val="en-AU"/>
        </w:rPr>
        <w:t xml:space="preserve"> </w:t>
      </w:r>
      <w:r w:rsidR="00780265" w:rsidRPr="00091600">
        <w:rPr>
          <w:lang w:val="en-AU"/>
        </w:rPr>
        <w:t>in order</w:t>
      </w:r>
      <w:r w:rsidR="000959C2" w:rsidRPr="00091600">
        <w:rPr>
          <w:lang w:val="en-AU"/>
        </w:rPr>
        <w:t xml:space="preserve"> to</w:t>
      </w:r>
      <w:r w:rsidR="000F4B57" w:rsidRPr="00091600">
        <w:rPr>
          <w:lang w:val="en-AU"/>
        </w:rPr>
        <w:t xml:space="preserve"> achieve improved and inclusive service delivery.</w:t>
      </w:r>
      <w:r w:rsidR="00794250" w:rsidRPr="00091600">
        <w:rPr>
          <w:lang w:val="en-AU"/>
        </w:rPr>
        <w:t xml:space="preserve"> </w:t>
      </w:r>
    </w:p>
    <w:p w:rsidR="000F4B57" w:rsidRPr="00091600" w:rsidRDefault="000F4B57" w:rsidP="00013D3C">
      <w:pPr>
        <w:pStyle w:val="BodyText"/>
        <w:numPr>
          <w:ilvl w:val="0"/>
          <w:numId w:val="50"/>
        </w:numPr>
        <w:rPr>
          <w:rFonts w:cstheme="minorHAnsi"/>
          <w:lang w:val="en-AU"/>
        </w:rPr>
      </w:pPr>
      <w:r w:rsidRPr="001422B3">
        <w:rPr>
          <w:rFonts w:ascii="Roboto" w:hAnsi="Roboto"/>
          <w:b/>
          <w:lang w:val="en-AU"/>
        </w:rPr>
        <w:t>Ensure strategic management</w:t>
      </w:r>
      <w:r w:rsidR="00CF45C5" w:rsidRPr="00931BFA">
        <w:rPr>
          <w:rFonts w:ascii="Roboto" w:hAnsi="Roboto"/>
          <w:lang w:val="en-AU"/>
        </w:rPr>
        <w:t>:</w:t>
      </w:r>
      <w:r w:rsidR="00F850EC" w:rsidRPr="00091600">
        <w:rPr>
          <w:lang w:val="en-AU"/>
        </w:rPr>
        <w:t xml:space="preserve"> </w:t>
      </w:r>
      <w:r w:rsidR="00CF45C5" w:rsidRPr="00091600">
        <w:rPr>
          <w:color w:val="000000" w:themeColor="text1"/>
          <w:lang w:val="en-AU"/>
        </w:rPr>
        <w:t>t</w:t>
      </w:r>
      <w:r w:rsidR="00F850EC" w:rsidRPr="00091600">
        <w:rPr>
          <w:color w:val="000000" w:themeColor="text1"/>
          <w:lang w:val="en-AU"/>
        </w:rPr>
        <w:t>he</w:t>
      </w:r>
      <w:r w:rsidRPr="00091600">
        <w:rPr>
          <w:color w:val="000000" w:themeColor="text1"/>
          <w:lang w:val="en-AU"/>
        </w:rPr>
        <w:t xml:space="preserve"> Precinct was conceived as a flexible and opportunistic program with a ‘rolling design’. In practice, updates of its strategy and MEL framework have not been approved since January 2016. As a result, </w:t>
      </w:r>
      <w:r w:rsidR="0020536A" w:rsidRPr="00091600">
        <w:rPr>
          <w:color w:val="000000" w:themeColor="text1"/>
          <w:lang w:val="en-AU"/>
        </w:rPr>
        <w:t>the Precinct</w:t>
      </w:r>
      <w:r w:rsidR="00F850EC" w:rsidRPr="00091600">
        <w:rPr>
          <w:color w:val="000000" w:themeColor="text1"/>
          <w:lang w:val="en-AU"/>
        </w:rPr>
        <w:t xml:space="preserve"> </w:t>
      </w:r>
      <w:r w:rsidR="005840BA" w:rsidRPr="00091600">
        <w:rPr>
          <w:color w:val="000000" w:themeColor="text1"/>
          <w:lang w:val="en-AU"/>
        </w:rPr>
        <w:t>faces</w:t>
      </w:r>
      <w:r w:rsidR="00E17E01" w:rsidRPr="00091600">
        <w:rPr>
          <w:color w:val="000000" w:themeColor="text1"/>
          <w:lang w:val="en-AU"/>
        </w:rPr>
        <w:t xml:space="preserve"> limitations</w:t>
      </w:r>
      <w:r w:rsidRPr="00091600">
        <w:rPr>
          <w:color w:val="000000" w:themeColor="text1"/>
          <w:lang w:val="en-AU"/>
        </w:rPr>
        <w:t xml:space="preserve"> </w:t>
      </w:r>
      <w:r w:rsidR="00E17E01" w:rsidRPr="00091600">
        <w:rPr>
          <w:color w:val="000000" w:themeColor="text1"/>
          <w:lang w:val="en-AU"/>
        </w:rPr>
        <w:t xml:space="preserve">in </w:t>
      </w:r>
      <w:r w:rsidR="00B36169" w:rsidRPr="00091600">
        <w:rPr>
          <w:color w:val="000000" w:themeColor="text1"/>
          <w:lang w:val="en-AU"/>
        </w:rPr>
        <w:t>assess</w:t>
      </w:r>
      <w:r w:rsidR="005840BA" w:rsidRPr="00091600">
        <w:rPr>
          <w:color w:val="000000" w:themeColor="text1"/>
          <w:lang w:val="en-AU"/>
        </w:rPr>
        <w:t>ing</w:t>
      </w:r>
      <w:r w:rsidRPr="00091600">
        <w:rPr>
          <w:color w:val="000000" w:themeColor="text1"/>
          <w:lang w:val="en-AU"/>
        </w:rPr>
        <w:t xml:space="preserve"> its contribution to behaviour change (</w:t>
      </w:r>
      <w:r w:rsidR="0098249E" w:rsidRPr="00091600">
        <w:rPr>
          <w:color w:val="000000" w:themeColor="text1"/>
          <w:lang w:val="en-AU"/>
        </w:rPr>
        <w:t xml:space="preserve">i.e. </w:t>
      </w:r>
      <w:r w:rsidRPr="00091600">
        <w:rPr>
          <w:color w:val="000000" w:themeColor="text1"/>
          <w:lang w:val="en-AU"/>
        </w:rPr>
        <w:t xml:space="preserve">if public servants are better able to deliver services). </w:t>
      </w:r>
      <w:r w:rsidR="003E016E" w:rsidRPr="00091600">
        <w:rPr>
          <w:lang w:val="en-AU"/>
        </w:rPr>
        <w:t xml:space="preserve">More </w:t>
      </w:r>
      <w:r w:rsidR="005840BA" w:rsidRPr="00091600">
        <w:rPr>
          <w:lang w:val="en-AU"/>
        </w:rPr>
        <w:t>s</w:t>
      </w:r>
      <w:r w:rsidR="00F850EC" w:rsidRPr="00091600">
        <w:rPr>
          <w:lang w:val="en-AU"/>
        </w:rPr>
        <w:t>trategic</w:t>
      </w:r>
      <w:r w:rsidRPr="00091600">
        <w:rPr>
          <w:lang w:val="en-AU"/>
        </w:rPr>
        <w:t xml:space="preserve"> management would </w:t>
      </w:r>
      <w:r w:rsidRPr="00091600">
        <w:rPr>
          <w:rFonts w:cstheme="minorHAnsi"/>
          <w:lang w:val="en-AU"/>
        </w:rPr>
        <w:t xml:space="preserve">improve understanding of roles, responsibilities, and ways of working across Precinct management and implementers. It would also better harness synergies with other Australian investments (particularly regarding Australia </w:t>
      </w:r>
      <w:r w:rsidR="00F01527">
        <w:rPr>
          <w:rFonts w:cstheme="minorHAnsi"/>
          <w:lang w:val="en-AU"/>
        </w:rPr>
        <w:t>A</w:t>
      </w:r>
      <w:r w:rsidRPr="00091600">
        <w:rPr>
          <w:rFonts w:cstheme="minorHAnsi"/>
          <w:lang w:val="en-AU"/>
        </w:rPr>
        <w:t xml:space="preserve">wards, decentralisation and </w:t>
      </w:r>
      <w:r w:rsidR="00B36169" w:rsidRPr="00091600">
        <w:rPr>
          <w:rFonts w:cstheme="minorHAnsi"/>
          <w:lang w:val="en-AU"/>
        </w:rPr>
        <w:t>citizen</w:t>
      </w:r>
      <w:r w:rsidRPr="00091600">
        <w:rPr>
          <w:rFonts w:cstheme="minorHAnsi"/>
          <w:lang w:val="en-AU"/>
        </w:rPr>
        <w:t xml:space="preserve"> participation, institutional partnerships with </w:t>
      </w:r>
      <w:r w:rsidR="00E87298">
        <w:rPr>
          <w:rFonts w:cstheme="minorHAnsi"/>
          <w:lang w:val="en-AU"/>
        </w:rPr>
        <w:t>PNG Government</w:t>
      </w:r>
      <w:r w:rsidRPr="00091600">
        <w:rPr>
          <w:rFonts w:cstheme="minorHAnsi"/>
          <w:lang w:val="en-AU"/>
        </w:rPr>
        <w:t xml:space="preserve"> departments, and higher education).</w:t>
      </w:r>
    </w:p>
    <w:p w:rsidR="000F4B57" w:rsidRPr="00091600" w:rsidRDefault="000F4B57" w:rsidP="00013D3C">
      <w:pPr>
        <w:pStyle w:val="BodyText"/>
        <w:numPr>
          <w:ilvl w:val="0"/>
          <w:numId w:val="50"/>
        </w:numPr>
        <w:rPr>
          <w:lang w:val="en-AU"/>
        </w:rPr>
      </w:pPr>
      <w:r w:rsidRPr="001422B3">
        <w:rPr>
          <w:rFonts w:ascii="Roboto" w:hAnsi="Roboto"/>
          <w:b/>
          <w:lang w:val="en-AU"/>
        </w:rPr>
        <w:t>Deepen PNG ownership</w:t>
      </w:r>
      <w:r w:rsidR="00CF45C5" w:rsidRPr="001422B3">
        <w:rPr>
          <w:rFonts w:ascii="Roboto" w:hAnsi="Roboto"/>
          <w:b/>
          <w:lang w:val="en-AU"/>
        </w:rPr>
        <w:t>:</w:t>
      </w:r>
      <w:r w:rsidR="00F850EC" w:rsidRPr="00091600">
        <w:rPr>
          <w:lang w:val="en-AU"/>
        </w:rPr>
        <w:t xml:space="preserve"> </w:t>
      </w:r>
      <w:r w:rsidR="00CF45C5" w:rsidRPr="00091600">
        <w:rPr>
          <w:lang w:val="en-AU"/>
        </w:rPr>
        <w:t>t</w:t>
      </w:r>
      <w:r w:rsidR="00F850EC" w:rsidRPr="00091600">
        <w:rPr>
          <w:lang w:val="en-AU"/>
        </w:rPr>
        <w:t xml:space="preserve">he </w:t>
      </w:r>
      <w:r w:rsidR="00CF45C5" w:rsidRPr="00091600">
        <w:rPr>
          <w:lang w:val="en-AU"/>
        </w:rPr>
        <w:t>r</w:t>
      </w:r>
      <w:r w:rsidR="00F850EC" w:rsidRPr="00091600">
        <w:rPr>
          <w:lang w:val="en-AU"/>
        </w:rPr>
        <w:t xml:space="preserve">eview </w:t>
      </w:r>
      <w:r w:rsidR="00CF45C5" w:rsidRPr="00091600">
        <w:rPr>
          <w:lang w:val="en-AU"/>
        </w:rPr>
        <w:t>t</w:t>
      </w:r>
      <w:r w:rsidR="00F850EC" w:rsidRPr="00091600">
        <w:rPr>
          <w:lang w:val="en-AU"/>
        </w:rPr>
        <w:t>eam</w:t>
      </w:r>
      <w:r w:rsidRPr="00091600">
        <w:rPr>
          <w:lang w:val="en-AU"/>
        </w:rPr>
        <w:t xml:space="preserve"> identified strong political support for the Precinct, from both PNG and Australia stakeholders. The </w:t>
      </w:r>
      <w:r w:rsidR="00E87298">
        <w:rPr>
          <w:lang w:val="en-AU"/>
        </w:rPr>
        <w:t>PNG Government</w:t>
      </w:r>
      <w:r w:rsidRPr="00091600">
        <w:rPr>
          <w:lang w:val="en-AU"/>
        </w:rPr>
        <w:t xml:space="preserve"> Minister for Public Service told the </w:t>
      </w:r>
      <w:r w:rsidR="00CF45C5" w:rsidRPr="00091600">
        <w:rPr>
          <w:lang w:val="en-AU"/>
        </w:rPr>
        <w:t>review</w:t>
      </w:r>
      <w:r w:rsidRPr="00091600">
        <w:rPr>
          <w:lang w:val="en-AU"/>
        </w:rPr>
        <w:t xml:space="preserve"> team the Precinct was ‘a very important program for the </w:t>
      </w:r>
      <w:r w:rsidR="00973AFB">
        <w:rPr>
          <w:lang w:val="en-AU"/>
        </w:rPr>
        <w:t>G</w:t>
      </w:r>
      <w:r w:rsidRPr="00091600">
        <w:rPr>
          <w:lang w:val="en-AU"/>
        </w:rPr>
        <w:t>overnment’, and the DHERST Secretary considered that ‘the Precinct is one of the best Australian programs; both planning and execution were done in a short period of time’. This support contributes to public diplomacy objectives in terms of a strong PNG–Australia bilateral relationship. O</w:t>
      </w:r>
      <w:r w:rsidRPr="00091600">
        <w:rPr>
          <w:rFonts w:cstheme="minorHAnsi"/>
          <w:lang w:val="en-AU"/>
        </w:rPr>
        <w:t>wnership of the Precinct can be deepened to achieve a greater PNG whole-of-government relevance and</w:t>
      </w:r>
      <w:r w:rsidRPr="00091600">
        <w:rPr>
          <w:lang w:val="en-AU"/>
        </w:rPr>
        <w:t xml:space="preserve"> make the most of its high-quality and engaged Board members. A revised governance structure could deepen ownership.</w:t>
      </w:r>
    </w:p>
    <w:p w:rsidR="000F4B57" w:rsidRPr="00091600" w:rsidRDefault="00E27038" w:rsidP="00013D3C">
      <w:pPr>
        <w:pStyle w:val="BodyText"/>
        <w:numPr>
          <w:ilvl w:val="0"/>
          <w:numId w:val="50"/>
        </w:numPr>
        <w:rPr>
          <w:lang w:val="en-AU"/>
        </w:rPr>
      </w:pPr>
      <w:r w:rsidRPr="001422B3">
        <w:rPr>
          <w:rFonts w:ascii="Roboto" w:hAnsi="Roboto" w:cstheme="minorHAnsi"/>
          <w:b/>
          <w:lang w:val="en-AU"/>
        </w:rPr>
        <w:t>Deliver greater</w:t>
      </w:r>
      <w:r w:rsidR="000F4B57" w:rsidRPr="001422B3">
        <w:rPr>
          <w:rFonts w:ascii="Roboto" w:hAnsi="Roboto" w:cstheme="minorHAnsi"/>
          <w:b/>
          <w:lang w:val="en-AU"/>
        </w:rPr>
        <w:t xml:space="preserve"> efficiency and value for money</w:t>
      </w:r>
      <w:r w:rsidR="00442C53" w:rsidRPr="001422B3">
        <w:rPr>
          <w:rFonts w:ascii="Roboto" w:hAnsi="Roboto" w:cstheme="minorHAnsi"/>
          <w:b/>
          <w:lang w:val="en-AU"/>
        </w:rPr>
        <w:t>:</w:t>
      </w:r>
      <w:r w:rsidRPr="00091600">
        <w:rPr>
          <w:rFonts w:cstheme="minorHAnsi"/>
          <w:lang w:val="en-AU"/>
        </w:rPr>
        <w:t xml:space="preserve"> </w:t>
      </w:r>
      <w:r w:rsidR="005D7B22" w:rsidRPr="00091600">
        <w:rPr>
          <w:lang w:val="en-AU"/>
        </w:rPr>
        <w:t>public sector participants come from the national level (42%), provinc</w:t>
      </w:r>
      <w:r w:rsidR="0072682C" w:rsidRPr="00091600">
        <w:rPr>
          <w:lang w:val="en-AU"/>
        </w:rPr>
        <w:t>ial centres</w:t>
      </w:r>
      <w:r w:rsidR="005D7B22" w:rsidRPr="00091600">
        <w:rPr>
          <w:lang w:val="en-AU"/>
        </w:rPr>
        <w:t xml:space="preserve"> (31%)</w:t>
      </w:r>
      <w:r w:rsidR="004A06A5" w:rsidRPr="00091600">
        <w:rPr>
          <w:lang w:val="en-AU"/>
        </w:rPr>
        <w:t>,</w:t>
      </w:r>
      <w:r w:rsidR="005D7B22" w:rsidRPr="00091600">
        <w:rPr>
          <w:lang w:val="en-AU"/>
        </w:rPr>
        <w:t xml:space="preserve"> </w:t>
      </w:r>
      <w:r w:rsidR="001C1C4D" w:rsidRPr="00091600">
        <w:rPr>
          <w:lang w:val="en-AU"/>
        </w:rPr>
        <w:t xml:space="preserve">and </w:t>
      </w:r>
      <w:r w:rsidR="005D7B22" w:rsidRPr="00091600">
        <w:rPr>
          <w:lang w:val="en-AU"/>
        </w:rPr>
        <w:t>districts</w:t>
      </w:r>
      <w:r w:rsidR="004A06A5" w:rsidRPr="00091600">
        <w:rPr>
          <w:lang w:val="en-AU"/>
        </w:rPr>
        <w:t xml:space="preserve"> and </w:t>
      </w:r>
      <w:r w:rsidR="005D7B22" w:rsidRPr="00091600">
        <w:rPr>
          <w:lang w:val="en-AU"/>
        </w:rPr>
        <w:t>local</w:t>
      </w:r>
      <w:r w:rsidR="001C1C4D" w:rsidRPr="00091600">
        <w:rPr>
          <w:lang w:val="en-AU"/>
        </w:rPr>
        <w:t xml:space="preserve"> level</w:t>
      </w:r>
      <w:r w:rsidR="005D7B22" w:rsidRPr="00091600">
        <w:rPr>
          <w:lang w:val="en-AU"/>
        </w:rPr>
        <w:t xml:space="preserve"> </w:t>
      </w:r>
      <w:r w:rsidR="0072682C" w:rsidRPr="00091600">
        <w:rPr>
          <w:lang w:val="en-AU"/>
        </w:rPr>
        <w:t>administrations</w:t>
      </w:r>
      <w:r w:rsidR="005D7B22" w:rsidRPr="00091600">
        <w:rPr>
          <w:lang w:val="en-AU"/>
        </w:rPr>
        <w:t xml:space="preserve"> </w:t>
      </w:r>
      <w:r w:rsidR="004A06A5" w:rsidRPr="00091600">
        <w:rPr>
          <w:lang w:val="en-AU"/>
        </w:rPr>
        <w:t>(18%)</w:t>
      </w:r>
      <w:r w:rsidR="00E9049E" w:rsidRPr="00091600">
        <w:rPr>
          <w:lang w:val="en-AU"/>
        </w:rPr>
        <w:t>, with an appropriate shift overtime towards sub-national beneficiaries</w:t>
      </w:r>
      <w:r w:rsidR="005D7B22" w:rsidRPr="00091600">
        <w:rPr>
          <w:lang w:val="en-AU"/>
        </w:rPr>
        <w:t xml:space="preserve">. </w:t>
      </w:r>
      <w:r w:rsidR="00425369" w:rsidRPr="00091600">
        <w:rPr>
          <w:lang w:val="en-AU"/>
        </w:rPr>
        <w:t xml:space="preserve">Though the Precinct does not have explicit prioritisation criteria, </w:t>
      </w:r>
      <w:r w:rsidR="00425369">
        <w:rPr>
          <w:color w:val="000000" w:themeColor="text1"/>
          <w:lang w:val="en-AU"/>
        </w:rPr>
        <w:t>a</w:t>
      </w:r>
      <w:r w:rsidRPr="00091600">
        <w:rPr>
          <w:color w:val="000000" w:themeColor="text1"/>
          <w:lang w:val="en-AU"/>
        </w:rPr>
        <w:t>t the national level,</w:t>
      </w:r>
      <w:r w:rsidRPr="00091600">
        <w:rPr>
          <w:bCs/>
          <w:color w:val="000000" w:themeColor="text1"/>
          <w:lang w:val="en-AU"/>
        </w:rPr>
        <w:t xml:space="preserve"> </w:t>
      </w:r>
      <w:r w:rsidR="005840BA" w:rsidRPr="00091600">
        <w:rPr>
          <w:bCs/>
          <w:color w:val="000000" w:themeColor="text1"/>
          <w:lang w:val="en-AU"/>
        </w:rPr>
        <w:t xml:space="preserve">the top three sectors are: </w:t>
      </w:r>
      <w:r w:rsidR="005D7B22" w:rsidRPr="00091600">
        <w:rPr>
          <w:rFonts w:cs="Calibri"/>
          <w:color w:val="000000" w:themeColor="text1"/>
          <w:lang w:val="en-AU"/>
        </w:rPr>
        <w:t>Governance and Public Sector Management</w:t>
      </w:r>
      <w:r w:rsidR="00442C53" w:rsidRPr="00091600">
        <w:rPr>
          <w:rFonts w:cs="Calibri"/>
          <w:color w:val="000000" w:themeColor="text1"/>
          <w:lang w:val="en-AU"/>
        </w:rPr>
        <w:t>;</w:t>
      </w:r>
      <w:r w:rsidR="005D7B22" w:rsidRPr="00091600">
        <w:rPr>
          <w:rFonts w:cs="Calibri"/>
          <w:color w:val="000000" w:themeColor="text1"/>
          <w:lang w:val="en-AU"/>
        </w:rPr>
        <w:t xml:space="preserve"> Higher and Tertiary Education</w:t>
      </w:r>
      <w:r w:rsidR="00442C53" w:rsidRPr="00091600">
        <w:rPr>
          <w:rFonts w:cs="Calibri"/>
          <w:color w:val="000000" w:themeColor="text1"/>
          <w:lang w:val="en-AU"/>
        </w:rPr>
        <w:t>;</w:t>
      </w:r>
      <w:r w:rsidR="005D7B22" w:rsidRPr="00091600">
        <w:rPr>
          <w:rFonts w:cs="Calibri"/>
          <w:color w:val="000000" w:themeColor="text1"/>
          <w:lang w:val="en-AU"/>
        </w:rPr>
        <w:t xml:space="preserve"> </w:t>
      </w:r>
      <w:r w:rsidR="00253378" w:rsidRPr="00091600">
        <w:rPr>
          <w:rFonts w:cs="Calibri"/>
          <w:color w:val="000000" w:themeColor="text1"/>
          <w:lang w:val="en-AU"/>
        </w:rPr>
        <w:t xml:space="preserve">and </w:t>
      </w:r>
      <w:r w:rsidR="005D7B22" w:rsidRPr="00091600">
        <w:rPr>
          <w:rFonts w:cs="Calibri"/>
          <w:color w:val="000000" w:themeColor="text1"/>
          <w:lang w:val="en-AU"/>
        </w:rPr>
        <w:t>Law and Justice</w:t>
      </w:r>
      <w:r w:rsidR="005840BA" w:rsidRPr="00091600">
        <w:rPr>
          <w:rFonts w:cs="Calibri"/>
          <w:color w:val="000000" w:themeColor="text1"/>
          <w:lang w:val="en-AU"/>
        </w:rPr>
        <w:t xml:space="preserve">. </w:t>
      </w:r>
      <w:r w:rsidR="00425369" w:rsidRPr="00726663">
        <w:rPr>
          <w:bCs/>
          <w:color w:val="000000" w:themeColor="text1"/>
          <w:lang w:val="en-AU"/>
        </w:rPr>
        <w:t>51% of national participants came from 10 organisations</w:t>
      </w:r>
      <w:r w:rsidR="00425369">
        <w:rPr>
          <w:bCs/>
          <w:color w:val="000000" w:themeColor="text1"/>
          <w:lang w:val="en-AU"/>
        </w:rPr>
        <w:t>.</w:t>
      </w:r>
      <w:r w:rsidR="00425369">
        <w:rPr>
          <w:rFonts w:cstheme="minorHAnsi"/>
          <w:lang w:val="en-AU"/>
        </w:rPr>
        <w:t xml:space="preserve"> </w:t>
      </w:r>
      <w:r w:rsidR="000F4B57" w:rsidRPr="00091600">
        <w:rPr>
          <w:lang w:val="en-AU"/>
        </w:rPr>
        <w:t>The Precinct should assess whether this</w:t>
      </w:r>
      <w:r w:rsidR="000F4B57" w:rsidRPr="00091600">
        <w:rPr>
          <w:rFonts w:cstheme="minorHAnsi"/>
          <w:lang w:val="en-AU"/>
        </w:rPr>
        <w:t xml:space="preserve"> prioritisation of resources is in line with the </w:t>
      </w:r>
      <w:r w:rsidR="00E87298">
        <w:rPr>
          <w:rFonts w:cstheme="minorHAnsi"/>
          <w:lang w:val="en-AU"/>
        </w:rPr>
        <w:t>PNG Government</w:t>
      </w:r>
      <w:r w:rsidR="000F4B57" w:rsidRPr="00091600">
        <w:rPr>
          <w:rFonts w:cstheme="minorHAnsi"/>
          <w:lang w:val="en-AU"/>
        </w:rPr>
        <w:t xml:space="preserve"> priority sectors and strengthen prioritisation criteria. </w:t>
      </w:r>
      <w:r w:rsidR="00A23EC9">
        <w:rPr>
          <w:rFonts w:cstheme="minorHAnsi"/>
          <w:lang w:val="en-AU"/>
        </w:rPr>
        <w:t>P</w:t>
      </w:r>
      <w:r w:rsidR="00A23EC9" w:rsidRPr="00091600">
        <w:rPr>
          <w:rFonts w:cstheme="minorHAnsi"/>
          <w:lang w:val="en-AU"/>
        </w:rPr>
        <w:t xml:space="preserve">rioritisation is essential as </w:t>
      </w:r>
      <w:r w:rsidR="00A23EC9" w:rsidRPr="00091600">
        <w:rPr>
          <w:lang w:val="en-AU"/>
        </w:rPr>
        <w:t xml:space="preserve">the number of public servants trained by the Precinct to date is less than 1% of the total number of national-level public servants. </w:t>
      </w:r>
      <w:r w:rsidR="000F4B57" w:rsidRPr="00091600">
        <w:rPr>
          <w:lang w:val="en-AU"/>
        </w:rPr>
        <w:t xml:space="preserve">Value for money could be improved through a cost–benefit analysis: the </w:t>
      </w:r>
      <w:r w:rsidR="00442C53" w:rsidRPr="00091600">
        <w:rPr>
          <w:lang w:val="en-AU"/>
        </w:rPr>
        <w:t>r</w:t>
      </w:r>
      <w:r w:rsidRPr="00091600">
        <w:rPr>
          <w:lang w:val="en-AU"/>
        </w:rPr>
        <w:t>eview</w:t>
      </w:r>
      <w:r w:rsidR="000F4B57" w:rsidRPr="00091600">
        <w:rPr>
          <w:lang w:val="en-AU"/>
        </w:rPr>
        <w:t xml:space="preserve"> team’s preliminary assessment pointed to large variations between the cost of delivering various of Precinct courses through different providers.</w:t>
      </w:r>
    </w:p>
    <w:p w:rsidR="000F4B57" w:rsidRPr="00425369" w:rsidRDefault="000F4B57" w:rsidP="001422B3">
      <w:pPr>
        <w:pStyle w:val="BodyText"/>
        <w:numPr>
          <w:ilvl w:val="0"/>
          <w:numId w:val="50"/>
        </w:numPr>
        <w:rPr>
          <w:lang w:val="en-AU"/>
        </w:rPr>
      </w:pPr>
      <w:r w:rsidRPr="001422B3">
        <w:rPr>
          <w:rFonts w:ascii="Roboto" w:hAnsi="Roboto" w:cstheme="minorHAnsi"/>
          <w:b/>
          <w:lang w:val="en-AU"/>
        </w:rPr>
        <w:t>Redirect the Precinct towards sustainability</w:t>
      </w:r>
      <w:r w:rsidR="00442C53" w:rsidRPr="001422B3">
        <w:rPr>
          <w:rFonts w:ascii="Roboto" w:hAnsi="Roboto" w:cstheme="minorHAnsi"/>
          <w:b/>
          <w:lang w:val="en-AU"/>
        </w:rPr>
        <w:t>:</w:t>
      </w:r>
      <w:r w:rsidR="00F850EC" w:rsidRPr="00091600">
        <w:rPr>
          <w:rFonts w:cstheme="minorHAnsi"/>
          <w:lang w:val="en-AU"/>
        </w:rPr>
        <w:t xml:space="preserve"> </w:t>
      </w:r>
      <w:r w:rsidR="00442C53" w:rsidRPr="00091600">
        <w:rPr>
          <w:lang w:val="en-AU"/>
        </w:rPr>
        <w:t>t</w:t>
      </w:r>
      <w:r w:rsidR="00F850EC" w:rsidRPr="00091600">
        <w:rPr>
          <w:lang w:val="en-AU"/>
        </w:rPr>
        <w:t>he</w:t>
      </w:r>
      <w:r w:rsidRPr="00091600">
        <w:rPr>
          <w:lang w:val="en-AU"/>
        </w:rPr>
        <w:t xml:space="preserve"> start-up phase of the program has focused on delivering visible results (e.g. buildings</w:t>
      </w:r>
      <w:r w:rsidR="00442C53" w:rsidRPr="00091600">
        <w:rPr>
          <w:lang w:val="en-AU"/>
        </w:rPr>
        <w:t>;</w:t>
      </w:r>
      <w:r w:rsidRPr="00091600">
        <w:rPr>
          <w:lang w:val="en-AU"/>
        </w:rPr>
        <w:t xml:space="preserve"> getting courses quickly off the ground) while the wider program bedded down. </w:t>
      </w:r>
      <w:r w:rsidR="00F850EC" w:rsidRPr="00091600">
        <w:rPr>
          <w:lang w:val="en-AU"/>
        </w:rPr>
        <w:t>As a result, long-term sustainability has not been at the heart of program decisions so far. Now</w:t>
      </w:r>
      <w:r w:rsidR="003E016E" w:rsidRPr="00091600">
        <w:rPr>
          <w:lang w:val="en-AU"/>
        </w:rPr>
        <w:t xml:space="preserve"> is </w:t>
      </w:r>
      <w:r w:rsidR="00F850EC" w:rsidRPr="00091600">
        <w:rPr>
          <w:lang w:val="en-AU"/>
        </w:rPr>
        <w:t>the time</w:t>
      </w:r>
      <w:r w:rsidRPr="00091600">
        <w:rPr>
          <w:lang w:val="en-AU"/>
        </w:rPr>
        <w:t xml:space="preserve"> </w:t>
      </w:r>
      <w:r w:rsidR="003E016E" w:rsidRPr="00091600">
        <w:rPr>
          <w:lang w:val="en-AU"/>
        </w:rPr>
        <w:t>to</w:t>
      </w:r>
      <w:r w:rsidRPr="00091600">
        <w:rPr>
          <w:lang w:val="en-AU"/>
        </w:rPr>
        <w:t xml:space="preserve"> </w:t>
      </w:r>
      <w:r w:rsidR="00F970E5" w:rsidRPr="00091600">
        <w:rPr>
          <w:lang w:val="en-AU"/>
        </w:rPr>
        <w:t xml:space="preserve">consider </w:t>
      </w:r>
      <w:r w:rsidR="00425369">
        <w:rPr>
          <w:lang w:val="en-AU"/>
        </w:rPr>
        <w:t xml:space="preserve">how the Precinct can achieve </w:t>
      </w:r>
      <w:r w:rsidRPr="00091600">
        <w:rPr>
          <w:lang w:val="en-AU"/>
        </w:rPr>
        <w:t>sustainable results</w:t>
      </w:r>
      <w:r w:rsidR="00F850EC" w:rsidRPr="00091600">
        <w:rPr>
          <w:lang w:val="en-AU"/>
        </w:rPr>
        <w:t xml:space="preserve"> that may be</w:t>
      </w:r>
      <w:r w:rsidRPr="00091600">
        <w:rPr>
          <w:lang w:val="en-AU"/>
        </w:rPr>
        <w:t xml:space="preserve"> less visible</w:t>
      </w:r>
      <w:r w:rsidR="00442C53" w:rsidRPr="00091600">
        <w:rPr>
          <w:lang w:val="en-AU"/>
        </w:rPr>
        <w:t>,</w:t>
      </w:r>
      <w:r w:rsidR="00F850EC" w:rsidRPr="00091600">
        <w:rPr>
          <w:lang w:val="en-AU"/>
        </w:rPr>
        <w:t xml:space="preserve"> but</w:t>
      </w:r>
      <w:r w:rsidR="007C5574" w:rsidRPr="00091600">
        <w:rPr>
          <w:lang w:val="en-AU"/>
        </w:rPr>
        <w:t xml:space="preserve"> that</w:t>
      </w:r>
      <w:r w:rsidR="00F850EC" w:rsidRPr="00091600">
        <w:rPr>
          <w:lang w:val="en-AU"/>
        </w:rPr>
        <w:t xml:space="preserve"> can last beyond Australian support.</w:t>
      </w:r>
      <w:r w:rsidRPr="00091600">
        <w:rPr>
          <w:lang w:val="en-AU"/>
        </w:rPr>
        <w:t xml:space="preserve"> Our recommendation for an updated </w:t>
      </w:r>
      <w:r w:rsidR="006C47C2" w:rsidRPr="00091600">
        <w:rPr>
          <w:lang w:val="en-AU"/>
        </w:rPr>
        <w:t>and more sustainable</w:t>
      </w:r>
      <w:r w:rsidR="00F850EC" w:rsidRPr="00091600">
        <w:rPr>
          <w:lang w:val="en-AU"/>
        </w:rPr>
        <w:t xml:space="preserve"> </w:t>
      </w:r>
      <w:r w:rsidRPr="00091600">
        <w:rPr>
          <w:lang w:val="en-AU"/>
        </w:rPr>
        <w:t>Precinct strategy includes</w:t>
      </w:r>
      <w:r w:rsidR="00A23EC9">
        <w:rPr>
          <w:lang w:val="en-AU"/>
        </w:rPr>
        <w:t>:</w:t>
      </w:r>
      <w:r w:rsidR="006C47C2" w:rsidRPr="00091600">
        <w:rPr>
          <w:lang w:val="en-AU"/>
        </w:rPr>
        <w:t xml:space="preserve"> (i) </w:t>
      </w:r>
      <w:r w:rsidR="00F850EC" w:rsidRPr="00091600">
        <w:rPr>
          <w:lang w:val="en-AU"/>
        </w:rPr>
        <w:t xml:space="preserve">a redirection of efforts away from </w:t>
      </w:r>
      <w:r w:rsidRPr="00091600">
        <w:rPr>
          <w:lang w:val="en-AU"/>
        </w:rPr>
        <w:t xml:space="preserve">capacity substitution (for example how ANU </w:t>
      </w:r>
      <w:r w:rsidR="00CF0BC1" w:rsidRPr="00091600">
        <w:rPr>
          <w:lang w:val="en-AU"/>
        </w:rPr>
        <w:t>works</w:t>
      </w:r>
      <w:r w:rsidRPr="00091600">
        <w:rPr>
          <w:lang w:val="en-AU"/>
        </w:rPr>
        <w:t xml:space="preserve"> with SBPP) and</w:t>
      </w:r>
      <w:r w:rsidR="00E17E01" w:rsidRPr="00091600">
        <w:rPr>
          <w:lang w:val="en-AU"/>
        </w:rPr>
        <w:t xml:space="preserve"> </w:t>
      </w:r>
      <w:r w:rsidRPr="00091600">
        <w:rPr>
          <w:lang w:val="en-AU"/>
        </w:rPr>
        <w:t>towards capacity development of SBPP and PILAG</w:t>
      </w:r>
      <w:r w:rsidR="00F970E5" w:rsidRPr="00091600">
        <w:rPr>
          <w:lang w:val="en-AU"/>
        </w:rPr>
        <w:t xml:space="preserve">; </w:t>
      </w:r>
      <w:r w:rsidR="006C47C2" w:rsidRPr="00091600">
        <w:rPr>
          <w:lang w:val="en-AU"/>
        </w:rPr>
        <w:t xml:space="preserve">(ii) </w:t>
      </w:r>
      <w:r w:rsidR="00F970E5" w:rsidRPr="00091600">
        <w:rPr>
          <w:lang w:val="en-AU"/>
        </w:rPr>
        <w:t>a</w:t>
      </w:r>
      <w:r w:rsidR="003E016E" w:rsidRPr="00091600">
        <w:rPr>
          <w:lang w:val="en-AU"/>
        </w:rPr>
        <w:t xml:space="preserve"> </w:t>
      </w:r>
      <w:r w:rsidRPr="00091600">
        <w:rPr>
          <w:lang w:val="en-AU"/>
        </w:rPr>
        <w:t>refocus on what is required to achieve a more capable public service</w:t>
      </w:r>
      <w:r w:rsidR="00112876" w:rsidRPr="00091600">
        <w:rPr>
          <w:lang w:val="en-AU"/>
        </w:rPr>
        <w:t xml:space="preserve"> </w:t>
      </w:r>
      <w:r w:rsidR="00F850EC" w:rsidRPr="00091600">
        <w:rPr>
          <w:lang w:val="en-AU"/>
        </w:rPr>
        <w:t xml:space="preserve">without relying solely on </w:t>
      </w:r>
      <w:r w:rsidR="00112876" w:rsidRPr="00091600">
        <w:rPr>
          <w:lang w:val="en-AU"/>
        </w:rPr>
        <w:t>training</w:t>
      </w:r>
      <w:r w:rsidR="00F850EC" w:rsidRPr="00091600">
        <w:rPr>
          <w:lang w:val="en-AU"/>
        </w:rPr>
        <w:t xml:space="preserve">; </w:t>
      </w:r>
      <w:r w:rsidR="006C47C2" w:rsidRPr="00091600">
        <w:rPr>
          <w:lang w:val="en-AU"/>
        </w:rPr>
        <w:t xml:space="preserve">and </w:t>
      </w:r>
      <w:r w:rsidR="000C5F1D" w:rsidRPr="00091600">
        <w:rPr>
          <w:lang w:val="en-AU"/>
        </w:rPr>
        <w:t>(ii</w:t>
      </w:r>
      <w:r w:rsidR="00C4796A" w:rsidRPr="00091600">
        <w:rPr>
          <w:lang w:val="en-AU"/>
        </w:rPr>
        <w:t>i</w:t>
      </w:r>
      <w:r w:rsidR="000C5F1D" w:rsidRPr="00091600">
        <w:rPr>
          <w:lang w:val="en-AU"/>
        </w:rPr>
        <w:t>)</w:t>
      </w:r>
      <w:r w:rsidRPr="00091600">
        <w:rPr>
          <w:lang w:val="en-AU"/>
        </w:rPr>
        <w:t xml:space="preserve"> proper integration of GESI throughout the Precinct to promote </w:t>
      </w:r>
      <w:r w:rsidR="006C47C2" w:rsidRPr="00091600">
        <w:rPr>
          <w:lang w:val="en-AU"/>
        </w:rPr>
        <w:t xml:space="preserve">lasting </w:t>
      </w:r>
      <w:r w:rsidRPr="00091600">
        <w:rPr>
          <w:lang w:val="en-AU"/>
        </w:rPr>
        <w:t xml:space="preserve">inclusive social change. </w:t>
      </w:r>
    </w:p>
    <w:p w:rsidR="005A6912" w:rsidRPr="00091600" w:rsidRDefault="005A6912" w:rsidP="00461B26">
      <w:pPr>
        <w:pStyle w:val="BodyText"/>
        <w:rPr>
          <w:lang w:val="en-AU"/>
        </w:rPr>
      </w:pPr>
      <w:r w:rsidRPr="00091600">
        <w:rPr>
          <w:lang w:val="en-AU"/>
        </w:rPr>
        <w:t xml:space="preserve">Table 2 below summarises the </w:t>
      </w:r>
      <w:r w:rsidR="000C5F1D" w:rsidRPr="00091600">
        <w:rPr>
          <w:lang w:val="en-AU"/>
        </w:rPr>
        <w:t xml:space="preserve">review team’s </w:t>
      </w:r>
      <w:r w:rsidRPr="00091600">
        <w:rPr>
          <w:lang w:val="en-AU"/>
        </w:rPr>
        <w:t xml:space="preserve">recommendations which are elaborated in the </w:t>
      </w:r>
      <w:r w:rsidR="000C5F1D" w:rsidRPr="00091600">
        <w:rPr>
          <w:lang w:val="en-AU"/>
        </w:rPr>
        <w:t xml:space="preserve">relevant </w:t>
      </w:r>
      <w:r w:rsidRPr="00091600">
        <w:rPr>
          <w:lang w:val="en-AU"/>
        </w:rPr>
        <w:t xml:space="preserve">sections </w:t>
      </w:r>
      <w:r w:rsidR="000C5F1D" w:rsidRPr="00091600">
        <w:rPr>
          <w:lang w:val="en-AU"/>
        </w:rPr>
        <w:t xml:space="preserve">of the main report. </w:t>
      </w:r>
    </w:p>
    <w:p w:rsidR="000F4B57" w:rsidRPr="00091600" w:rsidRDefault="000F4B57" w:rsidP="00931BFA">
      <w:pPr>
        <w:pStyle w:val="Boxcaption"/>
        <w:rPr>
          <w:lang w:val="en-AU"/>
        </w:rPr>
      </w:pPr>
      <w:bookmarkStart w:id="9" w:name="_Toc536627537"/>
      <w:bookmarkStart w:id="10" w:name="_Toc1566599"/>
      <w:r w:rsidRPr="00091600">
        <w:rPr>
          <w:lang w:val="en-AU"/>
        </w:rPr>
        <w:t xml:space="preserve">Table </w:t>
      </w:r>
      <w:r w:rsidRPr="00091600">
        <w:rPr>
          <w:lang w:val="en-AU"/>
        </w:rPr>
        <w:fldChar w:fldCharType="begin"/>
      </w:r>
      <w:r w:rsidRPr="00091600">
        <w:rPr>
          <w:lang w:val="en-AU"/>
        </w:rPr>
        <w:instrText xml:space="preserve"> SEQ Table \* ARABIC </w:instrText>
      </w:r>
      <w:r w:rsidRPr="00091600">
        <w:rPr>
          <w:lang w:val="en-AU"/>
        </w:rPr>
        <w:fldChar w:fldCharType="separate"/>
      </w:r>
      <w:r w:rsidR="004964E9">
        <w:rPr>
          <w:noProof/>
          <w:lang w:val="en-AU"/>
        </w:rPr>
        <w:t>2</w:t>
      </w:r>
      <w:r w:rsidRPr="00091600">
        <w:rPr>
          <w:lang w:val="en-AU"/>
        </w:rPr>
        <w:fldChar w:fldCharType="end"/>
      </w:r>
      <w:r w:rsidRPr="00091600">
        <w:rPr>
          <w:lang w:val="en-AU"/>
        </w:rPr>
        <w:t>:</w:t>
      </w:r>
      <w:r w:rsidRPr="00091600">
        <w:rPr>
          <w:lang w:val="en-AU"/>
        </w:rPr>
        <w:tab/>
        <w:t>Summary of recommendations</w:t>
      </w:r>
      <w:bookmarkEnd w:id="9"/>
      <w:r w:rsidR="00F970E5" w:rsidRPr="00091600">
        <w:rPr>
          <w:lang w:val="en-AU"/>
        </w:rPr>
        <w:t xml:space="preserve"> </w:t>
      </w:r>
      <w:bookmarkEnd w:id="10"/>
    </w:p>
    <w:tbl>
      <w:tblPr>
        <w:tblStyle w:val="OPMTable"/>
        <w:tblW w:w="5000" w:type="pct"/>
        <w:tblBorders>
          <w:top w:val="single" w:sz="4" w:space="0" w:color="45A7E1" w:themeColor="accent1"/>
          <w:left w:val="single" w:sz="4" w:space="0" w:color="45A7E1" w:themeColor="accent1"/>
          <w:bottom w:val="single" w:sz="4" w:space="0" w:color="45A7E1" w:themeColor="accent1"/>
          <w:right w:val="single" w:sz="4" w:space="0" w:color="45A7E1" w:themeColor="accent1"/>
          <w:insideH w:val="single" w:sz="4" w:space="0" w:color="45A7E1" w:themeColor="accent1"/>
          <w:insideV w:val="single" w:sz="4" w:space="0" w:color="45A7E1" w:themeColor="accent1"/>
        </w:tblBorders>
        <w:tblLook w:val="04A0" w:firstRow="1" w:lastRow="0" w:firstColumn="1" w:lastColumn="0" w:noHBand="0" w:noVBand="1"/>
        <w:tblCaption w:val="Summary of recommendations"/>
        <w:tblDescription w:val="This table simply summarises the above section"/>
      </w:tblPr>
      <w:tblGrid>
        <w:gridCol w:w="1842"/>
        <w:gridCol w:w="3943"/>
        <w:gridCol w:w="3945"/>
      </w:tblGrid>
      <w:tr w:rsidR="00AD3FF0" w:rsidRPr="00091600" w:rsidTr="009C0F4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47" w:type="pct"/>
            <w:tcBorders>
              <w:right w:val="single" w:sz="4" w:space="0" w:color="45A7E1" w:themeColor="accent1"/>
            </w:tcBorders>
            <w:shd w:val="clear" w:color="auto" w:fill="FFFFFF" w:themeFill="background1"/>
          </w:tcPr>
          <w:p w:rsidR="000F4B57" w:rsidRPr="00091600" w:rsidRDefault="000F4B57" w:rsidP="000F4B57">
            <w:pPr>
              <w:pStyle w:val="Tabletext"/>
              <w:rPr>
                <w:lang w:val="en-AU"/>
              </w:rPr>
            </w:pPr>
          </w:p>
        </w:tc>
        <w:tc>
          <w:tcPr>
            <w:tcW w:w="2026" w:type="pct"/>
            <w:tcBorders>
              <w:top w:val="single" w:sz="4" w:space="0" w:color="45A7E1" w:themeColor="accent1"/>
              <w:left w:val="single" w:sz="4" w:space="0" w:color="45A7E1" w:themeColor="accent1"/>
              <w:right w:val="single" w:sz="4" w:space="0" w:color="45A7E1" w:themeColor="accent1"/>
            </w:tcBorders>
            <w:hideMark/>
          </w:tcPr>
          <w:p w:rsidR="000F4B57" w:rsidRPr="001422B3" w:rsidRDefault="000E73B1" w:rsidP="001422B3">
            <w:pPr>
              <w:pStyle w:val="Tabletext"/>
              <w:ind w:left="0"/>
              <w:jc w:val="left"/>
              <w:cnfStyle w:val="100000000000" w:firstRow="1" w:lastRow="0" w:firstColumn="0" w:lastColumn="0" w:oddVBand="0" w:evenVBand="0" w:oddHBand="0" w:evenHBand="0" w:firstRowFirstColumn="0" w:firstRowLastColumn="0" w:lastRowFirstColumn="0" w:lastRowLastColumn="0"/>
              <w:rPr>
                <w:rFonts w:ascii="Roboto" w:hAnsi="Roboto" w:cstheme="majorHAnsi"/>
                <w:b w:val="0"/>
                <w:lang w:val="en-AU"/>
              </w:rPr>
            </w:pPr>
            <w:r>
              <w:rPr>
                <w:rFonts w:ascii="Roboto" w:hAnsi="Roboto" w:cstheme="majorHAnsi"/>
                <w:lang w:val="en-AU"/>
              </w:rPr>
              <w:t>S</w:t>
            </w:r>
            <w:r w:rsidR="00FD5E87" w:rsidRPr="00931BFA">
              <w:rPr>
                <w:rFonts w:ascii="Roboto" w:hAnsi="Roboto" w:cstheme="majorHAnsi"/>
                <w:lang w:val="en-AU"/>
              </w:rPr>
              <w:t>hort-term (2-3 months)</w:t>
            </w:r>
            <w:r>
              <w:rPr>
                <w:rFonts w:ascii="Roboto" w:hAnsi="Roboto" w:cstheme="majorHAnsi"/>
                <w:lang w:val="en-AU"/>
              </w:rPr>
              <w:t xml:space="preserve"> </w:t>
            </w:r>
            <w:r w:rsidR="00454584">
              <w:rPr>
                <w:rFonts w:ascii="Roboto" w:hAnsi="Roboto" w:cstheme="majorHAnsi"/>
                <w:lang w:val="en-AU"/>
              </w:rPr>
              <w:t>*</w:t>
            </w:r>
          </w:p>
        </w:tc>
        <w:tc>
          <w:tcPr>
            <w:tcW w:w="2027" w:type="pct"/>
            <w:tcBorders>
              <w:top w:val="single" w:sz="4" w:space="0" w:color="45A7E1" w:themeColor="accent1"/>
              <w:left w:val="single" w:sz="4" w:space="0" w:color="45A7E1" w:themeColor="accent1"/>
              <w:right w:val="single" w:sz="4" w:space="0" w:color="45A7E1" w:themeColor="accent1"/>
            </w:tcBorders>
            <w:hideMark/>
          </w:tcPr>
          <w:p w:rsidR="000F4B57" w:rsidRPr="00931BFA" w:rsidRDefault="000F4B57" w:rsidP="00013D3C">
            <w:pPr>
              <w:pStyle w:val="Tabletext"/>
              <w:jc w:val="center"/>
              <w:cnfStyle w:val="100000000000" w:firstRow="1" w:lastRow="0" w:firstColumn="0" w:lastColumn="0" w:oddVBand="0" w:evenVBand="0" w:oddHBand="0" w:evenHBand="0" w:firstRowFirstColumn="0" w:firstRowLastColumn="0" w:lastRowFirstColumn="0" w:lastRowLastColumn="0"/>
              <w:rPr>
                <w:rFonts w:ascii="Roboto" w:hAnsi="Roboto" w:cstheme="majorHAnsi"/>
                <w:lang w:val="en-AU"/>
              </w:rPr>
            </w:pPr>
            <w:r w:rsidRPr="00931BFA">
              <w:rPr>
                <w:rFonts w:ascii="Roboto" w:hAnsi="Roboto" w:cstheme="majorHAnsi"/>
                <w:lang w:val="en-AU"/>
              </w:rPr>
              <w:t>By June 2019</w:t>
            </w:r>
          </w:p>
        </w:tc>
      </w:tr>
      <w:tr w:rsidR="000F4B57" w:rsidRPr="00091600" w:rsidTr="008B3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hideMark/>
          </w:tcPr>
          <w:p w:rsidR="000F4B57" w:rsidRPr="00931BFA" w:rsidRDefault="000F4B57" w:rsidP="000F4B57">
            <w:pPr>
              <w:pStyle w:val="Tabletext"/>
              <w:rPr>
                <w:rFonts w:ascii="Roboto" w:hAnsi="Roboto"/>
                <w:lang w:val="en-AU"/>
              </w:rPr>
            </w:pPr>
            <w:r w:rsidRPr="00931BFA">
              <w:rPr>
                <w:rFonts w:ascii="Roboto" w:hAnsi="Roboto"/>
                <w:lang w:val="en-AU"/>
              </w:rPr>
              <w:t>Strategy and management</w:t>
            </w:r>
          </w:p>
        </w:tc>
        <w:tc>
          <w:tcPr>
            <w:tcW w:w="2026" w:type="pct"/>
            <w:hideMark/>
          </w:tcPr>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 xml:space="preserve">R11 Organise a GESI Policy implementation </w:t>
            </w:r>
            <w:r w:rsidR="00596F7D">
              <w:rPr>
                <w:lang w:val="en-AU"/>
              </w:rPr>
              <w:t xml:space="preserve">workshop </w:t>
            </w:r>
            <w:r w:rsidRPr="00091600">
              <w:rPr>
                <w:lang w:val="en-AU"/>
              </w:rPr>
              <w:t xml:space="preserve">to review progress </w:t>
            </w:r>
          </w:p>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sidRPr="00091600">
              <w:rPr>
                <w:rFonts w:cstheme="minorHAnsi"/>
                <w:lang w:val="en-AU"/>
              </w:rPr>
              <w:t xml:space="preserve">R15 Approve the current MEL framework proposal and ‘tracer studies’ </w:t>
            </w:r>
          </w:p>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sidRPr="00091600">
              <w:rPr>
                <w:rFonts w:cstheme="minorHAnsi"/>
                <w:lang w:val="en-AU"/>
              </w:rPr>
              <w:t>R16 Implement Quality and Technical Assurance Group (QTAG) recommendations to improve Precinct and Public Sector Leadership and Reform (PSLR) management and delivery</w:t>
            </w:r>
          </w:p>
        </w:tc>
        <w:tc>
          <w:tcPr>
            <w:tcW w:w="2027" w:type="pct"/>
            <w:hideMark/>
          </w:tcPr>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sidRPr="00091600">
              <w:rPr>
                <w:lang w:val="en-AU"/>
              </w:rPr>
              <w:t>R14 Undertake a process of Precinct</w:t>
            </w:r>
            <w:r w:rsidRPr="00091600">
              <w:rPr>
                <w:rFonts w:cstheme="minorHAnsi"/>
                <w:lang w:val="en-AU"/>
              </w:rPr>
              <w:t xml:space="preserve"> ‘design strengthening’ to make sure the program is fit for purpose, with a coherent strategy </w:t>
            </w:r>
          </w:p>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 xml:space="preserve">R13 Strengthen the Precinct design by conducting a whole-of-Precinct gender- and socially inclusive context analysis </w:t>
            </w:r>
          </w:p>
        </w:tc>
      </w:tr>
      <w:tr w:rsidR="000F4B57" w:rsidRPr="00091600" w:rsidTr="008B36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hideMark/>
          </w:tcPr>
          <w:p w:rsidR="000F4B57" w:rsidRPr="00931BFA" w:rsidRDefault="000F4B57" w:rsidP="000F4B57">
            <w:pPr>
              <w:pStyle w:val="Tabletext"/>
              <w:rPr>
                <w:rFonts w:ascii="Roboto" w:hAnsi="Roboto"/>
                <w:lang w:val="en-AU"/>
              </w:rPr>
            </w:pPr>
            <w:r w:rsidRPr="00931BFA">
              <w:rPr>
                <w:rFonts w:ascii="Roboto" w:hAnsi="Roboto"/>
                <w:lang w:val="en-AU"/>
              </w:rPr>
              <w:t>Efficiency and value for money</w:t>
            </w:r>
          </w:p>
        </w:tc>
        <w:tc>
          <w:tcPr>
            <w:tcW w:w="2026" w:type="pct"/>
            <w:hideMark/>
          </w:tcPr>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b/>
                <w:lang w:val="en-AU"/>
              </w:rPr>
            </w:pPr>
            <w:r w:rsidRPr="00091600">
              <w:rPr>
                <w:rFonts w:cstheme="minorHAnsi"/>
                <w:lang w:val="en-AU"/>
              </w:rPr>
              <w:t>R17 Prepare a plan and allocate responsibilities within the Australian High Commission (AHC) to improve the Precinct’s collaboration with other Australian programs</w:t>
            </w:r>
          </w:p>
        </w:tc>
        <w:tc>
          <w:tcPr>
            <w:tcW w:w="2027" w:type="pct"/>
            <w:hideMark/>
          </w:tcPr>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 xml:space="preserve">R18 Agree strengthened prioritisation criteria, aligned with the Precinct updated strategy and </w:t>
            </w:r>
            <w:r w:rsidR="00E87298">
              <w:rPr>
                <w:lang w:val="en-AU"/>
              </w:rPr>
              <w:t>PNG Government</w:t>
            </w:r>
            <w:r w:rsidRPr="00091600">
              <w:rPr>
                <w:lang w:val="en-AU"/>
              </w:rPr>
              <w:t xml:space="preserve"> priorities</w:t>
            </w:r>
          </w:p>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R19 Undertake a cost–benefit analysis of Precinct courses and providers</w:t>
            </w:r>
          </w:p>
        </w:tc>
      </w:tr>
      <w:tr w:rsidR="000F4B57" w:rsidRPr="00091600" w:rsidTr="008B3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hideMark/>
          </w:tcPr>
          <w:p w:rsidR="000F4B57" w:rsidRPr="00931BFA" w:rsidRDefault="000F4B57" w:rsidP="000F4B57">
            <w:pPr>
              <w:pStyle w:val="Tabletext"/>
              <w:rPr>
                <w:rFonts w:ascii="Roboto" w:hAnsi="Roboto"/>
                <w:lang w:val="en-AU"/>
              </w:rPr>
            </w:pPr>
            <w:r w:rsidRPr="00931BFA">
              <w:rPr>
                <w:rFonts w:ascii="Roboto" w:hAnsi="Roboto"/>
                <w:lang w:val="en-AU"/>
              </w:rPr>
              <w:t>Ownership and sustainability</w:t>
            </w:r>
          </w:p>
        </w:tc>
        <w:tc>
          <w:tcPr>
            <w:tcW w:w="2026" w:type="pct"/>
          </w:tcPr>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b/>
                <w:lang w:val="en-AU"/>
              </w:rPr>
            </w:pPr>
          </w:p>
        </w:tc>
        <w:tc>
          <w:tcPr>
            <w:tcW w:w="2027" w:type="pct"/>
            <w:hideMark/>
          </w:tcPr>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 xml:space="preserve">R12 Strengthen the LCF to be more inclusive in its language, through a </w:t>
            </w:r>
            <w:r w:rsidR="00E87298">
              <w:rPr>
                <w:lang w:val="en-AU"/>
              </w:rPr>
              <w:t>PNG Government</w:t>
            </w:r>
            <w:r w:rsidRPr="00091600">
              <w:rPr>
                <w:lang w:val="en-AU"/>
              </w:rPr>
              <w:t>-led process</w:t>
            </w:r>
          </w:p>
          <w:p w:rsidR="000F4B57" w:rsidRPr="000E73B1"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sidRPr="00091600">
              <w:rPr>
                <w:rFonts w:cstheme="minorHAnsi"/>
                <w:lang w:val="en-AU"/>
              </w:rPr>
              <w:t>R</w:t>
            </w:r>
            <w:r w:rsidR="00596F7D">
              <w:rPr>
                <w:rFonts w:cstheme="minorHAnsi"/>
                <w:lang w:val="en-AU"/>
              </w:rPr>
              <w:t>18</w:t>
            </w:r>
            <w:r w:rsidRPr="00091600">
              <w:rPr>
                <w:rFonts w:cstheme="minorHAnsi"/>
                <w:lang w:val="en-AU"/>
              </w:rPr>
              <w:t xml:space="preserve"> </w:t>
            </w:r>
            <w:r w:rsidR="00596F7D">
              <w:rPr>
                <w:lang w:val="en-AU"/>
              </w:rPr>
              <w:t>C</w:t>
            </w:r>
            <w:r w:rsidR="00596F7D" w:rsidRPr="00091600">
              <w:rPr>
                <w:lang w:val="en-AU"/>
              </w:rPr>
              <w:t xml:space="preserve">onsider </w:t>
            </w:r>
            <w:r w:rsidR="00596F7D" w:rsidRPr="000E73B1">
              <w:rPr>
                <w:lang w:val="en-AU"/>
              </w:rPr>
              <w:t>options to restructure the governance arrangements</w:t>
            </w:r>
            <w:r w:rsidR="00596F7D" w:rsidRPr="000E73B1" w:rsidDel="00596F7D">
              <w:rPr>
                <w:rFonts w:cstheme="minorHAnsi"/>
                <w:lang w:val="en-AU"/>
              </w:rPr>
              <w:t xml:space="preserve"> </w:t>
            </w:r>
            <w:r w:rsidRPr="000E73B1">
              <w:rPr>
                <w:rFonts w:cstheme="minorHAnsi"/>
                <w:lang w:val="en-AU"/>
              </w:rPr>
              <w:t>to improve PNG ownership of the program</w:t>
            </w:r>
          </w:p>
          <w:p w:rsidR="00FE4454"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E73B1">
              <w:rPr>
                <w:lang w:val="en-AU"/>
              </w:rPr>
              <w:t>R21 As part of the design</w:t>
            </w:r>
            <w:r w:rsidR="00596F7D" w:rsidRPr="000E73B1">
              <w:rPr>
                <w:lang w:val="en-AU"/>
              </w:rPr>
              <w:t xml:space="preserve"> </w:t>
            </w:r>
            <w:r w:rsidRPr="000E73B1">
              <w:rPr>
                <w:lang w:val="en-AU"/>
              </w:rPr>
              <w:t>strengthening</w:t>
            </w:r>
            <w:r w:rsidRPr="00091600">
              <w:rPr>
                <w:lang w:val="en-AU"/>
              </w:rPr>
              <w:t xml:space="preserve"> process, be open to testing whether separating the SBPP and PILAG projects is a more workable option </w:t>
            </w:r>
          </w:p>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rFonts w:cstheme="minorBidi"/>
                <w:lang w:val="en-AU"/>
              </w:rPr>
            </w:pPr>
            <w:r w:rsidRPr="000E73B1">
              <w:rPr>
                <w:lang w:val="en-AU"/>
              </w:rPr>
              <w:t xml:space="preserve">R22 </w:t>
            </w:r>
            <w:r w:rsidR="00596F7D" w:rsidRPr="000E73B1">
              <w:rPr>
                <w:lang w:val="en-AU"/>
              </w:rPr>
              <w:t>C</w:t>
            </w:r>
            <w:r w:rsidRPr="000E73B1">
              <w:rPr>
                <w:lang w:val="en-AU"/>
              </w:rPr>
              <w:t>onsider using a wider range of PNG, Australian, or international</w:t>
            </w:r>
            <w:r w:rsidRPr="00091600">
              <w:rPr>
                <w:lang w:val="en-AU"/>
              </w:rPr>
              <w:t xml:space="preserve"> partners to deliver the updated Precinct strategy </w:t>
            </w:r>
          </w:p>
        </w:tc>
      </w:tr>
      <w:tr w:rsidR="000F4B57" w:rsidRPr="00091600" w:rsidTr="008B36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hideMark/>
          </w:tcPr>
          <w:p w:rsidR="000F4B57" w:rsidRPr="00931BFA" w:rsidRDefault="000F4B57" w:rsidP="000F4B57">
            <w:pPr>
              <w:pStyle w:val="Tabletext"/>
              <w:rPr>
                <w:rFonts w:ascii="Roboto" w:hAnsi="Roboto"/>
                <w:lang w:val="en-AU"/>
              </w:rPr>
            </w:pPr>
            <w:r w:rsidRPr="00931BFA">
              <w:rPr>
                <w:rFonts w:ascii="Roboto" w:hAnsi="Roboto"/>
                <w:lang w:val="en-AU"/>
              </w:rPr>
              <w:t>SBPP</w:t>
            </w:r>
          </w:p>
        </w:tc>
        <w:tc>
          <w:tcPr>
            <w:tcW w:w="2026" w:type="pct"/>
            <w:hideMark/>
          </w:tcPr>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b/>
                <w:lang w:val="en-AU"/>
              </w:rPr>
            </w:pPr>
            <w:r w:rsidRPr="00091600">
              <w:rPr>
                <w:lang w:val="en-AU"/>
              </w:rPr>
              <w:t>R2 Launch and implement the SBPP strategic plan with UPNG support</w:t>
            </w:r>
          </w:p>
        </w:tc>
        <w:tc>
          <w:tcPr>
            <w:tcW w:w="2027" w:type="pct"/>
            <w:hideMark/>
          </w:tcPr>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 xml:space="preserve">R1 Update the SBPP Precinct strategy to move from capacity substitution towards greater capacity development </w:t>
            </w:r>
          </w:p>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R3 Ensure the new SBPP courses are aligned with university-wide program specification documents</w:t>
            </w:r>
          </w:p>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 xml:space="preserve">R4 Update the GESI strategy for SBPP </w:t>
            </w:r>
          </w:p>
        </w:tc>
      </w:tr>
      <w:tr w:rsidR="000F4B57" w:rsidRPr="00091600" w:rsidTr="008B3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hideMark/>
          </w:tcPr>
          <w:p w:rsidR="000F4B57" w:rsidRPr="00931BFA" w:rsidRDefault="000F4B57" w:rsidP="000F4B57">
            <w:pPr>
              <w:pStyle w:val="Tabletext"/>
              <w:rPr>
                <w:rFonts w:ascii="Roboto" w:hAnsi="Roboto"/>
                <w:lang w:val="en-AU"/>
              </w:rPr>
            </w:pPr>
            <w:r w:rsidRPr="00931BFA">
              <w:rPr>
                <w:rFonts w:ascii="Roboto" w:hAnsi="Roboto"/>
                <w:lang w:val="en-AU"/>
              </w:rPr>
              <w:t>PILAG</w:t>
            </w:r>
          </w:p>
        </w:tc>
        <w:tc>
          <w:tcPr>
            <w:tcW w:w="2026" w:type="pct"/>
          </w:tcPr>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b/>
                <w:lang w:val="en-AU"/>
              </w:rPr>
            </w:pPr>
          </w:p>
        </w:tc>
        <w:tc>
          <w:tcPr>
            <w:tcW w:w="2027" w:type="pct"/>
            <w:hideMark/>
          </w:tcPr>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 xml:space="preserve">R5 </w:t>
            </w:r>
            <w:r w:rsidR="00596F7D">
              <w:rPr>
                <w:lang w:val="en-AU"/>
              </w:rPr>
              <w:t>P</w:t>
            </w:r>
            <w:r w:rsidRPr="00091600">
              <w:rPr>
                <w:lang w:val="en-AU"/>
              </w:rPr>
              <w:t xml:space="preserve">ut in place the leadership, staff, and systems required to implement the PILAG Act </w:t>
            </w:r>
          </w:p>
          <w:p w:rsidR="00596F7D" w:rsidRPr="00091600" w:rsidRDefault="000F4B57" w:rsidP="00596F7D">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 xml:space="preserve">R6 Update the Precinct PILAG strategy for PILAG to </w:t>
            </w:r>
            <w:r w:rsidR="00596F7D">
              <w:rPr>
                <w:lang w:val="en-AU"/>
              </w:rPr>
              <w:t>strengthen its training capacity</w:t>
            </w:r>
          </w:p>
          <w:p w:rsidR="000F4B57" w:rsidRPr="00091600" w:rsidRDefault="000F4B57" w:rsidP="00596F7D">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 xml:space="preserve">R7 Update the GESI strategy for PILAG and Precinct vocational courses </w:t>
            </w:r>
          </w:p>
        </w:tc>
      </w:tr>
      <w:tr w:rsidR="000F4B57" w:rsidRPr="00091600" w:rsidTr="008B36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hideMark/>
          </w:tcPr>
          <w:p w:rsidR="000F4B57" w:rsidRPr="00931BFA" w:rsidRDefault="000F4B57" w:rsidP="000F4B57">
            <w:pPr>
              <w:pStyle w:val="Tabletext"/>
              <w:rPr>
                <w:rFonts w:ascii="Roboto" w:hAnsi="Roboto"/>
                <w:lang w:val="en-AU"/>
              </w:rPr>
            </w:pPr>
            <w:r w:rsidRPr="00931BFA">
              <w:rPr>
                <w:rFonts w:ascii="Roboto" w:hAnsi="Roboto"/>
                <w:lang w:val="en-AU"/>
              </w:rPr>
              <w:t>Pathways</w:t>
            </w:r>
          </w:p>
        </w:tc>
        <w:tc>
          <w:tcPr>
            <w:tcW w:w="2026" w:type="pct"/>
            <w:hideMark/>
          </w:tcPr>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b/>
                <w:lang w:val="en-AU"/>
              </w:rPr>
            </w:pPr>
            <w:r w:rsidRPr="00091600">
              <w:rPr>
                <w:lang w:val="en-AU"/>
              </w:rPr>
              <w:t xml:space="preserve">R8 Fund support for course participants when they return to their work places (e.g. </w:t>
            </w:r>
            <w:r w:rsidR="00596F7D">
              <w:rPr>
                <w:lang w:val="en-AU"/>
              </w:rPr>
              <w:t xml:space="preserve">involve managers; </w:t>
            </w:r>
            <w:r w:rsidRPr="00091600">
              <w:rPr>
                <w:lang w:val="en-AU"/>
              </w:rPr>
              <w:t>planned alumni networks</w:t>
            </w:r>
            <w:r w:rsidR="00596F7D">
              <w:rPr>
                <w:lang w:val="en-AU"/>
              </w:rPr>
              <w:t>,</w:t>
            </w:r>
            <w:r w:rsidRPr="00091600">
              <w:rPr>
                <w:lang w:val="en-AU"/>
              </w:rPr>
              <w:t xml:space="preserve"> coaching and mentoring schemes)</w:t>
            </w:r>
          </w:p>
        </w:tc>
        <w:tc>
          <w:tcPr>
            <w:tcW w:w="2027" w:type="pct"/>
            <w:hideMark/>
          </w:tcPr>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 xml:space="preserve">R9 Revisit the Precinct’s overall theory of change so it is better aligned with the academic evidence and lessons learned about the value of training and how to build sustainable public service capacity </w:t>
            </w:r>
          </w:p>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 xml:space="preserve">R10 Use political economy analyses to identify coalitions or targeted reform initiatives </w:t>
            </w:r>
          </w:p>
        </w:tc>
      </w:tr>
    </w:tbl>
    <w:p w:rsidR="00454584" w:rsidRDefault="00454584" w:rsidP="00530E2E">
      <w:pPr>
        <w:pStyle w:val="BodyText"/>
      </w:pPr>
    </w:p>
    <w:p w:rsidR="00694FD2" w:rsidRPr="001422B3" w:rsidRDefault="00454584" w:rsidP="00530E2E">
      <w:pPr>
        <w:pStyle w:val="BodyText"/>
        <w:rPr>
          <w:sz w:val="20"/>
          <w:szCs w:val="20"/>
        </w:rPr>
      </w:pPr>
      <w:r w:rsidRPr="001422B3">
        <w:rPr>
          <w:sz w:val="20"/>
          <w:szCs w:val="20"/>
        </w:rPr>
        <w:t>* The review team’s short-term recommendations set a December 2018 deadline, as the first draft report was submitted in September 2018. This date has been retained in th</w:t>
      </w:r>
      <w:r w:rsidR="009D1D8F">
        <w:rPr>
          <w:sz w:val="20"/>
          <w:szCs w:val="20"/>
        </w:rPr>
        <w:t>is finalised version of the</w:t>
      </w:r>
      <w:r w:rsidRPr="001422B3">
        <w:rPr>
          <w:sz w:val="20"/>
          <w:szCs w:val="20"/>
        </w:rPr>
        <w:t xml:space="preserve"> report. </w:t>
      </w:r>
      <w:r w:rsidR="00694FD2" w:rsidRPr="001422B3">
        <w:rPr>
          <w:sz w:val="20"/>
          <w:szCs w:val="20"/>
        </w:rPr>
        <w:br w:type="page"/>
      </w:r>
    </w:p>
    <w:p w:rsidR="002556C0" w:rsidRPr="00091600" w:rsidRDefault="004119CB" w:rsidP="00931BFA">
      <w:pPr>
        <w:pStyle w:val="Heading1NONUM"/>
      </w:pPr>
      <w:bookmarkStart w:id="11" w:name="_Toc523866146"/>
      <w:bookmarkStart w:id="12" w:name="_Toc503428995"/>
      <w:bookmarkStart w:id="13" w:name="_Toc524709463"/>
      <w:bookmarkStart w:id="14" w:name="_Toc536615639"/>
      <w:bookmarkStart w:id="15" w:name="_Toc2091540"/>
      <w:r w:rsidRPr="00091600">
        <w:t xml:space="preserve">Table of </w:t>
      </w:r>
      <w:bookmarkEnd w:id="11"/>
      <w:r w:rsidRPr="00091600">
        <w:t>c</w:t>
      </w:r>
      <w:r w:rsidR="007C4C2F" w:rsidRPr="00091600">
        <w:t>ontents</w:t>
      </w:r>
      <w:bookmarkEnd w:id="12"/>
      <w:bookmarkEnd w:id="13"/>
      <w:bookmarkEnd w:id="14"/>
      <w:bookmarkEnd w:id="15"/>
    </w:p>
    <w:p w:rsidR="00316A7B" w:rsidRDefault="00316A7B">
      <w:pPr>
        <w:pStyle w:val="TOC1"/>
        <w:tabs>
          <w:tab w:val="right" w:leader="dot" w:pos="9730"/>
        </w:tabs>
        <w:rPr>
          <w:rFonts w:asciiTheme="minorHAnsi" w:eastAsiaTheme="minorEastAsia" w:hAnsiTheme="minorHAnsi" w:cstheme="minorBidi"/>
          <w:bCs w:val="0"/>
          <w:szCs w:val="22"/>
        </w:rPr>
      </w:pPr>
      <w:r>
        <w:rPr>
          <w:b/>
          <w:lang w:val="en-AU"/>
        </w:rPr>
        <w:fldChar w:fldCharType="begin"/>
      </w:r>
      <w:r>
        <w:rPr>
          <w:b/>
          <w:lang w:val="en-AU"/>
        </w:rPr>
        <w:instrText xml:space="preserve"> TOC \o "1-2" \h \z \u </w:instrText>
      </w:r>
      <w:r>
        <w:rPr>
          <w:b/>
          <w:lang w:val="en-AU"/>
        </w:rPr>
        <w:fldChar w:fldCharType="separate"/>
      </w:r>
      <w:hyperlink w:anchor="_Toc2091538" w:history="1">
        <w:r w:rsidRPr="005B0C59">
          <w:rPr>
            <w:rStyle w:val="Hyperlink"/>
          </w:rPr>
          <w:t>Acknowledgements</w:t>
        </w:r>
        <w:r>
          <w:rPr>
            <w:webHidden/>
          </w:rPr>
          <w:tab/>
        </w:r>
        <w:r>
          <w:rPr>
            <w:webHidden/>
          </w:rPr>
          <w:fldChar w:fldCharType="begin"/>
        </w:r>
        <w:r>
          <w:rPr>
            <w:webHidden/>
          </w:rPr>
          <w:instrText xml:space="preserve"> PAGEREF _Toc2091538 \h </w:instrText>
        </w:r>
        <w:r>
          <w:rPr>
            <w:webHidden/>
          </w:rPr>
        </w:r>
        <w:r>
          <w:rPr>
            <w:webHidden/>
          </w:rPr>
          <w:fldChar w:fldCharType="separate"/>
        </w:r>
        <w:r w:rsidR="004964E9">
          <w:rPr>
            <w:webHidden/>
          </w:rPr>
          <w:t>ii</w:t>
        </w:r>
        <w:r>
          <w:rPr>
            <w:webHidden/>
          </w:rPr>
          <w:fldChar w:fldCharType="end"/>
        </w:r>
      </w:hyperlink>
    </w:p>
    <w:p w:rsidR="00316A7B" w:rsidRDefault="0066637D">
      <w:pPr>
        <w:pStyle w:val="TOC1"/>
        <w:tabs>
          <w:tab w:val="right" w:leader="dot" w:pos="9730"/>
        </w:tabs>
        <w:rPr>
          <w:rFonts w:asciiTheme="minorHAnsi" w:eastAsiaTheme="minorEastAsia" w:hAnsiTheme="minorHAnsi" w:cstheme="minorBidi"/>
          <w:bCs w:val="0"/>
          <w:szCs w:val="22"/>
        </w:rPr>
      </w:pPr>
      <w:hyperlink w:anchor="_Toc2091539" w:history="1">
        <w:r w:rsidR="00316A7B" w:rsidRPr="005B0C59">
          <w:rPr>
            <w:rStyle w:val="Hyperlink"/>
          </w:rPr>
          <w:t xml:space="preserve">Executive summary </w:t>
        </w:r>
        <w:r w:rsidR="00316A7B">
          <w:rPr>
            <w:webHidden/>
          </w:rPr>
          <w:tab/>
        </w:r>
        <w:r w:rsidR="00316A7B">
          <w:rPr>
            <w:webHidden/>
          </w:rPr>
          <w:fldChar w:fldCharType="begin"/>
        </w:r>
        <w:r w:rsidR="00316A7B">
          <w:rPr>
            <w:webHidden/>
          </w:rPr>
          <w:instrText xml:space="preserve"> PAGEREF _Toc2091539 \h </w:instrText>
        </w:r>
        <w:r w:rsidR="00316A7B">
          <w:rPr>
            <w:webHidden/>
          </w:rPr>
        </w:r>
        <w:r w:rsidR="00316A7B">
          <w:rPr>
            <w:webHidden/>
          </w:rPr>
          <w:fldChar w:fldCharType="separate"/>
        </w:r>
        <w:r w:rsidR="004964E9">
          <w:rPr>
            <w:webHidden/>
          </w:rPr>
          <w:t>3</w:t>
        </w:r>
        <w:r w:rsidR="00316A7B">
          <w:rPr>
            <w:webHidden/>
          </w:rPr>
          <w:fldChar w:fldCharType="end"/>
        </w:r>
      </w:hyperlink>
    </w:p>
    <w:p w:rsidR="00316A7B" w:rsidRDefault="0066637D">
      <w:pPr>
        <w:pStyle w:val="TOC1"/>
        <w:tabs>
          <w:tab w:val="right" w:leader="dot" w:pos="9730"/>
        </w:tabs>
        <w:rPr>
          <w:rFonts w:asciiTheme="minorHAnsi" w:eastAsiaTheme="minorEastAsia" w:hAnsiTheme="minorHAnsi" w:cstheme="minorBidi"/>
          <w:bCs w:val="0"/>
          <w:szCs w:val="22"/>
        </w:rPr>
      </w:pPr>
      <w:hyperlink w:anchor="_Toc2091540" w:history="1">
        <w:r w:rsidR="00316A7B" w:rsidRPr="005B0C59">
          <w:rPr>
            <w:rStyle w:val="Hyperlink"/>
          </w:rPr>
          <w:t>Table of contents</w:t>
        </w:r>
        <w:r w:rsidR="00316A7B">
          <w:rPr>
            <w:webHidden/>
          </w:rPr>
          <w:tab/>
        </w:r>
        <w:r w:rsidR="00316A7B">
          <w:rPr>
            <w:webHidden/>
          </w:rPr>
          <w:fldChar w:fldCharType="begin"/>
        </w:r>
        <w:r w:rsidR="00316A7B">
          <w:rPr>
            <w:webHidden/>
          </w:rPr>
          <w:instrText xml:space="preserve"> PAGEREF _Toc2091540 \h </w:instrText>
        </w:r>
        <w:r w:rsidR="00316A7B">
          <w:rPr>
            <w:webHidden/>
          </w:rPr>
        </w:r>
        <w:r w:rsidR="00316A7B">
          <w:rPr>
            <w:webHidden/>
          </w:rPr>
          <w:fldChar w:fldCharType="separate"/>
        </w:r>
        <w:r w:rsidR="004964E9">
          <w:rPr>
            <w:webHidden/>
          </w:rPr>
          <w:t>9</w:t>
        </w:r>
        <w:r w:rsidR="00316A7B">
          <w:rPr>
            <w:webHidden/>
          </w:rPr>
          <w:fldChar w:fldCharType="end"/>
        </w:r>
      </w:hyperlink>
    </w:p>
    <w:p w:rsidR="00316A7B" w:rsidRDefault="0066637D">
      <w:pPr>
        <w:pStyle w:val="TOC1"/>
        <w:tabs>
          <w:tab w:val="right" w:leader="dot" w:pos="9730"/>
        </w:tabs>
        <w:rPr>
          <w:rFonts w:asciiTheme="minorHAnsi" w:eastAsiaTheme="minorEastAsia" w:hAnsiTheme="minorHAnsi" w:cstheme="minorBidi"/>
          <w:bCs w:val="0"/>
          <w:szCs w:val="22"/>
        </w:rPr>
      </w:pPr>
      <w:hyperlink w:anchor="_Toc2091541" w:history="1">
        <w:r w:rsidR="00316A7B" w:rsidRPr="005B0C59">
          <w:rPr>
            <w:rStyle w:val="Hyperlink"/>
          </w:rPr>
          <w:t>List of tables</w:t>
        </w:r>
        <w:r w:rsidR="00316A7B" w:rsidRPr="005B0C59">
          <w:rPr>
            <w:rStyle w:val="Hyperlink"/>
            <w:lang w:val="en-AU"/>
          </w:rPr>
          <w:t xml:space="preserve">, </w:t>
        </w:r>
        <w:r w:rsidR="00316A7B" w:rsidRPr="005B0C59">
          <w:rPr>
            <w:rStyle w:val="Hyperlink"/>
          </w:rPr>
          <w:t>figures, boxes</w:t>
        </w:r>
        <w:r w:rsidR="00316A7B">
          <w:rPr>
            <w:webHidden/>
          </w:rPr>
          <w:tab/>
        </w:r>
        <w:r w:rsidR="00316A7B">
          <w:rPr>
            <w:webHidden/>
          </w:rPr>
          <w:fldChar w:fldCharType="begin"/>
        </w:r>
        <w:r w:rsidR="00316A7B">
          <w:rPr>
            <w:webHidden/>
          </w:rPr>
          <w:instrText xml:space="preserve"> PAGEREF _Toc2091541 \h </w:instrText>
        </w:r>
        <w:r w:rsidR="00316A7B">
          <w:rPr>
            <w:webHidden/>
          </w:rPr>
        </w:r>
        <w:r w:rsidR="00316A7B">
          <w:rPr>
            <w:webHidden/>
          </w:rPr>
          <w:fldChar w:fldCharType="separate"/>
        </w:r>
        <w:r w:rsidR="004964E9">
          <w:rPr>
            <w:webHidden/>
          </w:rPr>
          <w:t>10</w:t>
        </w:r>
        <w:r w:rsidR="00316A7B">
          <w:rPr>
            <w:webHidden/>
          </w:rPr>
          <w:fldChar w:fldCharType="end"/>
        </w:r>
      </w:hyperlink>
    </w:p>
    <w:p w:rsidR="00316A7B" w:rsidRDefault="0066637D">
      <w:pPr>
        <w:pStyle w:val="TOC1"/>
        <w:tabs>
          <w:tab w:val="right" w:leader="dot" w:pos="9730"/>
        </w:tabs>
        <w:rPr>
          <w:rFonts w:asciiTheme="minorHAnsi" w:eastAsiaTheme="minorEastAsia" w:hAnsiTheme="minorHAnsi" w:cstheme="minorBidi"/>
          <w:bCs w:val="0"/>
          <w:szCs w:val="22"/>
        </w:rPr>
      </w:pPr>
      <w:hyperlink w:anchor="_Toc2091542" w:history="1">
        <w:r w:rsidR="00316A7B" w:rsidRPr="005B0C59">
          <w:rPr>
            <w:rStyle w:val="Hyperlink"/>
          </w:rPr>
          <w:t>List of abbreviations</w:t>
        </w:r>
        <w:r w:rsidR="00316A7B">
          <w:rPr>
            <w:webHidden/>
          </w:rPr>
          <w:tab/>
        </w:r>
        <w:r w:rsidR="00316A7B">
          <w:rPr>
            <w:webHidden/>
          </w:rPr>
          <w:fldChar w:fldCharType="begin"/>
        </w:r>
        <w:r w:rsidR="00316A7B">
          <w:rPr>
            <w:webHidden/>
          </w:rPr>
          <w:instrText xml:space="preserve"> PAGEREF _Toc2091542 \h </w:instrText>
        </w:r>
        <w:r w:rsidR="00316A7B">
          <w:rPr>
            <w:webHidden/>
          </w:rPr>
        </w:r>
        <w:r w:rsidR="00316A7B">
          <w:rPr>
            <w:webHidden/>
          </w:rPr>
          <w:fldChar w:fldCharType="separate"/>
        </w:r>
        <w:r w:rsidR="004964E9">
          <w:rPr>
            <w:webHidden/>
          </w:rPr>
          <w:t>11</w:t>
        </w:r>
        <w:r w:rsidR="00316A7B">
          <w:rPr>
            <w:webHidden/>
          </w:rPr>
          <w:fldChar w:fldCharType="end"/>
        </w:r>
      </w:hyperlink>
    </w:p>
    <w:p w:rsidR="00316A7B" w:rsidRDefault="0066637D">
      <w:pPr>
        <w:pStyle w:val="TOC1"/>
        <w:tabs>
          <w:tab w:val="right" w:leader="dot" w:pos="9730"/>
        </w:tabs>
        <w:rPr>
          <w:rFonts w:asciiTheme="minorHAnsi" w:eastAsiaTheme="minorEastAsia" w:hAnsiTheme="minorHAnsi" w:cstheme="minorBidi"/>
          <w:bCs w:val="0"/>
          <w:szCs w:val="22"/>
        </w:rPr>
      </w:pPr>
      <w:hyperlink w:anchor="_Toc2091543" w:history="1">
        <w:r w:rsidR="00316A7B" w:rsidRPr="005B0C59">
          <w:rPr>
            <w:rStyle w:val="Hyperlink"/>
            <w:lang w:val="en-AU"/>
          </w:rPr>
          <w:t>Introduction</w:t>
        </w:r>
        <w:r w:rsidR="00316A7B">
          <w:rPr>
            <w:webHidden/>
          </w:rPr>
          <w:tab/>
        </w:r>
        <w:r w:rsidR="00316A7B">
          <w:rPr>
            <w:webHidden/>
          </w:rPr>
          <w:fldChar w:fldCharType="begin"/>
        </w:r>
        <w:r w:rsidR="00316A7B">
          <w:rPr>
            <w:webHidden/>
          </w:rPr>
          <w:instrText xml:space="preserve"> PAGEREF _Toc2091543 \h </w:instrText>
        </w:r>
        <w:r w:rsidR="00316A7B">
          <w:rPr>
            <w:webHidden/>
          </w:rPr>
        </w:r>
        <w:r w:rsidR="00316A7B">
          <w:rPr>
            <w:webHidden/>
          </w:rPr>
          <w:fldChar w:fldCharType="separate"/>
        </w:r>
        <w:r w:rsidR="004964E9">
          <w:rPr>
            <w:webHidden/>
          </w:rPr>
          <w:t>12</w:t>
        </w:r>
        <w:r w:rsidR="00316A7B">
          <w:rPr>
            <w:webHidden/>
          </w:rPr>
          <w:fldChar w:fldCharType="end"/>
        </w:r>
      </w:hyperlink>
    </w:p>
    <w:p w:rsidR="00316A7B" w:rsidRDefault="0066637D">
      <w:pPr>
        <w:pStyle w:val="TOC2"/>
        <w:tabs>
          <w:tab w:val="left" w:pos="880"/>
          <w:tab w:val="right" w:leader="dot" w:pos="9730"/>
        </w:tabs>
        <w:rPr>
          <w:rFonts w:asciiTheme="minorHAnsi" w:eastAsiaTheme="minorEastAsia" w:hAnsiTheme="minorHAnsi" w:cstheme="minorBidi"/>
          <w:bCs w:val="0"/>
          <w:szCs w:val="22"/>
        </w:rPr>
      </w:pPr>
      <w:hyperlink w:anchor="_Toc2091544" w:history="1">
        <w:r w:rsidR="00316A7B" w:rsidRPr="005B0C59">
          <w:rPr>
            <w:rStyle w:val="Hyperlink"/>
            <w:lang w:val="en-AU"/>
          </w:rPr>
          <w:t xml:space="preserve">1.1 </w:t>
        </w:r>
        <w:r w:rsidR="00316A7B">
          <w:rPr>
            <w:rFonts w:asciiTheme="minorHAnsi" w:eastAsiaTheme="minorEastAsia" w:hAnsiTheme="minorHAnsi" w:cstheme="minorBidi"/>
            <w:bCs w:val="0"/>
            <w:szCs w:val="22"/>
          </w:rPr>
          <w:tab/>
        </w:r>
        <w:r w:rsidR="00316A7B" w:rsidRPr="005B0C59">
          <w:rPr>
            <w:rStyle w:val="Hyperlink"/>
          </w:rPr>
          <w:t>Background</w:t>
        </w:r>
        <w:r w:rsidR="00316A7B">
          <w:rPr>
            <w:webHidden/>
          </w:rPr>
          <w:tab/>
        </w:r>
        <w:r w:rsidR="00316A7B">
          <w:rPr>
            <w:webHidden/>
          </w:rPr>
          <w:fldChar w:fldCharType="begin"/>
        </w:r>
        <w:r w:rsidR="00316A7B">
          <w:rPr>
            <w:webHidden/>
          </w:rPr>
          <w:instrText xml:space="preserve"> PAGEREF _Toc2091544 \h </w:instrText>
        </w:r>
        <w:r w:rsidR="00316A7B">
          <w:rPr>
            <w:webHidden/>
          </w:rPr>
        </w:r>
        <w:r w:rsidR="00316A7B">
          <w:rPr>
            <w:webHidden/>
          </w:rPr>
          <w:fldChar w:fldCharType="separate"/>
        </w:r>
        <w:r w:rsidR="004964E9">
          <w:rPr>
            <w:webHidden/>
          </w:rPr>
          <w:t>12</w:t>
        </w:r>
        <w:r w:rsidR="00316A7B">
          <w:rPr>
            <w:webHidden/>
          </w:rPr>
          <w:fldChar w:fldCharType="end"/>
        </w:r>
      </w:hyperlink>
    </w:p>
    <w:p w:rsidR="00316A7B" w:rsidRDefault="0066637D">
      <w:pPr>
        <w:pStyle w:val="TOC2"/>
        <w:tabs>
          <w:tab w:val="left" w:pos="880"/>
          <w:tab w:val="right" w:leader="dot" w:pos="9730"/>
        </w:tabs>
        <w:rPr>
          <w:rFonts w:asciiTheme="minorHAnsi" w:eastAsiaTheme="minorEastAsia" w:hAnsiTheme="minorHAnsi" w:cstheme="minorBidi"/>
          <w:bCs w:val="0"/>
          <w:szCs w:val="22"/>
        </w:rPr>
      </w:pPr>
      <w:hyperlink w:anchor="_Toc2091545" w:history="1">
        <w:r w:rsidR="00316A7B" w:rsidRPr="005B0C59">
          <w:rPr>
            <w:rStyle w:val="Hyperlink"/>
            <w:lang w:val="en-AU"/>
          </w:rPr>
          <w:t xml:space="preserve">1.2 </w:t>
        </w:r>
        <w:r w:rsidR="00316A7B">
          <w:rPr>
            <w:rFonts w:asciiTheme="minorHAnsi" w:eastAsiaTheme="minorEastAsia" w:hAnsiTheme="minorHAnsi" w:cstheme="minorBidi"/>
            <w:bCs w:val="0"/>
            <w:szCs w:val="22"/>
          </w:rPr>
          <w:tab/>
        </w:r>
        <w:r w:rsidR="00316A7B" w:rsidRPr="005B0C59">
          <w:rPr>
            <w:rStyle w:val="Hyperlink"/>
          </w:rPr>
          <w:t>Purpose</w:t>
        </w:r>
        <w:r w:rsidR="00316A7B">
          <w:rPr>
            <w:webHidden/>
          </w:rPr>
          <w:tab/>
        </w:r>
        <w:r w:rsidR="00316A7B">
          <w:rPr>
            <w:webHidden/>
          </w:rPr>
          <w:fldChar w:fldCharType="begin"/>
        </w:r>
        <w:r w:rsidR="00316A7B">
          <w:rPr>
            <w:webHidden/>
          </w:rPr>
          <w:instrText xml:space="preserve"> PAGEREF _Toc2091545 \h </w:instrText>
        </w:r>
        <w:r w:rsidR="00316A7B">
          <w:rPr>
            <w:webHidden/>
          </w:rPr>
        </w:r>
        <w:r w:rsidR="00316A7B">
          <w:rPr>
            <w:webHidden/>
          </w:rPr>
          <w:fldChar w:fldCharType="separate"/>
        </w:r>
        <w:r w:rsidR="004964E9">
          <w:rPr>
            <w:webHidden/>
          </w:rPr>
          <w:t>12</w:t>
        </w:r>
        <w:r w:rsidR="00316A7B">
          <w:rPr>
            <w:webHidden/>
          </w:rPr>
          <w:fldChar w:fldCharType="end"/>
        </w:r>
      </w:hyperlink>
    </w:p>
    <w:p w:rsidR="00316A7B" w:rsidRDefault="0066637D">
      <w:pPr>
        <w:pStyle w:val="TOC2"/>
        <w:tabs>
          <w:tab w:val="left" w:pos="880"/>
          <w:tab w:val="right" w:leader="dot" w:pos="9730"/>
        </w:tabs>
        <w:rPr>
          <w:rFonts w:asciiTheme="minorHAnsi" w:eastAsiaTheme="minorEastAsia" w:hAnsiTheme="minorHAnsi" w:cstheme="minorBidi"/>
          <w:bCs w:val="0"/>
          <w:szCs w:val="22"/>
        </w:rPr>
      </w:pPr>
      <w:hyperlink w:anchor="_Toc2091546" w:history="1">
        <w:r w:rsidR="00316A7B" w:rsidRPr="005B0C59">
          <w:rPr>
            <w:rStyle w:val="Hyperlink"/>
            <w:lang w:val="en-AU"/>
          </w:rPr>
          <w:t xml:space="preserve">1.3 </w:t>
        </w:r>
        <w:r w:rsidR="00316A7B">
          <w:rPr>
            <w:rFonts w:asciiTheme="minorHAnsi" w:eastAsiaTheme="minorEastAsia" w:hAnsiTheme="minorHAnsi" w:cstheme="minorBidi"/>
            <w:bCs w:val="0"/>
            <w:szCs w:val="22"/>
          </w:rPr>
          <w:tab/>
        </w:r>
        <w:r w:rsidR="00316A7B" w:rsidRPr="005B0C59">
          <w:rPr>
            <w:rStyle w:val="Hyperlink"/>
          </w:rPr>
          <w:t>Methodology</w:t>
        </w:r>
        <w:r w:rsidR="00316A7B">
          <w:rPr>
            <w:webHidden/>
          </w:rPr>
          <w:tab/>
        </w:r>
        <w:r w:rsidR="00316A7B">
          <w:rPr>
            <w:webHidden/>
          </w:rPr>
          <w:fldChar w:fldCharType="begin"/>
        </w:r>
        <w:r w:rsidR="00316A7B">
          <w:rPr>
            <w:webHidden/>
          </w:rPr>
          <w:instrText xml:space="preserve"> PAGEREF _Toc2091546 \h </w:instrText>
        </w:r>
        <w:r w:rsidR="00316A7B">
          <w:rPr>
            <w:webHidden/>
          </w:rPr>
        </w:r>
        <w:r w:rsidR="00316A7B">
          <w:rPr>
            <w:webHidden/>
          </w:rPr>
          <w:fldChar w:fldCharType="separate"/>
        </w:r>
        <w:r w:rsidR="004964E9">
          <w:rPr>
            <w:webHidden/>
          </w:rPr>
          <w:t>13</w:t>
        </w:r>
        <w:r w:rsidR="00316A7B">
          <w:rPr>
            <w:webHidden/>
          </w:rPr>
          <w:fldChar w:fldCharType="end"/>
        </w:r>
      </w:hyperlink>
    </w:p>
    <w:p w:rsidR="00316A7B" w:rsidRDefault="0066637D">
      <w:pPr>
        <w:pStyle w:val="TOC2"/>
        <w:tabs>
          <w:tab w:val="left" w:pos="880"/>
          <w:tab w:val="right" w:leader="dot" w:pos="9730"/>
        </w:tabs>
        <w:rPr>
          <w:rFonts w:asciiTheme="minorHAnsi" w:eastAsiaTheme="minorEastAsia" w:hAnsiTheme="minorHAnsi" w:cstheme="minorBidi"/>
          <w:bCs w:val="0"/>
          <w:szCs w:val="22"/>
        </w:rPr>
      </w:pPr>
      <w:hyperlink w:anchor="_Toc2091547" w:history="1">
        <w:r w:rsidR="00316A7B" w:rsidRPr="005B0C59">
          <w:rPr>
            <w:rStyle w:val="Hyperlink"/>
            <w:lang w:val="en-AU"/>
          </w:rPr>
          <w:t>1.4</w:t>
        </w:r>
        <w:r w:rsidR="00316A7B">
          <w:rPr>
            <w:rFonts w:asciiTheme="minorHAnsi" w:eastAsiaTheme="minorEastAsia" w:hAnsiTheme="minorHAnsi" w:cstheme="minorBidi"/>
            <w:bCs w:val="0"/>
            <w:szCs w:val="22"/>
          </w:rPr>
          <w:tab/>
        </w:r>
        <w:r w:rsidR="00316A7B" w:rsidRPr="005B0C59">
          <w:rPr>
            <w:rStyle w:val="Hyperlink"/>
            <w:lang w:val="en-AU"/>
          </w:rPr>
          <w:t xml:space="preserve"> Program </w:t>
        </w:r>
        <w:r w:rsidR="00316A7B" w:rsidRPr="005B0C59">
          <w:rPr>
            <w:rStyle w:val="Hyperlink"/>
          </w:rPr>
          <w:t>overview</w:t>
        </w:r>
        <w:r w:rsidR="00316A7B">
          <w:rPr>
            <w:webHidden/>
          </w:rPr>
          <w:tab/>
        </w:r>
        <w:r w:rsidR="00316A7B">
          <w:rPr>
            <w:webHidden/>
          </w:rPr>
          <w:fldChar w:fldCharType="begin"/>
        </w:r>
        <w:r w:rsidR="00316A7B">
          <w:rPr>
            <w:webHidden/>
          </w:rPr>
          <w:instrText xml:space="preserve"> PAGEREF _Toc2091547 \h </w:instrText>
        </w:r>
        <w:r w:rsidR="00316A7B">
          <w:rPr>
            <w:webHidden/>
          </w:rPr>
        </w:r>
        <w:r w:rsidR="00316A7B">
          <w:rPr>
            <w:webHidden/>
          </w:rPr>
          <w:fldChar w:fldCharType="separate"/>
        </w:r>
        <w:r w:rsidR="004964E9">
          <w:rPr>
            <w:webHidden/>
          </w:rPr>
          <w:t>14</w:t>
        </w:r>
        <w:r w:rsidR="00316A7B">
          <w:rPr>
            <w:webHidden/>
          </w:rPr>
          <w:fldChar w:fldCharType="end"/>
        </w:r>
      </w:hyperlink>
    </w:p>
    <w:p w:rsidR="00316A7B" w:rsidRDefault="0066637D">
      <w:pPr>
        <w:pStyle w:val="TOC1"/>
        <w:tabs>
          <w:tab w:val="right" w:leader="dot" w:pos="9730"/>
        </w:tabs>
        <w:rPr>
          <w:rFonts w:asciiTheme="minorHAnsi" w:eastAsiaTheme="minorEastAsia" w:hAnsiTheme="minorHAnsi" w:cstheme="minorBidi"/>
          <w:bCs w:val="0"/>
          <w:szCs w:val="22"/>
        </w:rPr>
      </w:pPr>
      <w:hyperlink w:anchor="_Toc2091548" w:history="1">
        <w:r w:rsidR="00316A7B" w:rsidRPr="005B0C59">
          <w:rPr>
            <w:rStyle w:val="Hyperlink"/>
            <w:lang w:val="en-AU"/>
          </w:rPr>
          <w:t xml:space="preserve">2. Components </w:t>
        </w:r>
        <w:r w:rsidR="00316A7B" w:rsidRPr="005B0C59">
          <w:rPr>
            <w:rStyle w:val="Hyperlink"/>
          </w:rPr>
          <w:t>review</w:t>
        </w:r>
        <w:r w:rsidR="00316A7B">
          <w:rPr>
            <w:webHidden/>
          </w:rPr>
          <w:tab/>
        </w:r>
        <w:r w:rsidR="00316A7B">
          <w:rPr>
            <w:webHidden/>
          </w:rPr>
          <w:fldChar w:fldCharType="begin"/>
        </w:r>
        <w:r w:rsidR="00316A7B">
          <w:rPr>
            <w:webHidden/>
          </w:rPr>
          <w:instrText xml:space="preserve"> PAGEREF _Toc2091548 \h </w:instrText>
        </w:r>
        <w:r w:rsidR="00316A7B">
          <w:rPr>
            <w:webHidden/>
          </w:rPr>
        </w:r>
        <w:r w:rsidR="00316A7B">
          <w:rPr>
            <w:webHidden/>
          </w:rPr>
          <w:fldChar w:fldCharType="separate"/>
        </w:r>
        <w:r w:rsidR="004964E9">
          <w:rPr>
            <w:webHidden/>
          </w:rPr>
          <w:t>20</w:t>
        </w:r>
        <w:r w:rsidR="00316A7B">
          <w:rPr>
            <w:webHidden/>
          </w:rPr>
          <w:fldChar w:fldCharType="end"/>
        </w:r>
      </w:hyperlink>
    </w:p>
    <w:p w:rsidR="00316A7B" w:rsidRDefault="0066637D">
      <w:pPr>
        <w:pStyle w:val="TOC2"/>
        <w:tabs>
          <w:tab w:val="left" w:pos="1100"/>
          <w:tab w:val="right" w:leader="dot" w:pos="9730"/>
        </w:tabs>
        <w:rPr>
          <w:rFonts w:asciiTheme="minorHAnsi" w:eastAsiaTheme="minorEastAsia" w:hAnsiTheme="minorHAnsi" w:cstheme="minorBidi"/>
          <w:bCs w:val="0"/>
          <w:szCs w:val="22"/>
        </w:rPr>
      </w:pPr>
      <w:hyperlink w:anchor="_Toc2091549" w:history="1">
        <w:r w:rsidR="00316A7B" w:rsidRPr="005B0C59">
          <w:rPr>
            <w:rStyle w:val="Hyperlink"/>
            <w:lang w:val="en-AU"/>
          </w:rPr>
          <w:t xml:space="preserve">2.1     </w:t>
        </w:r>
        <w:r w:rsidR="00104B37">
          <w:rPr>
            <w:rFonts w:asciiTheme="minorHAnsi" w:eastAsiaTheme="minorEastAsia" w:hAnsiTheme="minorHAnsi" w:cstheme="minorBidi"/>
            <w:bCs w:val="0"/>
            <w:szCs w:val="22"/>
          </w:rPr>
          <w:t xml:space="preserve"> </w:t>
        </w:r>
        <w:r w:rsidR="00316A7B" w:rsidRPr="005B0C59">
          <w:rPr>
            <w:rStyle w:val="Hyperlink"/>
            <w:lang w:val="en-AU"/>
          </w:rPr>
          <w:t xml:space="preserve">School of Business </w:t>
        </w:r>
        <w:r w:rsidR="00316A7B" w:rsidRPr="005B0C59">
          <w:rPr>
            <w:rStyle w:val="Hyperlink"/>
          </w:rPr>
          <w:t>and</w:t>
        </w:r>
        <w:r w:rsidR="00316A7B" w:rsidRPr="005B0C59">
          <w:rPr>
            <w:rStyle w:val="Hyperlink"/>
            <w:lang w:val="en-AU"/>
          </w:rPr>
          <w:t xml:space="preserve"> Public Policy</w:t>
        </w:r>
        <w:r w:rsidR="00316A7B">
          <w:rPr>
            <w:webHidden/>
          </w:rPr>
          <w:tab/>
        </w:r>
        <w:r w:rsidR="00316A7B">
          <w:rPr>
            <w:webHidden/>
          </w:rPr>
          <w:fldChar w:fldCharType="begin"/>
        </w:r>
        <w:r w:rsidR="00316A7B">
          <w:rPr>
            <w:webHidden/>
          </w:rPr>
          <w:instrText xml:space="preserve"> PAGEREF _Toc2091549 \h </w:instrText>
        </w:r>
        <w:r w:rsidR="00316A7B">
          <w:rPr>
            <w:webHidden/>
          </w:rPr>
        </w:r>
        <w:r w:rsidR="00316A7B">
          <w:rPr>
            <w:webHidden/>
          </w:rPr>
          <w:fldChar w:fldCharType="separate"/>
        </w:r>
        <w:r w:rsidR="004964E9">
          <w:rPr>
            <w:webHidden/>
          </w:rPr>
          <w:t>20</w:t>
        </w:r>
        <w:r w:rsidR="00316A7B">
          <w:rPr>
            <w:webHidden/>
          </w:rPr>
          <w:fldChar w:fldCharType="end"/>
        </w:r>
      </w:hyperlink>
    </w:p>
    <w:p w:rsidR="00316A7B" w:rsidRDefault="0066637D">
      <w:pPr>
        <w:pStyle w:val="TOC2"/>
        <w:tabs>
          <w:tab w:val="right" w:leader="dot" w:pos="9730"/>
        </w:tabs>
        <w:rPr>
          <w:rFonts w:asciiTheme="minorHAnsi" w:eastAsiaTheme="minorEastAsia" w:hAnsiTheme="minorHAnsi" w:cstheme="minorBidi"/>
          <w:bCs w:val="0"/>
          <w:szCs w:val="22"/>
        </w:rPr>
      </w:pPr>
      <w:hyperlink w:anchor="_Toc2091550" w:history="1">
        <w:r w:rsidR="00316A7B" w:rsidRPr="005B0C59">
          <w:rPr>
            <w:rStyle w:val="Hyperlink"/>
            <w:lang w:val="en-AU"/>
          </w:rPr>
          <w:t xml:space="preserve">2.2      Pacific </w:t>
        </w:r>
        <w:r w:rsidR="00316A7B" w:rsidRPr="005B0C59">
          <w:rPr>
            <w:rStyle w:val="Hyperlink"/>
          </w:rPr>
          <w:t>Institute</w:t>
        </w:r>
        <w:r w:rsidR="00316A7B" w:rsidRPr="005B0C59">
          <w:rPr>
            <w:rStyle w:val="Hyperlink"/>
            <w:lang w:val="en-AU"/>
          </w:rPr>
          <w:t xml:space="preserve"> for Leadership and Governance</w:t>
        </w:r>
        <w:r w:rsidR="00316A7B">
          <w:rPr>
            <w:webHidden/>
          </w:rPr>
          <w:tab/>
        </w:r>
        <w:r w:rsidR="00316A7B">
          <w:rPr>
            <w:webHidden/>
          </w:rPr>
          <w:fldChar w:fldCharType="begin"/>
        </w:r>
        <w:r w:rsidR="00316A7B">
          <w:rPr>
            <w:webHidden/>
          </w:rPr>
          <w:instrText xml:space="preserve"> PAGEREF _Toc2091550 \h </w:instrText>
        </w:r>
        <w:r w:rsidR="00316A7B">
          <w:rPr>
            <w:webHidden/>
          </w:rPr>
        </w:r>
        <w:r w:rsidR="00316A7B">
          <w:rPr>
            <w:webHidden/>
          </w:rPr>
          <w:fldChar w:fldCharType="separate"/>
        </w:r>
        <w:r w:rsidR="004964E9">
          <w:rPr>
            <w:webHidden/>
          </w:rPr>
          <w:t>27</w:t>
        </w:r>
        <w:r w:rsidR="00316A7B">
          <w:rPr>
            <w:webHidden/>
          </w:rPr>
          <w:fldChar w:fldCharType="end"/>
        </w:r>
      </w:hyperlink>
    </w:p>
    <w:p w:rsidR="00316A7B" w:rsidRDefault="0066637D">
      <w:pPr>
        <w:pStyle w:val="TOC2"/>
        <w:tabs>
          <w:tab w:val="left" w:pos="880"/>
          <w:tab w:val="right" w:leader="dot" w:pos="9730"/>
        </w:tabs>
        <w:rPr>
          <w:rFonts w:asciiTheme="minorHAnsi" w:eastAsiaTheme="minorEastAsia" w:hAnsiTheme="minorHAnsi" w:cstheme="minorBidi"/>
          <w:bCs w:val="0"/>
          <w:szCs w:val="22"/>
        </w:rPr>
      </w:pPr>
      <w:hyperlink w:anchor="_Toc2091551" w:history="1">
        <w:r w:rsidR="00316A7B" w:rsidRPr="005B0C59">
          <w:rPr>
            <w:rStyle w:val="Hyperlink"/>
            <w:lang w:val="en-AU"/>
          </w:rPr>
          <w:t xml:space="preserve">2.3 </w:t>
        </w:r>
        <w:r w:rsidR="00316A7B">
          <w:rPr>
            <w:rFonts w:asciiTheme="minorHAnsi" w:eastAsiaTheme="minorEastAsia" w:hAnsiTheme="minorHAnsi" w:cstheme="minorBidi"/>
            <w:bCs w:val="0"/>
            <w:szCs w:val="22"/>
          </w:rPr>
          <w:tab/>
        </w:r>
        <w:r w:rsidR="00316A7B" w:rsidRPr="005B0C59">
          <w:rPr>
            <w:rStyle w:val="Hyperlink"/>
            <w:lang w:val="en-AU"/>
          </w:rPr>
          <w:t xml:space="preserve">Pathways and </w:t>
        </w:r>
        <w:r w:rsidR="00316A7B" w:rsidRPr="005B0C59">
          <w:rPr>
            <w:rStyle w:val="Hyperlink"/>
          </w:rPr>
          <w:t>enabling</w:t>
        </w:r>
        <w:r w:rsidR="00316A7B" w:rsidRPr="005B0C59">
          <w:rPr>
            <w:rStyle w:val="Hyperlink"/>
            <w:lang w:val="en-AU"/>
          </w:rPr>
          <w:t xml:space="preserve"> environment</w:t>
        </w:r>
        <w:r w:rsidR="00316A7B">
          <w:rPr>
            <w:webHidden/>
          </w:rPr>
          <w:tab/>
        </w:r>
        <w:r w:rsidR="00316A7B">
          <w:rPr>
            <w:webHidden/>
          </w:rPr>
          <w:fldChar w:fldCharType="begin"/>
        </w:r>
        <w:r w:rsidR="00316A7B">
          <w:rPr>
            <w:webHidden/>
          </w:rPr>
          <w:instrText xml:space="preserve"> PAGEREF _Toc2091551 \h </w:instrText>
        </w:r>
        <w:r w:rsidR="00316A7B">
          <w:rPr>
            <w:webHidden/>
          </w:rPr>
        </w:r>
        <w:r w:rsidR="00316A7B">
          <w:rPr>
            <w:webHidden/>
          </w:rPr>
          <w:fldChar w:fldCharType="separate"/>
        </w:r>
        <w:r w:rsidR="004964E9">
          <w:rPr>
            <w:webHidden/>
          </w:rPr>
          <w:t>34</w:t>
        </w:r>
        <w:r w:rsidR="00316A7B">
          <w:rPr>
            <w:webHidden/>
          </w:rPr>
          <w:fldChar w:fldCharType="end"/>
        </w:r>
      </w:hyperlink>
    </w:p>
    <w:p w:rsidR="00316A7B" w:rsidRDefault="0066637D">
      <w:pPr>
        <w:pStyle w:val="TOC2"/>
        <w:tabs>
          <w:tab w:val="left" w:pos="880"/>
          <w:tab w:val="right" w:leader="dot" w:pos="9730"/>
        </w:tabs>
        <w:rPr>
          <w:rFonts w:asciiTheme="minorHAnsi" w:eastAsiaTheme="minorEastAsia" w:hAnsiTheme="minorHAnsi" w:cstheme="minorBidi"/>
          <w:bCs w:val="0"/>
          <w:szCs w:val="22"/>
        </w:rPr>
      </w:pPr>
      <w:hyperlink w:anchor="_Toc2091552" w:history="1">
        <w:r w:rsidR="00316A7B" w:rsidRPr="005B0C59">
          <w:rPr>
            <w:rStyle w:val="Hyperlink"/>
            <w:lang w:val="en-AU"/>
          </w:rPr>
          <w:t xml:space="preserve">2.4 </w:t>
        </w:r>
        <w:r w:rsidR="00316A7B">
          <w:rPr>
            <w:rFonts w:asciiTheme="minorHAnsi" w:eastAsiaTheme="minorEastAsia" w:hAnsiTheme="minorHAnsi" w:cstheme="minorBidi"/>
            <w:bCs w:val="0"/>
            <w:szCs w:val="22"/>
          </w:rPr>
          <w:tab/>
        </w:r>
        <w:r w:rsidR="00316A7B" w:rsidRPr="005B0C59">
          <w:rPr>
            <w:rStyle w:val="Hyperlink"/>
            <w:lang w:val="en-AU"/>
          </w:rPr>
          <w:t xml:space="preserve">Gender and social </w:t>
        </w:r>
        <w:r w:rsidR="00316A7B" w:rsidRPr="005B0C59">
          <w:rPr>
            <w:rStyle w:val="Hyperlink"/>
          </w:rPr>
          <w:t>inclusion</w:t>
        </w:r>
        <w:r w:rsidR="00316A7B">
          <w:rPr>
            <w:webHidden/>
          </w:rPr>
          <w:tab/>
        </w:r>
        <w:r w:rsidR="00316A7B">
          <w:rPr>
            <w:webHidden/>
          </w:rPr>
          <w:fldChar w:fldCharType="begin"/>
        </w:r>
        <w:r w:rsidR="00316A7B">
          <w:rPr>
            <w:webHidden/>
          </w:rPr>
          <w:instrText xml:space="preserve"> PAGEREF _Toc2091552 \h </w:instrText>
        </w:r>
        <w:r w:rsidR="00316A7B">
          <w:rPr>
            <w:webHidden/>
          </w:rPr>
        </w:r>
        <w:r w:rsidR="00316A7B">
          <w:rPr>
            <w:webHidden/>
          </w:rPr>
          <w:fldChar w:fldCharType="separate"/>
        </w:r>
        <w:r w:rsidR="004964E9">
          <w:rPr>
            <w:webHidden/>
          </w:rPr>
          <w:t>41</w:t>
        </w:r>
        <w:r w:rsidR="00316A7B">
          <w:rPr>
            <w:webHidden/>
          </w:rPr>
          <w:fldChar w:fldCharType="end"/>
        </w:r>
      </w:hyperlink>
    </w:p>
    <w:p w:rsidR="00316A7B" w:rsidRDefault="0066637D">
      <w:pPr>
        <w:pStyle w:val="TOC1"/>
        <w:tabs>
          <w:tab w:val="right" w:leader="dot" w:pos="9730"/>
        </w:tabs>
        <w:rPr>
          <w:rFonts w:asciiTheme="minorHAnsi" w:eastAsiaTheme="minorEastAsia" w:hAnsiTheme="minorHAnsi" w:cstheme="minorBidi"/>
          <w:bCs w:val="0"/>
          <w:szCs w:val="22"/>
        </w:rPr>
      </w:pPr>
      <w:hyperlink w:anchor="_Toc2091553" w:history="1">
        <w:r w:rsidR="00316A7B" w:rsidRPr="005B0C59">
          <w:rPr>
            <w:rStyle w:val="Hyperlink"/>
            <w:lang w:val="en-AU"/>
          </w:rPr>
          <w:t xml:space="preserve">3. Precinct </w:t>
        </w:r>
        <w:r w:rsidR="00316A7B" w:rsidRPr="005B0C59">
          <w:rPr>
            <w:rStyle w:val="Hyperlink"/>
          </w:rPr>
          <w:t>level</w:t>
        </w:r>
        <w:r w:rsidR="00316A7B">
          <w:rPr>
            <w:webHidden/>
          </w:rPr>
          <w:tab/>
        </w:r>
        <w:r w:rsidR="00316A7B">
          <w:rPr>
            <w:webHidden/>
          </w:rPr>
          <w:fldChar w:fldCharType="begin"/>
        </w:r>
        <w:r w:rsidR="00316A7B">
          <w:rPr>
            <w:webHidden/>
          </w:rPr>
          <w:instrText xml:space="preserve"> PAGEREF _Toc2091553 \h </w:instrText>
        </w:r>
        <w:r w:rsidR="00316A7B">
          <w:rPr>
            <w:webHidden/>
          </w:rPr>
        </w:r>
        <w:r w:rsidR="00316A7B">
          <w:rPr>
            <w:webHidden/>
          </w:rPr>
          <w:fldChar w:fldCharType="separate"/>
        </w:r>
        <w:r w:rsidR="004964E9">
          <w:rPr>
            <w:webHidden/>
          </w:rPr>
          <w:t>47</w:t>
        </w:r>
        <w:r w:rsidR="00316A7B">
          <w:rPr>
            <w:webHidden/>
          </w:rPr>
          <w:fldChar w:fldCharType="end"/>
        </w:r>
      </w:hyperlink>
    </w:p>
    <w:p w:rsidR="00316A7B" w:rsidRDefault="0066637D">
      <w:pPr>
        <w:pStyle w:val="TOC2"/>
        <w:tabs>
          <w:tab w:val="left" w:pos="880"/>
          <w:tab w:val="right" w:leader="dot" w:pos="9730"/>
        </w:tabs>
        <w:rPr>
          <w:rFonts w:asciiTheme="minorHAnsi" w:eastAsiaTheme="minorEastAsia" w:hAnsiTheme="minorHAnsi" w:cstheme="minorBidi"/>
          <w:bCs w:val="0"/>
          <w:szCs w:val="22"/>
        </w:rPr>
      </w:pPr>
      <w:hyperlink w:anchor="_Toc2091554" w:history="1">
        <w:r w:rsidR="00316A7B" w:rsidRPr="005B0C59">
          <w:rPr>
            <w:rStyle w:val="Hyperlink"/>
            <w:lang w:val="en-AU"/>
          </w:rPr>
          <w:t xml:space="preserve">3.1 </w:t>
        </w:r>
        <w:r w:rsidR="00316A7B">
          <w:rPr>
            <w:rFonts w:asciiTheme="minorHAnsi" w:eastAsiaTheme="minorEastAsia" w:hAnsiTheme="minorHAnsi" w:cstheme="minorBidi"/>
            <w:bCs w:val="0"/>
            <w:szCs w:val="22"/>
          </w:rPr>
          <w:tab/>
        </w:r>
        <w:r w:rsidR="00316A7B" w:rsidRPr="005B0C59">
          <w:rPr>
            <w:rStyle w:val="Hyperlink"/>
            <w:lang w:val="en-AU"/>
          </w:rPr>
          <w:t xml:space="preserve">Strategic </w:t>
        </w:r>
        <w:r w:rsidR="00316A7B" w:rsidRPr="005B0C59">
          <w:rPr>
            <w:rStyle w:val="Hyperlink"/>
          </w:rPr>
          <w:t>management</w:t>
        </w:r>
        <w:r w:rsidR="00316A7B">
          <w:rPr>
            <w:webHidden/>
          </w:rPr>
          <w:tab/>
        </w:r>
        <w:r w:rsidR="00316A7B">
          <w:rPr>
            <w:webHidden/>
          </w:rPr>
          <w:fldChar w:fldCharType="begin"/>
        </w:r>
        <w:r w:rsidR="00316A7B">
          <w:rPr>
            <w:webHidden/>
          </w:rPr>
          <w:instrText xml:space="preserve"> PAGEREF _Toc2091554 \h </w:instrText>
        </w:r>
        <w:r w:rsidR="00316A7B">
          <w:rPr>
            <w:webHidden/>
          </w:rPr>
        </w:r>
        <w:r w:rsidR="00316A7B">
          <w:rPr>
            <w:webHidden/>
          </w:rPr>
          <w:fldChar w:fldCharType="separate"/>
        </w:r>
        <w:r w:rsidR="004964E9">
          <w:rPr>
            <w:webHidden/>
          </w:rPr>
          <w:t>47</w:t>
        </w:r>
        <w:r w:rsidR="00316A7B">
          <w:rPr>
            <w:webHidden/>
          </w:rPr>
          <w:fldChar w:fldCharType="end"/>
        </w:r>
      </w:hyperlink>
    </w:p>
    <w:p w:rsidR="00316A7B" w:rsidRDefault="0066637D">
      <w:pPr>
        <w:pStyle w:val="TOC2"/>
        <w:tabs>
          <w:tab w:val="left" w:pos="880"/>
          <w:tab w:val="right" w:leader="dot" w:pos="9730"/>
        </w:tabs>
        <w:rPr>
          <w:rFonts w:asciiTheme="minorHAnsi" w:eastAsiaTheme="minorEastAsia" w:hAnsiTheme="minorHAnsi" w:cstheme="minorBidi"/>
          <w:bCs w:val="0"/>
          <w:szCs w:val="22"/>
        </w:rPr>
      </w:pPr>
      <w:hyperlink w:anchor="_Toc2091555" w:history="1">
        <w:r w:rsidR="00316A7B" w:rsidRPr="005B0C59">
          <w:rPr>
            <w:rStyle w:val="Hyperlink"/>
            <w:lang w:val="en-AU"/>
          </w:rPr>
          <w:t xml:space="preserve">3.2 </w:t>
        </w:r>
        <w:r w:rsidR="00316A7B">
          <w:rPr>
            <w:rFonts w:asciiTheme="minorHAnsi" w:eastAsiaTheme="minorEastAsia" w:hAnsiTheme="minorHAnsi" w:cstheme="minorBidi"/>
            <w:bCs w:val="0"/>
            <w:szCs w:val="22"/>
          </w:rPr>
          <w:tab/>
        </w:r>
        <w:r w:rsidR="00316A7B" w:rsidRPr="005B0C59">
          <w:rPr>
            <w:rStyle w:val="Hyperlink"/>
          </w:rPr>
          <w:t>Ownership</w:t>
        </w:r>
        <w:r w:rsidR="00316A7B">
          <w:rPr>
            <w:webHidden/>
          </w:rPr>
          <w:tab/>
        </w:r>
        <w:r w:rsidR="00316A7B">
          <w:rPr>
            <w:webHidden/>
          </w:rPr>
          <w:fldChar w:fldCharType="begin"/>
        </w:r>
        <w:r w:rsidR="00316A7B">
          <w:rPr>
            <w:webHidden/>
          </w:rPr>
          <w:instrText xml:space="preserve"> PAGEREF _Toc2091555 \h </w:instrText>
        </w:r>
        <w:r w:rsidR="00316A7B">
          <w:rPr>
            <w:webHidden/>
          </w:rPr>
        </w:r>
        <w:r w:rsidR="00316A7B">
          <w:rPr>
            <w:webHidden/>
          </w:rPr>
          <w:fldChar w:fldCharType="separate"/>
        </w:r>
        <w:r w:rsidR="004964E9">
          <w:rPr>
            <w:webHidden/>
          </w:rPr>
          <w:t>49</w:t>
        </w:r>
        <w:r w:rsidR="00316A7B">
          <w:rPr>
            <w:webHidden/>
          </w:rPr>
          <w:fldChar w:fldCharType="end"/>
        </w:r>
      </w:hyperlink>
    </w:p>
    <w:p w:rsidR="00316A7B" w:rsidRDefault="0066637D">
      <w:pPr>
        <w:pStyle w:val="TOC2"/>
        <w:tabs>
          <w:tab w:val="left" w:pos="880"/>
          <w:tab w:val="right" w:leader="dot" w:pos="9730"/>
        </w:tabs>
        <w:rPr>
          <w:rFonts w:asciiTheme="minorHAnsi" w:eastAsiaTheme="minorEastAsia" w:hAnsiTheme="minorHAnsi" w:cstheme="minorBidi"/>
          <w:bCs w:val="0"/>
          <w:szCs w:val="22"/>
        </w:rPr>
      </w:pPr>
      <w:hyperlink w:anchor="_Toc2091556" w:history="1">
        <w:r w:rsidR="00316A7B" w:rsidRPr="005B0C59">
          <w:rPr>
            <w:rStyle w:val="Hyperlink"/>
            <w:lang w:val="en-AU"/>
          </w:rPr>
          <w:t xml:space="preserve">3.3 </w:t>
        </w:r>
        <w:r w:rsidR="00316A7B">
          <w:rPr>
            <w:rFonts w:asciiTheme="minorHAnsi" w:eastAsiaTheme="minorEastAsia" w:hAnsiTheme="minorHAnsi" w:cstheme="minorBidi"/>
            <w:bCs w:val="0"/>
            <w:szCs w:val="22"/>
          </w:rPr>
          <w:tab/>
        </w:r>
        <w:r w:rsidR="00316A7B" w:rsidRPr="005B0C59">
          <w:rPr>
            <w:rStyle w:val="Hyperlink"/>
            <w:lang w:val="en-AU"/>
          </w:rPr>
          <w:t xml:space="preserve">Prioritisation </w:t>
        </w:r>
        <w:r w:rsidR="00316A7B" w:rsidRPr="005B0C59">
          <w:rPr>
            <w:rStyle w:val="Hyperlink"/>
          </w:rPr>
          <w:t>and</w:t>
        </w:r>
        <w:r w:rsidR="00316A7B" w:rsidRPr="005B0C59">
          <w:rPr>
            <w:rStyle w:val="Hyperlink"/>
            <w:lang w:val="en-AU"/>
          </w:rPr>
          <w:t xml:space="preserve"> value for money</w:t>
        </w:r>
        <w:r w:rsidR="00316A7B">
          <w:rPr>
            <w:webHidden/>
          </w:rPr>
          <w:tab/>
        </w:r>
        <w:r w:rsidR="00316A7B">
          <w:rPr>
            <w:webHidden/>
          </w:rPr>
          <w:fldChar w:fldCharType="begin"/>
        </w:r>
        <w:r w:rsidR="00316A7B">
          <w:rPr>
            <w:webHidden/>
          </w:rPr>
          <w:instrText xml:space="preserve"> PAGEREF _Toc2091556 \h </w:instrText>
        </w:r>
        <w:r w:rsidR="00316A7B">
          <w:rPr>
            <w:webHidden/>
          </w:rPr>
        </w:r>
        <w:r w:rsidR="00316A7B">
          <w:rPr>
            <w:webHidden/>
          </w:rPr>
          <w:fldChar w:fldCharType="separate"/>
        </w:r>
        <w:r w:rsidR="004964E9">
          <w:rPr>
            <w:webHidden/>
          </w:rPr>
          <w:t>53</w:t>
        </w:r>
        <w:r w:rsidR="00316A7B">
          <w:rPr>
            <w:webHidden/>
          </w:rPr>
          <w:fldChar w:fldCharType="end"/>
        </w:r>
      </w:hyperlink>
    </w:p>
    <w:p w:rsidR="00316A7B" w:rsidRDefault="0066637D">
      <w:pPr>
        <w:pStyle w:val="TOC2"/>
        <w:tabs>
          <w:tab w:val="left" w:pos="880"/>
          <w:tab w:val="right" w:leader="dot" w:pos="9730"/>
        </w:tabs>
        <w:rPr>
          <w:rFonts w:asciiTheme="minorHAnsi" w:eastAsiaTheme="minorEastAsia" w:hAnsiTheme="minorHAnsi" w:cstheme="minorBidi"/>
          <w:bCs w:val="0"/>
          <w:szCs w:val="22"/>
        </w:rPr>
      </w:pPr>
      <w:hyperlink w:anchor="_Toc2091557" w:history="1">
        <w:r w:rsidR="00316A7B" w:rsidRPr="005B0C59">
          <w:rPr>
            <w:rStyle w:val="Hyperlink"/>
            <w:lang w:val="en-AU"/>
          </w:rPr>
          <w:t xml:space="preserve">3.4 </w:t>
        </w:r>
        <w:r w:rsidR="00316A7B">
          <w:rPr>
            <w:rFonts w:asciiTheme="minorHAnsi" w:eastAsiaTheme="minorEastAsia" w:hAnsiTheme="minorHAnsi" w:cstheme="minorBidi"/>
            <w:bCs w:val="0"/>
            <w:szCs w:val="22"/>
          </w:rPr>
          <w:tab/>
        </w:r>
        <w:r w:rsidR="00316A7B" w:rsidRPr="005B0C59">
          <w:rPr>
            <w:rStyle w:val="Hyperlink"/>
          </w:rPr>
          <w:t>Sustainability</w:t>
        </w:r>
        <w:r w:rsidR="00316A7B">
          <w:rPr>
            <w:webHidden/>
          </w:rPr>
          <w:tab/>
        </w:r>
        <w:r w:rsidR="00316A7B">
          <w:rPr>
            <w:webHidden/>
          </w:rPr>
          <w:fldChar w:fldCharType="begin"/>
        </w:r>
        <w:r w:rsidR="00316A7B">
          <w:rPr>
            <w:webHidden/>
          </w:rPr>
          <w:instrText xml:space="preserve"> PAGEREF _Toc2091557 \h </w:instrText>
        </w:r>
        <w:r w:rsidR="00316A7B">
          <w:rPr>
            <w:webHidden/>
          </w:rPr>
        </w:r>
        <w:r w:rsidR="00316A7B">
          <w:rPr>
            <w:webHidden/>
          </w:rPr>
          <w:fldChar w:fldCharType="separate"/>
        </w:r>
        <w:r w:rsidR="004964E9">
          <w:rPr>
            <w:webHidden/>
          </w:rPr>
          <w:t>55</w:t>
        </w:r>
        <w:r w:rsidR="00316A7B">
          <w:rPr>
            <w:webHidden/>
          </w:rPr>
          <w:fldChar w:fldCharType="end"/>
        </w:r>
      </w:hyperlink>
    </w:p>
    <w:p w:rsidR="00316A7B" w:rsidRDefault="0066637D">
      <w:pPr>
        <w:pStyle w:val="TOC1"/>
        <w:tabs>
          <w:tab w:val="right" w:leader="dot" w:pos="9730"/>
        </w:tabs>
        <w:rPr>
          <w:rFonts w:asciiTheme="minorHAnsi" w:eastAsiaTheme="minorEastAsia" w:hAnsiTheme="minorHAnsi" w:cstheme="minorBidi"/>
          <w:bCs w:val="0"/>
          <w:szCs w:val="22"/>
        </w:rPr>
      </w:pPr>
      <w:hyperlink w:anchor="_Toc2091558" w:history="1">
        <w:r w:rsidR="00316A7B" w:rsidRPr="005B0C59">
          <w:rPr>
            <w:rStyle w:val="Hyperlink"/>
            <w:lang w:val="en-AU"/>
          </w:rPr>
          <w:t xml:space="preserve">4. Main </w:t>
        </w:r>
        <w:r w:rsidR="00316A7B" w:rsidRPr="005B0C59">
          <w:rPr>
            <w:rStyle w:val="Hyperlink"/>
          </w:rPr>
          <w:t>findings</w:t>
        </w:r>
        <w:r w:rsidR="00316A7B">
          <w:rPr>
            <w:webHidden/>
          </w:rPr>
          <w:tab/>
        </w:r>
        <w:r w:rsidR="00316A7B">
          <w:rPr>
            <w:webHidden/>
          </w:rPr>
          <w:fldChar w:fldCharType="begin"/>
        </w:r>
        <w:r w:rsidR="00316A7B">
          <w:rPr>
            <w:webHidden/>
          </w:rPr>
          <w:instrText xml:space="preserve"> PAGEREF _Toc2091558 \h </w:instrText>
        </w:r>
        <w:r w:rsidR="00316A7B">
          <w:rPr>
            <w:webHidden/>
          </w:rPr>
        </w:r>
        <w:r w:rsidR="00316A7B">
          <w:rPr>
            <w:webHidden/>
          </w:rPr>
          <w:fldChar w:fldCharType="separate"/>
        </w:r>
        <w:r w:rsidR="004964E9">
          <w:rPr>
            <w:webHidden/>
          </w:rPr>
          <w:t>57</w:t>
        </w:r>
        <w:r w:rsidR="00316A7B">
          <w:rPr>
            <w:webHidden/>
          </w:rPr>
          <w:fldChar w:fldCharType="end"/>
        </w:r>
      </w:hyperlink>
    </w:p>
    <w:p w:rsidR="00316A7B" w:rsidRDefault="0066637D">
      <w:pPr>
        <w:pStyle w:val="TOC2"/>
        <w:tabs>
          <w:tab w:val="left" w:pos="880"/>
          <w:tab w:val="right" w:leader="dot" w:pos="9730"/>
        </w:tabs>
        <w:rPr>
          <w:rFonts w:asciiTheme="minorHAnsi" w:eastAsiaTheme="minorEastAsia" w:hAnsiTheme="minorHAnsi" w:cstheme="minorBidi"/>
          <w:bCs w:val="0"/>
          <w:szCs w:val="22"/>
        </w:rPr>
      </w:pPr>
      <w:hyperlink w:anchor="_Toc2091559" w:history="1">
        <w:r w:rsidR="00316A7B" w:rsidRPr="005B0C59">
          <w:rPr>
            <w:rStyle w:val="Hyperlink"/>
            <w:lang w:val="en-AU"/>
          </w:rPr>
          <w:t xml:space="preserve">4.1 </w:t>
        </w:r>
        <w:r w:rsidR="00316A7B">
          <w:rPr>
            <w:rFonts w:asciiTheme="minorHAnsi" w:eastAsiaTheme="minorEastAsia" w:hAnsiTheme="minorHAnsi" w:cstheme="minorBidi"/>
            <w:bCs w:val="0"/>
            <w:szCs w:val="22"/>
          </w:rPr>
          <w:tab/>
        </w:r>
        <w:r w:rsidR="00316A7B" w:rsidRPr="005B0C59">
          <w:rPr>
            <w:rStyle w:val="Hyperlink"/>
            <w:lang w:val="en-AU"/>
          </w:rPr>
          <w:t xml:space="preserve">Main </w:t>
        </w:r>
        <w:r w:rsidR="00316A7B" w:rsidRPr="005B0C59">
          <w:rPr>
            <w:rStyle w:val="Hyperlink"/>
          </w:rPr>
          <w:t>findings</w:t>
        </w:r>
        <w:r w:rsidR="00316A7B">
          <w:rPr>
            <w:webHidden/>
          </w:rPr>
          <w:tab/>
        </w:r>
        <w:r w:rsidR="00316A7B">
          <w:rPr>
            <w:webHidden/>
          </w:rPr>
          <w:fldChar w:fldCharType="begin"/>
        </w:r>
        <w:r w:rsidR="00316A7B">
          <w:rPr>
            <w:webHidden/>
          </w:rPr>
          <w:instrText xml:space="preserve"> PAGEREF _Toc2091559 \h </w:instrText>
        </w:r>
        <w:r w:rsidR="00316A7B">
          <w:rPr>
            <w:webHidden/>
          </w:rPr>
        </w:r>
        <w:r w:rsidR="00316A7B">
          <w:rPr>
            <w:webHidden/>
          </w:rPr>
          <w:fldChar w:fldCharType="separate"/>
        </w:r>
        <w:r w:rsidR="004964E9">
          <w:rPr>
            <w:webHidden/>
          </w:rPr>
          <w:t>57</w:t>
        </w:r>
        <w:r w:rsidR="00316A7B">
          <w:rPr>
            <w:webHidden/>
          </w:rPr>
          <w:fldChar w:fldCharType="end"/>
        </w:r>
      </w:hyperlink>
    </w:p>
    <w:p w:rsidR="00316A7B" w:rsidRDefault="0066637D">
      <w:pPr>
        <w:pStyle w:val="TOC2"/>
        <w:tabs>
          <w:tab w:val="left" w:pos="880"/>
          <w:tab w:val="right" w:leader="dot" w:pos="9730"/>
        </w:tabs>
        <w:rPr>
          <w:rFonts w:asciiTheme="minorHAnsi" w:eastAsiaTheme="minorEastAsia" w:hAnsiTheme="minorHAnsi" w:cstheme="minorBidi"/>
          <w:bCs w:val="0"/>
          <w:szCs w:val="22"/>
        </w:rPr>
      </w:pPr>
      <w:hyperlink w:anchor="_Toc2091560" w:history="1">
        <w:r w:rsidR="00316A7B" w:rsidRPr="005B0C59">
          <w:rPr>
            <w:rStyle w:val="Hyperlink"/>
            <w:lang w:val="en-AU"/>
          </w:rPr>
          <w:t xml:space="preserve">4.2 </w:t>
        </w:r>
        <w:r w:rsidR="00316A7B">
          <w:rPr>
            <w:rFonts w:asciiTheme="minorHAnsi" w:eastAsiaTheme="minorEastAsia" w:hAnsiTheme="minorHAnsi" w:cstheme="minorBidi"/>
            <w:bCs w:val="0"/>
            <w:szCs w:val="22"/>
          </w:rPr>
          <w:tab/>
        </w:r>
        <w:r w:rsidR="00316A7B" w:rsidRPr="005B0C59">
          <w:rPr>
            <w:rStyle w:val="Hyperlink"/>
          </w:rPr>
          <w:t>Opportunities</w:t>
        </w:r>
        <w:r w:rsidR="00316A7B" w:rsidRPr="005B0C59">
          <w:rPr>
            <w:rStyle w:val="Hyperlink"/>
            <w:lang w:val="en-AU"/>
          </w:rPr>
          <w:t xml:space="preserve"> for program improvement</w:t>
        </w:r>
        <w:r w:rsidR="00316A7B">
          <w:rPr>
            <w:webHidden/>
          </w:rPr>
          <w:tab/>
        </w:r>
        <w:r w:rsidR="00316A7B">
          <w:rPr>
            <w:webHidden/>
          </w:rPr>
          <w:fldChar w:fldCharType="begin"/>
        </w:r>
        <w:r w:rsidR="00316A7B">
          <w:rPr>
            <w:webHidden/>
          </w:rPr>
          <w:instrText xml:space="preserve"> PAGEREF _Toc2091560 \h </w:instrText>
        </w:r>
        <w:r w:rsidR="00316A7B">
          <w:rPr>
            <w:webHidden/>
          </w:rPr>
        </w:r>
        <w:r w:rsidR="00316A7B">
          <w:rPr>
            <w:webHidden/>
          </w:rPr>
          <w:fldChar w:fldCharType="separate"/>
        </w:r>
        <w:r w:rsidR="004964E9">
          <w:rPr>
            <w:webHidden/>
          </w:rPr>
          <w:t>58</w:t>
        </w:r>
        <w:r w:rsidR="00316A7B">
          <w:rPr>
            <w:webHidden/>
          </w:rPr>
          <w:fldChar w:fldCharType="end"/>
        </w:r>
      </w:hyperlink>
    </w:p>
    <w:p w:rsidR="00316A7B" w:rsidRDefault="0066637D">
      <w:pPr>
        <w:pStyle w:val="TOC1"/>
        <w:tabs>
          <w:tab w:val="left" w:pos="1100"/>
          <w:tab w:val="right" w:leader="dot" w:pos="9730"/>
        </w:tabs>
        <w:rPr>
          <w:rFonts w:asciiTheme="minorHAnsi" w:eastAsiaTheme="minorEastAsia" w:hAnsiTheme="minorHAnsi" w:cstheme="minorBidi"/>
          <w:bCs w:val="0"/>
          <w:szCs w:val="22"/>
        </w:rPr>
      </w:pPr>
      <w:hyperlink w:anchor="_Toc2091561" w:history="1">
        <w:r w:rsidR="00316A7B" w:rsidRPr="005B0C59">
          <w:rPr>
            <w:rStyle w:val="Hyperlink"/>
          </w:rPr>
          <w:t>Annex A</w:t>
        </w:r>
        <w:r w:rsidR="00316A7B">
          <w:rPr>
            <w:rFonts w:asciiTheme="minorHAnsi" w:eastAsiaTheme="minorEastAsia" w:hAnsiTheme="minorHAnsi" w:cstheme="minorBidi"/>
            <w:bCs w:val="0"/>
            <w:szCs w:val="22"/>
          </w:rPr>
          <w:tab/>
        </w:r>
        <w:r w:rsidR="00316A7B" w:rsidRPr="005B0C59">
          <w:rPr>
            <w:rStyle w:val="Hyperlink"/>
          </w:rPr>
          <w:t>Precinct evaluation key informants</w:t>
        </w:r>
        <w:r w:rsidR="00316A7B">
          <w:rPr>
            <w:webHidden/>
          </w:rPr>
          <w:tab/>
        </w:r>
        <w:r w:rsidR="00316A7B">
          <w:rPr>
            <w:webHidden/>
          </w:rPr>
          <w:fldChar w:fldCharType="begin"/>
        </w:r>
        <w:r w:rsidR="00316A7B">
          <w:rPr>
            <w:webHidden/>
          </w:rPr>
          <w:instrText xml:space="preserve"> PAGEREF _Toc2091561 \h </w:instrText>
        </w:r>
        <w:r w:rsidR="00316A7B">
          <w:rPr>
            <w:webHidden/>
          </w:rPr>
        </w:r>
        <w:r w:rsidR="00316A7B">
          <w:rPr>
            <w:webHidden/>
          </w:rPr>
          <w:fldChar w:fldCharType="separate"/>
        </w:r>
        <w:r w:rsidR="004964E9">
          <w:rPr>
            <w:webHidden/>
          </w:rPr>
          <w:t>61</w:t>
        </w:r>
        <w:r w:rsidR="00316A7B">
          <w:rPr>
            <w:webHidden/>
          </w:rPr>
          <w:fldChar w:fldCharType="end"/>
        </w:r>
      </w:hyperlink>
    </w:p>
    <w:p w:rsidR="00316A7B" w:rsidRDefault="0066637D">
      <w:pPr>
        <w:pStyle w:val="TOC1"/>
        <w:tabs>
          <w:tab w:val="left" w:pos="1100"/>
          <w:tab w:val="right" w:leader="dot" w:pos="9730"/>
        </w:tabs>
        <w:rPr>
          <w:rFonts w:asciiTheme="minorHAnsi" w:eastAsiaTheme="minorEastAsia" w:hAnsiTheme="minorHAnsi" w:cstheme="minorBidi"/>
          <w:bCs w:val="0"/>
          <w:szCs w:val="22"/>
        </w:rPr>
      </w:pPr>
      <w:hyperlink w:anchor="_Toc2091562" w:history="1">
        <w:r w:rsidR="00316A7B" w:rsidRPr="005B0C59">
          <w:rPr>
            <w:rStyle w:val="Hyperlink"/>
          </w:rPr>
          <w:t>Annex B</w:t>
        </w:r>
        <w:r w:rsidR="00316A7B">
          <w:rPr>
            <w:rFonts w:asciiTheme="minorHAnsi" w:eastAsiaTheme="minorEastAsia" w:hAnsiTheme="minorHAnsi" w:cstheme="minorBidi"/>
            <w:bCs w:val="0"/>
            <w:szCs w:val="22"/>
          </w:rPr>
          <w:tab/>
        </w:r>
        <w:r w:rsidR="00316A7B" w:rsidRPr="005B0C59">
          <w:rPr>
            <w:rStyle w:val="Hyperlink"/>
          </w:rPr>
          <w:t>References</w:t>
        </w:r>
        <w:r w:rsidR="00316A7B">
          <w:rPr>
            <w:webHidden/>
          </w:rPr>
          <w:tab/>
        </w:r>
        <w:r w:rsidR="00316A7B">
          <w:rPr>
            <w:webHidden/>
          </w:rPr>
          <w:fldChar w:fldCharType="begin"/>
        </w:r>
        <w:r w:rsidR="00316A7B">
          <w:rPr>
            <w:webHidden/>
          </w:rPr>
          <w:instrText xml:space="preserve"> PAGEREF _Toc2091562 \h </w:instrText>
        </w:r>
        <w:r w:rsidR="00316A7B">
          <w:rPr>
            <w:webHidden/>
          </w:rPr>
        </w:r>
        <w:r w:rsidR="00316A7B">
          <w:rPr>
            <w:webHidden/>
          </w:rPr>
          <w:fldChar w:fldCharType="separate"/>
        </w:r>
        <w:r w:rsidR="004964E9">
          <w:rPr>
            <w:webHidden/>
          </w:rPr>
          <w:t>67</w:t>
        </w:r>
        <w:r w:rsidR="00316A7B">
          <w:rPr>
            <w:webHidden/>
          </w:rPr>
          <w:fldChar w:fldCharType="end"/>
        </w:r>
      </w:hyperlink>
    </w:p>
    <w:p w:rsidR="00316A7B" w:rsidRDefault="0066637D">
      <w:pPr>
        <w:pStyle w:val="TOC1"/>
        <w:tabs>
          <w:tab w:val="left" w:pos="1100"/>
          <w:tab w:val="right" w:leader="dot" w:pos="9730"/>
        </w:tabs>
        <w:rPr>
          <w:rFonts w:asciiTheme="minorHAnsi" w:eastAsiaTheme="minorEastAsia" w:hAnsiTheme="minorHAnsi" w:cstheme="minorBidi"/>
          <w:bCs w:val="0"/>
          <w:szCs w:val="22"/>
        </w:rPr>
      </w:pPr>
      <w:hyperlink w:anchor="_Toc2091563" w:history="1">
        <w:r w:rsidR="00316A7B" w:rsidRPr="005B0C59">
          <w:rPr>
            <w:rStyle w:val="Hyperlink"/>
          </w:rPr>
          <w:t>Annex C</w:t>
        </w:r>
        <w:r w:rsidR="00316A7B">
          <w:rPr>
            <w:rFonts w:asciiTheme="minorHAnsi" w:eastAsiaTheme="minorEastAsia" w:hAnsiTheme="minorHAnsi" w:cstheme="minorBidi"/>
            <w:bCs w:val="0"/>
            <w:szCs w:val="22"/>
          </w:rPr>
          <w:tab/>
        </w:r>
        <w:r w:rsidR="00316A7B" w:rsidRPr="005B0C59">
          <w:rPr>
            <w:rStyle w:val="Hyperlink"/>
          </w:rPr>
          <w:t>Strategic Review methodology</w:t>
        </w:r>
        <w:r w:rsidR="00316A7B">
          <w:rPr>
            <w:webHidden/>
          </w:rPr>
          <w:tab/>
        </w:r>
        <w:r w:rsidR="00316A7B">
          <w:rPr>
            <w:webHidden/>
          </w:rPr>
          <w:fldChar w:fldCharType="begin"/>
        </w:r>
        <w:r w:rsidR="00316A7B">
          <w:rPr>
            <w:webHidden/>
          </w:rPr>
          <w:instrText xml:space="preserve"> PAGEREF _Toc2091563 \h </w:instrText>
        </w:r>
        <w:r w:rsidR="00316A7B">
          <w:rPr>
            <w:webHidden/>
          </w:rPr>
        </w:r>
        <w:r w:rsidR="00316A7B">
          <w:rPr>
            <w:webHidden/>
          </w:rPr>
          <w:fldChar w:fldCharType="separate"/>
        </w:r>
        <w:r w:rsidR="004964E9">
          <w:rPr>
            <w:webHidden/>
          </w:rPr>
          <w:t>72</w:t>
        </w:r>
        <w:r w:rsidR="00316A7B">
          <w:rPr>
            <w:webHidden/>
          </w:rPr>
          <w:fldChar w:fldCharType="end"/>
        </w:r>
      </w:hyperlink>
    </w:p>
    <w:p w:rsidR="00316A7B" w:rsidRDefault="0066637D">
      <w:pPr>
        <w:pStyle w:val="TOC1"/>
        <w:tabs>
          <w:tab w:val="left" w:pos="1100"/>
          <w:tab w:val="right" w:leader="dot" w:pos="9730"/>
        </w:tabs>
        <w:rPr>
          <w:rFonts w:asciiTheme="minorHAnsi" w:eastAsiaTheme="minorEastAsia" w:hAnsiTheme="minorHAnsi" w:cstheme="minorBidi"/>
          <w:bCs w:val="0"/>
          <w:szCs w:val="22"/>
        </w:rPr>
      </w:pPr>
      <w:hyperlink w:anchor="_Toc2091564" w:history="1">
        <w:r w:rsidR="00316A7B" w:rsidRPr="005B0C59">
          <w:rPr>
            <w:rStyle w:val="Hyperlink"/>
          </w:rPr>
          <w:t>Annex D</w:t>
        </w:r>
        <w:r w:rsidR="00316A7B">
          <w:rPr>
            <w:rFonts w:asciiTheme="minorHAnsi" w:eastAsiaTheme="minorEastAsia" w:hAnsiTheme="minorHAnsi" w:cstheme="minorBidi"/>
            <w:bCs w:val="0"/>
            <w:szCs w:val="22"/>
          </w:rPr>
          <w:tab/>
        </w:r>
        <w:r w:rsidR="00316A7B" w:rsidRPr="005B0C59">
          <w:rPr>
            <w:rStyle w:val="Hyperlink"/>
          </w:rPr>
          <w:t>Precinct SBPP and PILAG progress assessment</w:t>
        </w:r>
        <w:r w:rsidR="00316A7B">
          <w:rPr>
            <w:webHidden/>
          </w:rPr>
          <w:tab/>
        </w:r>
        <w:r w:rsidR="00316A7B">
          <w:rPr>
            <w:webHidden/>
          </w:rPr>
          <w:fldChar w:fldCharType="begin"/>
        </w:r>
        <w:r w:rsidR="00316A7B">
          <w:rPr>
            <w:webHidden/>
          </w:rPr>
          <w:instrText xml:space="preserve"> PAGEREF _Toc2091564 \h </w:instrText>
        </w:r>
        <w:r w:rsidR="00316A7B">
          <w:rPr>
            <w:webHidden/>
          </w:rPr>
        </w:r>
        <w:r w:rsidR="00316A7B">
          <w:rPr>
            <w:webHidden/>
          </w:rPr>
          <w:fldChar w:fldCharType="separate"/>
        </w:r>
        <w:r w:rsidR="004964E9">
          <w:rPr>
            <w:webHidden/>
          </w:rPr>
          <w:t>75</w:t>
        </w:r>
        <w:r w:rsidR="00316A7B">
          <w:rPr>
            <w:webHidden/>
          </w:rPr>
          <w:fldChar w:fldCharType="end"/>
        </w:r>
      </w:hyperlink>
    </w:p>
    <w:p w:rsidR="00316A7B" w:rsidRDefault="0066637D">
      <w:pPr>
        <w:pStyle w:val="TOC1"/>
        <w:tabs>
          <w:tab w:val="left" w:pos="1100"/>
          <w:tab w:val="right" w:leader="dot" w:pos="9730"/>
        </w:tabs>
        <w:rPr>
          <w:rFonts w:asciiTheme="minorHAnsi" w:eastAsiaTheme="minorEastAsia" w:hAnsiTheme="minorHAnsi" w:cstheme="minorBidi"/>
          <w:bCs w:val="0"/>
          <w:szCs w:val="22"/>
        </w:rPr>
      </w:pPr>
      <w:hyperlink w:anchor="_Toc2091565" w:history="1">
        <w:r w:rsidR="00316A7B" w:rsidRPr="005B0C59">
          <w:rPr>
            <w:rStyle w:val="Hyperlink"/>
          </w:rPr>
          <w:t>Annex E</w:t>
        </w:r>
        <w:r w:rsidR="00316A7B">
          <w:rPr>
            <w:rFonts w:asciiTheme="minorHAnsi" w:eastAsiaTheme="minorEastAsia" w:hAnsiTheme="minorHAnsi" w:cstheme="minorBidi"/>
            <w:bCs w:val="0"/>
            <w:szCs w:val="22"/>
          </w:rPr>
          <w:tab/>
        </w:r>
        <w:r w:rsidR="00316A7B" w:rsidRPr="005B0C59">
          <w:rPr>
            <w:rStyle w:val="Hyperlink"/>
          </w:rPr>
          <w:t>Gender equity and social inclusion</w:t>
        </w:r>
        <w:r w:rsidR="00316A7B">
          <w:rPr>
            <w:webHidden/>
          </w:rPr>
          <w:tab/>
        </w:r>
        <w:r w:rsidR="00316A7B">
          <w:rPr>
            <w:webHidden/>
          </w:rPr>
          <w:fldChar w:fldCharType="begin"/>
        </w:r>
        <w:r w:rsidR="00316A7B">
          <w:rPr>
            <w:webHidden/>
          </w:rPr>
          <w:instrText xml:space="preserve"> PAGEREF _Toc2091565 \h </w:instrText>
        </w:r>
        <w:r w:rsidR="00316A7B">
          <w:rPr>
            <w:webHidden/>
          </w:rPr>
        </w:r>
        <w:r w:rsidR="00316A7B">
          <w:rPr>
            <w:webHidden/>
          </w:rPr>
          <w:fldChar w:fldCharType="separate"/>
        </w:r>
        <w:r w:rsidR="004964E9">
          <w:rPr>
            <w:webHidden/>
          </w:rPr>
          <w:t>81</w:t>
        </w:r>
        <w:r w:rsidR="00316A7B">
          <w:rPr>
            <w:webHidden/>
          </w:rPr>
          <w:fldChar w:fldCharType="end"/>
        </w:r>
      </w:hyperlink>
    </w:p>
    <w:p w:rsidR="007B18D2" w:rsidRPr="00091600" w:rsidRDefault="00316A7B" w:rsidP="005975B5">
      <w:pPr>
        <w:pStyle w:val="BodyText"/>
        <w:rPr>
          <w:lang w:val="en-AU"/>
        </w:rPr>
      </w:pPr>
      <w:r>
        <w:rPr>
          <w:b/>
          <w:noProof/>
          <w:szCs w:val="24"/>
          <w:lang w:val="en-AU"/>
        </w:rPr>
        <w:fldChar w:fldCharType="end"/>
      </w:r>
    </w:p>
    <w:p w:rsidR="00EF699F" w:rsidRPr="00091600" w:rsidRDefault="00EF699F" w:rsidP="005975B5">
      <w:pPr>
        <w:pStyle w:val="BodyText"/>
        <w:rPr>
          <w:i/>
          <w:lang w:val="en-AU"/>
        </w:rPr>
      </w:pPr>
    </w:p>
    <w:p w:rsidR="00CB6CEC" w:rsidRPr="00091600" w:rsidRDefault="00CB6CEC" w:rsidP="00931BFA">
      <w:pPr>
        <w:pStyle w:val="Heading1NONUM"/>
      </w:pPr>
      <w:bookmarkStart w:id="16" w:name="_Toc503428996"/>
      <w:bookmarkStart w:id="17" w:name="_Toc536719901"/>
      <w:bookmarkStart w:id="18" w:name="_Toc2091541"/>
      <w:r w:rsidRPr="00091600">
        <w:t>List of tables</w:t>
      </w:r>
      <w:r w:rsidR="00B43387">
        <w:rPr>
          <w:lang w:val="en-AU"/>
        </w:rPr>
        <w:t xml:space="preserve"> and </w:t>
      </w:r>
      <w:r w:rsidRPr="00931BFA">
        <w:t>figures</w:t>
      </w:r>
      <w:bookmarkEnd w:id="16"/>
      <w:bookmarkEnd w:id="17"/>
      <w:bookmarkEnd w:id="18"/>
    </w:p>
    <w:p w:rsidR="00FE4454" w:rsidRPr="001E3410" w:rsidRDefault="001B41CF">
      <w:pPr>
        <w:pStyle w:val="TableofFigures"/>
        <w:tabs>
          <w:tab w:val="left" w:pos="1100"/>
          <w:tab w:val="right" w:pos="9730"/>
        </w:tabs>
        <w:rPr>
          <w:rFonts w:eastAsiaTheme="minorEastAsia" w:cstheme="minorBidi"/>
          <w:noProof/>
          <w:sz w:val="20"/>
        </w:rPr>
      </w:pPr>
      <w:r w:rsidRPr="001E3410">
        <w:rPr>
          <w:sz w:val="20"/>
        </w:rPr>
        <w:fldChar w:fldCharType="begin"/>
      </w:r>
      <w:r w:rsidRPr="001E3410">
        <w:rPr>
          <w:sz w:val="20"/>
        </w:rPr>
        <w:instrText xml:space="preserve"> TOC \h \z \c "Table" </w:instrText>
      </w:r>
      <w:r w:rsidRPr="001E3410">
        <w:rPr>
          <w:sz w:val="20"/>
        </w:rPr>
        <w:fldChar w:fldCharType="separate"/>
      </w:r>
      <w:hyperlink w:anchor="_Toc1566598" w:history="1">
        <w:r w:rsidR="00FE4454" w:rsidRPr="001E3410">
          <w:rPr>
            <w:rStyle w:val="Hyperlink"/>
            <w:noProof/>
            <w:sz w:val="20"/>
            <w:lang w:val="en-AU"/>
          </w:rPr>
          <w:t>Table 1:</w:t>
        </w:r>
        <w:r w:rsidR="00FE4454" w:rsidRPr="001E3410">
          <w:rPr>
            <w:rFonts w:eastAsiaTheme="minorEastAsia" w:cstheme="minorBidi"/>
            <w:noProof/>
            <w:sz w:val="20"/>
          </w:rPr>
          <w:tab/>
        </w:r>
        <w:r w:rsidR="00FE4454" w:rsidRPr="001E3410">
          <w:rPr>
            <w:rStyle w:val="Hyperlink"/>
            <w:noProof/>
            <w:sz w:val="20"/>
            <w:lang w:val="en-AU"/>
          </w:rPr>
          <w:t>Summary of strengths-based assessment of Precinct pillars</w:t>
        </w:r>
        <w:r w:rsidR="00FE4454" w:rsidRPr="001E3410">
          <w:rPr>
            <w:noProof/>
            <w:webHidden/>
            <w:sz w:val="20"/>
          </w:rPr>
          <w:tab/>
        </w:r>
        <w:r w:rsidR="00FE4454" w:rsidRPr="001E3410">
          <w:rPr>
            <w:noProof/>
            <w:webHidden/>
            <w:sz w:val="20"/>
          </w:rPr>
          <w:fldChar w:fldCharType="begin"/>
        </w:r>
        <w:r w:rsidR="00FE4454" w:rsidRPr="001E3410">
          <w:rPr>
            <w:noProof/>
            <w:webHidden/>
            <w:sz w:val="20"/>
          </w:rPr>
          <w:instrText xml:space="preserve"> PAGEREF _Toc1566598 \h </w:instrText>
        </w:r>
        <w:r w:rsidR="00FE4454" w:rsidRPr="001E3410">
          <w:rPr>
            <w:noProof/>
            <w:webHidden/>
            <w:sz w:val="20"/>
          </w:rPr>
        </w:r>
        <w:r w:rsidR="00FE4454" w:rsidRPr="001E3410">
          <w:rPr>
            <w:noProof/>
            <w:webHidden/>
            <w:sz w:val="20"/>
          </w:rPr>
          <w:fldChar w:fldCharType="separate"/>
        </w:r>
        <w:r w:rsidR="004964E9">
          <w:rPr>
            <w:noProof/>
            <w:webHidden/>
            <w:sz w:val="20"/>
          </w:rPr>
          <w:t>4</w:t>
        </w:r>
        <w:r w:rsidR="00FE4454" w:rsidRPr="001E3410">
          <w:rPr>
            <w:noProof/>
            <w:webHidden/>
            <w:sz w:val="20"/>
          </w:rPr>
          <w:fldChar w:fldCharType="end"/>
        </w:r>
      </w:hyperlink>
    </w:p>
    <w:p w:rsidR="00FE4454" w:rsidRPr="001E3410" w:rsidRDefault="0066637D">
      <w:pPr>
        <w:pStyle w:val="TableofFigures"/>
        <w:tabs>
          <w:tab w:val="left" w:pos="1100"/>
          <w:tab w:val="right" w:pos="9730"/>
        </w:tabs>
        <w:rPr>
          <w:rFonts w:eastAsiaTheme="minorEastAsia" w:cstheme="minorBidi"/>
          <w:noProof/>
          <w:sz w:val="20"/>
        </w:rPr>
      </w:pPr>
      <w:hyperlink w:anchor="_Toc1566599" w:history="1">
        <w:r w:rsidR="00FE4454" w:rsidRPr="001E3410">
          <w:rPr>
            <w:rStyle w:val="Hyperlink"/>
            <w:noProof/>
            <w:sz w:val="20"/>
            <w:lang w:val="en-AU"/>
          </w:rPr>
          <w:t>Table 2:</w:t>
        </w:r>
        <w:r w:rsidR="00FE4454" w:rsidRPr="001E3410">
          <w:rPr>
            <w:rFonts w:eastAsiaTheme="minorEastAsia" w:cstheme="minorBidi"/>
            <w:noProof/>
            <w:sz w:val="20"/>
          </w:rPr>
          <w:tab/>
        </w:r>
        <w:r w:rsidR="00FE4454" w:rsidRPr="001E3410">
          <w:rPr>
            <w:rStyle w:val="Hyperlink"/>
            <w:noProof/>
            <w:sz w:val="20"/>
            <w:lang w:val="en-AU"/>
          </w:rPr>
          <w:t xml:space="preserve">Summary of recommendations </w:t>
        </w:r>
        <w:r w:rsidR="00FE4454" w:rsidRPr="001E3410">
          <w:rPr>
            <w:noProof/>
            <w:webHidden/>
            <w:sz w:val="20"/>
          </w:rPr>
          <w:tab/>
        </w:r>
        <w:r w:rsidR="00FE4454" w:rsidRPr="001E3410">
          <w:rPr>
            <w:noProof/>
            <w:webHidden/>
            <w:sz w:val="20"/>
          </w:rPr>
          <w:fldChar w:fldCharType="begin"/>
        </w:r>
        <w:r w:rsidR="00FE4454" w:rsidRPr="001E3410">
          <w:rPr>
            <w:noProof/>
            <w:webHidden/>
            <w:sz w:val="20"/>
          </w:rPr>
          <w:instrText xml:space="preserve"> PAGEREF _Toc1566599 \h </w:instrText>
        </w:r>
        <w:r w:rsidR="00FE4454" w:rsidRPr="001E3410">
          <w:rPr>
            <w:noProof/>
            <w:webHidden/>
            <w:sz w:val="20"/>
          </w:rPr>
        </w:r>
        <w:r w:rsidR="00FE4454" w:rsidRPr="001E3410">
          <w:rPr>
            <w:noProof/>
            <w:webHidden/>
            <w:sz w:val="20"/>
          </w:rPr>
          <w:fldChar w:fldCharType="separate"/>
        </w:r>
        <w:r w:rsidR="004964E9">
          <w:rPr>
            <w:noProof/>
            <w:webHidden/>
            <w:sz w:val="20"/>
          </w:rPr>
          <w:t>7</w:t>
        </w:r>
        <w:r w:rsidR="00FE4454" w:rsidRPr="001E3410">
          <w:rPr>
            <w:noProof/>
            <w:webHidden/>
            <w:sz w:val="20"/>
          </w:rPr>
          <w:fldChar w:fldCharType="end"/>
        </w:r>
      </w:hyperlink>
    </w:p>
    <w:p w:rsidR="00FE4454" w:rsidRPr="001E3410" w:rsidRDefault="0066637D">
      <w:pPr>
        <w:pStyle w:val="TableofFigures"/>
        <w:tabs>
          <w:tab w:val="left" w:pos="1100"/>
          <w:tab w:val="right" w:pos="9730"/>
        </w:tabs>
        <w:rPr>
          <w:rFonts w:eastAsiaTheme="minorEastAsia" w:cstheme="minorBidi"/>
          <w:noProof/>
          <w:sz w:val="20"/>
        </w:rPr>
      </w:pPr>
      <w:hyperlink w:anchor="_Toc1566600" w:history="1">
        <w:r w:rsidR="00FE4454" w:rsidRPr="001E3410">
          <w:rPr>
            <w:rStyle w:val="Hyperlink"/>
            <w:noProof/>
            <w:sz w:val="20"/>
          </w:rPr>
          <w:t>Table 3:</w:t>
        </w:r>
        <w:r w:rsidR="00FE4454" w:rsidRPr="001E3410">
          <w:rPr>
            <w:rFonts w:eastAsiaTheme="minorEastAsia" w:cstheme="minorBidi"/>
            <w:noProof/>
            <w:sz w:val="20"/>
          </w:rPr>
          <w:tab/>
        </w:r>
        <w:r w:rsidR="00FE4454" w:rsidRPr="001E3410">
          <w:rPr>
            <w:rStyle w:val="Hyperlink"/>
            <w:noProof/>
            <w:sz w:val="20"/>
          </w:rPr>
          <w:t>Precinct program delivery (as of July 2018)</w:t>
        </w:r>
        <w:r w:rsidR="00FE4454" w:rsidRPr="001E3410">
          <w:rPr>
            <w:noProof/>
            <w:webHidden/>
            <w:sz w:val="20"/>
          </w:rPr>
          <w:tab/>
        </w:r>
        <w:r w:rsidR="00FE4454" w:rsidRPr="001E3410">
          <w:rPr>
            <w:noProof/>
            <w:webHidden/>
            <w:sz w:val="20"/>
          </w:rPr>
          <w:fldChar w:fldCharType="begin"/>
        </w:r>
        <w:r w:rsidR="00FE4454" w:rsidRPr="001E3410">
          <w:rPr>
            <w:noProof/>
            <w:webHidden/>
            <w:sz w:val="20"/>
          </w:rPr>
          <w:instrText xml:space="preserve"> PAGEREF _Toc1566600 \h </w:instrText>
        </w:r>
        <w:r w:rsidR="00FE4454" w:rsidRPr="001E3410">
          <w:rPr>
            <w:noProof/>
            <w:webHidden/>
            <w:sz w:val="20"/>
          </w:rPr>
        </w:r>
        <w:r w:rsidR="00FE4454" w:rsidRPr="001E3410">
          <w:rPr>
            <w:noProof/>
            <w:webHidden/>
            <w:sz w:val="20"/>
          </w:rPr>
          <w:fldChar w:fldCharType="separate"/>
        </w:r>
        <w:r w:rsidR="004964E9">
          <w:rPr>
            <w:noProof/>
            <w:webHidden/>
            <w:sz w:val="20"/>
          </w:rPr>
          <w:t>18</w:t>
        </w:r>
        <w:r w:rsidR="00FE4454" w:rsidRPr="001E3410">
          <w:rPr>
            <w:noProof/>
            <w:webHidden/>
            <w:sz w:val="20"/>
          </w:rPr>
          <w:fldChar w:fldCharType="end"/>
        </w:r>
      </w:hyperlink>
    </w:p>
    <w:p w:rsidR="00FE4454" w:rsidRPr="001E3410" w:rsidRDefault="0066637D">
      <w:pPr>
        <w:pStyle w:val="TableofFigures"/>
        <w:tabs>
          <w:tab w:val="left" w:pos="1100"/>
          <w:tab w:val="right" w:pos="9730"/>
        </w:tabs>
        <w:rPr>
          <w:rFonts w:eastAsiaTheme="minorEastAsia" w:cstheme="minorBidi"/>
          <w:noProof/>
          <w:sz w:val="20"/>
        </w:rPr>
      </w:pPr>
      <w:hyperlink w:anchor="_Toc1566601" w:history="1">
        <w:r w:rsidR="00FE4454" w:rsidRPr="001E3410">
          <w:rPr>
            <w:rStyle w:val="Hyperlink"/>
            <w:noProof/>
            <w:sz w:val="20"/>
            <w:lang w:val="en-AU"/>
          </w:rPr>
          <w:t>Table 4:</w:t>
        </w:r>
        <w:r w:rsidR="00FE4454" w:rsidRPr="001E3410">
          <w:rPr>
            <w:rFonts w:eastAsiaTheme="minorEastAsia" w:cstheme="minorBidi"/>
            <w:noProof/>
            <w:sz w:val="20"/>
          </w:rPr>
          <w:tab/>
        </w:r>
        <w:r w:rsidR="00FE4454" w:rsidRPr="001E3410">
          <w:rPr>
            <w:rStyle w:val="Hyperlink"/>
            <w:noProof/>
            <w:sz w:val="20"/>
            <w:lang w:val="en-AU"/>
          </w:rPr>
          <w:t>Summary of the review recommendations (repeated from Executive Summary)</w:t>
        </w:r>
        <w:r w:rsidR="00FE4454" w:rsidRPr="001E3410">
          <w:rPr>
            <w:noProof/>
            <w:webHidden/>
            <w:sz w:val="20"/>
          </w:rPr>
          <w:tab/>
        </w:r>
        <w:r w:rsidR="00FE4454" w:rsidRPr="001E3410">
          <w:rPr>
            <w:noProof/>
            <w:webHidden/>
            <w:sz w:val="20"/>
          </w:rPr>
          <w:fldChar w:fldCharType="begin"/>
        </w:r>
        <w:r w:rsidR="00FE4454" w:rsidRPr="001E3410">
          <w:rPr>
            <w:noProof/>
            <w:webHidden/>
            <w:sz w:val="20"/>
          </w:rPr>
          <w:instrText xml:space="preserve"> PAGEREF _Toc1566601 \h </w:instrText>
        </w:r>
        <w:r w:rsidR="00FE4454" w:rsidRPr="001E3410">
          <w:rPr>
            <w:noProof/>
            <w:webHidden/>
            <w:sz w:val="20"/>
          </w:rPr>
        </w:r>
        <w:r w:rsidR="00FE4454" w:rsidRPr="001E3410">
          <w:rPr>
            <w:noProof/>
            <w:webHidden/>
            <w:sz w:val="20"/>
          </w:rPr>
          <w:fldChar w:fldCharType="separate"/>
        </w:r>
        <w:r w:rsidR="004964E9">
          <w:rPr>
            <w:noProof/>
            <w:webHidden/>
            <w:sz w:val="20"/>
          </w:rPr>
          <w:t>58</w:t>
        </w:r>
        <w:r w:rsidR="00FE4454" w:rsidRPr="001E3410">
          <w:rPr>
            <w:noProof/>
            <w:webHidden/>
            <w:sz w:val="20"/>
          </w:rPr>
          <w:fldChar w:fldCharType="end"/>
        </w:r>
      </w:hyperlink>
    </w:p>
    <w:p w:rsidR="001B41CF" w:rsidRPr="001E3410" w:rsidRDefault="001B41CF" w:rsidP="00C159F6">
      <w:pPr>
        <w:pStyle w:val="BodyText"/>
        <w:tabs>
          <w:tab w:val="left" w:pos="1134"/>
          <w:tab w:val="left" w:pos="9356"/>
          <w:tab w:val="left" w:pos="9498"/>
        </w:tabs>
        <w:rPr>
          <w:sz w:val="20"/>
        </w:rPr>
      </w:pPr>
      <w:r w:rsidRPr="001E3410">
        <w:rPr>
          <w:sz w:val="20"/>
        </w:rPr>
        <w:fldChar w:fldCharType="end"/>
      </w:r>
    </w:p>
    <w:p w:rsidR="00773407" w:rsidRPr="001E3410" w:rsidRDefault="00B466D1">
      <w:pPr>
        <w:pStyle w:val="TableofFigures"/>
        <w:tabs>
          <w:tab w:val="left" w:pos="1100"/>
          <w:tab w:val="right" w:pos="9730"/>
        </w:tabs>
        <w:rPr>
          <w:rFonts w:asciiTheme="minorHAnsi" w:eastAsiaTheme="minorEastAsia" w:hAnsiTheme="minorHAnsi" w:cstheme="minorBidi"/>
          <w:noProof/>
          <w:sz w:val="20"/>
        </w:rPr>
      </w:pPr>
      <w:r w:rsidRPr="001E3410">
        <w:rPr>
          <w:sz w:val="20"/>
        </w:rPr>
        <w:fldChar w:fldCharType="begin"/>
      </w:r>
      <w:r w:rsidRPr="001E3410">
        <w:rPr>
          <w:sz w:val="20"/>
        </w:rPr>
        <w:instrText xml:space="preserve"> TOC \h \z \c "Figure" </w:instrText>
      </w:r>
      <w:r w:rsidRPr="001E3410">
        <w:rPr>
          <w:sz w:val="20"/>
        </w:rPr>
        <w:fldChar w:fldCharType="separate"/>
      </w:r>
      <w:hyperlink w:anchor="_Toc2089245" w:history="1">
        <w:r w:rsidR="00773407" w:rsidRPr="001E3410">
          <w:rPr>
            <w:rStyle w:val="Hyperlink"/>
            <w:noProof/>
            <w:sz w:val="20"/>
          </w:rPr>
          <w:t>Figure 1:</w:t>
        </w:r>
        <w:r w:rsidR="00773407" w:rsidRPr="001E3410">
          <w:rPr>
            <w:rFonts w:asciiTheme="minorHAnsi" w:eastAsiaTheme="minorEastAsia" w:hAnsiTheme="minorHAnsi" w:cstheme="minorBidi"/>
            <w:noProof/>
            <w:sz w:val="20"/>
          </w:rPr>
          <w:tab/>
        </w:r>
        <w:r w:rsidR="00773407" w:rsidRPr="001E3410">
          <w:rPr>
            <w:rStyle w:val="Hyperlink"/>
            <w:noProof/>
            <w:sz w:val="20"/>
          </w:rPr>
          <w:t>Precinct program logic</w:t>
        </w:r>
        <w:r w:rsidR="00773407" w:rsidRPr="001E3410">
          <w:rPr>
            <w:noProof/>
            <w:webHidden/>
            <w:sz w:val="20"/>
          </w:rPr>
          <w:tab/>
        </w:r>
        <w:r w:rsidR="00773407" w:rsidRPr="001E3410">
          <w:rPr>
            <w:noProof/>
            <w:webHidden/>
            <w:sz w:val="20"/>
          </w:rPr>
          <w:fldChar w:fldCharType="begin"/>
        </w:r>
        <w:r w:rsidR="00773407" w:rsidRPr="001E3410">
          <w:rPr>
            <w:noProof/>
            <w:webHidden/>
            <w:sz w:val="20"/>
          </w:rPr>
          <w:instrText xml:space="preserve"> PAGEREF _Toc2089245 \h </w:instrText>
        </w:r>
        <w:r w:rsidR="00773407" w:rsidRPr="001E3410">
          <w:rPr>
            <w:noProof/>
            <w:webHidden/>
            <w:sz w:val="20"/>
          </w:rPr>
        </w:r>
        <w:r w:rsidR="00773407" w:rsidRPr="001E3410">
          <w:rPr>
            <w:noProof/>
            <w:webHidden/>
            <w:sz w:val="20"/>
          </w:rPr>
          <w:fldChar w:fldCharType="separate"/>
        </w:r>
        <w:r w:rsidR="004964E9">
          <w:rPr>
            <w:noProof/>
            <w:webHidden/>
            <w:sz w:val="20"/>
          </w:rPr>
          <w:t>17</w:t>
        </w:r>
        <w:r w:rsidR="00773407" w:rsidRPr="001E3410">
          <w:rPr>
            <w:noProof/>
            <w:webHidden/>
            <w:sz w:val="20"/>
          </w:rPr>
          <w:fldChar w:fldCharType="end"/>
        </w:r>
      </w:hyperlink>
    </w:p>
    <w:p w:rsidR="00773407" w:rsidRPr="001E3410" w:rsidRDefault="0066637D">
      <w:pPr>
        <w:pStyle w:val="TableofFigures"/>
        <w:tabs>
          <w:tab w:val="left" w:pos="1100"/>
          <w:tab w:val="right" w:pos="9730"/>
        </w:tabs>
        <w:rPr>
          <w:rFonts w:asciiTheme="minorHAnsi" w:eastAsiaTheme="minorEastAsia" w:hAnsiTheme="minorHAnsi" w:cstheme="minorBidi"/>
          <w:noProof/>
          <w:sz w:val="20"/>
        </w:rPr>
      </w:pPr>
      <w:hyperlink r:id="rId14" w:anchor="_Toc2089246" w:history="1">
        <w:r w:rsidR="00773407" w:rsidRPr="001E3410">
          <w:rPr>
            <w:rStyle w:val="Hyperlink"/>
            <w:noProof/>
            <w:sz w:val="20"/>
          </w:rPr>
          <w:t>Figure 2:</w:t>
        </w:r>
        <w:r w:rsidR="00773407" w:rsidRPr="001E3410">
          <w:rPr>
            <w:rFonts w:asciiTheme="minorHAnsi" w:eastAsiaTheme="minorEastAsia" w:hAnsiTheme="minorHAnsi" w:cstheme="minorBidi"/>
            <w:noProof/>
            <w:sz w:val="20"/>
          </w:rPr>
          <w:tab/>
        </w:r>
        <w:r w:rsidR="00773407" w:rsidRPr="001E3410">
          <w:rPr>
            <w:rStyle w:val="Hyperlink"/>
            <w:noProof/>
            <w:sz w:val="20"/>
          </w:rPr>
          <w:t>Distribution of Precinct vocational courses participants (2015 to May 2018)</w:t>
        </w:r>
        <w:r w:rsidR="00773407" w:rsidRPr="001E3410">
          <w:rPr>
            <w:noProof/>
            <w:webHidden/>
            <w:sz w:val="20"/>
          </w:rPr>
          <w:tab/>
        </w:r>
        <w:r w:rsidR="00773407" w:rsidRPr="001E3410">
          <w:rPr>
            <w:noProof/>
            <w:webHidden/>
            <w:sz w:val="20"/>
          </w:rPr>
          <w:fldChar w:fldCharType="begin"/>
        </w:r>
        <w:r w:rsidR="00773407" w:rsidRPr="001E3410">
          <w:rPr>
            <w:noProof/>
            <w:webHidden/>
            <w:sz w:val="20"/>
          </w:rPr>
          <w:instrText xml:space="preserve"> PAGEREF _Toc2089246 \h </w:instrText>
        </w:r>
        <w:r w:rsidR="00773407" w:rsidRPr="001E3410">
          <w:rPr>
            <w:noProof/>
            <w:webHidden/>
            <w:sz w:val="20"/>
          </w:rPr>
        </w:r>
        <w:r w:rsidR="00773407" w:rsidRPr="001E3410">
          <w:rPr>
            <w:noProof/>
            <w:webHidden/>
            <w:sz w:val="20"/>
          </w:rPr>
          <w:fldChar w:fldCharType="separate"/>
        </w:r>
        <w:r w:rsidR="004964E9">
          <w:rPr>
            <w:noProof/>
            <w:webHidden/>
            <w:sz w:val="20"/>
          </w:rPr>
          <w:t>29</w:t>
        </w:r>
        <w:r w:rsidR="00773407" w:rsidRPr="001E3410">
          <w:rPr>
            <w:noProof/>
            <w:webHidden/>
            <w:sz w:val="20"/>
          </w:rPr>
          <w:fldChar w:fldCharType="end"/>
        </w:r>
      </w:hyperlink>
    </w:p>
    <w:p w:rsidR="00773407" w:rsidRPr="001E3410" w:rsidRDefault="0066637D">
      <w:pPr>
        <w:pStyle w:val="TableofFigures"/>
        <w:tabs>
          <w:tab w:val="left" w:pos="1100"/>
          <w:tab w:val="right" w:pos="9730"/>
        </w:tabs>
        <w:rPr>
          <w:rFonts w:asciiTheme="minorHAnsi" w:eastAsiaTheme="minorEastAsia" w:hAnsiTheme="minorHAnsi" w:cstheme="minorBidi"/>
          <w:noProof/>
          <w:sz w:val="20"/>
        </w:rPr>
      </w:pPr>
      <w:hyperlink r:id="rId15" w:anchor="_Toc2089247" w:history="1">
        <w:r w:rsidR="00773407" w:rsidRPr="001E3410">
          <w:rPr>
            <w:rStyle w:val="Hyperlink"/>
            <w:noProof/>
            <w:sz w:val="20"/>
          </w:rPr>
          <w:t>Figure 3:</w:t>
        </w:r>
        <w:r w:rsidR="00773407" w:rsidRPr="001E3410">
          <w:rPr>
            <w:rFonts w:asciiTheme="minorHAnsi" w:eastAsiaTheme="minorEastAsia" w:hAnsiTheme="minorHAnsi" w:cstheme="minorBidi"/>
            <w:noProof/>
            <w:sz w:val="20"/>
          </w:rPr>
          <w:tab/>
        </w:r>
        <w:r w:rsidR="00773407" w:rsidRPr="001E3410">
          <w:rPr>
            <w:rStyle w:val="Hyperlink"/>
            <w:noProof/>
            <w:sz w:val="20"/>
          </w:rPr>
          <w:t>Distribution of course participants by Precinct providers (2015 to May 2018)</w:t>
        </w:r>
        <w:r w:rsidR="00773407" w:rsidRPr="001E3410">
          <w:rPr>
            <w:noProof/>
            <w:webHidden/>
            <w:sz w:val="20"/>
          </w:rPr>
          <w:tab/>
        </w:r>
        <w:r w:rsidR="00773407" w:rsidRPr="001E3410">
          <w:rPr>
            <w:noProof/>
            <w:webHidden/>
            <w:sz w:val="20"/>
          </w:rPr>
          <w:fldChar w:fldCharType="begin"/>
        </w:r>
        <w:r w:rsidR="00773407" w:rsidRPr="001E3410">
          <w:rPr>
            <w:noProof/>
            <w:webHidden/>
            <w:sz w:val="20"/>
          </w:rPr>
          <w:instrText xml:space="preserve"> PAGEREF _Toc2089247 \h </w:instrText>
        </w:r>
        <w:r w:rsidR="00773407" w:rsidRPr="001E3410">
          <w:rPr>
            <w:noProof/>
            <w:webHidden/>
            <w:sz w:val="20"/>
          </w:rPr>
        </w:r>
        <w:r w:rsidR="00773407" w:rsidRPr="001E3410">
          <w:rPr>
            <w:noProof/>
            <w:webHidden/>
            <w:sz w:val="20"/>
          </w:rPr>
          <w:fldChar w:fldCharType="separate"/>
        </w:r>
        <w:r w:rsidR="004964E9">
          <w:rPr>
            <w:noProof/>
            <w:webHidden/>
            <w:sz w:val="20"/>
          </w:rPr>
          <w:t>29</w:t>
        </w:r>
        <w:r w:rsidR="00773407" w:rsidRPr="001E3410">
          <w:rPr>
            <w:noProof/>
            <w:webHidden/>
            <w:sz w:val="20"/>
          </w:rPr>
          <w:fldChar w:fldCharType="end"/>
        </w:r>
      </w:hyperlink>
    </w:p>
    <w:p w:rsidR="00773407" w:rsidRPr="001E3410" w:rsidRDefault="0066637D">
      <w:pPr>
        <w:pStyle w:val="TableofFigures"/>
        <w:tabs>
          <w:tab w:val="left" w:pos="1100"/>
          <w:tab w:val="right" w:pos="9730"/>
        </w:tabs>
        <w:rPr>
          <w:rFonts w:asciiTheme="minorHAnsi" w:eastAsiaTheme="minorEastAsia" w:hAnsiTheme="minorHAnsi" w:cstheme="minorBidi"/>
          <w:noProof/>
          <w:sz w:val="20"/>
        </w:rPr>
      </w:pPr>
      <w:hyperlink w:anchor="_Toc2089248" w:history="1">
        <w:r w:rsidR="00773407" w:rsidRPr="001E3410">
          <w:rPr>
            <w:rStyle w:val="Hyperlink"/>
            <w:noProof/>
            <w:sz w:val="20"/>
            <w:lang w:val="en-AU"/>
          </w:rPr>
          <w:t xml:space="preserve">Figure 4: </w:t>
        </w:r>
        <w:r w:rsidR="00773407" w:rsidRPr="001E3410">
          <w:rPr>
            <w:rFonts w:asciiTheme="minorHAnsi" w:eastAsiaTheme="minorEastAsia" w:hAnsiTheme="minorHAnsi" w:cstheme="minorBidi"/>
            <w:noProof/>
            <w:sz w:val="20"/>
          </w:rPr>
          <w:tab/>
        </w:r>
        <w:r w:rsidR="00773407" w:rsidRPr="001E3410">
          <w:rPr>
            <w:rStyle w:val="Hyperlink"/>
            <w:noProof/>
            <w:sz w:val="20"/>
            <w:lang w:val="en-AU"/>
          </w:rPr>
          <w:t>Participants per job title by level of government</w:t>
        </w:r>
        <w:r w:rsidR="00773407" w:rsidRPr="001E3410">
          <w:rPr>
            <w:noProof/>
            <w:webHidden/>
            <w:sz w:val="20"/>
          </w:rPr>
          <w:tab/>
        </w:r>
        <w:r w:rsidR="00773407" w:rsidRPr="001E3410">
          <w:rPr>
            <w:noProof/>
            <w:webHidden/>
            <w:sz w:val="20"/>
          </w:rPr>
          <w:fldChar w:fldCharType="begin"/>
        </w:r>
        <w:r w:rsidR="00773407" w:rsidRPr="001E3410">
          <w:rPr>
            <w:noProof/>
            <w:webHidden/>
            <w:sz w:val="20"/>
          </w:rPr>
          <w:instrText xml:space="preserve"> PAGEREF _Toc2089248 \h </w:instrText>
        </w:r>
        <w:r w:rsidR="00773407" w:rsidRPr="001E3410">
          <w:rPr>
            <w:noProof/>
            <w:webHidden/>
            <w:sz w:val="20"/>
          </w:rPr>
        </w:r>
        <w:r w:rsidR="00773407" w:rsidRPr="001E3410">
          <w:rPr>
            <w:noProof/>
            <w:webHidden/>
            <w:sz w:val="20"/>
          </w:rPr>
          <w:fldChar w:fldCharType="separate"/>
        </w:r>
        <w:r w:rsidR="004964E9">
          <w:rPr>
            <w:noProof/>
            <w:webHidden/>
            <w:sz w:val="20"/>
          </w:rPr>
          <w:t>29</w:t>
        </w:r>
        <w:r w:rsidR="00773407" w:rsidRPr="001E3410">
          <w:rPr>
            <w:noProof/>
            <w:webHidden/>
            <w:sz w:val="20"/>
          </w:rPr>
          <w:fldChar w:fldCharType="end"/>
        </w:r>
      </w:hyperlink>
    </w:p>
    <w:p w:rsidR="00773407" w:rsidRPr="001E3410" w:rsidRDefault="0066637D">
      <w:pPr>
        <w:pStyle w:val="TableofFigures"/>
        <w:tabs>
          <w:tab w:val="left" w:pos="1100"/>
          <w:tab w:val="right" w:pos="9730"/>
        </w:tabs>
        <w:rPr>
          <w:rFonts w:asciiTheme="minorHAnsi" w:eastAsiaTheme="minorEastAsia" w:hAnsiTheme="minorHAnsi" w:cstheme="minorBidi"/>
          <w:noProof/>
          <w:sz w:val="20"/>
        </w:rPr>
      </w:pPr>
      <w:hyperlink r:id="rId16" w:anchor="_Toc2089249" w:history="1">
        <w:r w:rsidR="00773407" w:rsidRPr="001E3410">
          <w:rPr>
            <w:rStyle w:val="Hyperlink"/>
            <w:noProof/>
            <w:sz w:val="20"/>
          </w:rPr>
          <w:t>Figure 5:</w:t>
        </w:r>
        <w:r w:rsidR="00773407" w:rsidRPr="001E3410">
          <w:rPr>
            <w:rFonts w:asciiTheme="minorHAnsi" w:eastAsiaTheme="minorEastAsia" w:hAnsiTheme="minorHAnsi" w:cstheme="minorBidi"/>
            <w:noProof/>
            <w:sz w:val="20"/>
          </w:rPr>
          <w:tab/>
        </w:r>
        <w:r w:rsidR="00773407" w:rsidRPr="001E3410">
          <w:rPr>
            <w:rStyle w:val="Hyperlink"/>
            <w:noProof/>
            <w:sz w:val="20"/>
          </w:rPr>
          <w:t>Percentage of public sector participants by level of government</w:t>
        </w:r>
        <w:r w:rsidR="00773407" w:rsidRPr="001E3410">
          <w:rPr>
            <w:noProof/>
            <w:webHidden/>
            <w:sz w:val="20"/>
          </w:rPr>
          <w:tab/>
        </w:r>
        <w:r w:rsidR="00773407" w:rsidRPr="001E3410">
          <w:rPr>
            <w:noProof/>
            <w:webHidden/>
            <w:sz w:val="20"/>
          </w:rPr>
          <w:fldChar w:fldCharType="begin"/>
        </w:r>
        <w:r w:rsidR="00773407" w:rsidRPr="001E3410">
          <w:rPr>
            <w:noProof/>
            <w:webHidden/>
            <w:sz w:val="20"/>
          </w:rPr>
          <w:instrText xml:space="preserve"> PAGEREF _Toc2089249 \h </w:instrText>
        </w:r>
        <w:r w:rsidR="00773407" w:rsidRPr="001E3410">
          <w:rPr>
            <w:noProof/>
            <w:webHidden/>
            <w:sz w:val="20"/>
          </w:rPr>
        </w:r>
        <w:r w:rsidR="00773407" w:rsidRPr="001E3410">
          <w:rPr>
            <w:noProof/>
            <w:webHidden/>
            <w:sz w:val="20"/>
          </w:rPr>
          <w:fldChar w:fldCharType="separate"/>
        </w:r>
        <w:r w:rsidR="004964E9">
          <w:rPr>
            <w:noProof/>
            <w:webHidden/>
            <w:sz w:val="20"/>
          </w:rPr>
          <w:t>30</w:t>
        </w:r>
        <w:r w:rsidR="00773407" w:rsidRPr="001E3410">
          <w:rPr>
            <w:noProof/>
            <w:webHidden/>
            <w:sz w:val="20"/>
          </w:rPr>
          <w:fldChar w:fldCharType="end"/>
        </w:r>
      </w:hyperlink>
    </w:p>
    <w:p w:rsidR="00773407" w:rsidRPr="001E3410" w:rsidRDefault="0066637D">
      <w:pPr>
        <w:pStyle w:val="TableofFigures"/>
        <w:tabs>
          <w:tab w:val="left" w:pos="1100"/>
          <w:tab w:val="right" w:pos="9730"/>
        </w:tabs>
        <w:rPr>
          <w:rFonts w:asciiTheme="minorHAnsi" w:eastAsiaTheme="minorEastAsia" w:hAnsiTheme="minorHAnsi" w:cstheme="minorBidi"/>
          <w:noProof/>
          <w:sz w:val="20"/>
        </w:rPr>
      </w:pPr>
      <w:hyperlink w:anchor="_Toc2089250" w:history="1">
        <w:r w:rsidR="00773407" w:rsidRPr="001E3410">
          <w:rPr>
            <w:rStyle w:val="Hyperlink"/>
            <w:noProof/>
            <w:sz w:val="20"/>
            <w:lang w:val="en-AU"/>
          </w:rPr>
          <w:t xml:space="preserve">Figure 6: </w:t>
        </w:r>
        <w:r w:rsidR="00773407" w:rsidRPr="001E3410">
          <w:rPr>
            <w:rFonts w:asciiTheme="minorHAnsi" w:eastAsiaTheme="minorEastAsia" w:hAnsiTheme="minorHAnsi" w:cstheme="minorBidi"/>
            <w:noProof/>
            <w:sz w:val="20"/>
          </w:rPr>
          <w:tab/>
        </w:r>
        <w:r w:rsidR="00773407" w:rsidRPr="001E3410">
          <w:rPr>
            <w:rStyle w:val="Hyperlink"/>
            <w:noProof/>
            <w:sz w:val="20"/>
            <w:lang w:val="en-AU"/>
          </w:rPr>
          <w:t>Participants per level of government (2015 to May 2018)</w:t>
        </w:r>
        <w:r w:rsidR="00773407" w:rsidRPr="001E3410">
          <w:rPr>
            <w:noProof/>
            <w:webHidden/>
            <w:sz w:val="20"/>
          </w:rPr>
          <w:tab/>
        </w:r>
        <w:r w:rsidR="00773407" w:rsidRPr="001E3410">
          <w:rPr>
            <w:noProof/>
            <w:webHidden/>
            <w:sz w:val="20"/>
          </w:rPr>
          <w:fldChar w:fldCharType="begin"/>
        </w:r>
        <w:r w:rsidR="00773407" w:rsidRPr="001E3410">
          <w:rPr>
            <w:noProof/>
            <w:webHidden/>
            <w:sz w:val="20"/>
          </w:rPr>
          <w:instrText xml:space="preserve"> PAGEREF _Toc2089250 \h </w:instrText>
        </w:r>
        <w:r w:rsidR="00773407" w:rsidRPr="001E3410">
          <w:rPr>
            <w:noProof/>
            <w:webHidden/>
            <w:sz w:val="20"/>
          </w:rPr>
        </w:r>
        <w:r w:rsidR="00773407" w:rsidRPr="001E3410">
          <w:rPr>
            <w:noProof/>
            <w:webHidden/>
            <w:sz w:val="20"/>
          </w:rPr>
          <w:fldChar w:fldCharType="separate"/>
        </w:r>
        <w:r w:rsidR="004964E9">
          <w:rPr>
            <w:noProof/>
            <w:webHidden/>
            <w:sz w:val="20"/>
          </w:rPr>
          <w:t>30</w:t>
        </w:r>
        <w:r w:rsidR="00773407" w:rsidRPr="001E3410">
          <w:rPr>
            <w:noProof/>
            <w:webHidden/>
            <w:sz w:val="20"/>
          </w:rPr>
          <w:fldChar w:fldCharType="end"/>
        </w:r>
      </w:hyperlink>
    </w:p>
    <w:p w:rsidR="00773407" w:rsidRPr="001E3410" w:rsidRDefault="0066637D">
      <w:pPr>
        <w:pStyle w:val="TableofFigures"/>
        <w:tabs>
          <w:tab w:val="right" w:pos="9730"/>
        </w:tabs>
        <w:rPr>
          <w:rFonts w:asciiTheme="minorHAnsi" w:eastAsiaTheme="minorEastAsia" w:hAnsiTheme="minorHAnsi" w:cstheme="minorBidi"/>
          <w:noProof/>
          <w:sz w:val="20"/>
        </w:rPr>
      </w:pPr>
      <w:hyperlink r:id="rId17" w:anchor="_Toc2089251" w:history="1">
        <w:r w:rsidR="00773407" w:rsidRPr="001E3410">
          <w:rPr>
            <w:rStyle w:val="Hyperlink"/>
            <w:noProof/>
            <w:sz w:val="20"/>
          </w:rPr>
          <w:t xml:space="preserve">Figure 7:    </w:t>
        </w:r>
        <w:r w:rsidR="004B678A">
          <w:rPr>
            <w:rStyle w:val="Hyperlink"/>
            <w:noProof/>
            <w:sz w:val="20"/>
          </w:rPr>
          <w:t xml:space="preserve">   </w:t>
        </w:r>
        <w:r w:rsidR="00773407" w:rsidRPr="001E3410">
          <w:rPr>
            <w:rStyle w:val="Hyperlink"/>
            <w:noProof/>
            <w:sz w:val="20"/>
          </w:rPr>
          <w:t>Diagram showing the link between developmental mentoring and coaching</w:t>
        </w:r>
        <w:r w:rsidR="00773407" w:rsidRPr="001E3410">
          <w:rPr>
            <w:noProof/>
            <w:webHidden/>
            <w:sz w:val="20"/>
          </w:rPr>
          <w:tab/>
        </w:r>
        <w:r w:rsidR="00773407" w:rsidRPr="001E3410">
          <w:rPr>
            <w:noProof/>
            <w:webHidden/>
            <w:sz w:val="20"/>
          </w:rPr>
          <w:fldChar w:fldCharType="begin"/>
        </w:r>
        <w:r w:rsidR="00773407" w:rsidRPr="001E3410">
          <w:rPr>
            <w:noProof/>
            <w:webHidden/>
            <w:sz w:val="20"/>
          </w:rPr>
          <w:instrText xml:space="preserve"> PAGEREF _Toc2089251 \h </w:instrText>
        </w:r>
        <w:r w:rsidR="00773407" w:rsidRPr="001E3410">
          <w:rPr>
            <w:noProof/>
            <w:webHidden/>
            <w:sz w:val="20"/>
          </w:rPr>
        </w:r>
        <w:r w:rsidR="00773407" w:rsidRPr="001E3410">
          <w:rPr>
            <w:noProof/>
            <w:webHidden/>
            <w:sz w:val="20"/>
          </w:rPr>
          <w:fldChar w:fldCharType="separate"/>
        </w:r>
        <w:r w:rsidR="004964E9">
          <w:rPr>
            <w:noProof/>
            <w:webHidden/>
            <w:sz w:val="20"/>
          </w:rPr>
          <w:t>39</w:t>
        </w:r>
        <w:r w:rsidR="00773407" w:rsidRPr="001E3410">
          <w:rPr>
            <w:noProof/>
            <w:webHidden/>
            <w:sz w:val="20"/>
          </w:rPr>
          <w:fldChar w:fldCharType="end"/>
        </w:r>
      </w:hyperlink>
    </w:p>
    <w:p w:rsidR="00773407" w:rsidRPr="001E3410" w:rsidRDefault="0066637D">
      <w:pPr>
        <w:pStyle w:val="TableofFigures"/>
        <w:tabs>
          <w:tab w:val="left" w:pos="1100"/>
          <w:tab w:val="right" w:pos="9730"/>
        </w:tabs>
        <w:rPr>
          <w:rFonts w:asciiTheme="minorHAnsi" w:eastAsiaTheme="minorEastAsia" w:hAnsiTheme="minorHAnsi" w:cstheme="minorBidi"/>
          <w:noProof/>
          <w:sz w:val="20"/>
        </w:rPr>
      </w:pPr>
      <w:hyperlink w:anchor="_Toc2089252" w:history="1">
        <w:r w:rsidR="00773407" w:rsidRPr="001E3410">
          <w:rPr>
            <w:rStyle w:val="Hyperlink"/>
            <w:noProof/>
            <w:sz w:val="20"/>
            <w:lang w:val="en-AU"/>
          </w:rPr>
          <w:t xml:space="preserve">Figure 8: </w:t>
        </w:r>
        <w:r w:rsidR="00773407" w:rsidRPr="001E3410">
          <w:rPr>
            <w:rFonts w:asciiTheme="minorHAnsi" w:eastAsiaTheme="minorEastAsia" w:hAnsiTheme="minorHAnsi" w:cstheme="minorBidi"/>
            <w:noProof/>
            <w:sz w:val="20"/>
          </w:rPr>
          <w:tab/>
        </w:r>
        <w:r w:rsidR="00773407" w:rsidRPr="001E3410">
          <w:rPr>
            <w:rStyle w:val="Hyperlink"/>
            <w:noProof/>
            <w:sz w:val="20"/>
            <w:lang w:val="en-AU"/>
          </w:rPr>
          <w:t>Gender distribution in Precinct vocational and academic courses (2015 to May 2018)</w:t>
        </w:r>
        <w:r w:rsidR="00773407" w:rsidRPr="001E3410">
          <w:rPr>
            <w:noProof/>
            <w:webHidden/>
            <w:sz w:val="20"/>
          </w:rPr>
          <w:tab/>
        </w:r>
        <w:r w:rsidR="00773407" w:rsidRPr="001E3410">
          <w:rPr>
            <w:noProof/>
            <w:webHidden/>
            <w:sz w:val="20"/>
          </w:rPr>
          <w:fldChar w:fldCharType="begin"/>
        </w:r>
        <w:r w:rsidR="00773407" w:rsidRPr="001E3410">
          <w:rPr>
            <w:noProof/>
            <w:webHidden/>
            <w:sz w:val="20"/>
          </w:rPr>
          <w:instrText xml:space="preserve"> PAGEREF _Toc2089252 \h </w:instrText>
        </w:r>
        <w:r w:rsidR="00773407" w:rsidRPr="001E3410">
          <w:rPr>
            <w:noProof/>
            <w:webHidden/>
            <w:sz w:val="20"/>
          </w:rPr>
        </w:r>
        <w:r w:rsidR="00773407" w:rsidRPr="001E3410">
          <w:rPr>
            <w:noProof/>
            <w:webHidden/>
            <w:sz w:val="20"/>
          </w:rPr>
          <w:fldChar w:fldCharType="separate"/>
        </w:r>
        <w:r w:rsidR="004964E9">
          <w:rPr>
            <w:noProof/>
            <w:webHidden/>
            <w:sz w:val="20"/>
          </w:rPr>
          <w:t>43</w:t>
        </w:r>
        <w:r w:rsidR="00773407" w:rsidRPr="001E3410">
          <w:rPr>
            <w:noProof/>
            <w:webHidden/>
            <w:sz w:val="20"/>
          </w:rPr>
          <w:fldChar w:fldCharType="end"/>
        </w:r>
      </w:hyperlink>
    </w:p>
    <w:p w:rsidR="00773407" w:rsidRPr="001E3410" w:rsidRDefault="0066637D">
      <w:pPr>
        <w:pStyle w:val="TableofFigures"/>
        <w:tabs>
          <w:tab w:val="left" w:pos="1100"/>
          <w:tab w:val="right" w:pos="9730"/>
        </w:tabs>
        <w:rPr>
          <w:rFonts w:asciiTheme="minorHAnsi" w:eastAsiaTheme="minorEastAsia" w:hAnsiTheme="minorHAnsi" w:cstheme="minorBidi"/>
          <w:noProof/>
          <w:sz w:val="20"/>
        </w:rPr>
      </w:pPr>
      <w:hyperlink w:anchor="_Toc2089253" w:history="1">
        <w:r w:rsidR="00773407" w:rsidRPr="001E3410">
          <w:rPr>
            <w:rStyle w:val="Hyperlink"/>
            <w:noProof/>
            <w:sz w:val="20"/>
            <w:lang w:val="en-AU"/>
          </w:rPr>
          <w:t>Figure 9:</w:t>
        </w:r>
        <w:r w:rsidR="00773407" w:rsidRPr="001E3410">
          <w:rPr>
            <w:rFonts w:asciiTheme="minorHAnsi" w:eastAsiaTheme="minorEastAsia" w:hAnsiTheme="minorHAnsi" w:cstheme="minorBidi"/>
            <w:noProof/>
            <w:sz w:val="20"/>
          </w:rPr>
          <w:tab/>
        </w:r>
        <w:r w:rsidR="00773407" w:rsidRPr="001E3410">
          <w:rPr>
            <w:rStyle w:val="Hyperlink"/>
            <w:noProof/>
            <w:sz w:val="20"/>
            <w:lang w:val="en-AU"/>
          </w:rPr>
          <w:t>Number of participants per subsector benefiting from the Precinct</w:t>
        </w:r>
        <w:r w:rsidR="00773407" w:rsidRPr="001E3410">
          <w:rPr>
            <w:noProof/>
            <w:webHidden/>
            <w:sz w:val="20"/>
          </w:rPr>
          <w:tab/>
        </w:r>
        <w:r w:rsidR="00773407" w:rsidRPr="001E3410">
          <w:rPr>
            <w:noProof/>
            <w:webHidden/>
            <w:sz w:val="20"/>
          </w:rPr>
          <w:fldChar w:fldCharType="begin"/>
        </w:r>
        <w:r w:rsidR="00773407" w:rsidRPr="001E3410">
          <w:rPr>
            <w:noProof/>
            <w:webHidden/>
            <w:sz w:val="20"/>
          </w:rPr>
          <w:instrText xml:space="preserve"> PAGEREF _Toc2089253 \h </w:instrText>
        </w:r>
        <w:r w:rsidR="00773407" w:rsidRPr="001E3410">
          <w:rPr>
            <w:noProof/>
            <w:webHidden/>
            <w:sz w:val="20"/>
          </w:rPr>
        </w:r>
        <w:r w:rsidR="00773407" w:rsidRPr="001E3410">
          <w:rPr>
            <w:noProof/>
            <w:webHidden/>
            <w:sz w:val="20"/>
          </w:rPr>
          <w:fldChar w:fldCharType="separate"/>
        </w:r>
        <w:r w:rsidR="004964E9">
          <w:rPr>
            <w:noProof/>
            <w:webHidden/>
            <w:sz w:val="20"/>
          </w:rPr>
          <w:t>53</w:t>
        </w:r>
        <w:r w:rsidR="00773407" w:rsidRPr="001E3410">
          <w:rPr>
            <w:noProof/>
            <w:webHidden/>
            <w:sz w:val="20"/>
          </w:rPr>
          <w:fldChar w:fldCharType="end"/>
        </w:r>
      </w:hyperlink>
    </w:p>
    <w:p w:rsidR="00773407" w:rsidRPr="001E3410" w:rsidRDefault="0066637D">
      <w:pPr>
        <w:pStyle w:val="TableofFigures"/>
        <w:tabs>
          <w:tab w:val="left" w:pos="1320"/>
          <w:tab w:val="right" w:pos="9730"/>
        </w:tabs>
        <w:rPr>
          <w:rFonts w:asciiTheme="minorHAnsi" w:eastAsiaTheme="minorEastAsia" w:hAnsiTheme="minorHAnsi" w:cstheme="minorBidi"/>
          <w:noProof/>
          <w:sz w:val="20"/>
        </w:rPr>
      </w:pPr>
      <w:hyperlink w:anchor="_Toc2089254" w:history="1">
        <w:r w:rsidR="00773407" w:rsidRPr="001E3410">
          <w:rPr>
            <w:rStyle w:val="Hyperlink"/>
            <w:noProof/>
            <w:sz w:val="20"/>
            <w:lang w:val="en-AU"/>
          </w:rPr>
          <w:t>Figure 10:</w:t>
        </w:r>
        <w:r w:rsidR="00773407" w:rsidRPr="001E3410">
          <w:rPr>
            <w:rFonts w:asciiTheme="minorHAnsi" w:eastAsiaTheme="minorEastAsia" w:hAnsiTheme="minorHAnsi" w:cstheme="minorBidi"/>
            <w:noProof/>
            <w:sz w:val="20"/>
          </w:rPr>
          <w:tab/>
        </w:r>
        <w:r w:rsidR="00773407" w:rsidRPr="001E3410">
          <w:rPr>
            <w:rStyle w:val="Hyperlink"/>
            <w:noProof/>
            <w:sz w:val="20"/>
            <w:lang w:val="en-AU"/>
          </w:rPr>
          <w:t xml:space="preserve">Percentage of national organisations </w:t>
        </w:r>
        <w:r w:rsidR="00773407" w:rsidRPr="001E3410">
          <w:rPr>
            <w:rStyle w:val="Hyperlink"/>
            <w:noProof/>
            <w:sz w:val="20"/>
          </w:rPr>
          <w:t>according</w:t>
        </w:r>
        <w:r w:rsidR="00773407" w:rsidRPr="001E3410">
          <w:rPr>
            <w:rStyle w:val="Hyperlink"/>
            <w:noProof/>
            <w:sz w:val="20"/>
            <w:lang w:val="en-AU"/>
          </w:rPr>
          <w:t xml:space="preserve"> to the number of participants</w:t>
        </w:r>
        <w:r w:rsidR="00773407" w:rsidRPr="001E3410">
          <w:rPr>
            <w:noProof/>
            <w:webHidden/>
            <w:sz w:val="20"/>
          </w:rPr>
          <w:tab/>
        </w:r>
        <w:r w:rsidR="00773407" w:rsidRPr="001E3410">
          <w:rPr>
            <w:noProof/>
            <w:webHidden/>
            <w:sz w:val="20"/>
          </w:rPr>
          <w:fldChar w:fldCharType="begin"/>
        </w:r>
        <w:r w:rsidR="00773407" w:rsidRPr="001E3410">
          <w:rPr>
            <w:noProof/>
            <w:webHidden/>
            <w:sz w:val="20"/>
          </w:rPr>
          <w:instrText xml:space="preserve"> PAGEREF _Toc2089254 \h </w:instrText>
        </w:r>
        <w:r w:rsidR="00773407" w:rsidRPr="001E3410">
          <w:rPr>
            <w:noProof/>
            <w:webHidden/>
            <w:sz w:val="20"/>
          </w:rPr>
        </w:r>
        <w:r w:rsidR="00773407" w:rsidRPr="001E3410">
          <w:rPr>
            <w:noProof/>
            <w:webHidden/>
            <w:sz w:val="20"/>
          </w:rPr>
          <w:fldChar w:fldCharType="separate"/>
        </w:r>
        <w:r w:rsidR="004964E9">
          <w:rPr>
            <w:noProof/>
            <w:webHidden/>
            <w:sz w:val="20"/>
          </w:rPr>
          <w:t>54</w:t>
        </w:r>
        <w:r w:rsidR="00773407" w:rsidRPr="001E3410">
          <w:rPr>
            <w:noProof/>
            <w:webHidden/>
            <w:sz w:val="20"/>
          </w:rPr>
          <w:fldChar w:fldCharType="end"/>
        </w:r>
      </w:hyperlink>
    </w:p>
    <w:p w:rsidR="00773407" w:rsidRPr="001E3410" w:rsidRDefault="0066637D">
      <w:pPr>
        <w:pStyle w:val="TableofFigures"/>
        <w:tabs>
          <w:tab w:val="left" w:pos="1320"/>
          <w:tab w:val="right" w:pos="9730"/>
        </w:tabs>
        <w:rPr>
          <w:rFonts w:asciiTheme="minorHAnsi" w:eastAsiaTheme="minorEastAsia" w:hAnsiTheme="minorHAnsi" w:cstheme="minorBidi"/>
          <w:noProof/>
          <w:sz w:val="20"/>
        </w:rPr>
      </w:pPr>
      <w:hyperlink w:anchor="_Toc2089255" w:history="1">
        <w:r w:rsidR="00773407" w:rsidRPr="001E3410">
          <w:rPr>
            <w:rStyle w:val="Hyperlink"/>
            <w:noProof/>
            <w:sz w:val="20"/>
            <w:lang w:val="en-AU"/>
          </w:rPr>
          <w:t>Figure 11:</w:t>
        </w:r>
        <w:r w:rsidR="00773407" w:rsidRPr="001E3410">
          <w:rPr>
            <w:rFonts w:asciiTheme="minorHAnsi" w:eastAsiaTheme="minorEastAsia" w:hAnsiTheme="minorHAnsi" w:cstheme="minorBidi"/>
            <w:noProof/>
            <w:sz w:val="20"/>
          </w:rPr>
          <w:tab/>
        </w:r>
        <w:r w:rsidR="00773407" w:rsidRPr="001E3410">
          <w:rPr>
            <w:rStyle w:val="Hyperlink"/>
            <w:noProof/>
            <w:sz w:val="20"/>
            <w:lang w:val="en-AU"/>
          </w:rPr>
          <w:t>Results framework for the Pacific Leadership and Governance Precinct (2016 Update annex)</w:t>
        </w:r>
        <w:r w:rsidR="00773407" w:rsidRPr="001E3410">
          <w:rPr>
            <w:noProof/>
            <w:webHidden/>
            <w:sz w:val="20"/>
          </w:rPr>
          <w:tab/>
        </w:r>
        <w:r w:rsidR="00773407" w:rsidRPr="001E3410">
          <w:rPr>
            <w:noProof/>
            <w:webHidden/>
            <w:sz w:val="20"/>
          </w:rPr>
          <w:fldChar w:fldCharType="begin"/>
        </w:r>
        <w:r w:rsidR="00773407" w:rsidRPr="001E3410">
          <w:rPr>
            <w:noProof/>
            <w:webHidden/>
            <w:sz w:val="20"/>
          </w:rPr>
          <w:instrText xml:space="preserve"> PAGEREF _Toc2089255 \h </w:instrText>
        </w:r>
        <w:r w:rsidR="00773407" w:rsidRPr="001E3410">
          <w:rPr>
            <w:noProof/>
            <w:webHidden/>
            <w:sz w:val="20"/>
          </w:rPr>
        </w:r>
        <w:r w:rsidR="00773407" w:rsidRPr="001E3410">
          <w:rPr>
            <w:noProof/>
            <w:webHidden/>
            <w:sz w:val="20"/>
          </w:rPr>
          <w:fldChar w:fldCharType="separate"/>
        </w:r>
        <w:r w:rsidR="004964E9">
          <w:rPr>
            <w:noProof/>
            <w:webHidden/>
            <w:sz w:val="20"/>
          </w:rPr>
          <w:t>76</w:t>
        </w:r>
        <w:r w:rsidR="00773407" w:rsidRPr="001E3410">
          <w:rPr>
            <w:noProof/>
            <w:webHidden/>
            <w:sz w:val="20"/>
          </w:rPr>
          <w:fldChar w:fldCharType="end"/>
        </w:r>
      </w:hyperlink>
    </w:p>
    <w:p w:rsidR="00320F46" w:rsidRDefault="00B466D1" w:rsidP="005975B5">
      <w:pPr>
        <w:pStyle w:val="TableofFigures"/>
        <w:tabs>
          <w:tab w:val="left" w:pos="1276"/>
          <w:tab w:val="right" w:leader="dot" w:pos="8488"/>
        </w:tabs>
        <w:ind w:left="1276" w:hanging="1276"/>
      </w:pPr>
      <w:r w:rsidRPr="001E3410">
        <w:rPr>
          <w:sz w:val="20"/>
        </w:rPr>
        <w:fldChar w:fldCharType="end"/>
      </w:r>
    </w:p>
    <w:p w:rsidR="003B5BE0" w:rsidRPr="00091600" w:rsidRDefault="003B5BE0" w:rsidP="005975B5">
      <w:pPr>
        <w:pStyle w:val="TableofFigures"/>
        <w:tabs>
          <w:tab w:val="left" w:pos="1276"/>
          <w:tab w:val="right" w:leader="dot" w:pos="8488"/>
        </w:tabs>
        <w:ind w:left="1276" w:hanging="1276"/>
        <w:rPr>
          <w:lang w:val="en-AU"/>
        </w:rPr>
      </w:pPr>
    </w:p>
    <w:p w:rsidR="00DC0BB3" w:rsidRPr="00091600" w:rsidRDefault="00DC0BB3" w:rsidP="00931BFA">
      <w:pPr>
        <w:pStyle w:val="Heading1NONUM"/>
      </w:pPr>
      <w:bookmarkStart w:id="19" w:name="_Toc503428997"/>
      <w:bookmarkStart w:id="20" w:name="_Toc536719902"/>
      <w:bookmarkStart w:id="21" w:name="_Toc2091542"/>
      <w:r w:rsidRPr="00091600">
        <w:t xml:space="preserve">List of </w:t>
      </w:r>
      <w:r w:rsidR="004119CB" w:rsidRPr="00931BFA">
        <w:t>a</w:t>
      </w:r>
      <w:r w:rsidRPr="00931BFA">
        <w:t>bbreviations</w:t>
      </w:r>
      <w:bookmarkEnd w:id="19"/>
      <w:bookmarkEnd w:id="20"/>
      <w:bookmarkEnd w:id="21"/>
      <w:r w:rsidR="00FC7794" w:rsidRPr="00091600">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 of abbreviations"/>
        <w:tblDescription w:val="Abbreviations are spelt out in full in the first instance through the body of the report."/>
      </w:tblPr>
      <w:tblGrid>
        <w:gridCol w:w="1418"/>
        <w:gridCol w:w="8216"/>
      </w:tblGrid>
      <w:tr w:rsidR="00415B1C" w:rsidRPr="00415B1C" w:rsidTr="009C0F4F">
        <w:trPr>
          <w:tblHeader/>
        </w:trPr>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APEC</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Asia</w:t>
            </w:r>
            <w:r w:rsidRPr="00415B1C">
              <w:rPr>
                <w:sz w:val="20"/>
                <w:lang w:val="en-AU"/>
              </w:rPr>
              <w:t>–</w:t>
            </w:r>
            <w:r w:rsidRPr="00415B1C">
              <w:rPr>
                <w:rFonts w:eastAsia="Times New Roman" w:cs="Times New Roman"/>
                <w:sz w:val="20"/>
                <w:szCs w:val="20"/>
                <w:lang w:val="en-AU" w:eastAsia="en-US"/>
              </w:rPr>
              <w:t>Pacific Economic Cooperation</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 xml:space="preserve">AHC </w:t>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t>Australian High Commission</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ANU</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Australia</w:t>
            </w:r>
            <w:r w:rsidR="007441D6">
              <w:rPr>
                <w:rFonts w:eastAsia="Times New Roman" w:cs="Times New Roman"/>
                <w:sz w:val="20"/>
                <w:szCs w:val="20"/>
                <w:lang w:val="en-AU" w:eastAsia="en-US"/>
              </w:rPr>
              <w:t>n</w:t>
            </w:r>
            <w:r w:rsidRPr="00415B1C">
              <w:rPr>
                <w:rFonts w:eastAsia="Times New Roman" w:cs="Times New Roman"/>
                <w:sz w:val="20"/>
                <w:szCs w:val="20"/>
                <w:lang w:val="en-AU" w:eastAsia="en-US"/>
              </w:rPr>
              <w:t xml:space="preserve"> National University</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APSC</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Australian Public Service Commission</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BSLT</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Bougainville Senior Leaders Training</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CEO</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Chief Executive Officer</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CIT</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Canberra Institute of Technology</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DCP</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Decentralisation and Citizens Participation</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DFAT</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Department of Foreign Affairs and Trade (Australia)</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DHERST</w:t>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Department of Higher Education, Research, Science, and Technology (</w:t>
            </w:r>
            <w:r w:rsidR="00E87298">
              <w:rPr>
                <w:rFonts w:eastAsia="Times New Roman" w:cs="Times New Roman"/>
                <w:sz w:val="20"/>
                <w:szCs w:val="20"/>
                <w:lang w:val="en-AU" w:eastAsia="en-US"/>
              </w:rPr>
              <w:t>PNG Government</w:t>
            </w:r>
            <w:r w:rsidRPr="00415B1C">
              <w:rPr>
                <w:rFonts w:eastAsia="Times New Roman" w:cs="Times New Roman"/>
                <w:sz w:val="20"/>
                <w:szCs w:val="20"/>
                <w:lang w:val="en-AU" w:eastAsia="en-US"/>
              </w:rPr>
              <w:t>)</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DPM</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Department of Personnel Management (</w:t>
            </w:r>
            <w:r w:rsidR="00E87298">
              <w:rPr>
                <w:rFonts w:eastAsia="Times New Roman" w:cs="Times New Roman"/>
                <w:sz w:val="20"/>
                <w:szCs w:val="20"/>
                <w:lang w:val="en-AU" w:eastAsia="en-US"/>
              </w:rPr>
              <w:t>PNG Government</w:t>
            </w:r>
            <w:r w:rsidRPr="00415B1C">
              <w:rPr>
                <w:rFonts w:eastAsia="Times New Roman" w:cs="Times New Roman"/>
                <w:sz w:val="20"/>
                <w:szCs w:val="20"/>
                <w:lang w:val="en-AU" w:eastAsia="en-US"/>
              </w:rPr>
              <w:t>)</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DWU</w:t>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t>Divine Word University</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GBV</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Gender-Based Violence</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GESI</w:t>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ab/>
              <w:t>(National Public Service) Gender Equity and Social Inclusion (</w:t>
            </w:r>
            <w:r w:rsidR="00E87298">
              <w:rPr>
                <w:rFonts w:eastAsia="Times New Roman" w:cs="Times New Roman"/>
                <w:sz w:val="20"/>
                <w:szCs w:val="20"/>
                <w:lang w:val="en-AU" w:eastAsia="en-US"/>
              </w:rPr>
              <w:t>PNG Government</w:t>
            </w:r>
            <w:r w:rsidRPr="00415B1C">
              <w:rPr>
                <w:rFonts w:eastAsia="Times New Roman" w:cs="Times New Roman"/>
                <w:sz w:val="20"/>
                <w:szCs w:val="20"/>
                <w:lang w:val="en-AU" w:eastAsia="en-US"/>
              </w:rPr>
              <w:t xml:space="preserve"> Policy)</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GfG</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Governance for Growth</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GoA</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Government of Australia</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ICT</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Information and Communications Technology</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IPA</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Institute of Public Administration</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IPP</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Institutional Partnerships Program</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JSC</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Joint Steering Committee</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LCF</w:t>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Ethics and Values</w:t>
            </w:r>
            <w:r w:rsidR="009D1D8F">
              <w:rPr>
                <w:rFonts w:eastAsia="Times New Roman" w:cs="Times New Roman"/>
                <w:sz w:val="20"/>
                <w:szCs w:val="20"/>
                <w:lang w:val="en-AU" w:eastAsia="en-US"/>
              </w:rPr>
              <w:t xml:space="preserve"> </w:t>
            </w:r>
            <w:r w:rsidRPr="00415B1C">
              <w:rPr>
                <w:rFonts w:eastAsia="Times New Roman" w:cs="Times New Roman"/>
                <w:sz w:val="20"/>
                <w:szCs w:val="20"/>
                <w:lang w:val="en-AU" w:eastAsia="en-US"/>
              </w:rPr>
              <w:t>Based Executive Leadership and Management Capability Framework</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MEL</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Monitoring, Evaluation, and Learning</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PILAG</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Pacific Institute of Leadership and Governance</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PNG</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Papua New Guinea</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pt-BR" w:eastAsia="en-US"/>
              </w:rPr>
            </w:pPr>
            <w:r w:rsidRPr="00415B1C">
              <w:rPr>
                <w:rFonts w:eastAsia="Times New Roman" w:cs="Times New Roman"/>
                <w:sz w:val="20"/>
                <w:szCs w:val="20"/>
                <w:lang w:val="pt-BR" w:eastAsia="en-US"/>
              </w:rPr>
              <w:t xml:space="preserve">PNG </w:t>
            </w:r>
            <w:r w:rsidR="009E5404" w:rsidRPr="00415B1C">
              <w:rPr>
                <w:rFonts w:eastAsia="Times New Roman" w:cs="Times New Roman"/>
                <w:sz w:val="20"/>
                <w:szCs w:val="20"/>
                <w:lang w:val="pt-BR" w:eastAsia="en-US"/>
              </w:rPr>
              <w:t>AAA</w:t>
            </w:r>
          </w:p>
        </w:tc>
        <w:tc>
          <w:tcPr>
            <w:tcW w:w="8216" w:type="dxa"/>
          </w:tcPr>
          <w:p w:rsidR="00415B1C" w:rsidRPr="00415B1C" w:rsidRDefault="00415B1C" w:rsidP="00415B1C">
            <w:pPr>
              <w:pStyle w:val="BodyText"/>
              <w:spacing w:before="40" w:after="40"/>
              <w:rPr>
                <w:rFonts w:eastAsia="Times New Roman" w:cs="Times New Roman"/>
                <w:sz w:val="20"/>
                <w:szCs w:val="20"/>
                <w:lang w:val="pt-BR" w:eastAsia="en-US"/>
              </w:rPr>
            </w:pPr>
            <w:r w:rsidRPr="00415B1C">
              <w:rPr>
                <w:rFonts w:eastAsia="Times New Roman" w:cs="Times New Roman"/>
                <w:sz w:val="20"/>
                <w:szCs w:val="20"/>
                <w:lang w:val="pt-BR" w:eastAsia="en-US"/>
              </w:rPr>
              <w:tab/>
              <w:t>PNG Australia Alumni Association</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Precinct</w:t>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iCs/>
                <w:sz w:val="20"/>
                <w:szCs w:val="20"/>
                <w:lang w:val="en-AU" w:eastAsia="en-US"/>
              </w:rPr>
              <w:t>Pacific Leadership and Governance Precinct Program</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PSLR</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Public Sector Leadership and Reform</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PSWFDI/P</w:t>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Public Sector Workforce Development Initiative/Program</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QTAG</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Quality and Technical Assurance Group</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SBPP</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School of Business and Public Policy (UPNG)</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UPNG</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University of Papua New Guinea</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UQ</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University of Queen</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t>sland</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VC</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Vice-Chancellor</w:t>
            </w:r>
          </w:p>
        </w:tc>
      </w:tr>
      <w:tr w:rsidR="00415B1C" w:rsidRPr="00415B1C" w:rsidTr="00415B1C">
        <w:tc>
          <w:tcPr>
            <w:tcW w:w="1418"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WASH</w:t>
            </w:r>
            <w:r w:rsidRPr="00415B1C">
              <w:rPr>
                <w:rFonts w:eastAsia="Times New Roman" w:cs="Times New Roman"/>
                <w:sz w:val="20"/>
                <w:szCs w:val="20"/>
                <w:lang w:val="en-AU" w:eastAsia="en-US"/>
              </w:rPr>
              <w:tab/>
            </w:r>
            <w:r w:rsidRPr="00415B1C">
              <w:rPr>
                <w:rFonts w:eastAsia="Times New Roman" w:cs="Times New Roman"/>
                <w:sz w:val="20"/>
                <w:szCs w:val="20"/>
                <w:lang w:val="en-AU" w:eastAsia="en-US"/>
              </w:rPr>
              <w:tab/>
            </w:r>
          </w:p>
        </w:tc>
        <w:tc>
          <w:tcPr>
            <w:tcW w:w="8216" w:type="dxa"/>
          </w:tcPr>
          <w:p w:rsidR="00415B1C" w:rsidRPr="00415B1C" w:rsidRDefault="00415B1C" w:rsidP="00415B1C">
            <w:pPr>
              <w:pStyle w:val="BodyText"/>
              <w:spacing w:before="40" w:after="40"/>
              <w:rPr>
                <w:rFonts w:eastAsia="Times New Roman" w:cs="Times New Roman"/>
                <w:sz w:val="20"/>
                <w:szCs w:val="20"/>
                <w:lang w:val="en-AU" w:eastAsia="en-US"/>
              </w:rPr>
            </w:pPr>
            <w:r w:rsidRPr="00415B1C">
              <w:rPr>
                <w:rFonts w:eastAsia="Times New Roman" w:cs="Times New Roman"/>
                <w:sz w:val="20"/>
                <w:szCs w:val="20"/>
                <w:lang w:val="en-AU" w:eastAsia="en-US"/>
              </w:rPr>
              <w:t>Water, Sanitation, and Hygiene</w:t>
            </w:r>
          </w:p>
        </w:tc>
      </w:tr>
    </w:tbl>
    <w:p w:rsidR="000F4B57" w:rsidRPr="00091600" w:rsidRDefault="000F4B57" w:rsidP="000F4B57">
      <w:pPr>
        <w:pStyle w:val="BodyText"/>
        <w:rPr>
          <w:lang w:val="en-AU"/>
        </w:rPr>
      </w:pPr>
    </w:p>
    <w:p w:rsidR="000F4B57" w:rsidRPr="00091600" w:rsidRDefault="000F4B57" w:rsidP="000F4B57">
      <w:pPr>
        <w:pStyle w:val="TableofFigures"/>
        <w:tabs>
          <w:tab w:val="left" w:pos="1276"/>
          <w:tab w:val="right" w:leader="dot" w:pos="8488"/>
        </w:tabs>
        <w:ind w:left="1276" w:hanging="1276"/>
        <w:rPr>
          <w:lang w:val="en-AU"/>
        </w:rPr>
      </w:pPr>
      <w:bookmarkStart w:id="22" w:name="_Toc523866147"/>
    </w:p>
    <w:bookmarkEnd w:id="22"/>
    <w:p w:rsidR="000F4B57" w:rsidRPr="00091600" w:rsidRDefault="00C80078" w:rsidP="000F4B57">
      <w:pPr>
        <w:pStyle w:val="BodyText"/>
        <w:spacing w:after="0"/>
        <w:rPr>
          <w:lang w:val="en-AU"/>
        </w:rPr>
      </w:pPr>
      <w:r w:rsidRPr="00091600">
        <w:rPr>
          <w:lang w:val="en-AU"/>
        </w:rPr>
        <w:tab/>
      </w:r>
      <w:r w:rsidRPr="00091600">
        <w:rPr>
          <w:lang w:val="en-AU"/>
        </w:rPr>
        <w:tab/>
      </w:r>
      <w:r w:rsidRPr="00091600">
        <w:rPr>
          <w:lang w:val="en-AU"/>
        </w:rPr>
        <w:tab/>
      </w:r>
    </w:p>
    <w:p w:rsidR="000F4B57" w:rsidRPr="00091600" w:rsidRDefault="000F4B57" w:rsidP="00931BFA">
      <w:pPr>
        <w:pStyle w:val="Heading1NONUM"/>
        <w:rPr>
          <w:lang w:val="en-AU"/>
        </w:rPr>
      </w:pPr>
      <w:bookmarkStart w:id="23" w:name="_Toc523866148"/>
      <w:bookmarkStart w:id="24" w:name="_Toc536719903"/>
      <w:bookmarkStart w:id="25" w:name="_Toc2091543"/>
      <w:r w:rsidRPr="00091600">
        <w:rPr>
          <w:lang w:val="en-AU"/>
        </w:rPr>
        <w:t>Introduction</w:t>
      </w:r>
      <w:bookmarkEnd w:id="23"/>
      <w:bookmarkEnd w:id="24"/>
      <w:bookmarkEnd w:id="25"/>
    </w:p>
    <w:p w:rsidR="000F4B57" w:rsidRPr="00091600" w:rsidRDefault="000F4B57" w:rsidP="00931BFA">
      <w:pPr>
        <w:pStyle w:val="Heading2NONUM"/>
        <w:rPr>
          <w:rFonts w:eastAsiaTheme="minorHAnsi"/>
          <w:lang w:val="en-AU"/>
        </w:rPr>
      </w:pPr>
      <w:bookmarkStart w:id="26" w:name="_Toc523866149"/>
      <w:bookmarkStart w:id="27" w:name="_Toc536719904"/>
      <w:bookmarkStart w:id="28" w:name="_Toc2091544"/>
      <w:r w:rsidRPr="00091600">
        <w:rPr>
          <w:rFonts w:eastAsiaTheme="minorHAnsi"/>
          <w:lang w:val="en-AU"/>
        </w:rPr>
        <w:t xml:space="preserve">1.1 </w:t>
      </w:r>
      <w:r w:rsidRPr="00091600">
        <w:rPr>
          <w:rFonts w:eastAsiaTheme="minorHAnsi"/>
          <w:lang w:val="en-AU"/>
        </w:rPr>
        <w:tab/>
      </w:r>
      <w:r w:rsidRPr="00931BFA">
        <w:rPr>
          <w:rFonts w:eastAsiaTheme="minorHAnsi"/>
        </w:rPr>
        <w:t>Background</w:t>
      </w:r>
      <w:bookmarkEnd w:id="26"/>
      <w:bookmarkEnd w:id="27"/>
      <w:bookmarkEnd w:id="28"/>
    </w:p>
    <w:p w:rsidR="000F4B57" w:rsidRPr="00091600" w:rsidRDefault="000F4B57" w:rsidP="000F4B57">
      <w:pPr>
        <w:pStyle w:val="BodyText"/>
        <w:rPr>
          <w:lang w:val="en-AU" w:eastAsia="en-US"/>
        </w:rPr>
      </w:pPr>
      <w:r w:rsidRPr="00091600">
        <w:rPr>
          <w:lang w:val="en-AU" w:eastAsia="en-US"/>
        </w:rPr>
        <w:t>The 2017 Australian Foreign Policy White Paper notes that ‘Supporting a stable and prosperous Papua New Guinea is one of our most important foreign policy objectives’.</w:t>
      </w:r>
      <w:r w:rsidRPr="00091600">
        <w:rPr>
          <w:rStyle w:val="FootnoteReference"/>
          <w:rFonts w:eastAsia="Times New Roman"/>
          <w:color w:val="211E1E"/>
          <w:lang w:val="en-AU" w:eastAsia="en-US"/>
        </w:rPr>
        <w:footnoteReference w:id="2"/>
      </w:r>
      <w:r w:rsidRPr="00091600">
        <w:rPr>
          <w:lang w:val="en-AU" w:eastAsia="en-US"/>
        </w:rPr>
        <w:t xml:space="preserve"> </w:t>
      </w:r>
      <w:r w:rsidR="00721E79" w:rsidRPr="00091600">
        <w:rPr>
          <w:lang w:val="en-AU" w:eastAsia="en-US"/>
        </w:rPr>
        <w:t>Papua New Guinea (</w:t>
      </w:r>
      <w:r w:rsidRPr="00091600">
        <w:rPr>
          <w:lang w:val="en-AU" w:eastAsia="en-US"/>
        </w:rPr>
        <w:t>PNG</w:t>
      </w:r>
      <w:r w:rsidR="00721E79" w:rsidRPr="00091600">
        <w:rPr>
          <w:lang w:val="en-AU" w:eastAsia="en-US"/>
        </w:rPr>
        <w:t>)</w:t>
      </w:r>
      <w:r w:rsidRPr="00091600">
        <w:rPr>
          <w:lang w:val="en-AU" w:eastAsia="en-US"/>
        </w:rPr>
        <w:t xml:space="preserve"> is Australia’s largest development partner (about A</w:t>
      </w:r>
      <w:r w:rsidR="00D97030">
        <w:rPr>
          <w:lang w:val="en-AU" w:eastAsia="en-US"/>
        </w:rPr>
        <w:t xml:space="preserve">UD </w:t>
      </w:r>
      <w:r w:rsidRPr="00091600">
        <w:rPr>
          <w:lang w:val="en-AU" w:eastAsia="en-US"/>
        </w:rPr>
        <w:t>500 million per year). PNG’s enduring partnership with A</w:t>
      </w:r>
      <w:r w:rsidR="00C80078" w:rsidRPr="00091600">
        <w:rPr>
          <w:lang w:val="en-AU" w:eastAsia="en-US"/>
        </w:rPr>
        <w:tab/>
      </w:r>
      <w:r w:rsidRPr="00091600">
        <w:rPr>
          <w:lang w:val="en-AU" w:eastAsia="en-US"/>
        </w:rPr>
        <w:t xml:space="preserve">ustralia covers economic growth, governance, health, and education, as well as women’s empowerment and leadership. It </w:t>
      </w:r>
      <w:r w:rsidRPr="00091600">
        <w:rPr>
          <w:lang w:val="en-AU"/>
        </w:rPr>
        <w:t>includes</w:t>
      </w:r>
      <w:r w:rsidRPr="00091600">
        <w:rPr>
          <w:lang w:val="en-AU" w:eastAsia="en-US"/>
        </w:rPr>
        <w:t xml:space="preserve"> not just financial assistance, but also people-to-people links.</w:t>
      </w:r>
    </w:p>
    <w:p w:rsidR="000F4B57" w:rsidRPr="00091600" w:rsidRDefault="000F4B57" w:rsidP="002F2D32">
      <w:pPr>
        <w:pStyle w:val="BodyText"/>
        <w:ind w:left="1"/>
        <w:rPr>
          <w:rStyle w:val="Emphasis"/>
          <w:i w:val="0"/>
          <w:lang w:val="en-AU"/>
        </w:rPr>
      </w:pPr>
      <w:r w:rsidRPr="00091600">
        <w:rPr>
          <w:rFonts w:eastAsia="Times New Roman"/>
          <w:lang w:val="en-AU" w:eastAsia="en-US"/>
        </w:rPr>
        <w:t xml:space="preserve">The </w:t>
      </w:r>
      <w:r w:rsidRPr="00091600">
        <w:rPr>
          <w:rStyle w:val="Emphasis"/>
          <w:i w:val="0"/>
          <w:lang w:val="en-AU"/>
        </w:rPr>
        <w:t xml:space="preserve">Pacific Leadership and Governance Precinct </w:t>
      </w:r>
      <w:r w:rsidR="00454F04" w:rsidRPr="00091600">
        <w:rPr>
          <w:rStyle w:val="Emphasis"/>
          <w:i w:val="0"/>
          <w:lang w:val="en-AU"/>
        </w:rPr>
        <w:t>P</w:t>
      </w:r>
      <w:r w:rsidR="00053891" w:rsidRPr="00091600">
        <w:rPr>
          <w:rStyle w:val="Emphasis"/>
          <w:i w:val="0"/>
          <w:lang w:val="en-AU"/>
        </w:rPr>
        <w:t>rogram</w:t>
      </w:r>
      <w:r w:rsidRPr="00091600">
        <w:rPr>
          <w:rStyle w:val="Emphasis"/>
          <w:i w:val="0"/>
          <w:lang w:val="en-AU"/>
        </w:rPr>
        <w:t xml:space="preserve"> (Precinct) is a flagship initiative of the Australian </w:t>
      </w:r>
      <w:r w:rsidR="00783A29" w:rsidRPr="00091600">
        <w:rPr>
          <w:rStyle w:val="Emphasis"/>
          <w:i w:val="0"/>
          <w:lang w:val="en-AU"/>
        </w:rPr>
        <w:t>Department of Foreign Affairs and Trade (DFAT)</w:t>
      </w:r>
      <w:r w:rsidRPr="00091600">
        <w:rPr>
          <w:rStyle w:val="Emphasis"/>
          <w:i w:val="0"/>
          <w:lang w:val="en-AU"/>
        </w:rPr>
        <w:t xml:space="preserve"> designed to contribute to a new generation of ethical public leaders in PNG. Commencing in 2015, it builds on past PNG–Australia collaboration through governance and education programs, particularly </w:t>
      </w:r>
      <w:r w:rsidRPr="00091600">
        <w:rPr>
          <w:lang w:val="en-AU"/>
        </w:rPr>
        <w:t xml:space="preserve">a four-year, </w:t>
      </w:r>
      <w:r w:rsidR="00E87298">
        <w:rPr>
          <w:lang w:val="en-AU"/>
        </w:rPr>
        <w:t>PNG Government</w:t>
      </w:r>
      <w:r w:rsidR="00454F04" w:rsidRPr="00091600">
        <w:rPr>
          <w:lang w:val="en-AU"/>
        </w:rPr>
        <w:t>-</w:t>
      </w:r>
      <w:r w:rsidRPr="00091600">
        <w:rPr>
          <w:lang w:val="en-AU"/>
        </w:rPr>
        <w:t xml:space="preserve">led participatory process to develop a leadership framework (see 1.4 on program origins). </w:t>
      </w:r>
      <w:r w:rsidR="00552D61">
        <w:rPr>
          <w:lang w:val="en-AU"/>
        </w:rPr>
        <w:t>The Precinct</w:t>
      </w:r>
      <w:r w:rsidRPr="00091600">
        <w:rPr>
          <w:lang w:val="en-AU"/>
        </w:rPr>
        <w:t xml:space="preserve"> benefits from high-level political and senior bureaucratic support within the PNG and Australian governments. The review team interviewed the PNG Minister of Public Service and senior PNG government officials who expressed their support for the program (see </w:t>
      </w:r>
      <w:r w:rsidR="009F5553" w:rsidRPr="00091600">
        <w:rPr>
          <w:lang w:val="en-AU"/>
        </w:rPr>
        <w:t>S</w:t>
      </w:r>
      <w:r w:rsidR="005021D9" w:rsidRPr="00091600">
        <w:rPr>
          <w:lang w:val="en-AU"/>
        </w:rPr>
        <w:t>ection</w:t>
      </w:r>
      <w:r w:rsidRPr="00091600">
        <w:rPr>
          <w:lang w:val="en-AU"/>
        </w:rPr>
        <w:t xml:space="preserve"> 3.2 for details). </w:t>
      </w:r>
      <w:r w:rsidR="008876AB" w:rsidRPr="00091600">
        <w:rPr>
          <w:lang w:val="en-AU"/>
        </w:rPr>
        <w:tab/>
      </w:r>
      <w:r w:rsidR="00CB647D" w:rsidRPr="00091600">
        <w:rPr>
          <w:lang w:val="en-AU"/>
        </w:rPr>
        <w:tab/>
      </w:r>
      <w:r w:rsidR="00CB647D" w:rsidRPr="00091600">
        <w:rPr>
          <w:lang w:val="en-AU"/>
        </w:rPr>
        <w:tab/>
      </w:r>
      <w:r w:rsidR="00CB647D" w:rsidRPr="00091600">
        <w:rPr>
          <w:lang w:val="en-AU"/>
        </w:rPr>
        <w:tab/>
      </w:r>
      <w:r w:rsidR="00CB647D" w:rsidRPr="00091600">
        <w:rPr>
          <w:lang w:val="en-AU"/>
        </w:rPr>
        <w:tab/>
      </w:r>
      <w:r w:rsidR="00CB647D" w:rsidRPr="00091600">
        <w:rPr>
          <w:lang w:val="en-AU"/>
        </w:rPr>
        <w:tab/>
      </w:r>
    </w:p>
    <w:p w:rsidR="000F4B57" w:rsidRPr="00091600" w:rsidRDefault="000F4B57" w:rsidP="00931BFA">
      <w:pPr>
        <w:pStyle w:val="Heading2NONUM"/>
        <w:rPr>
          <w:rFonts w:eastAsiaTheme="minorHAnsi"/>
          <w:lang w:val="en-AU"/>
        </w:rPr>
      </w:pPr>
      <w:bookmarkStart w:id="29" w:name="_Toc523866150"/>
      <w:bookmarkStart w:id="30" w:name="_Toc536719905"/>
      <w:bookmarkStart w:id="31" w:name="_Toc2091545"/>
      <w:r w:rsidRPr="00091600">
        <w:rPr>
          <w:rFonts w:eastAsiaTheme="minorHAnsi"/>
          <w:lang w:val="en-AU"/>
        </w:rPr>
        <w:t xml:space="preserve">1.2 </w:t>
      </w:r>
      <w:r w:rsidRPr="00091600">
        <w:rPr>
          <w:rFonts w:eastAsiaTheme="minorHAnsi"/>
          <w:lang w:val="en-AU"/>
        </w:rPr>
        <w:tab/>
      </w:r>
      <w:r w:rsidRPr="00931BFA">
        <w:rPr>
          <w:rFonts w:eastAsiaTheme="minorHAnsi"/>
        </w:rPr>
        <w:t>Purpose</w:t>
      </w:r>
      <w:bookmarkEnd w:id="29"/>
      <w:bookmarkEnd w:id="30"/>
      <w:bookmarkEnd w:id="31"/>
    </w:p>
    <w:p w:rsidR="000F4B57" w:rsidRPr="00091600" w:rsidRDefault="00FB3391" w:rsidP="000F4B57">
      <w:pPr>
        <w:pStyle w:val="BodyText"/>
        <w:rPr>
          <w:lang w:val="en-AU"/>
        </w:rPr>
      </w:pPr>
      <w:r w:rsidRPr="00091600">
        <w:rPr>
          <w:lang w:val="en-AU"/>
        </w:rPr>
        <w:t>The Quality and Technical Assurance Group (QTAG</w:t>
      </w:r>
      <w:r w:rsidR="00FA59F8" w:rsidRPr="00091600">
        <w:rPr>
          <w:lang w:val="en-AU"/>
        </w:rPr>
        <w:t>)</w:t>
      </w:r>
      <w:r w:rsidR="000F4B57" w:rsidRPr="00091600">
        <w:rPr>
          <w:lang w:val="en-AU"/>
        </w:rPr>
        <w:t xml:space="preserve"> provides strategic, advisory, review, and quality assurance services to support the delivery of Australia’s aid program in PNG. It assures both governments that the agreed development objectives are being addressed efficiently and effectively, and that development outcomes are emerging.</w:t>
      </w:r>
      <w:r w:rsidR="00552D61">
        <w:rPr>
          <w:lang w:val="en-AU"/>
        </w:rPr>
        <w:t xml:space="preserve"> </w:t>
      </w:r>
      <w:r w:rsidR="000F4B57" w:rsidRPr="00091600">
        <w:rPr>
          <w:lang w:val="en-AU"/>
        </w:rPr>
        <w:t xml:space="preserve">QTAG has been commissioned to undertake a Strategic Review of the </w:t>
      </w:r>
      <w:r w:rsidR="000F4B57" w:rsidRPr="00091600">
        <w:rPr>
          <w:rStyle w:val="Emphasis"/>
          <w:i w:val="0"/>
          <w:lang w:val="en-AU"/>
        </w:rPr>
        <w:t>Precinct program</w:t>
      </w:r>
      <w:r w:rsidR="00552D61">
        <w:rPr>
          <w:rStyle w:val="Emphasis"/>
          <w:i w:val="0"/>
          <w:lang w:val="en-AU"/>
        </w:rPr>
        <w:t xml:space="preserve"> to cover the period from 2015 up to May 2018</w:t>
      </w:r>
      <w:r w:rsidR="000F4B57" w:rsidRPr="00091600">
        <w:rPr>
          <w:rStyle w:val="Emphasis"/>
          <w:i w:val="0"/>
          <w:lang w:val="en-AU"/>
        </w:rPr>
        <w:t>. The purpose of the review is to assess:</w:t>
      </w:r>
    </w:p>
    <w:p w:rsidR="000F4B57" w:rsidRPr="00091600" w:rsidRDefault="00DA3B6F" w:rsidP="000F4B57">
      <w:pPr>
        <w:pStyle w:val="ListBullet"/>
        <w:rPr>
          <w:rFonts w:ascii="Roboto Light" w:hAnsi="Roboto Light"/>
          <w:lang w:val="en-AU"/>
        </w:rPr>
      </w:pPr>
      <w:r w:rsidRPr="001422B3">
        <w:rPr>
          <w:rStyle w:val="Emphasis"/>
          <w:rFonts w:ascii="Roboto" w:hAnsi="Roboto"/>
          <w:b/>
          <w:i w:val="0"/>
          <w:color w:val="000000" w:themeColor="text1"/>
          <w:lang w:val="en-AU"/>
        </w:rPr>
        <w:t>Effectiveness</w:t>
      </w:r>
      <w:r w:rsidRPr="003F14F4">
        <w:rPr>
          <w:rStyle w:val="Emphasis"/>
          <w:rFonts w:ascii="Roboto" w:hAnsi="Roboto"/>
          <w:i w:val="0"/>
          <w:color w:val="000000" w:themeColor="text1"/>
          <w:lang w:val="en-AU"/>
        </w:rPr>
        <w:t>:</w:t>
      </w:r>
      <w:r w:rsidRPr="00091600">
        <w:rPr>
          <w:rStyle w:val="Emphasis"/>
          <w:rFonts w:ascii="Roboto Light" w:hAnsi="Roboto Light"/>
          <w:color w:val="000000" w:themeColor="text1"/>
          <w:lang w:val="en-AU"/>
        </w:rPr>
        <w:t xml:space="preserve"> </w:t>
      </w:r>
      <w:r w:rsidRPr="00091600">
        <w:rPr>
          <w:rFonts w:ascii="Roboto Light" w:hAnsi="Roboto Light"/>
          <w:lang w:val="en-AU"/>
        </w:rPr>
        <w:t>The</w:t>
      </w:r>
      <w:r w:rsidR="000F4B57" w:rsidRPr="00091600">
        <w:rPr>
          <w:rFonts w:ascii="Roboto Light" w:hAnsi="Roboto Light"/>
          <w:lang w:val="en-AU"/>
        </w:rPr>
        <w:t xml:space="preserve"> progress of the Precinct against the ‘rolling’ design towards its intermediate outcomes, and analysis of early signs of practice</w:t>
      </w:r>
      <w:r w:rsidR="000F4B57" w:rsidRPr="00091600">
        <w:rPr>
          <w:rStyle w:val="BodyTextChar"/>
          <w:lang w:val="en-AU"/>
        </w:rPr>
        <w:t xml:space="preserve"> </w:t>
      </w:r>
      <w:r w:rsidR="000F4B57" w:rsidRPr="00091600">
        <w:rPr>
          <w:rFonts w:ascii="Roboto Light" w:hAnsi="Roboto Light"/>
          <w:lang w:val="en-AU"/>
        </w:rPr>
        <w:t>change by the intended beneficiaries in their organisations</w:t>
      </w:r>
      <w:r w:rsidRPr="00091600">
        <w:rPr>
          <w:rFonts w:ascii="Roboto Light" w:hAnsi="Roboto Light"/>
          <w:lang w:val="en-AU"/>
        </w:rPr>
        <w:t>.</w:t>
      </w:r>
    </w:p>
    <w:p w:rsidR="000F4B57" w:rsidRPr="00091600" w:rsidRDefault="00DA3B6F" w:rsidP="000F4B57">
      <w:pPr>
        <w:pStyle w:val="ListBullet"/>
        <w:rPr>
          <w:rFonts w:ascii="Roboto Light" w:hAnsi="Roboto Light"/>
          <w:lang w:val="en-AU"/>
        </w:rPr>
      </w:pPr>
      <w:r w:rsidRPr="001422B3">
        <w:rPr>
          <w:rFonts w:ascii="Roboto" w:hAnsi="Roboto"/>
          <w:b/>
          <w:iCs/>
          <w:lang w:val="en-AU"/>
        </w:rPr>
        <w:t>Opportunities</w:t>
      </w:r>
      <w:r w:rsidR="000F4B57" w:rsidRPr="001422B3">
        <w:rPr>
          <w:rFonts w:ascii="Roboto" w:hAnsi="Roboto"/>
          <w:b/>
          <w:iCs/>
          <w:lang w:val="en-AU"/>
        </w:rPr>
        <w:t xml:space="preserve"> for program improvement</w:t>
      </w:r>
      <w:r w:rsidR="000F4B57" w:rsidRPr="003F14F4">
        <w:rPr>
          <w:rFonts w:ascii="Roboto" w:hAnsi="Roboto"/>
          <w:iCs/>
          <w:lang w:val="en-AU"/>
        </w:rPr>
        <w:t>:</w:t>
      </w:r>
      <w:r w:rsidR="000F4B57" w:rsidRPr="00091600">
        <w:rPr>
          <w:rFonts w:ascii="Roboto Light" w:hAnsi="Roboto Light"/>
          <w:lang w:val="en-AU"/>
        </w:rPr>
        <w:t xml:space="preserve"> </w:t>
      </w:r>
      <w:r w:rsidRPr="00091600">
        <w:rPr>
          <w:rFonts w:ascii="Roboto Light" w:hAnsi="Roboto Light"/>
          <w:lang w:val="en-AU"/>
        </w:rPr>
        <w:t>To</w:t>
      </w:r>
      <w:r w:rsidR="000F4B57" w:rsidRPr="00091600">
        <w:rPr>
          <w:rFonts w:ascii="Roboto Light" w:hAnsi="Roboto Light"/>
          <w:lang w:val="en-AU"/>
        </w:rPr>
        <w:t xml:space="preserve"> provide stakeholders with insight and recommendations</w:t>
      </w:r>
      <w:r w:rsidRPr="00091600">
        <w:rPr>
          <w:rFonts w:ascii="Roboto Light" w:hAnsi="Roboto Light"/>
          <w:lang w:val="en-AU"/>
        </w:rPr>
        <w:t>,</w:t>
      </w:r>
      <w:r w:rsidR="000F4B57" w:rsidRPr="00091600">
        <w:rPr>
          <w:rFonts w:ascii="Roboto Light" w:hAnsi="Roboto Light"/>
          <w:lang w:val="en-AU"/>
        </w:rPr>
        <w:t xml:space="preserve"> based on evidence from PNG and international experience, as well as best practice, into:</w:t>
      </w:r>
    </w:p>
    <w:p w:rsidR="000F4B57" w:rsidRPr="00091600" w:rsidRDefault="000F4B57" w:rsidP="000F4B57">
      <w:pPr>
        <w:pStyle w:val="ListBullet3"/>
        <w:rPr>
          <w:rFonts w:ascii="Roboto Light" w:hAnsi="Roboto Light"/>
          <w:lang w:val="en-AU"/>
        </w:rPr>
      </w:pPr>
      <w:r w:rsidRPr="00091600">
        <w:rPr>
          <w:rFonts w:ascii="Roboto Light" w:hAnsi="Roboto Light"/>
          <w:lang w:val="en-AU"/>
        </w:rPr>
        <w:t>possible adjustment/reshaping of the Precinct and its activities to enhance development outcomes;</w:t>
      </w:r>
    </w:p>
    <w:p w:rsidR="000F4B57" w:rsidRPr="00091600" w:rsidRDefault="000F4B57" w:rsidP="000F4B57">
      <w:pPr>
        <w:pStyle w:val="ListBullet3"/>
        <w:rPr>
          <w:rFonts w:ascii="Roboto Light" w:hAnsi="Roboto Light"/>
          <w:lang w:val="en-AU"/>
        </w:rPr>
      </w:pPr>
      <w:r w:rsidRPr="00091600">
        <w:rPr>
          <w:rFonts w:ascii="Roboto Light" w:hAnsi="Roboto Light"/>
          <w:lang w:val="en-AU"/>
        </w:rPr>
        <w:t>the potential for new complementary initiatives further contributing to the development of capacity in ethical leadership, management, administration and governance in</w:t>
      </w:r>
      <w:r w:rsidR="00DA3B6F" w:rsidRPr="00091600">
        <w:rPr>
          <w:rFonts w:ascii="Roboto Light" w:hAnsi="Roboto Light"/>
          <w:lang w:val="en-AU"/>
        </w:rPr>
        <w:t xml:space="preserve"> the</w:t>
      </w:r>
      <w:r w:rsidRPr="00091600">
        <w:rPr>
          <w:rFonts w:ascii="Roboto Light" w:hAnsi="Roboto Light"/>
          <w:lang w:val="en-AU"/>
        </w:rPr>
        <w:t xml:space="preserve"> PNG public service; and</w:t>
      </w:r>
    </w:p>
    <w:p w:rsidR="000F4B57" w:rsidRPr="00091600" w:rsidRDefault="000F4B57" w:rsidP="000F4B57">
      <w:pPr>
        <w:pStyle w:val="ListBullet3"/>
        <w:rPr>
          <w:rFonts w:ascii="Roboto Light" w:hAnsi="Roboto Light"/>
          <w:lang w:val="en-AU"/>
        </w:rPr>
      </w:pPr>
      <w:r w:rsidRPr="00091600">
        <w:rPr>
          <w:rFonts w:ascii="Roboto Light" w:hAnsi="Roboto Light"/>
          <w:lang w:val="en-AU"/>
        </w:rPr>
        <w:t>opportunities to strengthen Precinct capacity development with specific PNG public sector reform priorities and initiatives.</w:t>
      </w:r>
    </w:p>
    <w:p w:rsidR="000F4B57" w:rsidRPr="00091600" w:rsidRDefault="000F4B57" w:rsidP="000F4B57">
      <w:pPr>
        <w:pStyle w:val="BodyText"/>
        <w:spacing w:before="240"/>
        <w:rPr>
          <w:rFonts w:eastAsiaTheme="minorEastAsia"/>
          <w:lang w:val="en-AU"/>
        </w:rPr>
      </w:pPr>
      <w:r w:rsidRPr="003F14F4">
        <w:rPr>
          <w:rFonts w:ascii="Roboto" w:hAnsi="Roboto"/>
          <w:lang w:val="en-AU"/>
        </w:rPr>
        <w:t xml:space="preserve">The </w:t>
      </w:r>
      <w:r w:rsidRPr="001422B3">
        <w:rPr>
          <w:rFonts w:ascii="Roboto" w:hAnsi="Roboto"/>
          <w:b/>
          <w:lang w:val="en-AU"/>
        </w:rPr>
        <w:t>key review question</w:t>
      </w:r>
      <w:r w:rsidRPr="003F14F4">
        <w:rPr>
          <w:rFonts w:ascii="Roboto" w:hAnsi="Roboto"/>
          <w:lang w:val="en-AU"/>
        </w:rPr>
        <w:t xml:space="preserve"> is</w:t>
      </w:r>
      <w:r w:rsidRPr="003F14F4">
        <w:rPr>
          <w:rFonts w:ascii="Roboto" w:hAnsi="Roboto"/>
          <w:lang w:val="en-AU" w:eastAsia="en-US"/>
        </w:rPr>
        <w:t>:</w:t>
      </w:r>
      <w:r w:rsidRPr="00091600">
        <w:rPr>
          <w:lang w:val="en-AU" w:eastAsia="en-US"/>
        </w:rPr>
        <w:t xml:space="preserve"> ‘To what extent is investment in the Precinct contributing to </w:t>
      </w:r>
      <w:r w:rsidRPr="00091600">
        <w:rPr>
          <w:rFonts w:cs="Times New Roman"/>
          <w:lang w:val="en-AU" w:eastAsia="en-US"/>
        </w:rPr>
        <w:t>the desired outcomes of effective and ethical leadership?’</w:t>
      </w:r>
    </w:p>
    <w:p w:rsidR="000F4B57" w:rsidRPr="00091600" w:rsidRDefault="000F4B57" w:rsidP="00931BFA">
      <w:pPr>
        <w:pStyle w:val="Heading2NONUM"/>
        <w:rPr>
          <w:rFonts w:eastAsiaTheme="minorHAnsi"/>
          <w:lang w:val="en-AU"/>
        </w:rPr>
      </w:pPr>
      <w:bookmarkStart w:id="32" w:name="_Toc523866151"/>
      <w:bookmarkStart w:id="33" w:name="_Toc536719906"/>
      <w:bookmarkStart w:id="34" w:name="_Toc2091546"/>
      <w:r w:rsidRPr="00091600">
        <w:rPr>
          <w:rFonts w:eastAsiaTheme="minorHAnsi"/>
          <w:lang w:val="en-AU"/>
        </w:rPr>
        <w:t xml:space="preserve">1.3 </w:t>
      </w:r>
      <w:r w:rsidRPr="00091600">
        <w:rPr>
          <w:rFonts w:eastAsiaTheme="minorHAnsi"/>
          <w:lang w:val="en-AU"/>
        </w:rPr>
        <w:tab/>
      </w:r>
      <w:r w:rsidRPr="00931BFA">
        <w:rPr>
          <w:rFonts w:eastAsiaTheme="minorHAnsi"/>
        </w:rPr>
        <w:t>Methodology</w:t>
      </w:r>
      <w:bookmarkEnd w:id="32"/>
      <w:bookmarkEnd w:id="33"/>
      <w:bookmarkEnd w:id="34"/>
    </w:p>
    <w:p w:rsidR="000F4B57" w:rsidRPr="00091600" w:rsidRDefault="000F4B57" w:rsidP="000F4B57">
      <w:pPr>
        <w:pStyle w:val="BodyText"/>
        <w:rPr>
          <w:lang w:val="en-AU"/>
        </w:rPr>
      </w:pPr>
      <w:r w:rsidRPr="00091600">
        <w:rPr>
          <w:lang w:val="en-AU"/>
        </w:rPr>
        <w:t>A team comprising Laure-Hélène Piron (Team Leader), Sandra Naranjo Bautista (Public Policy Specialist), Dr Ann-Maree Nobelius (Social Development Adviser), and Professor Maretta Kula-Semos (PNG Leadership Adviser), accompanied by Geoff King (DFAT PNG Governance and Performance Section), undertook interviews in Port Moresby from 08 July to 20 July</w:t>
      </w:r>
      <w:r w:rsidR="00DA3B6F" w:rsidRPr="00091600">
        <w:rPr>
          <w:lang w:val="en-AU"/>
        </w:rPr>
        <w:t xml:space="preserve"> 2018</w:t>
      </w:r>
      <w:r w:rsidRPr="00091600">
        <w:rPr>
          <w:lang w:val="en-AU"/>
        </w:rPr>
        <w:t>. A workshop with beneficiaries of Precinct courses was held on 13 July in Port Moresby. Two team members visited Kokopo, East New Britain Province, to seek the views of provincial and district beneficiaries on 16–17 July. Following the mission, two team members separately interviewed Australian stakeholders.</w:t>
      </w:r>
    </w:p>
    <w:p w:rsidR="000F4B57" w:rsidRPr="00091600" w:rsidRDefault="000F4B57" w:rsidP="000F4B57">
      <w:pPr>
        <w:pStyle w:val="BodyText"/>
        <w:rPr>
          <w:lang w:val="en-AU"/>
        </w:rPr>
      </w:pPr>
      <w:r w:rsidRPr="00091600">
        <w:rPr>
          <w:lang w:val="en-AU"/>
        </w:rPr>
        <w:t xml:space="preserve">Overall, the team interviewed 120 persons recommended by </w:t>
      </w:r>
      <w:r w:rsidR="005A6912" w:rsidRPr="00091600">
        <w:rPr>
          <w:lang w:val="en-AU"/>
        </w:rPr>
        <w:t xml:space="preserve">the </w:t>
      </w:r>
      <w:r w:rsidR="0021525E" w:rsidRPr="00091600">
        <w:rPr>
          <w:lang w:val="en-AU"/>
        </w:rPr>
        <w:t>Australian High Commission</w:t>
      </w:r>
      <w:r w:rsidR="005A6912" w:rsidRPr="00091600">
        <w:rPr>
          <w:lang w:val="en-AU"/>
        </w:rPr>
        <w:t xml:space="preserve"> (</w:t>
      </w:r>
      <w:r w:rsidRPr="00091600">
        <w:rPr>
          <w:lang w:val="en-AU"/>
        </w:rPr>
        <w:t>AHC</w:t>
      </w:r>
      <w:r w:rsidR="00FB6EF2" w:rsidRPr="00091600">
        <w:rPr>
          <w:lang w:val="en-AU"/>
        </w:rPr>
        <w:t>)</w:t>
      </w:r>
      <w:r w:rsidR="0021525E" w:rsidRPr="00091600">
        <w:rPr>
          <w:lang w:val="en-AU"/>
        </w:rPr>
        <w:t>,</w:t>
      </w:r>
      <w:r w:rsidRPr="00091600">
        <w:rPr>
          <w:lang w:val="en-AU"/>
        </w:rPr>
        <w:t xml:space="preserve"> PNG members of the </w:t>
      </w:r>
      <w:r w:rsidR="00FB6EF2" w:rsidRPr="00091600">
        <w:rPr>
          <w:lang w:val="en-AU"/>
        </w:rPr>
        <w:t>Joint Steering Committee</w:t>
      </w:r>
      <w:r w:rsidR="00FA59F8" w:rsidRPr="00091600">
        <w:rPr>
          <w:lang w:val="en-AU"/>
        </w:rPr>
        <w:t xml:space="preserve"> (</w:t>
      </w:r>
      <w:r w:rsidRPr="00091600">
        <w:rPr>
          <w:lang w:val="en-AU"/>
        </w:rPr>
        <w:t>JSC</w:t>
      </w:r>
      <w:r w:rsidR="00FA59F8" w:rsidRPr="00091600">
        <w:rPr>
          <w:lang w:val="en-AU"/>
        </w:rPr>
        <w:t>)</w:t>
      </w:r>
      <w:r w:rsidR="00FC457B" w:rsidRPr="00091600">
        <w:rPr>
          <w:lang w:val="en-AU"/>
        </w:rPr>
        <w:t>,</w:t>
      </w:r>
      <w:r w:rsidR="00FB6EF2" w:rsidRPr="00091600">
        <w:rPr>
          <w:lang w:val="en-AU"/>
        </w:rPr>
        <w:t xml:space="preserve"> or</w:t>
      </w:r>
      <w:r w:rsidR="005A6912" w:rsidRPr="00091600">
        <w:rPr>
          <w:lang w:val="en-AU"/>
        </w:rPr>
        <w:t xml:space="preserve"> </w:t>
      </w:r>
      <w:r w:rsidRPr="00091600">
        <w:rPr>
          <w:lang w:val="en-AU"/>
        </w:rPr>
        <w:t>the Managing Contractor (</w:t>
      </w:r>
      <w:r w:rsidRPr="00091600">
        <w:rPr>
          <w:lang w:val="en-AU"/>
        </w:rPr>
        <w:fldChar w:fldCharType="begin"/>
      </w:r>
      <w:r w:rsidRPr="00091600">
        <w:rPr>
          <w:lang w:val="en-AU"/>
        </w:rPr>
        <w:instrText xml:space="preserve"> REF _Ref524707905 \r \h  \* MERGEFORMAT </w:instrText>
      </w:r>
      <w:r w:rsidRPr="00091600">
        <w:rPr>
          <w:lang w:val="en-AU"/>
        </w:rPr>
      </w:r>
      <w:r w:rsidRPr="00091600">
        <w:rPr>
          <w:lang w:val="en-AU"/>
        </w:rPr>
        <w:fldChar w:fldCharType="separate"/>
      </w:r>
      <w:r w:rsidR="004964E9">
        <w:rPr>
          <w:lang w:val="en-AU"/>
        </w:rPr>
        <w:t>Annex A</w:t>
      </w:r>
      <w:r w:rsidRPr="00091600">
        <w:rPr>
          <w:lang w:val="en-AU"/>
        </w:rPr>
        <w:fldChar w:fldCharType="end"/>
      </w:r>
      <w:r w:rsidR="0021525E" w:rsidRPr="00091600">
        <w:rPr>
          <w:lang w:val="en-AU"/>
        </w:rPr>
        <w:t>).</w:t>
      </w:r>
      <w:r w:rsidRPr="00091600">
        <w:rPr>
          <w:lang w:val="en-AU"/>
        </w:rPr>
        <w:t xml:space="preserve"> In addition, the team collected over 200 documents (see the bibliography at </w:t>
      </w:r>
      <w:r w:rsidRPr="00091600">
        <w:rPr>
          <w:lang w:val="en-AU"/>
        </w:rPr>
        <w:fldChar w:fldCharType="begin"/>
      </w:r>
      <w:r w:rsidRPr="00091600">
        <w:rPr>
          <w:lang w:val="en-AU"/>
        </w:rPr>
        <w:instrText xml:space="preserve"> REF _Ref524707915 \r \h  \* MERGEFORMAT </w:instrText>
      </w:r>
      <w:r w:rsidRPr="00091600">
        <w:rPr>
          <w:lang w:val="en-AU"/>
        </w:rPr>
      </w:r>
      <w:r w:rsidRPr="00091600">
        <w:rPr>
          <w:lang w:val="en-AU"/>
        </w:rPr>
        <w:fldChar w:fldCharType="separate"/>
      </w:r>
      <w:r w:rsidR="004964E9">
        <w:rPr>
          <w:lang w:val="en-AU"/>
        </w:rPr>
        <w:t>Annex B</w:t>
      </w:r>
      <w:r w:rsidRPr="00091600">
        <w:rPr>
          <w:lang w:val="en-AU"/>
        </w:rPr>
        <w:fldChar w:fldCharType="end"/>
      </w:r>
      <w:r w:rsidRPr="00091600">
        <w:rPr>
          <w:lang w:val="en-AU"/>
        </w:rPr>
        <w:t xml:space="preserve">). The review also draws on a literature review to identify lessons learned from other programs, as well as from academic research. </w:t>
      </w:r>
    </w:p>
    <w:p w:rsidR="000F4B57" w:rsidRPr="00091600" w:rsidRDefault="000F4B57" w:rsidP="000F4B57">
      <w:pPr>
        <w:pStyle w:val="BodyText"/>
        <w:rPr>
          <w:lang w:val="en-AU"/>
        </w:rPr>
      </w:pPr>
      <w:r w:rsidRPr="00091600">
        <w:rPr>
          <w:lang w:val="en-AU"/>
        </w:rPr>
        <w:t xml:space="preserve">The first draft report was quality assured by QTAG before submission to AHC and members of the program </w:t>
      </w:r>
      <w:r w:rsidR="00AB5A13" w:rsidRPr="00091600">
        <w:rPr>
          <w:lang w:val="en-AU"/>
        </w:rPr>
        <w:t>JSC</w:t>
      </w:r>
      <w:r w:rsidRPr="00091600">
        <w:rPr>
          <w:lang w:val="en-AU"/>
        </w:rPr>
        <w:t xml:space="preserve"> in September 2018. Consolidated comments from PNG and Australian stakeholders were received in December 2018. The </w:t>
      </w:r>
      <w:r w:rsidR="00FA59F8" w:rsidRPr="00091600">
        <w:rPr>
          <w:lang w:val="en-AU"/>
        </w:rPr>
        <w:t>second</w:t>
      </w:r>
      <w:r w:rsidRPr="00091600">
        <w:rPr>
          <w:lang w:val="en-AU"/>
        </w:rPr>
        <w:t xml:space="preserve"> revised report was delivered in January 2019, using a cleaned dataset to update the quantitative analysis</w:t>
      </w:r>
      <w:r w:rsidR="00FA59F8" w:rsidRPr="00091600">
        <w:rPr>
          <w:lang w:val="en-AU"/>
        </w:rPr>
        <w:t>, and the final report in February 2019.</w:t>
      </w:r>
    </w:p>
    <w:p w:rsidR="000F4B57" w:rsidRPr="00091600" w:rsidRDefault="000F4B57" w:rsidP="000F4B57">
      <w:pPr>
        <w:pStyle w:val="BodyText"/>
        <w:rPr>
          <w:lang w:val="en-AU"/>
        </w:rPr>
      </w:pPr>
      <w:r w:rsidRPr="00091600">
        <w:rPr>
          <w:lang w:val="en-AU"/>
        </w:rPr>
        <w:t>The review adopts an ‘appreciative inquiry’ or ‘strengths-based’ approach, identifying what has worked best</w:t>
      </w:r>
      <w:r w:rsidR="002B7344">
        <w:rPr>
          <w:lang w:val="en-AU"/>
        </w:rPr>
        <w:t>,</w:t>
      </w:r>
      <w:r w:rsidRPr="00091600">
        <w:rPr>
          <w:lang w:val="en-AU"/>
        </w:rPr>
        <w:t xml:space="preserve"> the program’s achievements, its strengths, and how to overcome identified challenges, building on strengths and opportunities.</w:t>
      </w:r>
      <w:r w:rsidRPr="00091600">
        <w:rPr>
          <w:rStyle w:val="FootnoteReference"/>
          <w:lang w:val="en-AU"/>
        </w:rPr>
        <w:footnoteReference w:id="3"/>
      </w:r>
    </w:p>
    <w:p w:rsidR="000F4B57" w:rsidRPr="00091600" w:rsidRDefault="000F4B57" w:rsidP="008B5080">
      <w:pPr>
        <w:pStyle w:val="BodyText"/>
        <w:ind w:firstLine="1"/>
        <w:rPr>
          <w:lang w:val="en-AU"/>
        </w:rPr>
      </w:pPr>
      <w:r w:rsidRPr="00091600">
        <w:rPr>
          <w:lang w:val="en-AU"/>
        </w:rPr>
        <w:t xml:space="preserve">The Strategic Review was asked to use the January 2016 </w:t>
      </w:r>
      <w:r w:rsidRPr="00091600">
        <w:rPr>
          <w:i/>
          <w:lang w:val="en-AU"/>
        </w:rPr>
        <w:t>Update of the 2015 Precinct Design Brief and Implementation</w:t>
      </w:r>
      <w:r w:rsidRPr="00091600">
        <w:rPr>
          <w:rStyle w:val="FootnoteReference"/>
          <w:lang w:val="en-AU"/>
        </w:rPr>
        <w:footnoteReference w:id="4"/>
      </w:r>
      <w:r w:rsidRPr="00091600">
        <w:rPr>
          <w:lang w:val="en-AU"/>
        </w:rPr>
        <w:t xml:space="preserve"> as the basis for its analysis, as it is the latest approved version of the program design document. Updated draft Design and Implementation Briefs and Performance Assessment Frameworks have been prepared by the Managing Contractor during 2017 and 2018 to reflect how the program is evolving and the lessons learned. They had not been approved at the time of the Strategic Review. The </w:t>
      </w:r>
      <w:r w:rsidR="00CF45C5" w:rsidRPr="00091600">
        <w:rPr>
          <w:lang w:val="en-AU"/>
        </w:rPr>
        <w:t>review</w:t>
      </w:r>
      <w:r w:rsidRPr="00091600">
        <w:rPr>
          <w:lang w:val="en-AU"/>
        </w:rPr>
        <w:t xml:space="preserve"> team therefore also used the January 2016 results framework (Annex 6 of the 2016 Design Update) to identify expected program results.</w:t>
      </w:r>
    </w:p>
    <w:p w:rsidR="000F4B57" w:rsidRPr="00091600" w:rsidRDefault="000F4B57" w:rsidP="000F4B57">
      <w:pPr>
        <w:pStyle w:val="BodyText"/>
        <w:rPr>
          <w:lang w:val="en-AU"/>
        </w:rPr>
      </w:pPr>
      <w:r w:rsidRPr="00091600">
        <w:rPr>
          <w:lang w:val="en-AU"/>
        </w:rPr>
        <w:t xml:space="preserve">The Strategic Review methodology and key review questions are listed in </w:t>
      </w:r>
      <w:r w:rsidRPr="00091600">
        <w:rPr>
          <w:lang w:val="en-AU"/>
        </w:rPr>
        <w:fldChar w:fldCharType="begin"/>
      </w:r>
      <w:r w:rsidRPr="00091600">
        <w:rPr>
          <w:lang w:val="en-AU"/>
        </w:rPr>
        <w:instrText xml:space="preserve"> REF _Ref524707936 \r \h  \* MERGEFORMAT </w:instrText>
      </w:r>
      <w:r w:rsidRPr="00091600">
        <w:rPr>
          <w:lang w:val="en-AU"/>
        </w:rPr>
      </w:r>
      <w:r w:rsidRPr="00091600">
        <w:rPr>
          <w:lang w:val="en-AU"/>
        </w:rPr>
        <w:fldChar w:fldCharType="separate"/>
      </w:r>
      <w:r w:rsidR="004964E9">
        <w:rPr>
          <w:lang w:val="en-AU"/>
        </w:rPr>
        <w:t>Annex C</w:t>
      </w:r>
      <w:r w:rsidRPr="00091600">
        <w:rPr>
          <w:lang w:val="en-AU"/>
        </w:rPr>
        <w:fldChar w:fldCharType="end"/>
      </w:r>
      <w:r w:rsidRPr="00091600">
        <w:rPr>
          <w:lang w:val="en-AU"/>
        </w:rPr>
        <w:t>. A more detailed assessment of progress against the Precinct’s 2016 results framework has been prepared to evidence judgements reached in the Strategic Review (</w:t>
      </w:r>
      <w:r w:rsidRPr="00091600">
        <w:rPr>
          <w:lang w:val="en-AU"/>
        </w:rPr>
        <w:fldChar w:fldCharType="begin"/>
      </w:r>
      <w:r w:rsidRPr="00091600">
        <w:rPr>
          <w:lang w:val="en-AU"/>
        </w:rPr>
        <w:instrText xml:space="preserve"> REF _Ref524707949 \r \h  \* MERGEFORMAT </w:instrText>
      </w:r>
      <w:r w:rsidRPr="00091600">
        <w:rPr>
          <w:lang w:val="en-AU"/>
        </w:rPr>
      </w:r>
      <w:r w:rsidRPr="00091600">
        <w:rPr>
          <w:lang w:val="en-AU"/>
        </w:rPr>
        <w:fldChar w:fldCharType="separate"/>
      </w:r>
      <w:r w:rsidR="004964E9">
        <w:rPr>
          <w:lang w:val="en-AU"/>
        </w:rPr>
        <w:t>Annex D</w:t>
      </w:r>
      <w:r w:rsidRPr="00091600">
        <w:rPr>
          <w:lang w:val="en-AU"/>
        </w:rPr>
        <w:fldChar w:fldCharType="end"/>
      </w:r>
      <w:r w:rsidRPr="00091600">
        <w:rPr>
          <w:lang w:val="en-AU"/>
        </w:rPr>
        <w:t>). A fuller gender and inclusion analysis can be found in</w:t>
      </w:r>
      <w:r w:rsidR="008E1745">
        <w:rPr>
          <w:lang w:val="en-AU"/>
        </w:rPr>
        <w:t xml:space="preserve"> Annex E</w:t>
      </w:r>
      <w:r w:rsidRPr="00091600">
        <w:rPr>
          <w:lang w:val="en-AU"/>
        </w:rPr>
        <w:t xml:space="preserve">, and details on complementarities with other Australian programs appear in </w:t>
      </w:r>
      <w:r w:rsidRPr="00091600">
        <w:rPr>
          <w:lang w:val="en-AU"/>
        </w:rPr>
        <w:fldChar w:fldCharType="begin"/>
      </w:r>
      <w:r w:rsidRPr="00091600">
        <w:rPr>
          <w:lang w:val="en-AU"/>
        </w:rPr>
        <w:instrText xml:space="preserve"> REF _Ref524707965 \r \h  \* MERGEFORMAT </w:instrText>
      </w:r>
      <w:r w:rsidRPr="00091600">
        <w:rPr>
          <w:lang w:val="en-AU"/>
        </w:rPr>
      </w:r>
      <w:r w:rsidRPr="00091600">
        <w:rPr>
          <w:lang w:val="en-AU"/>
        </w:rPr>
        <w:fldChar w:fldCharType="separate"/>
      </w:r>
      <w:r w:rsidR="004964E9">
        <w:rPr>
          <w:lang w:val="en-AU"/>
        </w:rPr>
        <w:t>Annex F</w:t>
      </w:r>
      <w:r w:rsidRPr="00091600">
        <w:rPr>
          <w:lang w:val="en-AU"/>
        </w:rPr>
        <w:fldChar w:fldCharType="end"/>
      </w:r>
      <w:r w:rsidRPr="00091600">
        <w:rPr>
          <w:lang w:val="en-AU"/>
        </w:rPr>
        <w:t>.</w:t>
      </w:r>
    </w:p>
    <w:p w:rsidR="000F4B57" w:rsidRPr="00091600" w:rsidRDefault="000F4B57" w:rsidP="000F4B57">
      <w:pPr>
        <w:pStyle w:val="BodyText"/>
        <w:spacing w:after="0"/>
        <w:rPr>
          <w:lang w:val="en-AU"/>
        </w:rPr>
      </w:pPr>
      <w:r w:rsidRPr="00091600">
        <w:rPr>
          <w:lang w:val="en-AU"/>
        </w:rPr>
        <w:t xml:space="preserve">This report is structured as follows. The rest of this </w:t>
      </w:r>
      <w:r w:rsidR="00FC457B" w:rsidRPr="00091600">
        <w:rPr>
          <w:lang w:val="en-AU"/>
        </w:rPr>
        <w:t>c</w:t>
      </w:r>
      <w:r w:rsidR="006C6D49" w:rsidRPr="00091600">
        <w:rPr>
          <w:lang w:val="en-AU"/>
        </w:rPr>
        <w:t>hapter</w:t>
      </w:r>
      <w:r w:rsidRPr="00091600">
        <w:rPr>
          <w:lang w:val="en-AU"/>
        </w:rPr>
        <w:t xml:space="preserve"> provides background information on the Precinct history and its program logic. Chapter 2 reviews each program component using a strengths-based approach. Chapter 3 analyses the Precinct at the program level to respond to the main review questions. Chapter 4 summarises the main findings. Recommendations, lessons learned, and relevant examples of academic evidence and international experiences are integrated throughout the report.</w:t>
      </w:r>
    </w:p>
    <w:p w:rsidR="000F4B57" w:rsidRPr="00091600" w:rsidRDefault="000F4B57" w:rsidP="00931BFA">
      <w:pPr>
        <w:pStyle w:val="Heading2NONUM"/>
        <w:rPr>
          <w:rFonts w:eastAsiaTheme="minorHAnsi"/>
          <w:lang w:val="en-AU"/>
        </w:rPr>
      </w:pPr>
      <w:bookmarkStart w:id="35" w:name="_Toc523866152"/>
      <w:bookmarkStart w:id="36" w:name="_Toc536719907"/>
      <w:bookmarkStart w:id="37" w:name="_Toc2091547"/>
      <w:r w:rsidRPr="00091600">
        <w:rPr>
          <w:rFonts w:eastAsiaTheme="minorHAnsi"/>
          <w:lang w:val="en-AU"/>
        </w:rPr>
        <w:t>1.4</w:t>
      </w:r>
      <w:r w:rsidRPr="00091600">
        <w:rPr>
          <w:rFonts w:eastAsiaTheme="minorHAnsi"/>
          <w:lang w:val="en-AU"/>
        </w:rPr>
        <w:tab/>
      </w:r>
      <w:r w:rsidR="00846BF1" w:rsidRPr="00091600">
        <w:rPr>
          <w:rFonts w:eastAsiaTheme="minorHAnsi"/>
          <w:lang w:val="en-AU"/>
        </w:rPr>
        <w:t xml:space="preserve"> </w:t>
      </w:r>
      <w:r w:rsidRPr="00091600">
        <w:rPr>
          <w:rFonts w:eastAsiaTheme="minorHAnsi"/>
          <w:lang w:val="en-AU"/>
        </w:rPr>
        <w:t xml:space="preserve">Program </w:t>
      </w:r>
      <w:r w:rsidRPr="00931BFA">
        <w:rPr>
          <w:rFonts w:eastAsiaTheme="minorHAnsi"/>
        </w:rPr>
        <w:t>overview</w:t>
      </w:r>
      <w:bookmarkEnd w:id="35"/>
      <w:bookmarkEnd w:id="36"/>
      <w:bookmarkEnd w:id="37"/>
    </w:p>
    <w:p w:rsidR="000F4B57" w:rsidRPr="00091600" w:rsidRDefault="000F4B57" w:rsidP="00931BFA">
      <w:pPr>
        <w:pStyle w:val="Heading4"/>
        <w:rPr>
          <w:lang w:val="en-AU"/>
        </w:rPr>
      </w:pPr>
      <w:r w:rsidRPr="00091600">
        <w:rPr>
          <w:lang w:val="en-AU"/>
        </w:rPr>
        <w:t xml:space="preserve">Program </w:t>
      </w:r>
      <w:r w:rsidRPr="00931BFA">
        <w:t>origins</w:t>
      </w:r>
    </w:p>
    <w:p w:rsidR="000F4B57" w:rsidRPr="00091600" w:rsidRDefault="000F4B57" w:rsidP="000F4B57">
      <w:pPr>
        <w:pStyle w:val="BodyText"/>
        <w:rPr>
          <w:lang w:val="en-AU"/>
        </w:rPr>
      </w:pPr>
      <w:r w:rsidRPr="00091600">
        <w:rPr>
          <w:lang w:val="en-AU"/>
        </w:rPr>
        <w:t xml:space="preserve">The Precinct program continues a long history of Australian support for governance and education in PNG. The latest wave of </w:t>
      </w:r>
      <w:r w:rsidR="00E87298">
        <w:rPr>
          <w:lang w:val="en-AU"/>
        </w:rPr>
        <w:t>PNG Government</w:t>
      </w:r>
      <w:r w:rsidRPr="00091600">
        <w:rPr>
          <w:lang w:val="en-AU"/>
        </w:rPr>
        <w:t xml:space="preserve"> public sector reforms supported by Australia have focused on human resources management, through delivering values and ethics-based leadership training and developing training institutions (through the </w:t>
      </w:r>
      <w:hyperlink r:id="rId18" w:history="1">
        <w:r w:rsidRPr="00091600">
          <w:rPr>
            <w:rStyle w:val="Hyperlink"/>
            <w:lang w:val="en-AU"/>
          </w:rPr>
          <w:t>Public Sector Workforce Development Initiative/Program</w:t>
        </w:r>
      </w:hyperlink>
      <w:r w:rsidRPr="00091600">
        <w:rPr>
          <w:lang w:val="en-AU"/>
        </w:rPr>
        <w:t xml:space="preserve"> (PSWFDI/P) (since 2004</w:t>
      </w:r>
      <w:r w:rsidR="00FC457B" w:rsidRPr="00091600">
        <w:rPr>
          <w:lang w:val="en-AU"/>
        </w:rPr>
        <w:t>;</w:t>
      </w:r>
      <w:r w:rsidRPr="00091600">
        <w:rPr>
          <w:lang w:val="en-AU"/>
        </w:rPr>
        <w:t xml:space="preserve"> renamed</w:t>
      </w:r>
      <w:r w:rsidR="004521E1" w:rsidRPr="00091600">
        <w:rPr>
          <w:lang w:val="en-AU"/>
        </w:rPr>
        <w:t xml:space="preserve"> </w:t>
      </w:r>
      <w:r w:rsidRPr="00091600">
        <w:rPr>
          <w:lang w:val="en-AU"/>
        </w:rPr>
        <w:t xml:space="preserve"> 2006), including its </w:t>
      </w:r>
      <w:hyperlink r:id="rId19" w:history="1">
        <w:r w:rsidRPr="00091600">
          <w:rPr>
            <w:rStyle w:val="Hyperlink"/>
            <w:lang w:val="en-AU"/>
          </w:rPr>
          <w:t>National Public Service Graduate Development Program</w:t>
        </w:r>
      </w:hyperlink>
      <w:r w:rsidRPr="00091600">
        <w:rPr>
          <w:lang w:val="en-AU"/>
        </w:rPr>
        <w:t>).</w:t>
      </w:r>
      <w:r w:rsidRPr="00091600">
        <w:rPr>
          <w:rStyle w:val="FootnoteReference"/>
          <w:lang w:val="en-AU"/>
        </w:rPr>
        <w:footnoteReference w:id="5"/>
      </w:r>
    </w:p>
    <w:p w:rsidR="000F4B57" w:rsidRPr="00091600" w:rsidRDefault="000F4B57" w:rsidP="000F4B57">
      <w:pPr>
        <w:pStyle w:val="BodyText"/>
        <w:rPr>
          <w:lang w:val="en-AU"/>
        </w:rPr>
      </w:pPr>
      <w:r w:rsidRPr="00091600">
        <w:rPr>
          <w:lang w:val="en-AU"/>
        </w:rPr>
        <w:t xml:space="preserve">The Precinct is aligned with fundamental </w:t>
      </w:r>
      <w:r w:rsidR="00E87298">
        <w:rPr>
          <w:kern w:val="20"/>
          <w:szCs w:val="20"/>
          <w:lang w:val="en-AU" w:eastAsia="ja-JP"/>
        </w:rPr>
        <w:t>PNG Government</w:t>
      </w:r>
      <w:r w:rsidRPr="00091600">
        <w:rPr>
          <w:lang w:val="en-AU"/>
        </w:rPr>
        <w:t xml:space="preserve"> frameworks, in particular the PNG Constitution, the PNG Vision 2050, and the PNG Development Strategic Plan 2010–</w:t>
      </w:r>
      <w:r w:rsidR="0035359C" w:rsidRPr="00091600">
        <w:rPr>
          <w:lang w:val="en-AU"/>
        </w:rPr>
        <w:t>30</w:t>
      </w:r>
      <w:r w:rsidRPr="00091600">
        <w:rPr>
          <w:lang w:val="en-AU"/>
        </w:rPr>
        <w:t xml:space="preserve">. These foundations recognise the importance of leadership to achieve </w:t>
      </w:r>
      <w:r w:rsidR="00E87298">
        <w:rPr>
          <w:lang w:val="en-AU"/>
        </w:rPr>
        <w:t>PNG Government</w:t>
      </w:r>
      <w:r w:rsidRPr="00091600">
        <w:rPr>
          <w:lang w:val="en-AU"/>
        </w:rPr>
        <w:t xml:space="preserve"> objectives. </w:t>
      </w:r>
      <w:r w:rsidR="00FC457B" w:rsidRPr="00091600">
        <w:rPr>
          <w:lang w:val="en-AU"/>
        </w:rPr>
        <w:t>T</w:t>
      </w:r>
      <w:r w:rsidR="00E63778" w:rsidRPr="00091600">
        <w:rPr>
          <w:lang w:val="en-AU"/>
        </w:rPr>
        <w:t>he</w:t>
      </w:r>
      <w:r w:rsidRPr="00091600">
        <w:rPr>
          <w:lang w:val="en-AU"/>
        </w:rPr>
        <w:t xml:space="preserve"> Precinct particularly assists the implementation of two flagship </w:t>
      </w:r>
      <w:r w:rsidR="00E87298">
        <w:rPr>
          <w:lang w:val="en-AU"/>
        </w:rPr>
        <w:t>PNG Government</w:t>
      </w:r>
      <w:r w:rsidRPr="00091600">
        <w:rPr>
          <w:lang w:val="en-AU"/>
        </w:rPr>
        <w:t xml:space="preserve"> policies:</w:t>
      </w:r>
    </w:p>
    <w:p w:rsidR="000F4B57" w:rsidRPr="00091600" w:rsidRDefault="000A45E2" w:rsidP="000F4B57">
      <w:pPr>
        <w:pStyle w:val="ListBullet"/>
        <w:rPr>
          <w:rFonts w:ascii="Roboto Light" w:hAnsi="Roboto Light"/>
          <w:szCs w:val="22"/>
          <w:lang w:val="en-AU"/>
        </w:rPr>
      </w:pPr>
      <w:r w:rsidRPr="00091600">
        <w:rPr>
          <w:rFonts w:ascii="Roboto Light" w:hAnsi="Roboto Light"/>
          <w:lang w:val="en-AU"/>
        </w:rPr>
        <w:t>Ethics and Values Based Executive Leadership and Management Capability Framework (</w:t>
      </w:r>
      <w:r w:rsidR="000F4B57" w:rsidRPr="00091600">
        <w:rPr>
          <w:rFonts w:ascii="Roboto Light" w:hAnsi="Roboto Light"/>
          <w:szCs w:val="22"/>
          <w:lang w:val="en-AU"/>
        </w:rPr>
        <w:t>LCF</w:t>
      </w:r>
      <w:r w:rsidRPr="00091600">
        <w:rPr>
          <w:rFonts w:ascii="Roboto Light" w:hAnsi="Roboto Light"/>
          <w:lang w:val="en-AU"/>
        </w:rPr>
        <w:t>)</w:t>
      </w:r>
      <w:r w:rsidR="00F32F29" w:rsidRPr="00091600">
        <w:rPr>
          <w:rFonts w:ascii="Roboto Light" w:hAnsi="Roboto Light"/>
          <w:lang w:val="en-AU"/>
        </w:rPr>
        <w:t xml:space="preserve"> which was</w:t>
      </w:r>
      <w:r w:rsidR="000F4B57" w:rsidRPr="00091600">
        <w:rPr>
          <w:rFonts w:ascii="Roboto Light" w:hAnsi="Roboto Light"/>
          <w:szCs w:val="22"/>
          <w:lang w:val="en-AU"/>
        </w:rPr>
        <w:t xml:space="preserve"> developed over a four-year process of PNG-wide consultations led by </w:t>
      </w:r>
      <w:r w:rsidR="00E87298">
        <w:rPr>
          <w:rFonts w:ascii="Roboto Light" w:hAnsi="Roboto Light"/>
          <w:lang w:val="en-AU"/>
        </w:rPr>
        <w:t>the PNG Government</w:t>
      </w:r>
      <w:r w:rsidR="002B7344">
        <w:rPr>
          <w:rFonts w:ascii="Roboto Light" w:hAnsi="Roboto Light"/>
          <w:szCs w:val="22"/>
          <w:lang w:val="en-AU"/>
        </w:rPr>
        <w:t>.</w:t>
      </w:r>
      <w:r w:rsidR="000F4B57" w:rsidRPr="00091600">
        <w:rPr>
          <w:rStyle w:val="FootnoteReference"/>
          <w:rFonts w:ascii="Roboto Light" w:hAnsi="Roboto Light"/>
          <w:szCs w:val="22"/>
          <w:lang w:val="en-AU"/>
        </w:rPr>
        <w:footnoteReference w:id="6"/>
      </w:r>
    </w:p>
    <w:p w:rsidR="000F4B57" w:rsidRPr="00091600" w:rsidRDefault="00310542" w:rsidP="000F4B57">
      <w:pPr>
        <w:pStyle w:val="ListBullet"/>
        <w:rPr>
          <w:rFonts w:ascii="Roboto Light" w:hAnsi="Roboto Light"/>
          <w:szCs w:val="22"/>
          <w:lang w:val="en-AU"/>
        </w:rPr>
      </w:pPr>
      <w:r w:rsidRPr="00091600">
        <w:rPr>
          <w:rFonts w:ascii="Roboto Light" w:hAnsi="Roboto Light"/>
          <w:lang w:val="en-AU"/>
        </w:rPr>
        <w:t>National Public Service Gender Equity and Social Inclusion (</w:t>
      </w:r>
      <w:r w:rsidR="000F4B57" w:rsidRPr="00091600">
        <w:rPr>
          <w:rFonts w:ascii="Roboto Light" w:hAnsi="Roboto Light"/>
          <w:szCs w:val="22"/>
          <w:lang w:val="en-AU"/>
        </w:rPr>
        <w:t>GESI</w:t>
      </w:r>
      <w:r w:rsidRPr="00091600">
        <w:rPr>
          <w:rFonts w:ascii="Roboto Light" w:hAnsi="Roboto Light"/>
          <w:lang w:val="en-AU"/>
        </w:rPr>
        <w:t>)</w:t>
      </w:r>
      <w:r w:rsidR="000F4B57" w:rsidRPr="00091600">
        <w:rPr>
          <w:rFonts w:ascii="Roboto Light" w:hAnsi="Roboto Light"/>
          <w:szCs w:val="22"/>
          <w:lang w:val="en-AU"/>
        </w:rPr>
        <w:t xml:space="preserve"> Policy</w:t>
      </w:r>
      <w:r w:rsidR="00F32F29" w:rsidRPr="00091600">
        <w:rPr>
          <w:rFonts w:ascii="Roboto Light" w:hAnsi="Roboto Light"/>
          <w:lang w:val="en-AU"/>
        </w:rPr>
        <w:t xml:space="preserve"> which was</w:t>
      </w:r>
      <w:r w:rsidR="000F4B57" w:rsidRPr="00091600">
        <w:rPr>
          <w:rFonts w:ascii="Roboto Light" w:hAnsi="Roboto Light"/>
          <w:szCs w:val="22"/>
          <w:lang w:val="en-AU"/>
        </w:rPr>
        <w:t xml:space="preserve"> initiated by </w:t>
      </w:r>
      <w:r w:rsidR="00B26843" w:rsidRPr="00091600">
        <w:rPr>
          <w:rFonts w:ascii="Roboto Light" w:hAnsi="Roboto Light"/>
          <w:lang w:val="en-AU"/>
        </w:rPr>
        <w:t>the Department of Personnel Management</w:t>
      </w:r>
      <w:r w:rsidR="000F4B57" w:rsidRPr="00091600">
        <w:rPr>
          <w:rFonts w:ascii="Roboto Light" w:hAnsi="Roboto Light"/>
          <w:szCs w:val="22"/>
          <w:lang w:val="en-AU"/>
        </w:rPr>
        <w:t xml:space="preserve"> and endorsed by </w:t>
      </w:r>
      <w:r w:rsidR="00E87298">
        <w:rPr>
          <w:rFonts w:ascii="Roboto Light" w:hAnsi="Roboto Light"/>
          <w:szCs w:val="22"/>
          <w:lang w:val="en-AU"/>
        </w:rPr>
        <w:t>the PNG Government</w:t>
      </w:r>
      <w:r w:rsidR="000F4B57" w:rsidRPr="00091600">
        <w:rPr>
          <w:rFonts w:ascii="Roboto Light" w:hAnsi="Roboto Light"/>
          <w:szCs w:val="22"/>
          <w:lang w:val="en-AU"/>
        </w:rPr>
        <w:t>.</w:t>
      </w:r>
      <w:r w:rsidR="000F4B57" w:rsidRPr="00091600">
        <w:rPr>
          <w:rStyle w:val="FootnoteReference"/>
          <w:rFonts w:ascii="Roboto Light" w:hAnsi="Roboto Light"/>
          <w:szCs w:val="22"/>
          <w:lang w:val="en-AU"/>
        </w:rPr>
        <w:footnoteReference w:id="7"/>
      </w:r>
    </w:p>
    <w:p w:rsidR="000F4B57" w:rsidRPr="00091600" w:rsidRDefault="004521E1" w:rsidP="000F4B57">
      <w:pPr>
        <w:pStyle w:val="BodyText"/>
        <w:spacing w:before="120"/>
        <w:rPr>
          <w:lang w:val="en-AU" w:eastAsia="ja-JP"/>
        </w:rPr>
      </w:pPr>
      <w:r w:rsidRPr="00091600">
        <w:rPr>
          <w:lang w:val="en-AU" w:eastAsia="ja-JP"/>
        </w:rPr>
        <w:t xml:space="preserve">The </w:t>
      </w:r>
      <w:r w:rsidR="00E87298">
        <w:rPr>
          <w:lang w:val="en-AU" w:eastAsia="ja-JP"/>
        </w:rPr>
        <w:t>PNG Government</w:t>
      </w:r>
      <w:r w:rsidR="000F4B57" w:rsidRPr="00091600">
        <w:rPr>
          <w:lang w:val="en-AU" w:eastAsia="ja-JP"/>
        </w:rPr>
        <w:t xml:space="preserve"> is represented by two departments:</w:t>
      </w:r>
    </w:p>
    <w:p w:rsidR="000F4B57" w:rsidRPr="00091600" w:rsidRDefault="00053891" w:rsidP="000F4B57">
      <w:pPr>
        <w:pStyle w:val="ListBullet"/>
        <w:rPr>
          <w:rFonts w:ascii="Roboto Light" w:hAnsi="Roboto Light"/>
          <w:szCs w:val="22"/>
          <w:lang w:val="en-AU"/>
        </w:rPr>
      </w:pPr>
      <w:r w:rsidRPr="00091600">
        <w:rPr>
          <w:rFonts w:ascii="Roboto Light" w:hAnsi="Roboto Light"/>
          <w:szCs w:val="22"/>
          <w:lang w:val="en-AU"/>
        </w:rPr>
        <w:t>The Department of Personnel Management (DPM) which is</w:t>
      </w:r>
      <w:r w:rsidR="000F4B57" w:rsidRPr="00091600">
        <w:rPr>
          <w:rFonts w:ascii="Roboto Light" w:hAnsi="Roboto Light"/>
          <w:szCs w:val="22"/>
          <w:lang w:val="en-AU"/>
        </w:rPr>
        <w:t xml:space="preserve"> responsible for LCF and GESI Policy implementation, as well as for the training of PNG public servants</w:t>
      </w:r>
      <w:r w:rsidRPr="00091600">
        <w:rPr>
          <w:rFonts w:ascii="Roboto Light" w:hAnsi="Roboto Light"/>
          <w:szCs w:val="22"/>
          <w:lang w:val="en-AU"/>
        </w:rPr>
        <w:t>.</w:t>
      </w:r>
    </w:p>
    <w:p w:rsidR="000F4B57" w:rsidRPr="00091600" w:rsidRDefault="00053891" w:rsidP="000F4B57">
      <w:pPr>
        <w:pStyle w:val="ListBullet"/>
        <w:rPr>
          <w:rFonts w:ascii="Roboto Light" w:hAnsi="Roboto Light"/>
          <w:szCs w:val="22"/>
          <w:lang w:val="en-AU"/>
        </w:rPr>
      </w:pPr>
      <w:r w:rsidRPr="00091600">
        <w:rPr>
          <w:rFonts w:ascii="Roboto Light" w:hAnsi="Roboto Light"/>
          <w:szCs w:val="22"/>
          <w:lang w:val="en-AU"/>
        </w:rPr>
        <w:t xml:space="preserve">The </w:t>
      </w:r>
      <w:r w:rsidR="007F2B93" w:rsidRPr="00091600">
        <w:rPr>
          <w:rFonts w:ascii="Roboto Light" w:hAnsi="Roboto Light"/>
          <w:szCs w:val="22"/>
          <w:lang w:val="en-AU"/>
        </w:rPr>
        <w:t>Department</w:t>
      </w:r>
      <w:r w:rsidR="007F2B93" w:rsidRPr="00091600">
        <w:rPr>
          <w:rFonts w:ascii="Roboto Light" w:hAnsi="Roboto Light"/>
          <w:spacing w:val="-13"/>
          <w:szCs w:val="22"/>
          <w:lang w:val="en-AU"/>
        </w:rPr>
        <w:t xml:space="preserve"> </w:t>
      </w:r>
      <w:r w:rsidR="007F2B93" w:rsidRPr="00091600">
        <w:rPr>
          <w:rFonts w:ascii="Roboto Light" w:hAnsi="Roboto Light"/>
          <w:szCs w:val="22"/>
          <w:lang w:val="en-AU"/>
        </w:rPr>
        <w:t>of</w:t>
      </w:r>
      <w:r w:rsidR="007F2B93" w:rsidRPr="00091600">
        <w:rPr>
          <w:rFonts w:ascii="Roboto Light" w:hAnsi="Roboto Light"/>
          <w:spacing w:val="-13"/>
          <w:szCs w:val="22"/>
          <w:lang w:val="en-AU"/>
        </w:rPr>
        <w:t xml:space="preserve"> </w:t>
      </w:r>
      <w:r w:rsidR="007F2B93" w:rsidRPr="00091600">
        <w:rPr>
          <w:rFonts w:ascii="Roboto Light" w:hAnsi="Roboto Light"/>
          <w:szCs w:val="22"/>
          <w:lang w:val="en-AU"/>
        </w:rPr>
        <w:t>Higher</w:t>
      </w:r>
      <w:r w:rsidR="007F2B93" w:rsidRPr="00091600">
        <w:rPr>
          <w:rFonts w:ascii="Roboto Light" w:hAnsi="Roboto Light"/>
          <w:spacing w:val="-13"/>
          <w:szCs w:val="22"/>
          <w:lang w:val="en-AU"/>
        </w:rPr>
        <w:t xml:space="preserve"> </w:t>
      </w:r>
      <w:r w:rsidR="007F2B93" w:rsidRPr="00091600">
        <w:rPr>
          <w:rFonts w:ascii="Roboto Light" w:hAnsi="Roboto Light"/>
          <w:spacing w:val="-3"/>
          <w:szCs w:val="22"/>
          <w:lang w:val="en-AU"/>
        </w:rPr>
        <w:t>Education,</w:t>
      </w:r>
      <w:r w:rsidR="007F2B93" w:rsidRPr="00091600">
        <w:rPr>
          <w:rFonts w:ascii="Roboto Light" w:hAnsi="Roboto Light"/>
          <w:spacing w:val="-13"/>
          <w:szCs w:val="22"/>
          <w:lang w:val="en-AU"/>
        </w:rPr>
        <w:t xml:space="preserve"> </w:t>
      </w:r>
      <w:r w:rsidR="007F2B93" w:rsidRPr="00091600">
        <w:rPr>
          <w:rFonts w:ascii="Roboto Light" w:hAnsi="Roboto Light"/>
          <w:spacing w:val="-3"/>
          <w:szCs w:val="22"/>
          <w:lang w:val="en-AU"/>
        </w:rPr>
        <w:t>Research,</w:t>
      </w:r>
      <w:r w:rsidR="007F2B93" w:rsidRPr="00091600">
        <w:rPr>
          <w:rFonts w:ascii="Roboto Light" w:hAnsi="Roboto Light"/>
          <w:spacing w:val="-13"/>
          <w:szCs w:val="22"/>
          <w:lang w:val="en-AU"/>
        </w:rPr>
        <w:t xml:space="preserve"> </w:t>
      </w:r>
      <w:r w:rsidR="007F2B93" w:rsidRPr="00091600">
        <w:rPr>
          <w:rFonts w:ascii="Roboto Light" w:hAnsi="Roboto Light"/>
          <w:spacing w:val="-3"/>
          <w:szCs w:val="22"/>
          <w:lang w:val="en-AU"/>
        </w:rPr>
        <w:t>Science</w:t>
      </w:r>
      <w:r w:rsidR="007F2B93" w:rsidRPr="00091600">
        <w:rPr>
          <w:rFonts w:ascii="Roboto Light" w:hAnsi="Roboto Light"/>
          <w:spacing w:val="-13"/>
          <w:szCs w:val="22"/>
          <w:lang w:val="en-AU"/>
        </w:rPr>
        <w:t xml:space="preserve"> </w:t>
      </w:r>
      <w:r w:rsidR="007F2B93" w:rsidRPr="00091600">
        <w:rPr>
          <w:rFonts w:ascii="Roboto Light" w:hAnsi="Roboto Light"/>
          <w:szCs w:val="22"/>
          <w:lang w:val="en-AU"/>
        </w:rPr>
        <w:t>and</w:t>
      </w:r>
      <w:r w:rsidR="007F2B93" w:rsidRPr="00091600">
        <w:rPr>
          <w:rFonts w:ascii="Roboto Light" w:hAnsi="Roboto Light"/>
          <w:spacing w:val="-13"/>
          <w:szCs w:val="22"/>
          <w:lang w:val="en-AU"/>
        </w:rPr>
        <w:t xml:space="preserve"> </w:t>
      </w:r>
      <w:r w:rsidR="007F2B93" w:rsidRPr="00091600">
        <w:rPr>
          <w:rFonts w:ascii="Roboto Light" w:hAnsi="Roboto Light"/>
          <w:szCs w:val="22"/>
          <w:lang w:val="en-AU"/>
        </w:rPr>
        <w:t>Technology (DHERST),</w:t>
      </w:r>
      <w:r w:rsidR="000F4B57" w:rsidRPr="00091600">
        <w:rPr>
          <w:rFonts w:ascii="Roboto Light" w:hAnsi="Roboto Light"/>
          <w:szCs w:val="22"/>
          <w:lang w:val="en-AU"/>
        </w:rPr>
        <w:t xml:space="preserve"> responsible for higher education standards, ensuring compliance with the PNG National Qualifications Framework and funding of student scholarships.</w:t>
      </w:r>
    </w:p>
    <w:p w:rsidR="000F4B57" w:rsidRPr="00091600" w:rsidRDefault="000F4B57" w:rsidP="000F4B57">
      <w:pPr>
        <w:pStyle w:val="BodyText"/>
        <w:spacing w:before="240"/>
        <w:rPr>
          <w:lang w:val="en-AU"/>
        </w:rPr>
      </w:pPr>
      <w:r w:rsidRPr="00091600">
        <w:rPr>
          <w:lang w:val="en-AU"/>
        </w:rPr>
        <w:t>The two main PNG Precinct partners are:</w:t>
      </w:r>
    </w:p>
    <w:p w:rsidR="006E5A68" w:rsidRPr="00091600" w:rsidRDefault="006E5A68" w:rsidP="005975B5">
      <w:pPr>
        <w:pStyle w:val="ListBullet"/>
        <w:rPr>
          <w:rFonts w:ascii="Roboto Light" w:hAnsi="Roboto Light"/>
          <w:szCs w:val="22"/>
          <w:lang w:val="en-AU"/>
        </w:rPr>
      </w:pPr>
      <w:r w:rsidRPr="00091600">
        <w:rPr>
          <w:rFonts w:ascii="Roboto Light" w:hAnsi="Roboto Light"/>
          <w:szCs w:val="22"/>
          <w:lang w:val="en-AU"/>
        </w:rPr>
        <w:t>The University of Papua New Guinea’s School of Business and Public Policy (UPNG</w:t>
      </w:r>
      <w:r w:rsidR="00FA4D04" w:rsidRPr="00091600">
        <w:rPr>
          <w:rFonts w:ascii="Roboto Light" w:hAnsi="Roboto Light"/>
          <w:szCs w:val="22"/>
          <w:lang w:val="en-AU"/>
        </w:rPr>
        <w:t xml:space="preserve"> </w:t>
      </w:r>
      <w:r w:rsidRPr="00091600">
        <w:rPr>
          <w:rFonts w:ascii="Roboto Light" w:hAnsi="Roboto Light"/>
          <w:szCs w:val="22"/>
          <w:lang w:val="en-AU"/>
        </w:rPr>
        <w:t>SBPP).</w:t>
      </w:r>
    </w:p>
    <w:p w:rsidR="000F4B57" w:rsidRPr="00283B1E" w:rsidRDefault="002F4F24" w:rsidP="00283B1E">
      <w:pPr>
        <w:pStyle w:val="ListBullet"/>
        <w:rPr>
          <w:rFonts w:ascii="Roboto Light" w:hAnsi="Roboto Light"/>
          <w:szCs w:val="22"/>
          <w:lang w:val="en-AU"/>
        </w:rPr>
      </w:pPr>
      <w:r w:rsidRPr="00091600">
        <w:rPr>
          <w:rFonts w:ascii="Roboto Light" w:hAnsi="Roboto Light"/>
          <w:szCs w:val="22"/>
          <w:lang w:val="en-AU"/>
        </w:rPr>
        <w:t xml:space="preserve">The </w:t>
      </w:r>
      <w:r w:rsidR="006E5A68" w:rsidRPr="00091600">
        <w:rPr>
          <w:rFonts w:ascii="Roboto Light" w:hAnsi="Roboto Light"/>
          <w:szCs w:val="22"/>
          <w:lang w:val="en-AU"/>
        </w:rPr>
        <w:t>Pacific Institute of Lea</w:t>
      </w:r>
      <w:r w:rsidR="0035359C" w:rsidRPr="00091600">
        <w:rPr>
          <w:rFonts w:ascii="Roboto Light" w:hAnsi="Roboto Light"/>
          <w:szCs w:val="22"/>
          <w:lang w:val="en-AU"/>
        </w:rPr>
        <w:t>dership and Governance (</w:t>
      </w:r>
      <w:r w:rsidR="000F4B57" w:rsidRPr="00091600">
        <w:rPr>
          <w:rFonts w:ascii="Roboto Light" w:hAnsi="Roboto Light"/>
          <w:szCs w:val="22"/>
          <w:lang w:val="en-AU"/>
        </w:rPr>
        <w:t>PILAG</w:t>
      </w:r>
      <w:r w:rsidR="0035359C" w:rsidRPr="00091600">
        <w:rPr>
          <w:rFonts w:ascii="Roboto Light" w:hAnsi="Roboto Light"/>
          <w:szCs w:val="22"/>
          <w:lang w:val="en-AU"/>
        </w:rPr>
        <w:t>),</w:t>
      </w:r>
      <w:r w:rsidR="000F4B57" w:rsidRPr="00091600">
        <w:rPr>
          <w:rFonts w:ascii="Roboto Light" w:hAnsi="Roboto Light"/>
          <w:szCs w:val="22"/>
          <w:lang w:val="en-AU"/>
        </w:rPr>
        <w:t xml:space="preserve"> formerly known as </w:t>
      </w:r>
      <w:r w:rsidR="006E5A68" w:rsidRPr="00091600">
        <w:rPr>
          <w:rFonts w:ascii="Roboto Light" w:hAnsi="Roboto Light"/>
          <w:szCs w:val="22"/>
          <w:lang w:val="en-AU"/>
        </w:rPr>
        <w:t xml:space="preserve">the Papua New Guinea Institute of Public Administration </w:t>
      </w:r>
      <w:r w:rsidR="0035359C" w:rsidRPr="00091600">
        <w:rPr>
          <w:rFonts w:ascii="Roboto Light" w:hAnsi="Roboto Light"/>
          <w:szCs w:val="22"/>
          <w:lang w:val="en-AU"/>
        </w:rPr>
        <w:t>(</w:t>
      </w:r>
      <w:r w:rsidR="000F4B57" w:rsidRPr="00091600">
        <w:rPr>
          <w:rFonts w:ascii="Roboto Light" w:hAnsi="Roboto Light"/>
          <w:szCs w:val="22"/>
          <w:lang w:val="en-AU"/>
        </w:rPr>
        <w:t>PNG IPA</w:t>
      </w:r>
      <w:r w:rsidR="006E5A68" w:rsidRPr="00091600">
        <w:rPr>
          <w:rFonts w:ascii="Roboto Light" w:hAnsi="Roboto Light"/>
          <w:szCs w:val="22"/>
          <w:lang w:val="en-AU"/>
        </w:rPr>
        <w:t>).</w:t>
      </w:r>
    </w:p>
    <w:p w:rsidR="000F4B57" w:rsidRPr="00091600" w:rsidRDefault="000F4B57" w:rsidP="00283B1E">
      <w:pPr>
        <w:pStyle w:val="ListBullet"/>
        <w:numPr>
          <w:ilvl w:val="0"/>
          <w:numId w:val="0"/>
        </w:numPr>
        <w:spacing w:before="240" w:after="120"/>
        <w:rPr>
          <w:rFonts w:ascii="Roboto Light" w:hAnsi="Roboto Light"/>
          <w:szCs w:val="22"/>
          <w:lang w:val="en-AU"/>
        </w:rPr>
      </w:pPr>
      <w:r w:rsidRPr="00091600">
        <w:rPr>
          <w:rFonts w:ascii="Roboto Light" w:hAnsi="Roboto Light"/>
          <w:szCs w:val="22"/>
          <w:lang w:val="en-AU"/>
        </w:rPr>
        <w:t>The Precinct was designed as a new Australian investment during the last few months of 2014. A Memorandum of Understanding</w:t>
      </w:r>
      <w:r w:rsidR="00CD040B">
        <w:rPr>
          <w:rFonts w:ascii="Roboto Light" w:hAnsi="Roboto Light"/>
          <w:szCs w:val="22"/>
          <w:lang w:val="en-AU"/>
        </w:rPr>
        <w:t xml:space="preserve"> (MoU)</w:t>
      </w:r>
      <w:r w:rsidRPr="00091600">
        <w:rPr>
          <w:rFonts w:ascii="Roboto Light" w:hAnsi="Roboto Light"/>
          <w:szCs w:val="22"/>
          <w:lang w:val="en-AU"/>
        </w:rPr>
        <w:t xml:space="preserve"> was signed between the two governments in December 2014, and program activities started quickly in early 2015. This rapid preparation and start-up reflected the high-level political commitments of both governments, and particularly the prior work of </w:t>
      </w:r>
      <w:r w:rsidR="00E87298">
        <w:rPr>
          <w:rFonts w:ascii="Roboto Light" w:hAnsi="Roboto Light"/>
          <w:szCs w:val="22"/>
          <w:lang w:val="en-AU"/>
        </w:rPr>
        <w:t>the PNG Government</w:t>
      </w:r>
      <w:r w:rsidR="001A528A" w:rsidRPr="00091600">
        <w:rPr>
          <w:rFonts w:ascii="Roboto Light" w:hAnsi="Roboto Light"/>
          <w:szCs w:val="22"/>
          <w:lang w:val="en-AU"/>
        </w:rPr>
        <w:t xml:space="preserve"> </w:t>
      </w:r>
      <w:r w:rsidRPr="00091600">
        <w:rPr>
          <w:rFonts w:ascii="Roboto Light" w:hAnsi="Roboto Light"/>
          <w:szCs w:val="22"/>
          <w:lang w:val="en-AU"/>
        </w:rPr>
        <w:t>in developing LCF and GESI. The former Australian Foreign Minister had a keen interest in leadership development in PNG and paid special attention to the Precinct program during its design and throughout its implementation. She regularly visited PNG and received fortnightly updates on progress.</w:t>
      </w:r>
    </w:p>
    <w:p w:rsidR="000F4B57" w:rsidRPr="00091600" w:rsidRDefault="000F4B57" w:rsidP="00931BFA">
      <w:pPr>
        <w:pStyle w:val="Heading4"/>
        <w:rPr>
          <w:lang w:val="en-AU"/>
        </w:rPr>
      </w:pPr>
      <w:r w:rsidRPr="00091600">
        <w:rPr>
          <w:lang w:val="en-AU"/>
        </w:rPr>
        <w:t xml:space="preserve">Program </w:t>
      </w:r>
      <w:r w:rsidRPr="00931BFA">
        <w:t>objectives</w:t>
      </w:r>
    </w:p>
    <w:p w:rsidR="000F4B57" w:rsidRPr="00091600" w:rsidRDefault="000F4B57" w:rsidP="000F4B57">
      <w:pPr>
        <w:pStyle w:val="BodyText"/>
        <w:rPr>
          <w:lang w:val="en-AU"/>
        </w:rPr>
      </w:pPr>
      <w:r w:rsidRPr="00091600">
        <w:rPr>
          <w:lang w:val="en-AU"/>
        </w:rPr>
        <w:t xml:space="preserve">The goal of the program is ‘to support the </w:t>
      </w:r>
      <w:r w:rsidR="00E87298">
        <w:rPr>
          <w:lang w:val="en-AU"/>
        </w:rPr>
        <w:t>PNG Government</w:t>
      </w:r>
      <w:r w:rsidRPr="00091600">
        <w:rPr>
          <w:lang w:val="en-AU"/>
        </w:rPr>
        <w:t xml:space="preserve"> to grow a new generation of ethical public service leaders, both women and men, with the capability and motivation to collaborate, lead, and manage the delivery of equitable and inclusive government services to all citizens of the country’. Its long-term outcomes are:</w:t>
      </w:r>
    </w:p>
    <w:p w:rsidR="000F4B57" w:rsidRPr="00091600" w:rsidRDefault="005A0E6F" w:rsidP="008F7A55">
      <w:pPr>
        <w:pStyle w:val="ListParagraph"/>
        <w:numPr>
          <w:ilvl w:val="0"/>
          <w:numId w:val="24"/>
        </w:numPr>
        <w:spacing w:after="120" w:line="240" w:lineRule="auto"/>
        <w:rPr>
          <w:rFonts w:ascii="Roboto Light" w:hAnsi="Roboto Light" w:cstheme="minorHAnsi"/>
          <w:lang w:val="en-AU"/>
        </w:rPr>
      </w:pPr>
      <w:r w:rsidRPr="00091600">
        <w:rPr>
          <w:rFonts w:ascii="Roboto Light" w:hAnsi="Roboto Light"/>
          <w:lang w:val="en-AU"/>
        </w:rPr>
        <w:t>Measurable</w:t>
      </w:r>
      <w:r w:rsidR="000F4B57" w:rsidRPr="00091600">
        <w:rPr>
          <w:rFonts w:ascii="Roboto Light" w:hAnsi="Roboto Light" w:cstheme="minorHAnsi"/>
          <w:lang w:val="en-AU"/>
        </w:rPr>
        <w:t xml:space="preserve"> and sustainable improvement in PNG’s public service leadership and administrative capability at national, provincial and district levels</w:t>
      </w:r>
      <w:r w:rsidRPr="00091600">
        <w:rPr>
          <w:rFonts w:ascii="Roboto Light" w:hAnsi="Roboto Light"/>
          <w:lang w:val="en-AU"/>
        </w:rPr>
        <w:t>.</w:t>
      </w:r>
    </w:p>
    <w:p w:rsidR="000F4B57" w:rsidRPr="00091600" w:rsidRDefault="002B63E5" w:rsidP="008F7A55">
      <w:pPr>
        <w:pStyle w:val="ListParagraph"/>
        <w:numPr>
          <w:ilvl w:val="0"/>
          <w:numId w:val="24"/>
        </w:numPr>
        <w:spacing w:after="120" w:line="240" w:lineRule="auto"/>
        <w:rPr>
          <w:rFonts w:ascii="Roboto Light" w:hAnsi="Roboto Light" w:cstheme="minorHAnsi"/>
          <w:lang w:val="en-AU"/>
        </w:rPr>
      </w:pPr>
      <w:r w:rsidRPr="00091600">
        <w:rPr>
          <w:rFonts w:ascii="Roboto Light" w:hAnsi="Roboto Light"/>
          <w:lang w:val="en-AU"/>
        </w:rPr>
        <w:t>Widespread</w:t>
      </w:r>
      <w:r w:rsidR="000F4B57" w:rsidRPr="00091600">
        <w:rPr>
          <w:rFonts w:ascii="Roboto Light" w:hAnsi="Roboto Light" w:cstheme="minorHAnsi"/>
          <w:lang w:val="en-AU"/>
        </w:rPr>
        <w:t xml:space="preserve"> prevalence of leadership and management practices that reflect the principles of ethical behaviour and values-based leadership and management</w:t>
      </w:r>
      <w:r w:rsidR="005A0E6F" w:rsidRPr="00091600">
        <w:rPr>
          <w:rFonts w:ascii="Roboto Light" w:hAnsi="Roboto Light"/>
          <w:lang w:val="en-AU"/>
        </w:rPr>
        <w:t>.</w:t>
      </w:r>
    </w:p>
    <w:p w:rsidR="000F4B57" w:rsidRPr="00091600" w:rsidRDefault="002B63E5" w:rsidP="008F7A55">
      <w:pPr>
        <w:pStyle w:val="ListParagraph"/>
        <w:numPr>
          <w:ilvl w:val="0"/>
          <w:numId w:val="24"/>
        </w:numPr>
        <w:spacing w:after="120" w:line="240" w:lineRule="auto"/>
        <w:rPr>
          <w:rFonts w:ascii="Roboto Light" w:hAnsi="Roboto Light" w:cstheme="minorHAnsi"/>
          <w:lang w:val="en-AU"/>
        </w:rPr>
      </w:pPr>
      <w:r w:rsidRPr="00091600">
        <w:rPr>
          <w:rFonts w:ascii="Roboto Light" w:hAnsi="Roboto Light"/>
          <w:lang w:val="en-AU"/>
        </w:rPr>
        <w:t>An</w:t>
      </w:r>
      <w:r w:rsidR="000F4B57" w:rsidRPr="00091600">
        <w:rPr>
          <w:rFonts w:ascii="Roboto Light" w:hAnsi="Roboto Light" w:cstheme="minorHAnsi"/>
          <w:lang w:val="en-AU"/>
        </w:rPr>
        <w:t xml:space="preserve"> increased number of women represented in leadership and decision</w:t>
      </w:r>
      <w:r w:rsidR="00812489" w:rsidRPr="00091600">
        <w:rPr>
          <w:rFonts w:ascii="Roboto Light" w:hAnsi="Roboto Light"/>
          <w:lang w:val="en-AU"/>
        </w:rPr>
        <w:t>-</w:t>
      </w:r>
      <w:r w:rsidR="000F4B57" w:rsidRPr="00091600">
        <w:rPr>
          <w:rFonts w:ascii="Roboto Light" w:hAnsi="Roboto Light" w:cstheme="minorHAnsi"/>
          <w:lang w:val="en-AU"/>
        </w:rPr>
        <w:t>making roles of the PNG public service</w:t>
      </w:r>
      <w:r w:rsidR="005A0E6F" w:rsidRPr="00091600">
        <w:rPr>
          <w:rFonts w:ascii="Roboto Light" w:hAnsi="Roboto Light"/>
          <w:lang w:val="en-AU"/>
        </w:rPr>
        <w:t>.</w:t>
      </w:r>
    </w:p>
    <w:p w:rsidR="000F4B57" w:rsidRPr="00091600" w:rsidRDefault="005A0E6F" w:rsidP="008F7A55">
      <w:pPr>
        <w:pStyle w:val="ListParagraph"/>
        <w:numPr>
          <w:ilvl w:val="0"/>
          <w:numId w:val="24"/>
        </w:numPr>
        <w:spacing w:after="120" w:line="240" w:lineRule="auto"/>
        <w:rPr>
          <w:rFonts w:ascii="Roboto Light" w:hAnsi="Roboto Light" w:cstheme="minorHAnsi"/>
          <w:lang w:val="en-AU"/>
        </w:rPr>
      </w:pPr>
      <w:r w:rsidRPr="00091600">
        <w:rPr>
          <w:rFonts w:ascii="Roboto Light" w:hAnsi="Roboto Light"/>
          <w:lang w:val="en-AU"/>
        </w:rPr>
        <w:t>An</w:t>
      </w:r>
      <w:r w:rsidR="000F4B57" w:rsidRPr="00091600">
        <w:rPr>
          <w:rFonts w:ascii="Roboto Light" w:hAnsi="Roboto Light" w:cstheme="minorHAnsi"/>
          <w:lang w:val="en-AU"/>
        </w:rPr>
        <w:t xml:space="preserve"> effective, inclusive and collaborative platform for facilitating and coordinating public dialogue on leadership, ethical practices, inclusive management and change management at national, provincial and district levels</w:t>
      </w:r>
      <w:r w:rsidRPr="00091600">
        <w:rPr>
          <w:rFonts w:ascii="Roboto Light" w:hAnsi="Roboto Light"/>
          <w:lang w:val="en-AU"/>
        </w:rPr>
        <w:t>.</w:t>
      </w:r>
    </w:p>
    <w:p w:rsidR="000F4B57" w:rsidRPr="00091600" w:rsidRDefault="00CF2BCD" w:rsidP="008F7A55">
      <w:pPr>
        <w:pStyle w:val="ListParagraph"/>
        <w:numPr>
          <w:ilvl w:val="0"/>
          <w:numId w:val="24"/>
        </w:numPr>
        <w:spacing w:after="120" w:line="240" w:lineRule="auto"/>
        <w:rPr>
          <w:rFonts w:ascii="Roboto Light" w:hAnsi="Roboto Light" w:cstheme="minorHAnsi"/>
          <w:lang w:val="en-AU"/>
        </w:rPr>
      </w:pPr>
      <w:r w:rsidRPr="00091600">
        <w:rPr>
          <w:rFonts w:ascii="Roboto Light" w:hAnsi="Roboto Light"/>
          <w:lang w:val="en-AU"/>
        </w:rPr>
        <w:t>A</w:t>
      </w:r>
      <w:r w:rsidR="000F4B57" w:rsidRPr="00091600">
        <w:rPr>
          <w:rFonts w:ascii="Roboto Light" w:hAnsi="Roboto Light" w:cstheme="minorHAnsi"/>
          <w:lang w:val="en-AU"/>
        </w:rPr>
        <w:t xml:space="preserve"> positive contribution made by Precinct partners and activities to lifting the quality of public policy debate, analysis and advice that informs decision </w:t>
      </w:r>
      <w:r w:rsidR="005A0E6F" w:rsidRPr="00091600">
        <w:rPr>
          <w:rFonts w:ascii="Roboto Light" w:hAnsi="Roboto Light"/>
          <w:lang w:val="en-AU"/>
        </w:rPr>
        <w:t>-</w:t>
      </w:r>
      <w:r w:rsidR="000F4B57" w:rsidRPr="00091600">
        <w:rPr>
          <w:rFonts w:ascii="Roboto Light" w:hAnsi="Roboto Light" w:cstheme="minorHAnsi"/>
          <w:lang w:val="en-AU"/>
        </w:rPr>
        <w:t>making on public policy matters</w:t>
      </w:r>
      <w:r w:rsidR="005A0E6F" w:rsidRPr="00091600">
        <w:rPr>
          <w:rFonts w:ascii="Roboto Light" w:hAnsi="Roboto Light"/>
          <w:lang w:val="en-AU"/>
        </w:rPr>
        <w:t>.</w:t>
      </w:r>
    </w:p>
    <w:p w:rsidR="000F4B57" w:rsidRPr="00091600" w:rsidRDefault="005A0E6F" w:rsidP="008F7A55">
      <w:pPr>
        <w:pStyle w:val="ListParagraph"/>
        <w:numPr>
          <w:ilvl w:val="0"/>
          <w:numId w:val="24"/>
        </w:numPr>
        <w:spacing w:after="120" w:line="240" w:lineRule="auto"/>
        <w:rPr>
          <w:rFonts w:ascii="Roboto Light" w:hAnsi="Roboto Light" w:cstheme="minorHAnsi"/>
          <w:lang w:val="en-AU"/>
        </w:rPr>
      </w:pPr>
      <w:r w:rsidRPr="00091600">
        <w:rPr>
          <w:rFonts w:ascii="Roboto Light" w:hAnsi="Roboto Light"/>
          <w:lang w:val="en-AU"/>
        </w:rPr>
        <w:t>An</w:t>
      </w:r>
      <w:r w:rsidR="000F4B57" w:rsidRPr="00091600">
        <w:rPr>
          <w:rFonts w:ascii="Roboto Light" w:hAnsi="Roboto Light" w:cstheme="minorHAnsi"/>
          <w:lang w:val="en-AU"/>
        </w:rPr>
        <w:t xml:space="preserve"> expanded network of like-minded individuals and organisations from the public, private and civil society sectors that actively and publicly support and advocate for ethical leadership and management in PNG.</w:t>
      </w:r>
    </w:p>
    <w:p w:rsidR="000F4B57" w:rsidRPr="00091600" w:rsidRDefault="000F4B57" w:rsidP="000F4B57">
      <w:pPr>
        <w:pStyle w:val="BodyText"/>
        <w:spacing w:before="120"/>
        <w:rPr>
          <w:lang w:val="en-AU"/>
        </w:rPr>
      </w:pPr>
      <w:r w:rsidRPr="00091600">
        <w:rPr>
          <w:lang w:val="en-AU"/>
        </w:rPr>
        <w:t xml:space="preserve">Precinct activities were designed to deliver a set of short-term </w:t>
      </w:r>
      <w:r w:rsidR="008043ED" w:rsidRPr="00091600">
        <w:rPr>
          <w:lang w:val="en-AU"/>
        </w:rPr>
        <w:t>outcomes</w:t>
      </w:r>
      <w:r w:rsidR="000E35C1" w:rsidRPr="00091600">
        <w:rPr>
          <w:lang w:val="en-AU"/>
        </w:rPr>
        <w:t xml:space="preserve"> </w:t>
      </w:r>
      <w:r w:rsidR="00112876" w:rsidRPr="00091600">
        <w:rPr>
          <w:lang w:val="en-AU"/>
        </w:rPr>
        <w:t>(</w:t>
      </w:r>
      <w:r w:rsidR="00CD040B">
        <w:rPr>
          <w:lang w:val="en-AU"/>
        </w:rPr>
        <w:t xml:space="preserve">within </w:t>
      </w:r>
      <w:r w:rsidR="00112876" w:rsidRPr="00091600">
        <w:rPr>
          <w:lang w:val="en-AU"/>
        </w:rPr>
        <w:t xml:space="preserve">two to </w:t>
      </w:r>
      <w:r w:rsidR="008043ED" w:rsidRPr="00091600">
        <w:rPr>
          <w:lang w:val="en-AU"/>
        </w:rPr>
        <w:t>five</w:t>
      </w:r>
      <w:r w:rsidR="00112876" w:rsidRPr="00091600">
        <w:rPr>
          <w:lang w:val="en-AU"/>
        </w:rPr>
        <w:t xml:space="preserve"> years) </w:t>
      </w:r>
      <w:r w:rsidRPr="00091600">
        <w:rPr>
          <w:lang w:val="en-AU"/>
        </w:rPr>
        <w:t>and medium-term outcomes (</w:t>
      </w:r>
      <w:r w:rsidR="00CD040B">
        <w:rPr>
          <w:lang w:val="en-AU"/>
        </w:rPr>
        <w:t xml:space="preserve">within </w:t>
      </w:r>
      <w:r w:rsidRPr="00091600">
        <w:rPr>
          <w:lang w:val="en-AU"/>
        </w:rPr>
        <w:t>five to seven</w:t>
      </w:r>
      <w:r w:rsidR="008043ED" w:rsidRPr="00091600">
        <w:rPr>
          <w:lang w:val="en-AU"/>
        </w:rPr>
        <w:t xml:space="preserve"> years)</w:t>
      </w:r>
      <w:r w:rsidRPr="00091600">
        <w:rPr>
          <w:lang w:val="en-AU"/>
        </w:rPr>
        <w:t>, captured in Annex 6 of the 2016 Design Update. The document consists of two separate results frameworks</w:t>
      </w:r>
      <w:r w:rsidR="008043ED" w:rsidRPr="00091600">
        <w:rPr>
          <w:lang w:val="en-AU"/>
        </w:rPr>
        <w:t>:</w:t>
      </w:r>
      <w:r w:rsidRPr="00091600">
        <w:rPr>
          <w:lang w:val="en-AU"/>
        </w:rPr>
        <w:t xml:space="preserve"> one for the SBPP, and another for PNG IPA (now PILAG). No recent integrated results framework had been approved at the time of the </w:t>
      </w:r>
      <w:r w:rsidR="008043ED" w:rsidRPr="00091600">
        <w:rPr>
          <w:lang w:val="en-AU"/>
        </w:rPr>
        <w:t>r</w:t>
      </w:r>
      <w:r w:rsidR="000940C2" w:rsidRPr="00091600">
        <w:rPr>
          <w:lang w:val="en-AU"/>
        </w:rPr>
        <w:t>eview</w:t>
      </w:r>
      <w:r w:rsidRPr="00091600">
        <w:rPr>
          <w:lang w:val="en-AU"/>
        </w:rPr>
        <w:t xml:space="preserve"> mission in July 2018.</w:t>
      </w:r>
    </w:p>
    <w:p w:rsidR="000F4B57" w:rsidRPr="00091600" w:rsidRDefault="000F4B57" w:rsidP="00931BFA">
      <w:pPr>
        <w:pStyle w:val="Heading4"/>
        <w:rPr>
          <w:lang w:val="en-AU"/>
        </w:rPr>
      </w:pPr>
      <w:r w:rsidRPr="00091600">
        <w:rPr>
          <w:lang w:val="en-AU"/>
        </w:rPr>
        <w:t xml:space="preserve">Strategies for </w:t>
      </w:r>
      <w:r w:rsidRPr="00931BFA">
        <w:t>change</w:t>
      </w:r>
    </w:p>
    <w:p w:rsidR="000F4B57" w:rsidRPr="00091600" w:rsidRDefault="000F4B57" w:rsidP="000F4B57">
      <w:pPr>
        <w:pStyle w:val="BodyText"/>
        <w:rPr>
          <w:lang w:val="en-AU"/>
        </w:rPr>
      </w:pPr>
      <w:r w:rsidRPr="00091600">
        <w:rPr>
          <w:lang w:val="en-AU"/>
        </w:rPr>
        <w:t>The December 2017 Draft Precinct Design and Implementation Brief</w:t>
      </w:r>
      <w:r w:rsidRPr="00091600">
        <w:rPr>
          <w:rStyle w:val="FootnoteReference"/>
          <w:lang w:val="en-AU"/>
        </w:rPr>
        <w:footnoteReference w:id="8"/>
      </w:r>
      <w:r w:rsidRPr="00091600">
        <w:rPr>
          <w:lang w:val="en-AU"/>
        </w:rPr>
        <w:t xml:space="preserve"> presents the Precinct program logic through three ‘strategies for change’. It makes explicit the approach of the original 2014 design and its later updates. It identifies the following overarching assumption behind the program: PNG’s long-term development needs to be led by well-informed PNG leaders with the critical and analytical skills to address economic and policy challenges. Training and improved infrastructure are the two main approaches used to develop this leadership. The three strategies are as follows</w:t>
      </w:r>
      <w:r w:rsidR="008043ED" w:rsidRPr="00091600">
        <w:rPr>
          <w:lang w:val="en-AU"/>
        </w:rPr>
        <w:t>.</w:t>
      </w:r>
    </w:p>
    <w:p w:rsidR="000F4B57" w:rsidRPr="00091600" w:rsidRDefault="000F4B57" w:rsidP="008F7A55">
      <w:pPr>
        <w:pStyle w:val="BodyText"/>
        <w:numPr>
          <w:ilvl w:val="0"/>
          <w:numId w:val="10"/>
        </w:numPr>
        <w:rPr>
          <w:lang w:val="en-AU"/>
        </w:rPr>
      </w:pPr>
      <w:r w:rsidRPr="001422B3">
        <w:rPr>
          <w:rFonts w:ascii="Roboto" w:hAnsi="Roboto"/>
          <w:b/>
          <w:lang w:val="en-AU"/>
        </w:rPr>
        <w:t>Long-term strategy through higher education</w:t>
      </w:r>
      <w:r w:rsidR="00981F16" w:rsidRPr="00283B1E">
        <w:rPr>
          <w:rFonts w:ascii="Roboto" w:hAnsi="Roboto"/>
          <w:lang w:val="en-AU"/>
        </w:rPr>
        <w:t>:</w:t>
      </w:r>
      <w:r w:rsidR="00FB0AF9" w:rsidRPr="00091600">
        <w:rPr>
          <w:lang w:val="en-AU"/>
        </w:rPr>
        <w:t xml:space="preserve"> </w:t>
      </w:r>
      <w:r w:rsidR="00981F16" w:rsidRPr="00091600">
        <w:rPr>
          <w:lang w:val="en-AU"/>
        </w:rPr>
        <w:t>t</w:t>
      </w:r>
      <w:r w:rsidR="00FB0AF9" w:rsidRPr="00091600">
        <w:rPr>
          <w:lang w:val="en-AU"/>
        </w:rPr>
        <w:t>he</w:t>
      </w:r>
      <w:r w:rsidRPr="00091600">
        <w:rPr>
          <w:lang w:val="en-AU"/>
        </w:rPr>
        <w:t xml:space="preserve"> main assumptions are that quality higher education will help shape future leaders and that highly qualified graduates will move into leadership positions in the </w:t>
      </w:r>
      <w:r w:rsidR="00322B11" w:rsidRPr="00091600">
        <w:rPr>
          <w:lang w:val="en-AU"/>
        </w:rPr>
        <w:t>future</w:t>
      </w:r>
      <w:r w:rsidRPr="00091600">
        <w:rPr>
          <w:lang w:val="en-AU"/>
        </w:rPr>
        <w:t xml:space="preserve">, developing high-calibre ideas and informed solutions to lead PNG in its long-term development interest. The change strategy is based on support to UPNG (as one of the leading PNG universities) with a focus on undergraduate and postgraduate study in public policy and economics </w:t>
      </w:r>
      <w:r w:rsidR="00993395" w:rsidRPr="00091600">
        <w:rPr>
          <w:lang w:val="en-AU"/>
        </w:rPr>
        <w:t>(</w:t>
      </w:r>
      <w:r w:rsidRPr="00091600">
        <w:rPr>
          <w:lang w:val="en-AU"/>
        </w:rPr>
        <w:t>at the SBPP</w:t>
      </w:r>
      <w:r w:rsidR="00993395" w:rsidRPr="00091600">
        <w:rPr>
          <w:lang w:val="en-AU"/>
        </w:rPr>
        <w:t>)</w:t>
      </w:r>
      <w:r w:rsidR="00A53238" w:rsidRPr="00091600">
        <w:rPr>
          <w:lang w:val="en-AU"/>
        </w:rPr>
        <w:t>,</w:t>
      </w:r>
      <w:r w:rsidRPr="00091600">
        <w:rPr>
          <w:lang w:val="en-AU"/>
        </w:rPr>
        <w:t xml:space="preserve"> through new infrastructure (managed </w:t>
      </w:r>
      <w:r w:rsidR="00EE644A">
        <w:rPr>
          <w:lang w:val="en-AU"/>
        </w:rPr>
        <w:t>separately</w:t>
      </w:r>
      <w:r w:rsidRPr="00091600">
        <w:rPr>
          <w:lang w:val="en-AU"/>
        </w:rPr>
        <w:t xml:space="preserve">) and academic capacity development by </w:t>
      </w:r>
      <w:r w:rsidR="00A92B3E" w:rsidRPr="00091600">
        <w:rPr>
          <w:lang w:val="en-AU"/>
        </w:rPr>
        <w:t>A</w:t>
      </w:r>
      <w:r w:rsidR="004521E1" w:rsidRPr="00091600">
        <w:rPr>
          <w:lang w:val="en-AU"/>
        </w:rPr>
        <w:t xml:space="preserve">ustralian </w:t>
      </w:r>
      <w:r w:rsidR="00A92B3E" w:rsidRPr="00091600">
        <w:rPr>
          <w:lang w:val="en-AU"/>
        </w:rPr>
        <w:t>N</w:t>
      </w:r>
      <w:r w:rsidR="004521E1" w:rsidRPr="00091600">
        <w:rPr>
          <w:lang w:val="en-AU"/>
        </w:rPr>
        <w:t xml:space="preserve">ational </w:t>
      </w:r>
      <w:r w:rsidR="00A92B3E" w:rsidRPr="00091600">
        <w:rPr>
          <w:lang w:val="en-AU"/>
        </w:rPr>
        <w:t>U</w:t>
      </w:r>
      <w:r w:rsidR="004521E1" w:rsidRPr="00091600">
        <w:rPr>
          <w:lang w:val="en-AU"/>
        </w:rPr>
        <w:t xml:space="preserve">niversity </w:t>
      </w:r>
      <w:r w:rsidR="00B900C4" w:rsidRPr="00091600">
        <w:rPr>
          <w:lang w:val="en-AU"/>
        </w:rPr>
        <w:t>(</w:t>
      </w:r>
      <w:r w:rsidRPr="00091600">
        <w:rPr>
          <w:lang w:val="en-AU"/>
        </w:rPr>
        <w:t>ANU</w:t>
      </w:r>
      <w:r w:rsidR="00B900C4" w:rsidRPr="00091600">
        <w:rPr>
          <w:lang w:val="en-AU"/>
        </w:rPr>
        <w:t>)</w:t>
      </w:r>
      <w:r w:rsidRPr="00091600">
        <w:rPr>
          <w:lang w:val="en-AU"/>
        </w:rPr>
        <w:t xml:space="preserve"> support to UPNG scholars with SBPP course delivery in the short term.</w:t>
      </w:r>
    </w:p>
    <w:p w:rsidR="000F4B57" w:rsidRPr="00091600" w:rsidRDefault="000F4B57" w:rsidP="008F7A55">
      <w:pPr>
        <w:pStyle w:val="BodyText"/>
        <w:numPr>
          <w:ilvl w:val="0"/>
          <w:numId w:val="10"/>
        </w:numPr>
        <w:rPr>
          <w:lang w:val="en-AU"/>
        </w:rPr>
      </w:pPr>
      <w:r w:rsidRPr="001422B3">
        <w:rPr>
          <w:rFonts w:ascii="Roboto" w:hAnsi="Roboto"/>
          <w:b/>
          <w:lang w:val="en-AU"/>
        </w:rPr>
        <w:t>Medium-term strategy through the public sector</w:t>
      </w:r>
      <w:r w:rsidR="00981F16" w:rsidRPr="001422B3">
        <w:rPr>
          <w:rFonts w:ascii="Roboto" w:hAnsi="Roboto"/>
          <w:b/>
          <w:lang w:val="en-AU"/>
        </w:rPr>
        <w:t>:</w:t>
      </w:r>
      <w:r w:rsidR="00FB0AF9" w:rsidRPr="00091600">
        <w:rPr>
          <w:lang w:val="en-AU"/>
        </w:rPr>
        <w:t xml:space="preserve"> </w:t>
      </w:r>
      <w:r w:rsidR="00981F16" w:rsidRPr="00091600">
        <w:rPr>
          <w:lang w:val="en-AU"/>
        </w:rPr>
        <w:t>t</w:t>
      </w:r>
      <w:r w:rsidR="00FB0AF9" w:rsidRPr="00091600">
        <w:rPr>
          <w:lang w:val="en-AU"/>
        </w:rPr>
        <w:t>he</w:t>
      </w:r>
      <w:r w:rsidRPr="00091600">
        <w:rPr>
          <w:lang w:val="en-AU"/>
        </w:rPr>
        <w:t xml:space="preserve"> main assumptions are that</w:t>
      </w:r>
      <w:r w:rsidR="00791317" w:rsidRPr="00091600">
        <w:rPr>
          <w:lang w:val="en-AU"/>
        </w:rPr>
        <w:t xml:space="preserve"> </w:t>
      </w:r>
      <w:r w:rsidRPr="00091600">
        <w:rPr>
          <w:lang w:val="en-AU"/>
        </w:rPr>
        <w:t xml:space="preserve">PNG service delivery and economic development require improved public service leadership and management; that high-quality training of current public servants increases the likelihood that cadres of skilled and ethical public servants will emerge, capable of </w:t>
      </w:r>
      <w:r w:rsidR="00981F16" w:rsidRPr="00091600">
        <w:rPr>
          <w:lang w:val="en-AU"/>
        </w:rPr>
        <w:t>working</w:t>
      </w:r>
      <w:r w:rsidRPr="00091600">
        <w:rPr>
          <w:lang w:val="en-AU"/>
        </w:rPr>
        <w:t xml:space="preserve"> together to influence change; and</w:t>
      </w:r>
      <w:r w:rsidR="00791317" w:rsidRPr="00091600">
        <w:rPr>
          <w:lang w:val="en-AU"/>
        </w:rPr>
        <w:t xml:space="preserve"> </w:t>
      </w:r>
      <w:r w:rsidRPr="00091600">
        <w:rPr>
          <w:lang w:val="en-AU"/>
        </w:rPr>
        <w:t>that a stronger government training institution will improve the calibre and capability of public servants. The change strategy is based on support to PILAG (as PNG’s historical public administration training centre) to train public servants at the national level, but also with a regional and district focus, and with additional leadership courses. Training include</w:t>
      </w:r>
      <w:r w:rsidR="00EE644A">
        <w:rPr>
          <w:lang w:val="en-AU"/>
        </w:rPr>
        <w:t>s</w:t>
      </w:r>
      <w:r w:rsidRPr="00091600">
        <w:rPr>
          <w:lang w:val="en-AU"/>
        </w:rPr>
        <w:t xml:space="preserve"> PILAG </w:t>
      </w:r>
      <w:r w:rsidR="00981F16" w:rsidRPr="00091600">
        <w:rPr>
          <w:lang w:val="en-AU"/>
        </w:rPr>
        <w:t>d</w:t>
      </w:r>
      <w:r w:rsidR="00C9210A" w:rsidRPr="00091600">
        <w:rPr>
          <w:lang w:val="en-AU"/>
        </w:rPr>
        <w:t>iplomas</w:t>
      </w:r>
      <w:r w:rsidRPr="00091600">
        <w:rPr>
          <w:lang w:val="en-AU"/>
        </w:rPr>
        <w:t xml:space="preserve"> and</w:t>
      </w:r>
      <w:r w:rsidR="00C9210A" w:rsidRPr="00091600">
        <w:rPr>
          <w:lang w:val="en-AU"/>
        </w:rPr>
        <w:t xml:space="preserve"> </w:t>
      </w:r>
      <w:r w:rsidR="00981F16" w:rsidRPr="00091600">
        <w:rPr>
          <w:lang w:val="en-AU"/>
        </w:rPr>
        <w:t>c</w:t>
      </w:r>
      <w:r w:rsidR="00C9210A" w:rsidRPr="00091600">
        <w:rPr>
          <w:lang w:val="en-AU"/>
        </w:rPr>
        <w:t>ertificates</w:t>
      </w:r>
      <w:r w:rsidR="00981F16" w:rsidRPr="00091600">
        <w:rPr>
          <w:lang w:val="en-AU"/>
        </w:rPr>
        <w:t>,</w:t>
      </w:r>
      <w:r w:rsidR="00C9210A" w:rsidRPr="00091600">
        <w:rPr>
          <w:lang w:val="en-AU"/>
        </w:rPr>
        <w:t xml:space="preserve"> </w:t>
      </w:r>
      <w:r w:rsidRPr="00091600">
        <w:rPr>
          <w:lang w:val="en-AU"/>
        </w:rPr>
        <w:t xml:space="preserve">as well as </w:t>
      </w:r>
      <w:r w:rsidR="00981F16" w:rsidRPr="00091600">
        <w:rPr>
          <w:lang w:val="en-AU"/>
        </w:rPr>
        <w:t>s</w:t>
      </w:r>
      <w:r w:rsidR="004521E1" w:rsidRPr="00091600">
        <w:rPr>
          <w:lang w:val="en-AU"/>
        </w:rPr>
        <w:t xml:space="preserve">hort </w:t>
      </w:r>
      <w:r w:rsidR="00981F16" w:rsidRPr="00091600">
        <w:rPr>
          <w:lang w:val="en-AU"/>
        </w:rPr>
        <w:t>c</w:t>
      </w:r>
      <w:r w:rsidR="004521E1" w:rsidRPr="00091600">
        <w:rPr>
          <w:lang w:val="en-AU"/>
        </w:rPr>
        <w:t>ourses</w:t>
      </w:r>
      <w:r w:rsidRPr="00091600">
        <w:rPr>
          <w:lang w:val="en-AU"/>
        </w:rPr>
        <w:t xml:space="preserve">, often co-delivered with CIT Solutions (the implementer </w:t>
      </w:r>
      <w:r w:rsidR="00355D96">
        <w:rPr>
          <w:lang w:val="en-AU"/>
        </w:rPr>
        <w:t>for</w:t>
      </w:r>
      <w:r w:rsidRPr="00091600">
        <w:rPr>
          <w:lang w:val="en-AU"/>
        </w:rPr>
        <w:t xml:space="preserve"> APSC</w:t>
      </w:r>
      <w:r w:rsidR="00981F16" w:rsidRPr="00091600">
        <w:rPr>
          <w:lang w:val="en-AU"/>
        </w:rPr>
        <w:t>)</w:t>
      </w:r>
      <w:r w:rsidR="00EE644A">
        <w:rPr>
          <w:lang w:val="en-AU"/>
        </w:rPr>
        <w:t>. F</w:t>
      </w:r>
      <w:r w:rsidRPr="00091600">
        <w:rPr>
          <w:lang w:val="en-AU"/>
        </w:rPr>
        <w:t>urther activities include PILAG institutional development (with APSC) and new infrastructure (managed</w:t>
      </w:r>
      <w:r w:rsidR="00EE644A">
        <w:rPr>
          <w:lang w:val="en-AU"/>
        </w:rPr>
        <w:t xml:space="preserve"> separately)</w:t>
      </w:r>
      <w:r w:rsidRPr="00091600">
        <w:rPr>
          <w:lang w:val="en-AU"/>
        </w:rPr>
        <w:t xml:space="preserve">. In addition, </w:t>
      </w:r>
      <w:r w:rsidR="00EE644A">
        <w:rPr>
          <w:lang w:val="en-AU"/>
        </w:rPr>
        <w:t>the University of Queensland (</w:t>
      </w:r>
      <w:r w:rsidRPr="00091600">
        <w:rPr>
          <w:lang w:val="en-AU"/>
        </w:rPr>
        <w:t>UQ</w:t>
      </w:r>
      <w:r w:rsidR="00EE644A">
        <w:rPr>
          <w:lang w:val="en-AU"/>
        </w:rPr>
        <w:t>)</w:t>
      </w:r>
      <w:r w:rsidRPr="00091600">
        <w:rPr>
          <w:lang w:val="en-AU"/>
        </w:rPr>
        <w:t xml:space="preserve"> delivers </w:t>
      </w:r>
      <w:r w:rsidR="00676BA7" w:rsidRPr="00091600">
        <w:rPr>
          <w:lang w:val="en-AU"/>
        </w:rPr>
        <w:t>s</w:t>
      </w:r>
      <w:r w:rsidR="004521E1" w:rsidRPr="00091600">
        <w:rPr>
          <w:lang w:val="en-AU"/>
        </w:rPr>
        <w:t>hort</w:t>
      </w:r>
      <w:r w:rsidRPr="00091600">
        <w:rPr>
          <w:lang w:val="en-AU"/>
        </w:rPr>
        <w:t xml:space="preserve"> courses and </w:t>
      </w:r>
      <w:r w:rsidR="00355D96">
        <w:rPr>
          <w:lang w:val="en-AU"/>
        </w:rPr>
        <w:t>the</w:t>
      </w:r>
      <w:r w:rsidRPr="00091600">
        <w:rPr>
          <w:lang w:val="en-AU"/>
        </w:rPr>
        <w:t xml:space="preserve"> Future Leaders Program to benefit public servants. For ease of comparison, UQ training of public servants is analysed under the PILAG section, </w:t>
      </w:r>
      <w:r w:rsidR="00981F16" w:rsidRPr="00091600">
        <w:rPr>
          <w:lang w:val="en-AU"/>
        </w:rPr>
        <w:t>al</w:t>
      </w:r>
      <w:r w:rsidR="0002211F" w:rsidRPr="00091600">
        <w:rPr>
          <w:lang w:val="en-AU"/>
        </w:rPr>
        <w:t>though</w:t>
      </w:r>
      <w:r w:rsidRPr="00091600">
        <w:rPr>
          <w:lang w:val="en-AU"/>
        </w:rPr>
        <w:t xml:space="preserve"> they are separate Precinct </w:t>
      </w:r>
      <w:r w:rsidR="00355D96">
        <w:rPr>
          <w:lang w:val="en-AU"/>
        </w:rPr>
        <w:t>activities</w:t>
      </w:r>
      <w:r w:rsidR="00894701" w:rsidRPr="00091600">
        <w:rPr>
          <w:lang w:val="en-AU"/>
        </w:rPr>
        <w:t>.</w:t>
      </w:r>
    </w:p>
    <w:p w:rsidR="000F4B57" w:rsidRPr="00091600" w:rsidRDefault="000F4B57" w:rsidP="008F7A55">
      <w:pPr>
        <w:pStyle w:val="BodyText"/>
        <w:numPr>
          <w:ilvl w:val="0"/>
          <w:numId w:val="10"/>
        </w:numPr>
        <w:rPr>
          <w:lang w:val="en-AU"/>
        </w:rPr>
      </w:pPr>
      <w:r w:rsidRPr="001422B3">
        <w:rPr>
          <w:rFonts w:ascii="Roboto" w:hAnsi="Roboto"/>
          <w:b/>
          <w:lang w:val="en-AU"/>
        </w:rPr>
        <w:t>Pathways and enabling environment</w:t>
      </w:r>
      <w:r w:rsidR="00981F16" w:rsidRPr="001422B3">
        <w:rPr>
          <w:rFonts w:ascii="Roboto" w:hAnsi="Roboto"/>
          <w:b/>
          <w:lang w:val="en-AU"/>
        </w:rPr>
        <w:t>:</w:t>
      </w:r>
      <w:r w:rsidR="007E38FE" w:rsidRPr="00091600">
        <w:rPr>
          <w:lang w:val="en-AU"/>
        </w:rPr>
        <w:t xml:space="preserve"> </w:t>
      </w:r>
      <w:r w:rsidR="00981F16" w:rsidRPr="00091600">
        <w:rPr>
          <w:lang w:val="en-AU"/>
        </w:rPr>
        <w:t>t</w:t>
      </w:r>
      <w:r w:rsidR="007E38FE" w:rsidRPr="00091600">
        <w:rPr>
          <w:lang w:val="en-AU"/>
        </w:rPr>
        <w:t>his</w:t>
      </w:r>
      <w:r w:rsidRPr="00091600">
        <w:rPr>
          <w:lang w:val="en-AU"/>
        </w:rPr>
        <w:t xml:space="preserve"> strategy is the least well developed in Precinct documentation, but essential to ensure that the two previous strategies are able to contribute to the program goal. The assumption is that higher education and classroom-based professional training will not be enough to deliver effective leaders that can contribute to PNG’s long-term development, and need to be complemented by peer-to-peer learning and alliances.</w:t>
      </w:r>
      <w:r w:rsidRPr="00091600">
        <w:rPr>
          <w:rStyle w:val="FootnoteReference"/>
          <w:lang w:val="en-AU"/>
        </w:rPr>
        <w:footnoteReference w:id="9"/>
      </w:r>
      <w:r w:rsidRPr="00091600">
        <w:rPr>
          <w:lang w:val="en-AU"/>
        </w:rPr>
        <w:t xml:space="preserve"> This change strategy is based on support to a range of activities such as: physical and virtual pathways between UPNG and PILAG to ensure collaboration; coaching and mentoring of leaders trained through the Precinct; bespoke courses and events (delivered by UQ); knowledge exchanges and public policy debates (including through SBPP and ANU); support for coalitions; and other initiatives to contribute to the Precinct’s long-term </w:t>
      </w:r>
      <w:r w:rsidR="00981F16" w:rsidRPr="00091600">
        <w:rPr>
          <w:lang w:val="en-AU"/>
        </w:rPr>
        <w:t>O</w:t>
      </w:r>
      <w:r w:rsidR="001D0904" w:rsidRPr="00091600">
        <w:rPr>
          <w:lang w:val="en-AU"/>
        </w:rPr>
        <w:t>utcomes</w:t>
      </w:r>
      <w:r w:rsidRPr="00091600">
        <w:rPr>
          <w:lang w:val="en-AU"/>
        </w:rPr>
        <w:t xml:space="preserve"> 4 to 6.</w:t>
      </w:r>
    </w:p>
    <w:p w:rsidR="000F4B57" w:rsidRPr="00091600" w:rsidRDefault="00A512DD" w:rsidP="000F4B57">
      <w:pPr>
        <w:pStyle w:val="BodyText"/>
        <w:rPr>
          <w:lang w:val="en-AU"/>
        </w:rPr>
      </w:pPr>
      <w:r w:rsidRPr="009E1A2E">
        <w:rPr>
          <w:rFonts w:ascii="Roboto" w:hAnsi="Roboto"/>
          <w:lang w:val="en-AU"/>
        </w:rPr>
        <w:t>G</w:t>
      </w:r>
      <w:r w:rsidR="0045701F" w:rsidRPr="009E1A2E">
        <w:rPr>
          <w:rFonts w:ascii="Roboto" w:hAnsi="Roboto"/>
          <w:lang w:val="en-AU"/>
        </w:rPr>
        <w:t xml:space="preserve">ender </w:t>
      </w:r>
      <w:r w:rsidR="003A00F2" w:rsidRPr="009E1A2E">
        <w:rPr>
          <w:rFonts w:ascii="Roboto" w:hAnsi="Roboto"/>
          <w:lang w:val="en-AU"/>
        </w:rPr>
        <w:t xml:space="preserve">equity </w:t>
      </w:r>
      <w:r w:rsidR="0045701F" w:rsidRPr="009E1A2E">
        <w:rPr>
          <w:rFonts w:ascii="Roboto" w:hAnsi="Roboto"/>
          <w:lang w:val="en-AU"/>
        </w:rPr>
        <w:t xml:space="preserve">and </w:t>
      </w:r>
      <w:r w:rsidR="003A00F2" w:rsidRPr="009E1A2E">
        <w:rPr>
          <w:rFonts w:ascii="Roboto" w:hAnsi="Roboto"/>
          <w:lang w:val="en-AU"/>
        </w:rPr>
        <w:t>s</w:t>
      </w:r>
      <w:r w:rsidR="00E7110A" w:rsidRPr="009E1A2E">
        <w:rPr>
          <w:rFonts w:ascii="Roboto" w:hAnsi="Roboto"/>
          <w:lang w:val="en-AU"/>
        </w:rPr>
        <w:t xml:space="preserve">ocial </w:t>
      </w:r>
      <w:r w:rsidR="003A00F2" w:rsidRPr="009E1A2E">
        <w:rPr>
          <w:rFonts w:ascii="Roboto" w:hAnsi="Roboto"/>
          <w:lang w:val="en-AU"/>
        </w:rPr>
        <w:t>i</w:t>
      </w:r>
      <w:r w:rsidR="00E7110A" w:rsidRPr="009E1A2E">
        <w:rPr>
          <w:rFonts w:ascii="Roboto" w:hAnsi="Roboto"/>
          <w:lang w:val="en-AU"/>
        </w:rPr>
        <w:t>nclusion</w:t>
      </w:r>
      <w:r w:rsidR="003A00F2" w:rsidRPr="00091600">
        <w:rPr>
          <w:lang w:val="en-AU"/>
        </w:rPr>
        <w:t xml:space="preserve"> </w:t>
      </w:r>
      <w:r w:rsidR="000F4B57" w:rsidRPr="00091600">
        <w:rPr>
          <w:lang w:val="en-AU"/>
        </w:rPr>
        <w:t xml:space="preserve">is not an explicit change </w:t>
      </w:r>
      <w:r w:rsidR="0045701F" w:rsidRPr="00091600">
        <w:rPr>
          <w:lang w:val="en-AU"/>
        </w:rPr>
        <w:t>strateg</w:t>
      </w:r>
      <w:r w:rsidR="00780A6F" w:rsidRPr="00091600">
        <w:rPr>
          <w:lang w:val="en-AU"/>
        </w:rPr>
        <w:t>y</w:t>
      </w:r>
      <w:r w:rsidR="000F4B57" w:rsidRPr="00091600">
        <w:rPr>
          <w:lang w:val="en-AU"/>
        </w:rPr>
        <w:t xml:space="preserve"> in the program documentation but is considered by the </w:t>
      </w:r>
      <w:r w:rsidR="00CF45C5" w:rsidRPr="00091600">
        <w:rPr>
          <w:lang w:val="en-AU"/>
        </w:rPr>
        <w:t>review</w:t>
      </w:r>
      <w:r w:rsidR="000F4B57" w:rsidRPr="00091600">
        <w:rPr>
          <w:lang w:val="en-AU"/>
        </w:rPr>
        <w:t xml:space="preserve"> team as </w:t>
      </w:r>
      <w:r w:rsidR="000F4B57" w:rsidRPr="00091600">
        <w:rPr>
          <w:color w:val="000000" w:themeColor="text1"/>
          <w:lang w:val="en-AU"/>
        </w:rPr>
        <w:t>the Precinct’s fourth strategy,</w:t>
      </w:r>
      <w:r w:rsidR="000F4B57" w:rsidRPr="00091600">
        <w:rPr>
          <w:lang w:val="en-AU"/>
        </w:rPr>
        <w:t xml:space="preserve"> as it is</w:t>
      </w:r>
      <w:r w:rsidR="00780A6F" w:rsidRPr="00091600">
        <w:rPr>
          <w:lang w:val="en-AU"/>
        </w:rPr>
        <w:t xml:space="preserve"> </w:t>
      </w:r>
      <w:r w:rsidR="000F4B57" w:rsidRPr="00091600">
        <w:rPr>
          <w:lang w:val="en-AU"/>
        </w:rPr>
        <w:t>intended to be mainstreamed throughout all processes and practices of the Precinct. The National GESI Policy is one of the Precinct’s two core documents. It defines social exclusion as ‘a process whereby certain groups in society are systematically excluded from opportunities that are open to others’. The groups identified in the policy are</w:t>
      </w:r>
      <w:r w:rsidR="00AC3489" w:rsidRPr="00091600">
        <w:rPr>
          <w:lang w:val="en-AU"/>
        </w:rPr>
        <w:t xml:space="preserve"> </w:t>
      </w:r>
      <w:r w:rsidR="000F4B57" w:rsidRPr="00091600">
        <w:rPr>
          <w:lang w:val="en-AU"/>
        </w:rPr>
        <w:t xml:space="preserve"> comprehensive, including those ‘discriminated against on the basis of their sex, age, caste, clan, descent, disability, ethnic background, HIV or other health status, migrant status, religion, sexual orientation, social status, where they live, or other social identity’. In addition, the program goal is clear that both women and men are included in the vision of ethical leaders delivering inclusive services. Long-term </w:t>
      </w:r>
      <w:r w:rsidR="00981F16" w:rsidRPr="00091600">
        <w:rPr>
          <w:lang w:val="en-AU"/>
        </w:rPr>
        <w:t>O</w:t>
      </w:r>
      <w:r w:rsidR="0045701F" w:rsidRPr="00091600">
        <w:rPr>
          <w:lang w:val="en-AU"/>
        </w:rPr>
        <w:t>utcome</w:t>
      </w:r>
      <w:r w:rsidR="000F4B57" w:rsidRPr="00091600">
        <w:rPr>
          <w:lang w:val="en-AU"/>
        </w:rPr>
        <w:t xml:space="preserve"> 3 includes an increase in the number of senior women in the public sector. Yet despite the inclusiveness of the core National GESI Policy, inclusion beyond gender is underrepresented in the program strategies for change. </w:t>
      </w:r>
    </w:p>
    <w:p w:rsidR="000F4B57" w:rsidRPr="00931BFA" w:rsidRDefault="000F4B57" w:rsidP="00931BFA">
      <w:pPr>
        <w:pStyle w:val="Caption"/>
      </w:pPr>
      <w:bookmarkStart w:id="40" w:name="_Toc536627412"/>
      <w:bookmarkStart w:id="41" w:name="_Toc536627423"/>
      <w:bookmarkStart w:id="42" w:name="_Toc2089245"/>
      <w:r w:rsidRPr="00931BFA">
        <w:t xml:space="preserve">Figure </w:t>
      </w:r>
      <w:r w:rsidR="001C457F">
        <w:fldChar w:fldCharType="begin"/>
      </w:r>
      <w:r w:rsidR="001C457F">
        <w:instrText xml:space="preserve"> SEQ Figure \* ARABIC </w:instrText>
      </w:r>
      <w:r w:rsidR="001C457F">
        <w:fldChar w:fldCharType="separate"/>
      </w:r>
      <w:r w:rsidR="004964E9">
        <w:rPr>
          <w:noProof/>
        </w:rPr>
        <w:t>1</w:t>
      </w:r>
      <w:r w:rsidR="001C457F">
        <w:fldChar w:fldCharType="end"/>
      </w:r>
      <w:r w:rsidRPr="00931BFA">
        <w:t>:</w:t>
      </w:r>
      <w:r w:rsidRPr="00931BFA">
        <w:tab/>
        <w:t>Precinct program logic</w:t>
      </w:r>
      <w:bookmarkEnd w:id="40"/>
      <w:bookmarkEnd w:id="41"/>
      <w:bookmarkEnd w:id="42"/>
    </w:p>
    <w:p w:rsidR="00D51874" w:rsidRPr="00091600" w:rsidRDefault="00D1102B" w:rsidP="005975B5">
      <w:pPr>
        <w:pStyle w:val="BodyText"/>
        <w:rPr>
          <w:rFonts w:cstheme="minorHAnsi"/>
          <w:lang w:val="en-AU"/>
        </w:rPr>
      </w:pPr>
      <w:r w:rsidRPr="00091600">
        <w:rPr>
          <w:rFonts w:cstheme="minorHAnsi"/>
          <w:noProof/>
          <w:lang w:val="en-AU" w:eastAsia="en-AU"/>
        </w:rPr>
        <w:drawing>
          <wp:inline distT="0" distB="0" distL="0" distR="0" wp14:anchorId="7F9B3912" wp14:editId="1D71878C">
            <wp:extent cx="5626672" cy="6381750"/>
            <wp:effectExtent l="0" t="0" r="0" b="0"/>
            <wp:docPr id="9" name="Picture 9" descr="PNG Government Policy Framework logical pathway of change from the PLGP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9-12 at 21.00.47.png"/>
                    <pic:cNvPicPr/>
                  </pic:nvPicPr>
                  <pic:blipFill>
                    <a:blip r:embed="rId20">
                      <a:extLst>
                        <a:ext uri="{28A0092B-C50C-407E-A947-70E740481C1C}">
                          <a14:useLocalDpi xmlns:a14="http://schemas.microsoft.com/office/drawing/2010/main" val="0"/>
                        </a:ext>
                      </a:extLst>
                    </a:blip>
                    <a:stretch>
                      <a:fillRect/>
                    </a:stretch>
                  </pic:blipFill>
                  <pic:spPr>
                    <a:xfrm>
                      <a:off x="0" y="0"/>
                      <a:ext cx="5651737" cy="6410178"/>
                    </a:xfrm>
                    <a:prstGeom prst="rect">
                      <a:avLst/>
                    </a:prstGeom>
                  </pic:spPr>
                </pic:pic>
              </a:graphicData>
            </a:graphic>
          </wp:inline>
        </w:drawing>
      </w:r>
    </w:p>
    <w:p w:rsidR="000F4B57" w:rsidRPr="00091600" w:rsidRDefault="000F4B57" w:rsidP="000F4B57">
      <w:pPr>
        <w:pStyle w:val="Tablenotes"/>
        <w:rPr>
          <w:rFonts w:ascii="Roboto Light" w:hAnsi="Roboto Light"/>
          <w:lang w:val="en-AU"/>
        </w:rPr>
      </w:pPr>
      <w:r w:rsidRPr="00091600">
        <w:rPr>
          <w:rFonts w:ascii="Roboto Light" w:hAnsi="Roboto Light"/>
          <w:lang w:val="en-AU"/>
        </w:rPr>
        <w:t>Source: PLGP (2018) ‘Draft Precinct Design and Implementation Brief’, March</w:t>
      </w:r>
    </w:p>
    <w:p w:rsidR="000F4B57" w:rsidRPr="00091600" w:rsidRDefault="000F4B57" w:rsidP="00931BFA">
      <w:pPr>
        <w:pStyle w:val="Heading4"/>
        <w:rPr>
          <w:lang w:val="en-AU"/>
        </w:rPr>
      </w:pPr>
      <w:r w:rsidRPr="00091600">
        <w:rPr>
          <w:lang w:val="en-AU"/>
        </w:rPr>
        <w:t xml:space="preserve">Management </w:t>
      </w:r>
      <w:r w:rsidRPr="00931BFA">
        <w:t>arrangements</w:t>
      </w:r>
    </w:p>
    <w:p w:rsidR="000F4B57" w:rsidRPr="00091600" w:rsidRDefault="00981F16" w:rsidP="000F4B57">
      <w:pPr>
        <w:pStyle w:val="BodyText"/>
        <w:rPr>
          <w:lang w:val="en-AU"/>
        </w:rPr>
      </w:pPr>
      <w:r w:rsidRPr="00091600">
        <w:rPr>
          <w:lang w:val="en-AU"/>
        </w:rPr>
        <w:t>T</w:t>
      </w:r>
      <w:r w:rsidR="00B56D82" w:rsidRPr="00091600">
        <w:rPr>
          <w:lang w:val="en-AU"/>
        </w:rPr>
        <w:t xml:space="preserve">o </w:t>
      </w:r>
      <w:r w:rsidR="000F4B57" w:rsidRPr="00091600">
        <w:rPr>
          <w:lang w:val="en-AU"/>
        </w:rPr>
        <w:t xml:space="preserve">start implementation quickly during 2015, Precinct activities were delivered by several existing DFAT programs, </w:t>
      </w:r>
      <w:r w:rsidR="006F41E4" w:rsidRPr="00091600">
        <w:rPr>
          <w:lang w:val="en-AU"/>
        </w:rPr>
        <w:t xml:space="preserve">with </w:t>
      </w:r>
      <w:r w:rsidR="004423CB">
        <w:rPr>
          <w:lang w:val="en-AU"/>
        </w:rPr>
        <w:t xml:space="preserve">AHC </w:t>
      </w:r>
      <w:r w:rsidR="006F41E4" w:rsidRPr="00091600">
        <w:rPr>
          <w:lang w:val="en-AU"/>
        </w:rPr>
        <w:t>maintaining oversight</w:t>
      </w:r>
      <w:r w:rsidRPr="00091600">
        <w:rPr>
          <w:lang w:val="en-AU"/>
        </w:rPr>
        <w:t>:</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the Economic and Public Sector Program (for PILAG and GESI elements);</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the Education Capacity Development Facility (for SBPP, ANU</w:t>
      </w:r>
      <w:r w:rsidR="00503BB6">
        <w:rPr>
          <w:rFonts w:ascii="Roboto Light" w:hAnsi="Roboto Light"/>
          <w:szCs w:val="22"/>
          <w:lang w:val="en-AU"/>
        </w:rPr>
        <w:t>, short courses</w:t>
      </w:r>
      <w:r w:rsidRPr="00091600">
        <w:rPr>
          <w:rFonts w:ascii="Roboto Light" w:hAnsi="Roboto Light"/>
          <w:szCs w:val="22"/>
          <w:lang w:val="en-AU"/>
        </w:rPr>
        <w:t xml:space="preserve"> and UQ); and</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the Joint Understanding—</w:t>
      </w:r>
      <w:r w:rsidR="00EC1E59">
        <w:rPr>
          <w:rFonts w:ascii="Roboto Light" w:hAnsi="Roboto Light"/>
          <w:szCs w:val="22"/>
          <w:lang w:val="en-AU"/>
        </w:rPr>
        <w:t>Technical Advisory</w:t>
      </w:r>
      <w:r w:rsidRPr="00091600">
        <w:rPr>
          <w:rFonts w:ascii="Roboto Light" w:hAnsi="Roboto Light"/>
          <w:szCs w:val="22"/>
          <w:lang w:val="en-AU"/>
        </w:rPr>
        <w:t xml:space="preserve"> Unit (infrastructure).</w:t>
      </w:r>
    </w:p>
    <w:p w:rsidR="000F4B57" w:rsidRPr="00091600" w:rsidRDefault="000F4B57" w:rsidP="000F4B57">
      <w:pPr>
        <w:pStyle w:val="BodyText"/>
        <w:spacing w:before="120"/>
        <w:rPr>
          <w:lang w:val="en-AU"/>
        </w:rPr>
      </w:pPr>
      <w:r w:rsidRPr="00091600">
        <w:rPr>
          <w:lang w:val="en-AU"/>
        </w:rPr>
        <w:t xml:space="preserve">In 2015, the Precinct program extended an existing partnership between the UPNG School of Business and Public </w:t>
      </w:r>
      <w:r w:rsidR="00BF0292">
        <w:rPr>
          <w:lang w:val="en-AU"/>
        </w:rPr>
        <w:t>Policy</w:t>
      </w:r>
      <w:r w:rsidRPr="00091600">
        <w:rPr>
          <w:lang w:val="en-AU"/>
        </w:rPr>
        <w:t xml:space="preserve"> and the ANU Crawford School of Public Policy through a grant. In addition, UQ was selected as part of an agreement with DPM to deliver a Graduate Certificate in Public Policy. It had already been delivering leadership courses in PNG. APSC continued its collaboration with DPM, and its training institute PNG IPA, through a separate DFAT twinning program.</w:t>
      </w:r>
    </w:p>
    <w:p w:rsidR="000F4B57" w:rsidRPr="00091600" w:rsidRDefault="000F4B57" w:rsidP="000F4B57">
      <w:pPr>
        <w:pStyle w:val="BodyText"/>
        <w:rPr>
          <w:lang w:val="en-AU"/>
        </w:rPr>
      </w:pPr>
      <w:r w:rsidRPr="00091600">
        <w:rPr>
          <w:lang w:val="en-AU"/>
        </w:rPr>
        <w:t>The year 2016 saw a number of changes on the Australian side of the Precinct</w:t>
      </w:r>
      <w:r w:rsidR="00F834B8">
        <w:rPr>
          <w:lang w:val="en-AU"/>
        </w:rPr>
        <w:t>.</w:t>
      </w:r>
      <w:r w:rsidR="00FD08C5">
        <w:rPr>
          <w:lang w:val="en-AU"/>
        </w:rPr>
        <w:t xml:space="preserve"> </w:t>
      </w:r>
      <w:r w:rsidRPr="00091600">
        <w:rPr>
          <w:lang w:val="en-AU"/>
        </w:rPr>
        <w:t xml:space="preserve">The Precinct was incorporated into the new </w:t>
      </w:r>
      <w:r w:rsidR="00014971" w:rsidRPr="00091600">
        <w:rPr>
          <w:lang w:val="en-AU"/>
        </w:rPr>
        <w:t>PNG</w:t>
      </w:r>
      <w:r w:rsidRPr="00091600">
        <w:rPr>
          <w:lang w:val="en-AU"/>
        </w:rPr>
        <w:t>–Australia Governance Partnership Facility (Governance Partnership),</w:t>
      </w:r>
      <w:r w:rsidR="009F04B7" w:rsidRPr="00091600">
        <w:rPr>
          <w:lang w:val="en-AU"/>
        </w:rPr>
        <w:t xml:space="preserve"> </w:t>
      </w:r>
      <w:r w:rsidRPr="00091600">
        <w:rPr>
          <w:lang w:val="en-AU"/>
        </w:rPr>
        <w:t xml:space="preserve">bringing together most DFAT governance investments in PNG. </w:t>
      </w:r>
      <w:r w:rsidR="007854DD" w:rsidRPr="00091600">
        <w:rPr>
          <w:lang w:val="en-AU"/>
        </w:rPr>
        <w:t xml:space="preserve">The Managing Contractor </w:t>
      </w:r>
      <w:r w:rsidR="00EB3CF0">
        <w:rPr>
          <w:lang w:val="en-AU"/>
        </w:rPr>
        <w:t>became</w:t>
      </w:r>
      <w:r w:rsidR="007854DD" w:rsidRPr="00091600">
        <w:rPr>
          <w:lang w:val="en-AU"/>
        </w:rPr>
        <w:t xml:space="preserve"> </w:t>
      </w:r>
      <w:r w:rsidR="007854DD" w:rsidRPr="00091600">
        <w:rPr>
          <w:kern w:val="20"/>
          <w:szCs w:val="20"/>
          <w:lang w:val="en-AU" w:eastAsia="ja-JP"/>
        </w:rPr>
        <w:t>Abt PNG Management Services</w:t>
      </w:r>
      <w:r w:rsidR="007854DD" w:rsidRPr="00091600">
        <w:rPr>
          <w:lang w:val="en-AU"/>
        </w:rPr>
        <w:t xml:space="preserve">. </w:t>
      </w:r>
      <w:r w:rsidRPr="00091600">
        <w:rPr>
          <w:lang w:val="en-AU"/>
        </w:rPr>
        <w:t>UQ was selected</w:t>
      </w:r>
      <w:r w:rsidR="00061AAC">
        <w:rPr>
          <w:lang w:val="en-AU"/>
        </w:rPr>
        <w:t xml:space="preserve"> by the PNG and Australia</w:t>
      </w:r>
      <w:r w:rsidR="00B41776">
        <w:rPr>
          <w:lang w:val="en-AU"/>
        </w:rPr>
        <w:t>n Governments</w:t>
      </w:r>
      <w:r w:rsidRPr="00091600">
        <w:rPr>
          <w:lang w:val="en-AU"/>
        </w:rPr>
        <w:t xml:space="preserve"> to design and deliver a range of leadership </w:t>
      </w:r>
      <w:r w:rsidR="00365E38">
        <w:rPr>
          <w:lang w:val="en-AU"/>
        </w:rPr>
        <w:t>a</w:t>
      </w:r>
      <w:r w:rsidRPr="00091600">
        <w:rPr>
          <w:lang w:val="en-AU"/>
        </w:rPr>
        <w:t xml:space="preserve">ctivities. </w:t>
      </w:r>
    </w:p>
    <w:p w:rsidR="000F4B57" w:rsidRPr="00091600" w:rsidRDefault="000F4B57" w:rsidP="000F4B57">
      <w:pPr>
        <w:pStyle w:val="BodyText"/>
        <w:rPr>
          <w:lang w:val="en-AU"/>
        </w:rPr>
      </w:pPr>
      <w:r w:rsidRPr="00091600">
        <w:rPr>
          <w:lang w:val="en-AU"/>
        </w:rPr>
        <w:t xml:space="preserve">In December 2017, responsibility for the Precinct within AHC was moved from the </w:t>
      </w:r>
      <w:r w:rsidR="00BF0292">
        <w:rPr>
          <w:lang w:val="en-AU"/>
        </w:rPr>
        <w:t xml:space="preserve">Economic </w:t>
      </w:r>
      <w:r w:rsidRPr="00091600">
        <w:rPr>
          <w:lang w:val="en-AU"/>
        </w:rPr>
        <w:t xml:space="preserve">Governance </w:t>
      </w:r>
      <w:r w:rsidR="00BF0292">
        <w:rPr>
          <w:lang w:val="en-AU"/>
        </w:rPr>
        <w:t xml:space="preserve">Team </w:t>
      </w:r>
      <w:r w:rsidRPr="00091600">
        <w:rPr>
          <w:lang w:val="en-AU"/>
        </w:rPr>
        <w:t xml:space="preserve">to the Education </w:t>
      </w:r>
      <w:r w:rsidR="00BF0292">
        <w:rPr>
          <w:lang w:val="en-AU"/>
        </w:rPr>
        <w:t>and Leadership T</w:t>
      </w:r>
      <w:r w:rsidRPr="00091600">
        <w:rPr>
          <w:lang w:val="en-AU"/>
        </w:rPr>
        <w:t>eam</w:t>
      </w:r>
      <w:r w:rsidR="00374B5A">
        <w:rPr>
          <w:lang w:val="en-AU"/>
        </w:rPr>
        <w:t>.</w:t>
      </w:r>
    </w:p>
    <w:p w:rsidR="000F4B57" w:rsidRPr="00091600" w:rsidRDefault="007A79CA" w:rsidP="000F4B57">
      <w:pPr>
        <w:pStyle w:val="BodyText"/>
        <w:rPr>
          <w:lang w:val="en-AU"/>
        </w:rPr>
      </w:pPr>
      <w:r>
        <w:rPr>
          <w:lang w:val="en-AU"/>
        </w:rPr>
        <w:t>Australia’s support for t</w:t>
      </w:r>
      <w:r w:rsidR="000F4B57" w:rsidRPr="00091600">
        <w:rPr>
          <w:lang w:val="en-AU"/>
        </w:rPr>
        <w:t xml:space="preserve">he Precinct </w:t>
      </w:r>
      <w:r w:rsidR="00820C4C">
        <w:rPr>
          <w:lang w:val="en-AU"/>
        </w:rPr>
        <w:t>became</w:t>
      </w:r>
      <w:r w:rsidR="000F4B57" w:rsidRPr="00091600">
        <w:rPr>
          <w:lang w:val="en-AU"/>
        </w:rPr>
        <w:t xml:space="preserve"> part of the </w:t>
      </w:r>
      <w:r w:rsidR="00B56D82" w:rsidRPr="00091600">
        <w:rPr>
          <w:lang w:val="en-AU"/>
        </w:rPr>
        <w:t>Public Sector Leadership and Reform Partnership (</w:t>
      </w:r>
      <w:r w:rsidR="000F4B57" w:rsidRPr="00091600">
        <w:rPr>
          <w:lang w:val="en-AU"/>
        </w:rPr>
        <w:t>PSLR</w:t>
      </w:r>
      <w:r w:rsidR="00B56D82" w:rsidRPr="00091600">
        <w:rPr>
          <w:lang w:val="en-AU"/>
        </w:rPr>
        <w:t>)</w:t>
      </w:r>
      <w:r w:rsidR="008C20F7">
        <w:rPr>
          <w:lang w:val="en-AU"/>
        </w:rPr>
        <w:t xml:space="preserve"> within</w:t>
      </w:r>
      <w:r w:rsidR="000F4B57" w:rsidRPr="00091600">
        <w:rPr>
          <w:lang w:val="en-AU"/>
        </w:rPr>
        <w:t xml:space="preserve"> the Governance Partnership. This is complemented by the DFAT APSC Institutional Partnership Program. </w:t>
      </w:r>
    </w:p>
    <w:p w:rsidR="000F4B57" w:rsidRPr="00091600" w:rsidRDefault="000F4B57" w:rsidP="000F4B57">
      <w:pPr>
        <w:pStyle w:val="BodyText"/>
        <w:rPr>
          <w:lang w:val="en-AU"/>
        </w:rPr>
      </w:pPr>
      <w:r w:rsidRPr="00091600">
        <w:rPr>
          <w:lang w:val="en-AU"/>
        </w:rPr>
        <w:t>AHC estimate that Precinct expenditure since fiscal year 2014</w:t>
      </w:r>
      <w:r w:rsidR="00EB0E2E" w:rsidRPr="00091600">
        <w:rPr>
          <w:lang w:val="en-AU"/>
        </w:rPr>
        <w:t>/</w:t>
      </w:r>
      <w:r w:rsidRPr="00091600">
        <w:rPr>
          <w:lang w:val="en-AU"/>
        </w:rPr>
        <w:t>15 until July 2018 has been A</w:t>
      </w:r>
      <w:r w:rsidR="008D2146">
        <w:rPr>
          <w:lang w:val="en-AU"/>
        </w:rPr>
        <w:t xml:space="preserve">UD </w:t>
      </w:r>
      <w:r w:rsidRPr="00091600">
        <w:rPr>
          <w:lang w:val="en-AU"/>
        </w:rPr>
        <w:t>25 million.</w:t>
      </w:r>
      <w:r w:rsidRPr="00091600">
        <w:rPr>
          <w:rStyle w:val="FootnoteReference"/>
          <w:lang w:val="en-AU"/>
        </w:rPr>
        <w:footnoteReference w:id="10"/>
      </w:r>
      <w:r w:rsidRPr="00091600">
        <w:rPr>
          <w:lang w:val="en-AU"/>
        </w:rPr>
        <w:t xml:space="preserve"> In addition, the Technical Advisory Unit (Cardno) manages A</w:t>
      </w:r>
      <w:r w:rsidR="008D2146">
        <w:rPr>
          <w:lang w:val="en-AU"/>
        </w:rPr>
        <w:t xml:space="preserve">UD </w:t>
      </w:r>
      <w:r w:rsidRPr="00091600">
        <w:rPr>
          <w:lang w:val="en-AU"/>
        </w:rPr>
        <w:t>61.5 million for the delivery of new infrastructure</w:t>
      </w:r>
      <w:r w:rsidR="00F621A5">
        <w:rPr>
          <w:lang w:val="en-AU"/>
        </w:rPr>
        <w:t>.</w:t>
      </w:r>
      <w:r w:rsidRPr="00091600">
        <w:rPr>
          <w:lang w:val="en-AU"/>
        </w:rPr>
        <w:t xml:space="preserve"> </w:t>
      </w:r>
    </w:p>
    <w:p w:rsidR="000F4B57" w:rsidRPr="00931BFA" w:rsidRDefault="000F4B57" w:rsidP="00931BFA">
      <w:pPr>
        <w:pStyle w:val="Boxcaption"/>
      </w:pPr>
      <w:bookmarkStart w:id="43" w:name="_Ref524708291"/>
      <w:bookmarkStart w:id="44" w:name="_Toc536627538"/>
      <w:bookmarkStart w:id="45" w:name="_Toc1566600"/>
      <w:r w:rsidRPr="009D1D8F">
        <w:t xml:space="preserve">Table </w:t>
      </w:r>
      <w:r w:rsidRPr="009D1D8F">
        <w:fldChar w:fldCharType="begin"/>
      </w:r>
      <w:r w:rsidRPr="009D1D8F">
        <w:instrText xml:space="preserve"> SEQ Table \* ARABIC </w:instrText>
      </w:r>
      <w:r w:rsidRPr="009D1D8F">
        <w:fldChar w:fldCharType="separate"/>
      </w:r>
      <w:r w:rsidR="004964E9">
        <w:rPr>
          <w:noProof/>
        </w:rPr>
        <w:t>3</w:t>
      </w:r>
      <w:r w:rsidRPr="009D1D8F">
        <w:fldChar w:fldCharType="end"/>
      </w:r>
      <w:bookmarkEnd w:id="43"/>
      <w:r w:rsidRPr="009D1D8F">
        <w:t>:</w:t>
      </w:r>
      <w:r w:rsidRPr="009D1D8F">
        <w:tab/>
        <w:t>Precinct program delivery (as of July 2018)</w:t>
      </w:r>
      <w:bookmarkEnd w:id="44"/>
      <w:bookmarkEnd w:id="45"/>
    </w:p>
    <w:tbl>
      <w:tblPr>
        <w:tblStyle w:val="OPMTable"/>
        <w:tblW w:w="5005" w:type="pct"/>
        <w:tblInd w:w="-5" w:type="dxa"/>
        <w:tblBorders>
          <w:top w:val="single" w:sz="4" w:space="0" w:color="45A7E1" w:themeColor="accent1"/>
          <w:left w:val="single" w:sz="4" w:space="0" w:color="45A7E1" w:themeColor="accent1"/>
          <w:bottom w:val="single" w:sz="4" w:space="0" w:color="45A7E1" w:themeColor="accent1"/>
          <w:right w:val="single" w:sz="4" w:space="0" w:color="45A7E1" w:themeColor="accent1"/>
          <w:insideH w:val="single" w:sz="4" w:space="0" w:color="45A7E1" w:themeColor="accent1"/>
          <w:insideV w:val="single" w:sz="4" w:space="0" w:color="45A7E1" w:themeColor="accent1"/>
        </w:tblBorders>
        <w:tblLook w:val="04A0" w:firstRow="1" w:lastRow="0" w:firstColumn="1" w:lastColumn="0" w:noHBand="0" w:noVBand="1"/>
        <w:tblCaption w:val="Precinct program delivery as of July 2018"/>
        <w:tblDescription w:val="The Public Sector Leadership and Reform Partnership includes technical, managerial and logistical activities and GESI support to DPM. The arrangment for this partnership is a contract until 2020 with an option to extend another four years. The ANU Crawford Partnership with UPNG includes faculty strengthening, collaborative research and student and facility exchanges. This Partnership is formalised in a grant until June 2020 valued at $9033685. The UQ Program includes the Future Leaderships Program, public events and courses. This Program is a sub-contract until 30 June 2019 valued at $7.2 million. The Support to DPM and support to IPA/PILAG includes leadership development activities. This support is governed by an MOU and valued at $4 million."/>
      </w:tblPr>
      <w:tblGrid>
        <w:gridCol w:w="1876"/>
        <w:gridCol w:w="2523"/>
        <w:gridCol w:w="2692"/>
        <w:gridCol w:w="2649"/>
      </w:tblGrid>
      <w:tr w:rsidR="00D079B7" w:rsidRPr="00091600" w:rsidTr="00B84372">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100" w:firstRow="0" w:lastRow="0" w:firstColumn="1" w:lastColumn="0" w:oddVBand="0" w:evenVBand="0" w:oddHBand="0" w:evenHBand="0" w:firstRowFirstColumn="1" w:firstRowLastColumn="0" w:lastRowFirstColumn="0" w:lastRowLastColumn="0"/>
            <w:tcW w:w="963" w:type="pct"/>
            <w:tcBorders>
              <w:top w:val="single" w:sz="4" w:space="0" w:color="45A7E1" w:themeColor="accent1"/>
              <w:left w:val="single" w:sz="4" w:space="0" w:color="45A7E1" w:themeColor="accent1"/>
              <w:right w:val="single" w:sz="4" w:space="0" w:color="45A7E1" w:themeColor="accent1"/>
            </w:tcBorders>
          </w:tcPr>
          <w:p w:rsidR="00D079B7" w:rsidRPr="00931BFA" w:rsidRDefault="00D079B7" w:rsidP="00013D3C">
            <w:pPr>
              <w:pStyle w:val="Tabletext"/>
              <w:jc w:val="center"/>
              <w:rPr>
                <w:rFonts w:ascii="Roboto" w:hAnsi="Roboto" w:cstheme="majorHAnsi"/>
                <w:lang w:val="en-AU"/>
              </w:rPr>
            </w:pPr>
            <w:r w:rsidRPr="00931BFA">
              <w:rPr>
                <w:rFonts w:ascii="Roboto" w:hAnsi="Roboto" w:cstheme="majorHAnsi"/>
                <w:lang w:val="en-AU"/>
              </w:rPr>
              <w:t>Australian management and partners</w:t>
            </w:r>
          </w:p>
        </w:tc>
        <w:tc>
          <w:tcPr>
            <w:tcW w:w="1295" w:type="pct"/>
            <w:tcBorders>
              <w:top w:val="single" w:sz="4" w:space="0" w:color="45A7E1" w:themeColor="accent1"/>
              <w:left w:val="single" w:sz="4" w:space="0" w:color="45A7E1" w:themeColor="accent1"/>
              <w:right w:val="single" w:sz="4" w:space="0" w:color="45A7E1" w:themeColor="accent1"/>
            </w:tcBorders>
          </w:tcPr>
          <w:p w:rsidR="00D079B7" w:rsidRPr="00931BFA" w:rsidRDefault="00D079B7" w:rsidP="00013D3C">
            <w:pPr>
              <w:pStyle w:val="Tabletext"/>
              <w:jc w:val="center"/>
              <w:cnfStyle w:val="100000000000" w:firstRow="1" w:lastRow="0" w:firstColumn="0" w:lastColumn="0" w:oddVBand="0" w:evenVBand="0" w:oddHBand="0" w:evenHBand="0" w:firstRowFirstColumn="0" w:firstRowLastColumn="0" w:lastRowFirstColumn="0" w:lastRowLastColumn="0"/>
              <w:rPr>
                <w:rFonts w:ascii="Roboto" w:hAnsi="Roboto" w:cstheme="majorHAnsi"/>
                <w:lang w:val="en-AU"/>
              </w:rPr>
            </w:pPr>
            <w:r w:rsidRPr="00931BFA">
              <w:rPr>
                <w:rFonts w:ascii="Roboto" w:hAnsi="Roboto" w:cstheme="majorHAnsi"/>
                <w:lang w:val="en-AU"/>
              </w:rPr>
              <w:t>Program</w:t>
            </w:r>
          </w:p>
        </w:tc>
        <w:tc>
          <w:tcPr>
            <w:tcW w:w="1382" w:type="pct"/>
            <w:tcBorders>
              <w:top w:val="single" w:sz="4" w:space="0" w:color="45A7E1" w:themeColor="accent1"/>
              <w:left w:val="single" w:sz="4" w:space="0" w:color="45A7E1" w:themeColor="accent1"/>
              <w:right w:val="single" w:sz="4" w:space="0" w:color="45A7E1" w:themeColor="accent1"/>
            </w:tcBorders>
          </w:tcPr>
          <w:p w:rsidR="00D079B7" w:rsidRPr="00931BFA" w:rsidRDefault="00D079B7" w:rsidP="00013D3C">
            <w:pPr>
              <w:pStyle w:val="Tabletext"/>
              <w:jc w:val="center"/>
              <w:cnfStyle w:val="100000000000" w:firstRow="1" w:lastRow="0" w:firstColumn="0" w:lastColumn="0" w:oddVBand="0" w:evenVBand="0" w:oddHBand="0" w:evenHBand="0" w:firstRowFirstColumn="0" w:firstRowLastColumn="0" w:lastRowFirstColumn="0" w:lastRowLastColumn="0"/>
              <w:rPr>
                <w:rFonts w:ascii="Roboto" w:hAnsi="Roboto" w:cstheme="majorHAnsi"/>
                <w:lang w:val="en-AU"/>
              </w:rPr>
            </w:pPr>
            <w:r w:rsidRPr="00931BFA">
              <w:rPr>
                <w:rFonts w:ascii="Roboto" w:hAnsi="Roboto" w:cstheme="majorHAnsi"/>
                <w:lang w:val="en-AU"/>
              </w:rPr>
              <w:t>Activities</w:t>
            </w:r>
          </w:p>
        </w:tc>
        <w:tc>
          <w:tcPr>
            <w:tcW w:w="1361" w:type="pct"/>
            <w:tcBorders>
              <w:top w:val="single" w:sz="4" w:space="0" w:color="45A7E1" w:themeColor="accent1"/>
              <w:left w:val="single" w:sz="4" w:space="0" w:color="45A7E1" w:themeColor="accent1"/>
              <w:right w:val="single" w:sz="4" w:space="0" w:color="45A7E1" w:themeColor="accent1"/>
            </w:tcBorders>
          </w:tcPr>
          <w:p w:rsidR="00D079B7" w:rsidRPr="00931BFA" w:rsidRDefault="00D079B7" w:rsidP="00013D3C">
            <w:pPr>
              <w:pStyle w:val="Tabletext"/>
              <w:ind w:left="0"/>
              <w:jc w:val="center"/>
              <w:cnfStyle w:val="100000000000" w:firstRow="1" w:lastRow="0" w:firstColumn="0" w:lastColumn="0" w:oddVBand="0" w:evenVBand="0" w:oddHBand="0" w:evenHBand="0" w:firstRowFirstColumn="0" w:firstRowLastColumn="0" w:lastRowFirstColumn="0" w:lastRowLastColumn="0"/>
              <w:rPr>
                <w:rFonts w:ascii="Roboto" w:hAnsi="Roboto" w:cstheme="majorHAnsi"/>
                <w:b w:val="0"/>
                <w:sz w:val="22"/>
                <w:lang w:val="en-AU"/>
              </w:rPr>
            </w:pPr>
            <w:r w:rsidRPr="00931BFA">
              <w:rPr>
                <w:rFonts w:ascii="Roboto" w:hAnsi="Roboto" w:cstheme="majorHAnsi"/>
                <w:lang w:val="en-AU"/>
              </w:rPr>
              <w:t>Arrangements</w:t>
            </w:r>
          </w:p>
        </w:tc>
      </w:tr>
      <w:tr w:rsidR="00B84372" w:rsidRPr="00091600" w:rsidTr="00B84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pct"/>
          </w:tcPr>
          <w:p w:rsidR="00374B19" w:rsidRPr="00374B19" w:rsidRDefault="00374B19" w:rsidP="00374B19">
            <w:pPr>
              <w:pStyle w:val="Tabletext"/>
              <w:rPr>
                <w:rFonts w:ascii="Roboto" w:hAnsi="Roboto"/>
                <w:bCs/>
                <w:lang w:val="en-AU"/>
              </w:rPr>
            </w:pPr>
            <w:r w:rsidRPr="00374B19">
              <w:rPr>
                <w:rFonts w:ascii="Roboto" w:hAnsi="Roboto"/>
                <w:bCs/>
                <w:lang w:val="en-AU"/>
              </w:rPr>
              <w:t>Abt PNG Management Services</w:t>
            </w:r>
          </w:p>
          <w:p w:rsidR="00B84372" w:rsidRPr="00931BFA" w:rsidRDefault="00B84372" w:rsidP="00637AAD">
            <w:pPr>
              <w:pStyle w:val="Tabletext"/>
              <w:rPr>
                <w:rFonts w:ascii="Roboto" w:hAnsi="Roboto"/>
                <w:b w:val="0"/>
                <w:lang w:val="en-AU"/>
              </w:rPr>
            </w:pPr>
          </w:p>
          <w:p w:rsidR="00B84372" w:rsidRPr="00931BFA" w:rsidRDefault="00B84372" w:rsidP="00637AAD">
            <w:pPr>
              <w:pStyle w:val="Tabletext"/>
              <w:rPr>
                <w:rFonts w:ascii="Roboto" w:hAnsi="Roboto"/>
                <w:lang w:val="en-AU"/>
              </w:rPr>
            </w:pPr>
          </w:p>
        </w:tc>
        <w:tc>
          <w:tcPr>
            <w:tcW w:w="1295" w:type="pct"/>
          </w:tcPr>
          <w:p w:rsidR="00B84372" w:rsidRPr="00091600" w:rsidRDefault="00B84372" w:rsidP="00D079B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726663">
              <w:rPr>
                <w:lang w:val="en-AU"/>
              </w:rPr>
              <w:t xml:space="preserve">Public Sector Leadership and Reform (PSLR) </w:t>
            </w:r>
            <w:r w:rsidR="000A7986">
              <w:rPr>
                <w:lang w:val="en-AU"/>
              </w:rPr>
              <w:t>Partnership</w:t>
            </w:r>
            <w:r w:rsidR="000A7986" w:rsidRPr="00726663">
              <w:rPr>
                <w:lang w:val="en-AU"/>
              </w:rPr>
              <w:t xml:space="preserve"> </w:t>
            </w:r>
          </w:p>
        </w:tc>
        <w:tc>
          <w:tcPr>
            <w:tcW w:w="1382" w:type="pct"/>
          </w:tcPr>
          <w:p w:rsidR="00B84372" w:rsidRPr="00091600" w:rsidRDefault="008F106F" w:rsidP="00D079B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Pr>
                <w:lang w:val="en-AU"/>
              </w:rPr>
              <w:t xml:space="preserve">Technical, </w:t>
            </w:r>
            <w:r w:rsidR="00FE2E80">
              <w:rPr>
                <w:lang w:val="en-AU"/>
              </w:rPr>
              <w:t xml:space="preserve">logistical, </w:t>
            </w:r>
            <w:r>
              <w:rPr>
                <w:lang w:val="en-AU"/>
              </w:rPr>
              <w:t>m</w:t>
            </w:r>
            <w:r w:rsidR="00B84372" w:rsidRPr="00091600">
              <w:rPr>
                <w:lang w:val="en-AU"/>
              </w:rPr>
              <w:t xml:space="preserve">anagement and advisory support to Precinct </w:t>
            </w:r>
            <w:r w:rsidR="003120C7">
              <w:rPr>
                <w:lang w:val="en-AU"/>
              </w:rPr>
              <w:t>and institutions</w:t>
            </w:r>
            <w:r w:rsidR="00DB464F">
              <w:rPr>
                <w:lang w:val="en-AU"/>
              </w:rPr>
              <w:t>;</w:t>
            </w:r>
            <w:r w:rsidR="00487AE6">
              <w:rPr>
                <w:lang w:val="en-AU"/>
              </w:rPr>
              <w:t xml:space="preserve"> </w:t>
            </w:r>
            <w:r w:rsidR="00B84372" w:rsidRPr="00091600">
              <w:rPr>
                <w:lang w:val="en-AU"/>
              </w:rPr>
              <w:t>ANU grant and UQ sub-contract</w:t>
            </w:r>
            <w:r w:rsidR="00DB464F">
              <w:rPr>
                <w:lang w:val="en-AU"/>
              </w:rPr>
              <w:t xml:space="preserve"> management</w:t>
            </w:r>
            <w:r w:rsidR="00B84372" w:rsidRPr="00091600">
              <w:rPr>
                <w:lang w:val="en-AU"/>
              </w:rPr>
              <w:t>;</w:t>
            </w:r>
          </w:p>
          <w:p w:rsidR="00B84372" w:rsidRPr="00091600" w:rsidRDefault="00B84372" w:rsidP="00C23CC9">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Secretariat support;</w:t>
            </w:r>
            <w:r w:rsidR="00C23CC9">
              <w:rPr>
                <w:lang w:val="en-AU"/>
              </w:rPr>
              <w:t xml:space="preserve"> communications</w:t>
            </w:r>
            <w:r w:rsidR="00AE110C">
              <w:rPr>
                <w:lang w:val="en-AU"/>
              </w:rPr>
              <w:t>,</w:t>
            </w:r>
          </w:p>
          <w:p w:rsidR="00B84372" w:rsidRPr="00091600" w:rsidRDefault="00B84372" w:rsidP="00D079B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GESI support to DPM</w:t>
            </w:r>
          </w:p>
        </w:tc>
        <w:tc>
          <w:tcPr>
            <w:tcW w:w="1361" w:type="pct"/>
          </w:tcPr>
          <w:p w:rsidR="00B84372" w:rsidRPr="00091600" w:rsidRDefault="00B84372">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PNG Governance Partnership contract</w:t>
            </w:r>
          </w:p>
          <w:p w:rsidR="00B84372" w:rsidRPr="00091600" w:rsidRDefault="00B84372">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(2016–20)</w:t>
            </w:r>
            <w:r w:rsidR="000E1DA8">
              <w:rPr>
                <w:lang w:val="en-AU"/>
              </w:rPr>
              <w:t>, with a four year option to extend</w:t>
            </w:r>
            <w:r w:rsidRPr="00091600">
              <w:rPr>
                <w:lang w:val="en-AU"/>
              </w:rPr>
              <w:t>.</w:t>
            </w:r>
          </w:p>
          <w:p w:rsidR="00B84372" w:rsidRPr="00091600" w:rsidRDefault="00B84372" w:rsidP="00013D3C">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i/>
                <w:lang w:val="en-AU"/>
              </w:rPr>
              <w:t>PSLR spend is estimated to be 10% of the overall Partnership</w:t>
            </w:r>
          </w:p>
        </w:tc>
      </w:tr>
      <w:tr w:rsidR="00B84372" w:rsidRPr="00091600" w:rsidTr="00B843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pct"/>
          </w:tcPr>
          <w:p w:rsidR="00374B19" w:rsidRPr="00931BFA" w:rsidRDefault="00374B19" w:rsidP="00374B19">
            <w:pPr>
              <w:pStyle w:val="Tabletext"/>
              <w:rPr>
                <w:rFonts w:ascii="Roboto" w:hAnsi="Roboto"/>
                <w:b w:val="0"/>
                <w:lang w:val="en-AU"/>
              </w:rPr>
            </w:pPr>
            <w:r w:rsidRPr="00931BFA">
              <w:rPr>
                <w:rFonts w:ascii="Roboto" w:hAnsi="Roboto"/>
                <w:kern w:val="20"/>
                <w:lang w:val="en-AU" w:eastAsia="ja-JP"/>
              </w:rPr>
              <w:t>Abt PNG Management Services</w:t>
            </w:r>
          </w:p>
          <w:p w:rsidR="00B84372" w:rsidRPr="00931BFA" w:rsidRDefault="00B84372" w:rsidP="00637AAD">
            <w:pPr>
              <w:pStyle w:val="Tabletext"/>
              <w:rPr>
                <w:rFonts w:ascii="Roboto" w:hAnsi="Roboto"/>
                <w:lang w:val="en-AU"/>
              </w:rPr>
            </w:pPr>
          </w:p>
        </w:tc>
        <w:tc>
          <w:tcPr>
            <w:tcW w:w="1295" w:type="pct"/>
          </w:tcPr>
          <w:p w:rsidR="00B84372" w:rsidRPr="00091600" w:rsidRDefault="00B84372" w:rsidP="00D079B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ANU</w:t>
            </w:r>
            <w:r>
              <w:rPr>
                <w:lang w:val="en-AU"/>
              </w:rPr>
              <w:t xml:space="preserve"> Crawford School</w:t>
            </w:r>
            <w:r w:rsidRPr="00091600">
              <w:rPr>
                <w:lang w:val="en-AU"/>
              </w:rPr>
              <w:t>–UPNG</w:t>
            </w:r>
            <w:r w:rsidR="0005315A">
              <w:rPr>
                <w:lang w:val="en-AU"/>
              </w:rPr>
              <w:t>/SBPP</w:t>
            </w:r>
            <w:r w:rsidR="00B2281B">
              <w:rPr>
                <w:lang w:val="en-AU"/>
              </w:rPr>
              <w:t xml:space="preserve"> </w:t>
            </w:r>
            <w:r w:rsidRPr="00091600">
              <w:rPr>
                <w:lang w:val="en-AU"/>
              </w:rPr>
              <w:t>Partnership</w:t>
            </w:r>
          </w:p>
        </w:tc>
        <w:tc>
          <w:tcPr>
            <w:tcW w:w="1382" w:type="pct"/>
          </w:tcPr>
          <w:p w:rsidR="00B84372" w:rsidRPr="00091600" w:rsidRDefault="00B84372" w:rsidP="00D079B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Faculty strengthening;</w:t>
            </w:r>
          </w:p>
          <w:p w:rsidR="00B84372" w:rsidRPr="00091600" w:rsidRDefault="00B84372" w:rsidP="00D079B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Pr>
                <w:lang w:val="en-AU"/>
              </w:rPr>
              <w:t>c</w:t>
            </w:r>
            <w:r w:rsidRPr="00091600">
              <w:rPr>
                <w:lang w:val="en-AU"/>
              </w:rPr>
              <w:t>ollaborative research and outreach;</w:t>
            </w:r>
          </w:p>
          <w:p w:rsidR="00B84372" w:rsidRPr="00091600" w:rsidRDefault="00B84372">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Pr>
                <w:lang w:val="en-AU"/>
              </w:rPr>
              <w:t>s</w:t>
            </w:r>
            <w:r w:rsidRPr="00091600">
              <w:rPr>
                <w:lang w:val="en-AU"/>
              </w:rPr>
              <w:t xml:space="preserve">tudent and faculty exchanges </w:t>
            </w:r>
          </w:p>
        </w:tc>
        <w:tc>
          <w:tcPr>
            <w:tcW w:w="1361" w:type="pct"/>
          </w:tcPr>
          <w:p w:rsidR="00B84372" w:rsidRPr="00091600" w:rsidRDefault="00B84372">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Grant,</w:t>
            </w:r>
          </w:p>
          <w:p w:rsidR="00B84372" w:rsidRPr="00091600" w:rsidRDefault="00B84372">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Pr>
                <w:lang w:val="en-AU"/>
              </w:rPr>
              <w:t xml:space="preserve">Sep </w:t>
            </w:r>
            <w:r w:rsidRPr="00091600">
              <w:rPr>
                <w:lang w:val="en-AU"/>
              </w:rPr>
              <w:t>2015—</w:t>
            </w:r>
            <w:r>
              <w:rPr>
                <w:lang w:val="en-AU"/>
              </w:rPr>
              <w:t>Jun 2020</w:t>
            </w:r>
          </w:p>
          <w:p w:rsidR="00B84372" w:rsidRPr="00091600" w:rsidRDefault="00B84372">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(A</w:t>
            </w:r>
            <w:r>
              <w:rPr>
                <w:lang w:val="en-AU"/>
              </w:rPr>
              <w:t xml:space="preserve">UD </w:t>
            </w:r>
            <w:r w:rsidRPr="00091600">
              <w:rPr>
                <w:lang w:val="en-AU"/>
              </w:rPr>
              <w:t>9,033,685*);</w:t>
            </w:r>
          </w:p>
          <w:p w:rsidR="00B84372" w:rsidRPr="00091600" w:rsidRDefault="00B84372" w:rsidP="00013D3C">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 xml:space="preserve">New </w:t>
            </w:r>
            <w:r>
              <w:rPr>
                <w:lang w:val="en-AU"/>
              </w:rPr>
              <w:t>MoU</w:t>
            </w:r>
            <w:r w:rsidRPr="00091600">
              <w:rPr>
                <w:lang w:val="en-AU"/>
              </w:rPr>
              <w:t xml:space="preserve"> in 2018</w:t>
            </w:r>
          </w:p>
        </w:tc>
      </w:tr>
      <w:tr w:rsidR="00B84372" w:rsidRPr="00091600" w:rsidTr="00B84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pct"/>
          </w:tcPr>
          <w:p w:rsidR="00374B19" w:rsidRPr="00374B19" w:rsidRDefault="00374B19" w:rsidP="00374B19">
            <w:pPr>
              <w:pStyle w:val="Tabletext"/>
              <w:rPr>
                <w:rFonts w:ascii="Roboto" w:hAnsi="Roboto"/>
                <w:lang w:val="en-AU"/>
              </w:rPr>
            </w:pPr>
            <w:r w:rsidRPr="00374B19">
              <w:rPr>
                <w:rFonts w:ascii="Roboto" w:hAnsi="Roboto"/>
                <w:lang w:val="en-AU"/>
              </w:rPr>
              <w:t>Abt PNG Management Services</w:t>
            </w:r>
          </w:p>
          <w:p w:rsidR="00B84372" w:rsidRPr="00931BFA" w:rsidRDefault="00B84372" w:rsidP="00637AAD">
            <w:pPr>
              <w:pStyle w:val="Tabletext"/>
              <w:rPr>
                <w:rFonts w:ascii="Roboto" w:hAnsi="Roboto"/>
                <w:lang w:val="en-AU"/>
              </w:rPr>
            </w:pPr>
          </w:p>
        </w:tc>
        <w:tc>
          <w:tcPr>
            <w:tcW w:w="1295" w:type="pct"/>
          </w:tcPr>
          <w:p w:rsidR="00B84372" w:rsidRPr="00091600" w:rsidRDefault="001F4634" w:rsidP="00D079B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Pr>
                <w:lang w:val="en-AU"/>
              </w:rPr>
              <w:t>UQ</w:t>
            </w:r>
          </w:p>
        </w:tc>
        <w:tc>
          <w:tcPr>
            <w:tcW w:w="1382" w:type="pct"/>
          </w:tcPr>
          <w:p w:rsidR="00B84372" w:rsidRPr="00091600" w:rsidRDefault="00B84372" w:rsidP="00D079B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Future Leaders Program;</w:t>
            </w:r>
          </w:p>
          <w:p w:rsidR="00B84372" w:rsidRPr="00091600" w:rsidRDefault="00B84372" w:rsidP="00D079B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Pr>
                <w:lang w:val="en-AU"/>
              </w:rPr>
              <w:t>p</w:t>
            </w:r>
            <w:r w:rsidRPr="00091600">
              <w:rPr>
                <w:lang w:val="en-AU"/>
              </w:rPr>
              <w:t>ublic events;</w:t>
            </w:r>
          </w:p>
          <w:p w:rsidR="00B84372" w:rsidRDefault="00B84372" w:rsidP="00D079B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Pr>
                <w:lang w:val="en-AU"/>
              </w:rPr>
              <w:t>b</w:t>
            </w:r>
            <w:r w:rsidRPr="00091600">
              <w:rPr>
                <w:lang w:val="en-AU"/>
              </w:rPr>
              <w:t>espoke courses;</w:t>
            </w:r>
          </w:p>
          <w:p w:rsidR="00B84372" w:rsidRPr="00091600" w:rsidRDefault="00386466" w:rsidP="00F0571E">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Precinct Initiative Program</w:t>
            </w:r>
          </w:p>
        </w:tc>
        <w:tc>
          <w:tcPr>
            <w:tcW w:w="1361" w:type="pct"/>
          </w:tcPr>
          <w:p w:rsidR="00B84372" w:rsidRPr="00091600" w:rsidRDefault="00B84372">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Pr>
                <w:lang w:val="en-AU"/>
              </w:rPr>
              <w:t>Sub-</w:t>
            </w:r>
            <w:r w:rsidRPr="00091600">
              <w:rPr>
                <w:lang w:val="en-AU"/>
              </w:rPr>
              <w:t>Contract,</w:t>
            </w:r>
          </w:p>
          <w:p w:rsidR="00B84372" w:rsidRPr="00091600" w:rsidRDefault="00B84372">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18/01/2016—30/06/2019</w:t>
            </w:r>
          </w:p>
          <w:p w:rsidR="00B84372" w:rsidRPr="00091600" w:rsidRDefault="00B84372" w:rsidP="00013D3C">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(A</w:t>
            </w:r>
            <w:r>
              <w:rPr>
                <w:lang w:val="en-AU"/>
              </w:rPr>
              <w:t xml:space="preserve">UD </w:t>
            </w:r>
            <w:r w:rsidRPr="00091600">
              <w:rPr>
                <w:lang w:val="en-AU"/>
              </w:rPr>
              <w:t>7.2 million*)</w:t>
            </w:r>
          </w:p>
        </w:tc>
      </w:tr>
      <w:tr w:rsidR="00D079B7" w:rsidRPr="00091600" w:rsidTr="00B843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pct"/>
          </w:tcPr>
          <w:p w:rsidR="00D079B7" w:rsidRPr="00674B26" w:rsidRDefault="00D667F3" w:rsidP="00637AAD">
            <w:pPr>
              <w:pStyle w:val="Tabletext"/>
              <w:rPr>
                <w:rFonts w:ascii="Roboto" w:hAnsi="Roboto"/>
              </w:rPr>
            </w:pPr>
            <w:r w:rsidRPr="00674B26">
              <w:rPr>
                <w:rFonts w:ascii="Roboto" w:hAnsi="Roboto"/>
                <w:lang w:val="en-AU"/>
              </w:rPr>
              <w:t>APSC support to DPM and PILAG with CIT Solutions</w:t>
            </w:r>
          </w:p>
        </w:tc>
        <w:tc>
          <w:tcPr>
            <w:tcW w:w="1295" w:type="pct"/>
          </w:tcPr>
          <w:p w:rsidR="00C744BA" w:rsidRPr="00091600" w:rsidRDefault="00C744BA" w:rsidP="00C744BA">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Support to DPM;</w:t>
            </w:r>
          </w:p>
          <w:p w:rsidR="00C744BA" w:rsidRDefault="00C744BA" w:rsidP="00C744BA">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Pr>
                <w:lang w:val="en-AU"/>
              </w:rPr>
              <w:t>s</w:t>
            </w:r>
            <w:r w:rsidRPr="00091600">
              <w:rPr>
                <w:lang w:val="en-AU"/>
              </w:rPr>
              <w:t>upport to IPA/PILAG</w:t>
            </w:r>
          </w:p>
          <w:p w:rsidR="00D079B7" w:rsidRPr="00091600" w:rsidRDefault="00D079B7">
            <w:pPr>
              <w:pStyle w:val="Tabletext"/>
              <w:jc w:val="left"/>
              <w:cnfStyle w:val="000000010000" w:firstRow="0" w:lastRow="0" w:firstColumn="0" w:lastColumn="0" w:oddVBand="0" w:evenVBand="0" w:oddHBand="0" w:evenHBand="1" w:firstRowFirstColumn="0" w:firstRowLastColumn="0" w:lastRowFirstColumn="0" w:lastRowLastColumn="0"/>
              <w:rPr>
                <w:lang w:val="en-AU"/>
              </w:rPr>
            </w:pPr>
          </w:p>
        </w:tc>
        <w:tc>
          <w:tcPr>
            <w:tcW w:w="1382" w:type="pct"/>
          </w:tcPr>
          <w:p w:rsidR="00D079B7" w:rsidRPr="00091600" w:rsidRDefault="00017698" w:rsidP="00D079B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Pr>
                <w:lang w:val="en-AU"/>
              </w:rPr>
              <w:t>L</w:t>
            </w:r>
            <w:r w:rsidR="00D079B7" w:rsidRPr="00091600">
              <w:rPr>
                <w:lang w:val="en-AU"/>
              </w:rPr>
              <w:t>eadership development;</w:t>
            </w:r>
          </w:p>
          <w:p w:rsidR="00446982" w:rsidRDefault="00017698" w:rsidP="00446982">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Pr>
                <w:lang w:val="en-AU"/>
              </w:rPr>
              <w:t>co</w:t>
            </w:r>
            <w:r w:rsidR="00D079B7" w:rsidRPr="00091600">
              <w:rPr>
                <w:lang w:val="en-AU"/>
              </w:rPr>
              <w:t>-design, co-development, and co-delivery of courses</w:t>
            </w:r>
          </w:p>
          <w:p w:rsidR="00017698" w:rsidRPr="00091600" w:rsidRDefault="00017698" w:rsidP="00017698">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Diploma of Government (Management);</w:t>
            </w:r>
          </w:p>
          <w:p w:rsidR="00017698" w:rsidRPr="00091600" w:rsidRDefault="00017698" w:rsidP="00017698">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Diploma of Government (Financial Services);</w:t>
            </w:r>
          </w:p>
          <w:p w:rsidR="00017698" w:rsidRPr="00091600" w:rsidRDefault="00017698" w:rsidP="00017698">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Certificate IV in Training and Assessment;</w:t>
            </w:r>
          </w:p>
          <w:p w:rsidR="00017698" w:rsidRPr="00091600" w:rsidRDefault="00017698" w:rsidP="00017698">
            <w:pPr>
              <w:pStyle w:val="Tabletext"/>
              <w:jc w:val="left"/>
              <w:cnfStyle w:val="000000010000" w:firstRow="0" w:lastRow="0" w:firstColumn="0" w:lastColumn="0" w:oddVBand="0" w:evenVBand="0" w:oddHBand="0" w:evenHBand="1" w:firstRowFirstColumn="0" w:firstRowLastColumn="0" w:lastRowFirstColumn="0" w:lastRowLastColumn="0"/>
              <w:rPr>
                <w:rFonts w:cstheme="majorHAnsi"/>
                <w:szCs w:val="20"/>
                <w:lang w:val="en-AU"/>
              </w:rPr>
            </w:pPr>
            <w:r w:rsidRPr="00091600">
              <w:rPr>
                <w:rFonts w:cstheme="majorHAnsi"/>
                <w:szCs w:val="20"/>
                <w:lang w:val="en-AU"/>
              </w:rPr>
              <w:t xml:space="preserve">Diploma in Training Design and Development; </w:t>
            </w:r>
          </w:p>
          <w:p w:rsidR="00017698" w:rsidRPr="00091600" w:rsidRDefault="00017698" w:rsidP="00017698">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rFonts w:cstheme="majorHAnsi"/>
                <w:szCs w:val="20"/>
                <w:lang w:val="en-AU"/>
              </w:rPr>
              <w:t>CIT Solutions co-delivery with PILAG facilitators; Diploma in Leadership and Governance</w:t>
            </w:r>
          </w:p>
        </w:tc>
        <w:tc>
          <w:tcPr>
            <w:tcW w:w="1361" w:type="pct"/>
          </w:tcPr>
          <w:p w:rsidR="00D079B7" w:rsidRPr="00091600" w:rsidRDefault="00D079B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 xml:space="preserve">New </w:t>
            </w:r>
            <w:r w:rsidR="00EE644A">
              <w:rPr>
                <w:lang w:val="en-AU"/>
              </w:rPr>
              <w:t>MoU</w:t>
            </w:r>
            <w:r w:rsidRPr="00091600">
              <w:rPr>
                <w:lang w:val="en-AU"/>
              </w:rPr>
              <w:t xml:space="preserve"> February 2018.</w:t>
            </w:r>
          </w:p>
          <w:p w:rsidR="00D079B7" w:rsidRPr="00091600" w:rsidRDefault="00D079B7">
            <w:pPr>
              <w:pStyle w:val="Tabletext"/>
              <w:jc w:val="left"/>
              <w:cnfStyle w:val="000000010000" w:firstRow="0" w:lastRow="0" w:firstColumn="0" w:lastColumn="0" w:oddVBand="0" w:evenVBand="0" w:oddHBand="0" w:evenHBand="1" w:firstRowFirstColumn="0" w:firstRowLastColumn="0" w:lastRowFirstColumn="0" w:lastRowLastColumn="0"/>
              <w:rPr>
                <w:i/>
                <w:lang w:val="en-AU"/>
              </w:rPr>
            </w:pPr>
            <w:r w:rsidRPr="00091600">
              <w:rPr>
                <w:i/>
                <w:lang w:val="en-AU"/>
              </w:rPr>
              <w:t>APSC spend to July 2018:</w:t>
            </w:r>
          </w:p>
          <w:p w:rsidR="00D079B7" w:rsidRPr="00091600" w:rsidRDefault="00071D6F" w:rsidP="00013D3C">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Pr>
                <w:i/>
                <w:lang w:val="en-AU"/>
              </w:rPr>
              <w:t>~</w:t>
            </w:r>
            <w:r w:rsidR="00D079B7" w:rsidRPr="00091600">
              <w:rPr>
                <w:i/>
                <w:lang w:val="en-AU"/>
              </w:rPr>
              <w:t>A</w:t>
            </w:r>
            <w:r w:rsidR="006B46A5">
              <w:rPr>
                <w:i/>
                <w:lang w:val="en-AU"/>
              </w:rPr>
              <w:t xml:space="preserve">UD </w:t>
            </w:r>
            <w:r w:rsidR="00D079B7" w:rsidRPr="00091600">
              <w:rPr>
                <w:i/>
                <w:lang w:val="en-AU"/>
              </w:rPr>
              <w:t>4 million</w:t>
            </w:r>
            <w:r w:rsidR="00735CF7">
              <w:rPr>
                <w:i/>
                <w:lang w:val="en-AU"/>
              </w:rPr>
              <w:t>**</w:t>
            </w:r>
          </w:p>
        </w:tc>
      </w:tr>
    </w:tbl>
    <w:p w:rsidR="008A2140" w:rsidRPr="008A2140" w:rsidRDefault="008A2140" w:rsidP="00265774">
      <w:pPr>
        <w:pStyle w:val="Tablenotes"/>
        <w:spacing w:after="0"/>
        <w:rPr>
          <w:rFonts w:ascii="Roboto Light" w:hAnsi="Roboto Light"/>
          <w:lang w:val="en-AU"/>
        </w:rPr>
      </w:pPr>
      <w:r w:rsidRPr="008A2140">
        <w:rPr>
          <w:rFonts w:ascii="Roboto Light" w:hAnsi="Roboto Light"/>
          <w:lang w:val="en-AU"/>
        </w:rPr>
        <w:t>*part of ~10% budget allocation for PSLR</w:t>
      </w:r>
      <w:r w:rsidR="00EE644A">
        <w:rPr>
          <w:rFonts w:ascii="Roboto Light" w:hAnsi="Roboto Light"/>
          <w:lang w:val="en-AU"/>
        </w:rPr>
        <w:t xml:space="preserve"> inside</w:t>
      </w:r>
      <w:r w:rsidRPr="008A2140">
        <w:rPr>
          <w:rFonts w:ascii="Roboto Light" w:hAnsi="Roboto Light"/>
          <w:lang w:val="en-AU"/>
        </w:rPr>
        <w:t xml:space="preserve"> the overall Governance Partnership budget.</w:t>
      </w:r>
    </w:p>
    <w:p w:rsidR="00364DA5" w:rsidRDefault="008A2140" w:rsidP="00265774">
      <w:pPr>
        <w:pStyle w:val="Tablenotes"/>
        <w:spacing w:after="0"/>
        <w:rPr>
          <w:rFonts w:ascii="Roboto Light" w:hAnsi="Roboto Light"/>
          <w:lang w:val="en-AU"/>
        </w:rPr>
      </w:pPr>
      <w:r w:rsidRPr="008A2140">
        <w:rPr>
          <w:rFonts w:ascii="Roboto Light" w:hAnsi="Roboto Light"/>
          <w:lang w:val="en-AU"/>
        </w:rPr>
        <w:t>**budget allocation separate from the PSLR budget within the Governance Partnership.</w:t>
      </w:r>
    </w:p>
    <w:p w:rsidR="00E70BD5" w:rsidRPr="00091600" w:rsidRDefault="000F4B57">
      <w:pPr>
        <w:pStyle w:val="Tablenotes"/>
        <w:rPr>
          <w:rFonts w:ascii="Roboto Light" w:hAnsi="Roboto Light"/>
          <w:lang w:val="en-AU"/>
        </w:rPr>
      </w:pPr>
      <w:r w:rsidRPr="00265774">
        <w:rPr>
          <w:rFonts w:ascii="Roboto" w:hAnsi="Roboto"/>
          <w:lang w:val="en-AU"/>
        </w:rPr>
        <w:t>Source:</w:t>
      </w:r>
      <w:r w:rsidRPr="00091600">
        <w:rPr>
          <w:rFonts w:ascii="Roboto Light" w:hAnsi="Roboto Light"/>
          <w:lang w:val="en-AU"/>
        </w:rPr>
        <w:t xml:space="preserve"> AHC and Abt Management Services, complemented by </w:t>
      </w:r>
      <w:r w:rsidR="00CF45C5" w:rsidRPr="00091600">
        <w:rPr>
          <w:rFonts w:ascii="Roboto Light" w:hAnsi="Roboto Light"/>
          <w:lang w:val="en-AU"/>
        </w:rPr>
        <w:t>review</w:t>
      </w:r>
      <w:r w:rsidRPr="00091600">
        <w:rPr>
          <w:rFonts w:ascii="Roboto Light" w:hAnsi="Roboto Light"/>
          <w:lang w:val="en-AU"/>
        </w:rPr>
        <w:t xml:space="preserve"> team research</w:t>
      </w:r>
    </w:p>
    <w:p w:rsidR="00AE1F4B" w:rsidRPr="00091600" w:rsidRDefault="00AE1F4B" w:rsidP="005975B5">
      <w:pPr>
        <w:pStyle w:val="Tablenotes"/>
        <w:rPr>
          <w:rFonts w:ascii="Roboto Light" w:hAnsi="Roboto Light"/>
          <w:lang w:val="en-AU"/>
        </w:rPr>
      </w:pPr>
    </w:p>
    <w:p w:rsidR="000F4B57" w:rsidRPr="00091600" w:rsidRDefault="000F4B57" w:rsidP="00931BFA">
      <w:pPr>
        <w:pStyle w:val="Heading1NONUM"/>
        <w:rPr>
          <w:lang w:val="en-AU"/>
        </w:rPr>
      </w:pPr>
      <w:bookmarkStart w:id="46" w:name="_Toc523866153"/>
      <w:bookmarkStart w:id="47" w:name="_Toc536719908"/>
      <w:bookmarkStart w:id="48" w:name="_Toc2091548"/>
      <w:r w:rsidRPr="00091600">
        <w:rPr>
          <w:lang w:val="en-AU"/>
        </w:rPr>
        <w:t xml:space="preserve">2. Components </w:t>
      </w:r>
      <w:bookmarkEnd w:id="46"/>
      <w:r w:rsidRPr="00931BFA">
        <w:t>review</w:t>
      </w:r>
      <w:bookmarkEnd w:id="47"/>
      <w:bookmarkEnd w:id="48"/>
    </w:p>
    <w:p w:rsidR="000F4B57" w:rsidRPr="00091600" w:rsidRDefault="000F4B57" w:rsidP="00611271">
      <w:pPr>
        <w:pStyle w:val="Heading2NONUM"/>
        <w:ind w:left="5"/>
        <w:rPr>
          <w:rFonts w:eastAsiaTheme="minorHAnsi"/>
          <w:lang w:val="en-AU"/>
        </w:rPr>
      </w:pPr>
      <w:bookmarkStart w:id="49" w:name="_Toc536719909"/>
      <w:bookmarkStart w:id="50" w:name="_Toc2091549"/>
      <w:r w:rsidRPr="00091600">
        <w:rPr>
          <w:rFonts w:eastAsiaTheme="minorHAnsi"/>
          <w:lang w:val="en-AU"/>
        </w:rPr>
        <w:t xml:space="preserve">2.1 </w:t>
      </w:r>
      <w:r w:rsidR="00611271">
        <w:rPr>
          <w:rFonts w:eastAsiaTheme="minorHAnsi"/>
          <w:lang w:val="en-AU"/>
        </w:rPr>
        <w:tab/>
      </w:r>
      <w:r w:rsidR="00611271">
        <w:rPr>
          <w:rFonts w:eastAsiaTheme="minorHAnsi"/>
          <w:lang w:val="en-AU"/>
        </w:rPr>
        <w:tab/>
      </w:r>
      <w:r w:rsidR="00373A68">
        <w:rPr>
          <w:rFonts w:eastAsiaTheme="minorHAnsi"/>
          <w:lang w:val="en-AU"/>
        </w:rPr>
        <w:tab/>
      </w:r>
      <w:r w:rsidR="00373A68">
        <w:rPr>
          <w:rFonts w:eastAsiaTheme="minorHAnsi"/>
          <w:lang w:val="en-AU"/>
        </w:rPr>
        <w:tab/>
      </w:r>
      <w:r w:rsidR="00373A68">
        <w:rPr>
          <w:rFonts w:eastAsiaTheme="minorHAnsi"/>
          <w:lang w:val="en-AU"/>
        </w:rPr>
        <w:tab/>
      </w:r>
      <w:r w:rsidR="008F2C89">
        <w:rPr>
          <w:rFonts w:eastAsiaTheme="minorHAnsi"/>
          <w:lang w:val="en-AU"/>
        </w:rPr>
        <w:tab/>
      </w:r>
      <w:r w:rsidRPr="00091600">
        <w:rPr>
          <w:rFonts w:eastAsiaTheme="minorHAnsi"/>
          <w:lang w:val="en-AU"/>
        </w:rPr>
        <w:t xml:space="preserve">School of Business </w:t>
      </w:r>
      <w:r w:rsidRPr="00931BFA">
        <w:rPr>
          <w:rFonts w:eastAsiaTheme="minorHAnsi"/>
        </w:rPr>
        <w:t>and</w:t>
      </w:r>
      <w:r w:rsidRPr="00091600">
        <w:rPr>
          <w:rFonts w:eastAsiaTheme="minorHAnsi"/>
          <w:lang w:val="en-AU"/>
        </w:rPr>
        <w:t xml:space="preserve"> Public Policy</w:t>
      </w:r>
      <w:bookmarkStart w:id="51" w:name="_Toc523866154"/>
      <w:bookmarkEnd w:id="49"/>
      <w:bookmarkEnd w:id="50"/>
    </w:p>
    <w:tbl>
      <w:tblPr>
        <w:tblStyle w:val="OPMBoxstyle"/>
        <w:tblW w:w="5000" w:type="pct"/>
        <w:tblLook w:val="04A0" w:firstRow="1" w:lastRow="0" w:firstColumn="1" w:lastColumn="0" w:noHBand="0" w:noVBand="1"/>
        <w:tblCaption w:val="Key Review Questions"/>
        <w:tblDescription w:val="What are the key achievements for each pillar of the Precinct? Are these consistent with expectations at this stage in the investment? What are the strengths in the Precinct approaches? What are the challenges facing the Precinct approaches, and what strategies can be suggested to overcome these challenges? What are the lessons that can be applied to Precinct activities? Are there relevant lessons from other international situations? Are there more general lessons for other future Government of Australia investments in culturally competent higher education and ethical leadership?"/>
      </w:tblPr>
      <w:tblGrid>
        <w:gridCol w:w="9730"/>
      </w:tblGrid>
      <w:tr w:rsidR="003F6C3C" w:rsidRPr="00091600" w:rsidTr="009C0F4F">
        <w:trPr>
          <w:cnfStyle w:val="100000000000" w:firstRow="1" w:lastRow="0" w:firstColumn="0" w:lastColumn="0" w:oddVBand="0" w:evenVBand="0" w:oddHBand="0" w:evenHBand="0" w:firstRowFirstColumn="0" w:firstRowLastColumn="0" w:lastRowFirstColumn="0" w:lastRowLastColumn="0"/>
          <w:trHeight w:val="455"/>
          <w:tblHeader/>
        </w:trPr>
        <w:tc>
          <w:tcPr>
            <w:tcW w:w="0" w:type="pct"/>
          </w:tcPr>
          <w:p w:rsidR="003F6C3C" w:rsidRPr="00AC0080" w:rsidRDefault="008E1745" w:rsidP="008E1745">
            <w:pPr>
              <w:pStyle w:val="Questions"/>
            </w:pPr>
            <w:r w:rsidRPr="00AC0080">
              <w:t>Key Review Questions</w:t>
            </w:r>
          </w:p>
        </w:tc>
      </w:tr>
      <w:bookmarkEnd w:id="51"/>
      <w:tr w:rsidR="000F4B57" w:rsidRPr="00091600" w:rsidTr="00C159F6">
        <w:trPr>
          <w:trHeight w:val="1919"/>
        </w:trPr>
        <w:tc>
          <w:tcPr>
            <w:tcW w:w="5000" w:type="pct"/>
          </w:tcPr>
          <w:p w:rsidR="000F4B57" w:rsidRPr="00214882" w:rsidRDefault="000F4B57" w:rsidP="00013D3C">
            <w:pPr>
              <w:pStyle w:val="BodyText"/>
              <w:numPr>
                <w:ilvl w:val="0"/>
                <w:numId w:val="40"/>
              </w:numPr>
              <w:spacing w:before="120" w:after="120"/>
              <w:rPr>
                <w:rFonts w:eastAsia="Helvetica" w:cs="Poppins"/>
                <w:color w:val="0B1F51"/>
                <w:sz w:val="20"/>
                <w:szCs w:val="20"/>
                <w:lang w:val="en-AU"/>
              </w:rPr>
            </w:pPr>
            <w:r w:rsidRPr="00214882">
              <w:rPr>
                <w:sz w:val="20"/>
                <w:szCs w:val="20"/>
                <w:lang w:val="en-AU"/>
              </w:rPr>
              <w:t>What are the key achievements for each pillar of the Precinct? Are these consistent with expectations at this stage in the investment? (Are we on track?)</w:t>
            </w:r>
          </w:p>
          <w:p w:rsidR="000F4B57" w:rsidRPr="00214882" w:rsidRDefault="000F4B57" w:rsidP="00013D3C">
            <w:pPr>
              <w:pStyle w:val="BodyText"/>
              <w:numPr>
                <w:ilvl w:val="0"/>
                <w:numId w:val="40"/>
              </w:numPr>
              <w:spacing w:before="120" w:after="120"/>
              <w:rPr>
                <w:sz w:val="20"/>
                <w:szCs w:val="20"/>
                <w:lang w:val="en-AU"/>
              </w:rPr>
            </w:pPr>
            <w:r w:rsidRPr="00214882">
              <w:rPr>
                <w:sz w:val="20"/>
                <w:szCs w:val="20"/>
                <w:lang w:val="en-AU"/>
              </w:rPr>
              <w:t>What are the strengths in the Precinct approaches?</w:t>
            </w:r>
          </w:p>
          <w:p w:rsidR="000F4B57" w:rsidRPr="00214882" w:rsidRDefault="000F4B57" w:rsidP="00013D3C">
            <w:pPr>
              <w:pStyle w:val="BodyText"/>
              <w:numPr>
                <w:ilvl w:val="0"/>
                <w:numId w:val="40"/>
              </w:numPr>
              <w:spacing w:before="120" w:after="120"/>
              <w:rPr>
                <w:sz w:val="20"/>
                <w:szCs w:val="20"/>
                <w:lang w:val="en-AU"/>
              </w:rPr>
            </w:pPr>
            <w:r w:rsidRPr="00214882">
              <w:rPr>
                <w:sz w:val="20"/>
                <w:szCs w:val="20"/>
                <w:lang w:val="en-AU"/>
              </w:rPr>
              <w:t>What are the challenges facing the Precinct approaches, and what strategies can be suggested to overcome these challenges?</w:t>
            </w:r>
          </w:p>
          <w:p w:rsidR="000F4B57" w:rsidRPr="00214882" w:rsidRDefault="000F4B57" w:rsidP="00013D3C">
            <w:pPr>
              <w:pStyle w:val="BodyText"/>
              <w:numPr>
                <w:ilvl w:val="0"/>
                <w:numId w:val="40"/>
              </w:numPr>
              <w:spacing w:before="120" w:after="120"/>
              <w:rPr>
                <w:sz w:val="20"/>
                <w:szCs w:val="20"/>
                <w:lang w:val="en-AU"/>
              </w:rPr>
            </w:pPr>
            <w:r w:rsidRPr="00214882">
              <w:rPr>
                <w:sz w:val="20"/>
                <w:szCs w:val="20"/>
                <w:lang w:val="en-AU"/>
              </w:rPr>
              <w:t>What are the lessons that can be applied to Precinct activities? Are there relevant lessons from other international situations?</w:t>
            </w:r>
          </w:p>
          <w:p w:rsidR="000F4B57" w:rsidRPr="00091600" w:rsidRDefault="000F4B57" w:rsidP="00013D3C">
            <w:pPr>
              <w:pStyle w:val="BodyText"/>
              <w:numPr>
                <w:ilvl w:val="0"/>
                <w:numId w:val="40"/>
              </w:numPr>
              <w:spacing w:before="120" w:after="120"/>
              <w:rPr>
                <w:rStyle w:val="Heading3Char"/>
                <w:rFonts w:ascii="Roboto Light" w:eastAsiaTheme="minorEastAsia" w:hAnsi="Roboto Light"/>
                <w:b w:val="0"/>
                <w:color w:val="auto"/>
                <w:sz w:val="22"/>
                <w:lang w:val="en-AU"/>
              </w:rPr>
            </w:pPr>
            <w:r w:rsidRPr="00214882">
              <w:rPr>
                <w:sz w:val="20"/>
                <w:szCs w:val="20"/>
                <w:lang w:val="en-AU"/>
              </w:rPr>
              <w:t>Are there more general lessons for other future Government of Australia (GoA) investments in culturally competent higher education and ethical leadership?</w:t>
            </w:r>
          </w:p>
        </w:tc>
      </w:tr>
    </w:tbl>
    <w:p w:rsidR="000F4B57" w:rsidRDefault="000F4B57" w:rsidP="00931BFA">
      <w:pPr>
        <w:pStyle w:val="Heading4"/>
        <w:rPr>
          <w:lang w:val="en-AU"/>
        </w:rPr>
      </w:pPr>
      <w:r w:rsidRPr="00931BFA">
        <w:t>Project</w:t>
      </w:r>
      <w:r w:rsidRPr="00091600">
        <w:rPr>
          <w:lang w:val="en-AU"/>
        </w:rPr>
        <w:t xml:space="preserve"> logic</w:t>
      </w:r>
    </w:p>
    <w:p w:rsidR="000F4B57" w:rsidRPr="00091600" w:rsidRDefault="000F4B57" w:rsidP="000F4B57">
      <w:pPr>
        <w:pStyle w:val="BodyText"/>
        <w:rPr>
          <w:color w:val="000000" w:themeColor="text1"/>
          <w:lang w:val="en-AU"/>
        </w:rPr>
      </w:pPr>
      <w:r w:rsidRPr="00091600">
        <w:rPr>
          <w:lang w:val="en-AU"/>
        </w:rPr>
        <w:t>This project is the Precinct’s long-term strategy to enhance values-based leadership in PNG</w:t>
      </w:r>
      <w:r w:rsidRPr="00091600">
        <w:rPr>
          <w:color w:val="000000" w:themeColor="text1"/>
          <w:lang w:val="en-AU"/>
        </w:rPr>
        <w:t>.</w:t>
      </w:r>
      <w:r w:rsidRPr="00091600">
        <w:rPr>
          <w:lang w:val="en-AU"/>
        </w:rPr>
        <w:t xml:space="preserve"> As part of the Precinct program, the </w:t>
      </w:r>
      <w:r w:rsidR="00F621A5">
        <w:rPr>
          <w:lang w:val="en-AU"/>
        </w:rPr>
        <w:t xml:space="preserve">UPNG </w:t>
      </w:r>
      <w:r w:rsidRPr="00091600">
        <w:rPr>
          <w:lang w:val="en-AU"/>
        </w:rPr>
        <w:t xml:space="preserve">School of </w:t>
      </w:r>
      <w:r w:rsidRPr="00D667F3">
        <w:rPr>
          <w:lang w:val="en-AU"/>
        </w:rPr>
        <w:t xml:space="preserve">Business Administration became the </w:t>
      </w:r>
      <w:r w:rsidR="006E76DB" w:rsidRPr="00D667F3">
        <w:rPr>
          <w:lang w:val="en-AU"/>
        </w:rPr>
        <w:t>School of Business and Public Policy (</w:t>
      </w:r>
      <w:r w:rsidRPr="00D667F3">
        <w:rPr>
          <w:lang w:val="en-AU"/>
        </w:rPr>
        <w:t>SBPP</w:t>
      </w:r>
      <w:r w:rsidR="006E76DB" w:rsidRPr="00D667F3">
        <w:rPr>
          <w:lang w:val="en-AU"/>
        </w:rPr>
        <w:t>)</w:t>
      </w:r>
      <w:r w:rsidRPr="00D667F3">
        <w:rPr>
          <w:lang w:val="en-AU"/>
        </w:rPr>
        <w:t xml:space="preserve"> in August 2015. The project’s </w:t>
      </w:r>
      <w:r w:rsidR="007F3D3F" w:rsidRPr="00D667F3">
        <w:rPr>
          <w:lang w:val="en-AU"/>
        </w:rPr>
        <w:t>ten</w:t>
      </w:r>
      <w:r w:rsidRPr="00D667F3">
        <w:rPr>
          <w:lang w:val="en-AU"/>
        </w:rPr>
        <w:t>-year outcome was to become ‘recogni</w:t>
      </w:r>
      <w:r w:rsidR="0054576B" w:rsidRPr="00D667F3">
        <w:rPr>
          <w:lang w:val="en-AU"/>
        </w:rPr>
        <w:t>s</w:t>
      </w:r>
      <w:r w:rsidRPr="00D667F3">
        <w:rPr>
          <w:lang w:val="en-AU"/>
        </w:rPr>
        <w:t>ed as a regional centre for education and research excellence in public policy and good governance’, delivering ‘high</w:t>
      </w:r>
      <w:r w:rsidR="0054576B" w:rsidRPr="00D667F3">
        <w:rPr>
          <w:lang w:val="en-AU"/>
        </w:rPr>
        <w:t xml:space="preserve"> </w:t>
      </w:r>
      <w:r w:rsidRPr="00D667F3">
        <w:rPr>
          <w:lang w:val="en-AU"/>
        </w:rPr>
        <w:t>quality education for students’</w:t>
      </w:r>
      <w:r w:rsidR="002C2FC0" w:rsidRPr="00D667F3">
        <w:rPr>
          <w:lang w:val="en-AU"/>
        </w:rPr>
        <w:t>,</w:t>
      </w:r>
      <w:r w:rsidRPr="00D667F3">
        <w:rPr>
          <w:lang w:val="en-AU"/>
        </w:rPr>
        <w:t xml:space="preserve"> and together with other Precinct activities</w:t>
      </w:r>
      <w:r w:rsidR="007F3D3F" w:rsidRPr="00D667F3">
        <w:rPr>
          <w:lang w:val="en-AU"/>
        </w:rPr>
        <w:t>,</w:t>
      </w:r>
      <w:r w:rsidRPr="00D667F3">
        <w:rPr>
          <w:lang w:val="en-AU"/>
        </w:rPr>
        <w:t xml:space="preserve"> contributing ‘to an increased number of qualified women in leadership and decision</w:t>
      </w:r>
      <w:r w:rsidR="00F621A5" w:rsidRPr="00D667F3">
        <w:rPr>
          <w:lang w:val="en-AU"/>
        </w:rPr>
        <w:t>-</w:t>
      </w:r>
      <w:r w:rsidRPr="00D667F3">
        <w:rPr>
          <w:lang w:val="en-AU"/>
        </w:rPr>
        <w:t>making roles’.</w:t>
      </w:r>
      <w:r w:rsidRPr="00D667F3">
        <w:rPr>
          <w:rStyle w:val="FootnoteReference"/>
          <w:lang w:val="en-AU"/>
        </w:rPr>
        <w:footnoteReference w:id="11"/>
      </w:r>
      <w:r w:rsidRPr="00D667F3">
        <w:rPr>
          <w:lang w:val="en-AU"/>
        </w:rPr>
        <w:t xml:space="preserve"> The main implicit design assumption is that SBPP is</w:t>
      </w:r>
      <w:r w:rsidRPr="00091600">
        <w:rPr>
          <w:lang w:val="en-AU"/>
        </w:rPr>
        <w:t xml:space="preserve"> the principal PNG higher education provider with ANU its main partner to be supported</w:t>
      </w:r>
      <w:r w:rsidR="00501AB4" w:rsidRPr="00091600">
        <w:rPr>
          <w:lang w:val="en-AU"/>
        </w:rPr>
        <w:t xml:space="preserve"> in order</w:t>
      </w:r>
      <w:r w:rsidRPr="00091600">
        <w:rPr>
          <w:lang w:val="en-AU"/>
        </w:rPr>
        <w:t xml:space="preserve"> to achieve the Precinct goal.</w:t>
      </w:r>
    </w:p>
    <w:p w:rsidR="00B67112" w:rsidRPr="00D667F3" w:rsidRDefault="000F4B57" w:rsidP="00B67112">
      <w:pPr>
        <w:pStyle w:val="BodyText"/>
        <w:rPr>
          <w:lang w:val="en-AU"/>
        </w:rPr>
      </w:pPr>
      <w:r w:rsidRPr="00D667F3">
        <w:rPr>
          <w:lang w:val="en-AU"/>
        </w:rPr>
        <w:t>The 2016 Design Update identifies four medium-term</w:t>
      </w:r>
      <w:r w:rsidR="00112876" w:rsidRPr="00D667F3">
        <w:rPr>
          <w:lang w:val="en-AU"/>
        </w:rPr>
        <w:t xml:space="preserve"> </w:t>
      </w:r>
      <w:r w:rsidRPr="00D667F3">
        <w:rPr>
          <w:lang w:val="en-AU"/>
        </w:rPr>
        <w:t>outcomes to be achieved within five to seven years</w:t>
      </w:r>
      <w:r w:rsidR="00560BEF" w:rsidRPr="00D667F3">
        <w:rPr>
          <w:lang w:val="en-AU"/>
        </w:rPr>
        <w:t>:</w:t>
      </w:r>
      <w:r w:rsidR="006E76DB" w:rsidRPr="00D667F3">
        <w:rPr>
          <w:lang w:val="en-AU"/>
        </w:rPr>
        <w:t xml:space="preserve"> </w:t>
      </w:r>
    </w:p>
    <w:p w:rsidR="000F4B57" w:rsidRPr="00D667F3" w:rsidRDefault="00D62D25" w:rsidP="008F7A55">
      <w:pPr>
        <w:pStyle w:val="BodyText"/>
        <w:numPr>
          <w:ilvl w:val="0"/>
          <w:numId w:val="25"/>
        </w:numPr>
        <w:rPr>
          <w:lang w:val="en-AU"/>
        </w:rPr>
      </w:pPr>
      <w:r w:rsidRPr="00D667F3">
        <w:rPr>
          <w:lang w:val="en-AU"/>
        </w:rPr>
        <w:t xml:space="preserve">Improved </w:t>
      </w:r>
      <w:r w:rsidR="000F4B57" w:rsidRPr="00D667F3">
        <w:rPr>
          <w:lang w:val="en-AU"/>
        </w:rPr>
        <w:t>quality of delivery of SBPP teaching, research and public outreach in partnership with ANU</w:t>
      </w:r>
      <w:r w:rsidR="00D667F3" w:rsidRPr="001422B3">
        <w:rPr>
          <w:lang w:val="en-AU"/>
        </w:rPr>
        <w:t>.</w:t>
      </w:r>
      <w:r w:rsidR="000F4B57" w:rsidRPr="00D667F3">
        <w:rPr>
          <w:lang w:val="en-AU"/>
        </w:rPr>
        <w:t xml:space="preserve"> </w:t>
      </w:r>
    </w:p>
    <w:p w:rsidR="00B67112" w:rsidRPr="00D667F3" w:rsidRDefault="00B67112" w:rsidP="008F7A55">
      <w:pPr>
        <w:pStyle w:val="BodyText"/>
        <w:numPr>
          <w:ilvl w:val="0"/>
          <w:numId w:val="25"/>
        </w:numPr>
        <w:rPr>
          <w:lang w:val="en-AU"/>
        </w:rPr>
      </w:pPr>
      <w:r w:rsidRPr="00D667F3">
        <w:rPr>
          <w:lang w:val="en-AU"/>
        </w:rPr>
        <w:t>I</w:t>
      </w:r>
      <w:r w:rsidR="000F4B57" w:rsidRPr="00D667F3">
        <w:rPr>
          <w:lang w:val="en-AU"/>
        </w:rPr>
        <w:t>mproved public policy informed by LCF and GESI principles</w:t>
      </w:r>
      <w:r w:rsidR="00D667F3" w:rsidRPr="001422B3">
        <w:rPr>
          <w:lang w:val="en-AU"/>
        </w:rPr>
        <w:t>.</w:t>
      </w:r>
    </w:p>
    <w:p w:rsidR="00B67112" w:rsidRPr="00D667F3" w:rsidRDefault="00D62D25" w:rsidP="008F7A55">
      <w:pPr>
        <w:pStyle w:val="BodyText"/>
        <w:numPr>
          <w:ilvl w:val="0"/>
          <w:numId w:val="25"/>
        </w:numPr>
        <w:rPr>
          <w:lang w:val="en-AU"/>
        </w:rPr>
      </w:pPr>
      <w:r w:rsidRPr="00D667F3">
        <w:rPr>
          <w:lang w:val="en-AU"/>
        </w:rPr>
        <w:t>SBPP increases its</w:t>
      </w:r>
      <w:r w:rsidR="000F4B57" w:rsidRPr="00D667F3">
        <w:rPr>
          <w:lang w:val="en-AU"/>
        </w:rPr>
        <w:t xml:space="preserve"> interaction with and relevance to </w:t>
      </w:r>
      <w:r w:rsidR="00E87298">
        <w:rPr>
          <w:lang w:val="en-AU"/>
        </w:rPr>
        <w:t>the PNG Government</w:t>
      </w:r>
      <w:r w:rsidR="000F4B57" w:rsidRPr="00D667F3">
        <w:rPr>
          <w:lang w:val="en-AU"/>
        </w:rPr>
        <w:t xml:space="preserve"> in public policy</w:t>
      </w:r>
      <w:r w:rsidR="00D667F3" w:rsidRPr="001422B3">
        <w:rPr>
          <w:lang w:val="en-AU"/>
        </w:rPr>
        <w:t>.</w:t>
      </w:r>
    </w:p>
    <w:p w:rsidR="000F4B57" w:rsidRPr="00D667F3" w:rsidRDefault="00D62D25" w:rsidP="008F7A55">
      <w:pPr>
        <w:pStyle w:val="BodyText"/>
        <w:numPr>
          <w:ilvl w:val="0"/>
          <w:numId w:val="25"/>
        </w:numPr>
        <w:rPr>
          <w:lang w:val="en-AU"/>
        </w:rPr>
      </w:pPr>
      <w:r w:rsidRPr="00D667F3">
        <w:rPr>
          <w:lang w:val="en-AU"/>
        </w:rPr>
        <w:t>SBPP</w:t>
      </w:r>
      <w:r w:rsidR="000F4B57" w:rsidRPr="00D667F3">
        <w:rPr>
          <w:lang w:val="en-AU"/>
        </w:rPr>
        <w:t xml:space="preserve"> new facility </w:t>
      </w:r>
      <w:r w:rsidRPr="00D667F3">
        <w:rPr>
          <w:lang w:val="en-AU"/>
        </w:rPr>
        <w:t>leads</w:t>
      </w:r>
      <w:r w:rsidR="000F4B57" w:rsidRPr="00D667F3">
        <w:rPr>
          <w:lang w:val="en-AU"/>
        </w:rPr>
        <w:t xml:space="preserve"> to increased access, improved quality of teaching, learning, research and public outreach.</w:t>
      </w:r>
      <w:r w:rsidR="000F4B57" w:rsidRPr="00D667F3">
        <w:rPr>
          <w:rStyle w:val="FootnoteReference"/>
          <w:lang w:val="en-AU"/>
        </w:rPr>
        <w:footnoteReference w:id="12"/>
      </w:r>
    </w:p>
    <w:p w:rsidR="000F4B57" w:rsidRPr="00091600" w:rsidRDefault="000F4B57" w:rsidP="00931BFA">
      <w:pPr>
        <w:pStyle w:val="Heading4"/>
        <w:rPr>
          <w:lang w:val="en-AU"/>
        </w:rPr>
      </w:pPr>
      <w:r w:rsidRPr="00931BFA">
        <w:t>Achievements</w:t>
      </w:r>
    </w:p>
    <w:p w:rsidR="00604399" w:rsidRPr="00091600" w:rsidRDefault="000F4B57" w:rsidP="005975B5">
      <w:pPr>
        <w:pStyle w:val="BodyText"/>
        <w:rPr>
          <w:lang w:val="en-AU"/>
        </w:rPr>
      </w:pPr>
      <w:r w:rsidRPr="006F4709">
        <w:rPr>
          <w:rFonts w:ascii="Roboto" w:hAnsi="Roboto"/>
          <w:b/>
          <w:lang w:val="en-AU"/>
        </w:rPr>
        <w:t>Academic courses</w:t>
      </w:r>
      <w:r w:rsidR="00EB0E2E" w:rsidRPr="006F4709">
        <w:rPr>
          <w:rFonts w:ascii="Roboto" w:hAnsi="Roboto"/>
          <w:lang w:val="en-AU"/>
        </w:rPr>
        <w:t>:</w:t>
      </w:r>
      <w:r w:rsidR="00DF6EC1" w:rsidRPr="00091600">
        <w:rPr>
          <w:lang w:val="en-AU"/>
        </w:rPr>
        <w:t xml:space="preserve"> </w:t>
      </w:r>
      <w:r w:rsidR="00EB0E2E" w:rsidRPr="00091600">
        <w:rPr>
          <w:lang w:val="en-AU"/>
        </w:rPr>
        <w:t>s</w:t>
      </w:r>
      <w:r w:rsidR="00560BEF" w:rsidRPr="00091600">
        <w:rPr>
          <w:lang w:val="en-AU"/>
        </w:rPr>
        <w:t>ince</w:t>
      </w:r>
      <w:r w:rsidRPr="00091600">
        <w:rPr>
          <w:lang w:val="en-AU"/>
        </w:rPr>
        <w:t xml:space="preserve"> 2015, </w:t>
      </w:r>
      <w:r w:rsidR="00414EC1" w:rsidRPr="00091600">
        <w:rPr>
          <w:lang w:val="en-AU"/>
        </w:rPr>
        <w:t xml:space="preserve">the ANU-UPNG </w:t>
      </w:r>
      <w:r w:rsidR="0054576B" w:rsidRPr="00091600">
        <w:rPr>
          <w:lang w:val="en-AU"/>
        </w:rPr>
        <w:t>partnership</w:t>
      </w:r>
      <w:r w:rsidR="00414EC1" w:rsidRPr="00091600">
        <w:rPr>
          <w:lang w:val="en-AU"/>
        </w:rPr>
        <w:t xml:space="preserve"> has delivered</w:t>
      </w:r>
      <w:r w:rsidR="00604399" w:rsidRPr="00091600">
        <w:rPr>
          <w:lang w:val="en-AU"/>
        </w:rPr>
        <w:t>:</w:t>
      </w:r>
    </w:p>
    <w:p w:rsidR="00910434" w:rsidRPr="00091600" w:rsidRDefault="006C6DBE" w:rsidP="00910434">
      <w:pPr>
        <w:pStyle w:val="BodyText"/>
        <w:numPr>
          <w:ilvl w:val="0"/>
          <w:numId w:val="41"/>
        </w:numPr>
        <w:rPr>
          <w:rFonts w:cstheme="majorHAnsi"/>
          <w:szCs w:val="20"/>
          <w:lang w:val="en-AU"/>
        </w:rPr>
      </w:pPr>
      <w:r>
        <w:rPr>
          <w:lang w:val="en-AU"/>
        </w:rPr>
        <w:t>F</w:t>
      </w:r>
      <w:r w:rsidR="000F4B57" w:rsidRPr="00091600">
        <w:rPr>
          <w:lang w:val="en-AU"/>
        </w:rPr>
        <w:t xml:space="preserve">ive ANU lecturers (one female, four males) have developed and delivered 13 courses at the SBPP, with contributions from two additional ANU staff (one visiting female PNG national ANU researcher on </w:t>
      </w:r>
      <w:r w:rsidR="00A47A55" w:rsidRPr="00091600">
        <w:rPr>
          <w:lang w:val="en-AU"/>
        </w:rPr>
        <w:t>gender</w:t>
      </w:r>
      <w:r w:rsidR="004521E1" w:rsidRPr="00091600">
        <w:rPr>
          <w:lang w:val="en-AU"/>
        </w:rPr>
        <w:t>-</w:t>
      </w:r>
      <w:r w:rsidR="00A47A55" w:rsidRPr="00091600">
        <w:rPr>
          <w:lang w:val="en-AU"/>
        </w:rPr>
        <w:t>based violence</w:t>
      </w:r>
      <w:r w:rsidR="00EB0E2E" w:rsidRPr="00091600">
        <w:rPr>
          <w:lang w:val="en-AU"/>
        </w:rPr>
        <w:t>,</w:t>
      </w:r>
      <w:r w:rsidR="000F4B57" w:rsidRPr="00091600">
        <w:rPr>
          <w:lang w:val="en-AU"/>
        </w:rPr>
        <w:t xml:space="preserve"> and a male PNG national seasonal lecturer visiting from his American university). </w:t>
      </w:r>
    </w:p>
    <w:p w:rsidR="00910434" w:rsidRPr="00091600" w:rsidRDefault="000F4B57" w:rsidP="00910434">
      <w:pPr>
        <w:pStyle w:val="BodyText"/>
        <w:numPr>
          <w:ilvl w:val="0"/>
          <w:numId w:val="41"/>
        </w:numPr>
        <w:rPr>
          <w:rFonts w:cstheme="majorHAnsi"/>
          <w:szCs w:val="20"/>
          <w:lang w:val="en-AU"/>
        </w:rPr>
      </w:pPr>
      <w:r w:rsidRPr="00091600">
        <w:rPr>
          <w:lang w:val="en-AU"/>
        </w:rPr>
        <w:t xml:space="preserve">In total, 329 UPNG students have </w:t>
      </w:r>
      <w:r w:rsidRPr="005817C3">
        <w:rPr>
          <w:lang w:val="en-AU"/>
        </w:rPr>
        <w:t xml:space="preserve">been trained: 313 undergraduates (88 female; 225 males) were taught in </w:t>
      </w:r>
      <w:r w:rsidR="00EB0E2E" w:rsidRPr="005817C3">
        <w:rPr>
          <w:lang w:val="en-AU"/>
        </w:rPr>
        <w:t>S</w:t>
      </w:r>
      <w:r w:rsidR="006E76DB" w:rsidRPr="005817C3">
        <w:rPr>
          <w:lang w:val="en-AU"/>
        </w:rPr>
        <w:t>emester</w:t>
      </w:r>
      <w:r w:rsidRPr="005817C3">
        <w:rPr>
          <w:lang w:val="en-AU"/>
        </w:rPr>
        <w:t xml:space="preserve"> 1, 2017, and 272 (89 females</w:t>
      </w:r>
      <w:r w:rsidR="00EB0E2E" w:rsidRPr="005817C3">
        <w:rPr>
          <w:lang w:val="en-AU"/>
        </w:rPr>
        <w:t>;</w:t>
      </w:r>
      <w:r w:rsidRPr="005817C3">
        <w:rPr>
          <w:lang w:val="en-AU"/>
        </w:rPr>
        <w:t xml:space="preserve"> 183 males) in </w:t>
      </w:r>
      <w:r w:rsidR="009F5553" w:rsidRPr="005817C3">
        <w:rPr>
          <w:lang w:val="en-AU"/>
        </w:rPr>
        <w:t>S</w:t>
      </w:r>
      <w:r w:rsidR="006E76DB" w:rsidRPr="005817C3">
        <w:rPr>
          <w:lang w:val="en-AU"/>
        </w:rPr>
        <w:t>emester</w:t>
      </w:r>
      <w:r w:rsidRPr="005817C3">
        <w:rPr>
          <w:lang w:val="en-AU"/>
        </w:rPr>
        <w:t xml:space="preserve"> 2, 2017; as well as 27 graduates from the Division of Public Policy Management and 30 graduates (all males) from the Division of Economics in SBPP.</w:t>
      </w:r>
      <w:r w:rsidRPr="00091600">
        <w:rPr>
          <w:lang w:val="en-AU"/>
        </w:rPr>
        <w:t xml:space="preserve"> </w:t>
      </w:r>
    </w:p>
    <w:p w:rsidR="00910434" w:rsidRPr="00091600" w:rsidRDefault="000F4B57" w:rsidP="00910434">
      <w:pPr>
        <w:pStyle w:val="BodyText"/>
        <w:numPr>
          <w:ilvl w:val="0"/>
          <w:numId w:val="41"/>
        </w:numPr>
        <w:rPr>
          <w:rFonts w:cstheme="majorHAnsi"/>
          <w:szCs w:val="20"/>
          <w:lang w:val="en-AU"/>
        </w:rPr>
      </w:pPr>
      <w:r w:rsidRPr="00091600">
        <w:rPr>
          <w:lang w:val="en-AU"/>
        </w:rPr>
        <w:t xml:space="preserve">A new </w:t>
      </w:r>
      <w:r w:rsidR="00EA7ADD" w:rsidRPr="00091600">
        <w:rPr>
          <w:lang w:val="en-AU"/>
        </w:rPr>
        <w:t>Master’s</w:t>
      </w:r>
      <w:r w:rsidRPr="00091600">
        <w:rPr>
          <w:lang w:val="en-AU"/>
        </w:rPr>
        <w:t xml:space="preserve"> program in </w:t>
      </w:r>
      <w:r w:rsidR="000F2262" w:rsidRPr="00091600">
        <w:rPr>
          <w:lang w:val="en-AU"/>
        </w:rPr>
        <w:t>E</w:t>
      </w:r>
      <w:r w:rsidR="006245EC" w:rsidRPr="00091600">
        <w:rPr>
          <w:lang w:val="en-AU"/>
        </w:rPr>
        <w:t>conomics</w:t>
      </w:r>
      <w:r w:rsidRPr="00091600">
        <w:rPr>
          <w:lang w:val="en-AU"/>
        </w:rPr>
        <w:t xml:space="preserve"> and </w:t>
      </w:r>
      <w:r w:rsidR="000F2262" w:rsidRPr="00091600">
        <w:rPr>
          <w:lang w:val="en-AU"/>
        </w:rPr>
        <w:t>P</w:t>
      </w:r>
      <w:r w:rsidR="006245EC" w:rsidRPr="00091600">
        <w:rPr>
          <w:lang w:val="en-AU"/>
        </w:rPr>
        <w:t xml:space="preserve">ublic </w:t>
      </w:r>
      <w:r w:rsidR="000F2262" w:rsidRPr="00091600">
        <w:rPr>
          <w:lang w:val="en-AU"/>
        </w:rPr>
        <w:t>P</w:t>
      </w:r>
      <w:r w:rsidR="006245EC" w:rsidRPr="00091600">
        <w:rPr>
          <w:lang w:val="en-AU"/>
        </w:rPr>
        <w:t>olicy</w:t>
      </w:r>
      <w:r w:rsidR="006E76DB" w:rsidRPr="00091600">
        <w:rPr>
          <w:lang w:val="en-AU"/>
        </w:rPr>
        <w:t xml:space="preserve"> </w:t>
      </w:r>
      <w:r w:rsidRPr="00091600">
        <w:rPr>
          <w:lang w:val="en-AU"/>
        </w:rPr>
        <w:t xml:space="preserve">was established in 2017, and the second cohort was enrolled in 2018. </w:t>
      </w:r>
    </w:p>
    <w:p w:rsidR="000F4B57" w:rsidRPr="00091600" w:rsidRDefault="000F4B57" w:rsidP="00013D3C">
      <w:pPr>
        <w:pStyle w:val="BodyText"/>
        <w:numPr>
          <w:ilvl w:val="0"/>
          <w:numId w:val="41"/>
        </w:numPr>
        <w:rPr>
          <w:rFonts w:cstheme="majorHAnsi"/>
          <w:szCs w:val="20"/>
          <w:lang w:val="en-AU"/>
        </w:rPr>
      </w:pPr>
      <w:r w:rsidRPr="00091600">
        <w:rPr>
          <w:lang w:val="en-AU"/>
        </w:rPr>
        <w:t>In addition, 10 of the best third-year students in 2017 (six females</w:t>
      </w:r>
      <w:r w:rsidR="000F2262" w:rsidRPr="00091600">
        <w:rPr>
          <w:lang w:val="en-AU"/>
        </w:rPr>
        <w:t>;</w:t>
      </w:r>
      <w:r w:rsidR="009C66A2" w:rsidRPr="00091600">
        <w:rPr>
          <w:lang w:val="en-AU"/>
        </w:rPr>
        <w:t xml:space="preserve"> </w:t>
      </w:r>
      <w:r w:rsidRPr="00091600">
        <w:rPr>
          <w:lang w:val="en-AU"/>
        </w:rPr>
        <w:t xml:space="preserve"> four males—no quota) </w:t>
      </w:r>
      <w:r w:rsidR="000F2262" w:rsidRPr="00091600">
        <w:rPr>
          <w:lang w:val="en-AU"/>
        </w:rPr>
        <w:t>took</w:t>
      </w:r>
      <w:r w:rsidRPr="00091600">
        <w:rPr>
          <w:lang w:val="en-AU"/>
        </w:rPr>
        <w:t xml:space="preserve"> part in the 2018 ANU Crawford School of Public Policy Summer School, where they underwent an intensive one-month program in economics and public policy.</w:t>
      </w:r>
      <w:r w:rsidRPr="00091600">
        <w:rPr>
          <w:rStyle w:val="FootnoteReference"/>
          <w:lang w:val="en-AU"/>
        </w:rPr>
        <w:footnoteReference w:id="13"/>
      </w:r>
      <w:r w:rsidRPr="00091600">
        <w:rPr>
          <w:lang w:val="en-AU"/>
        </w:rPr>
        <w:t xml:space="preserve"> </w:t>
      </w:r>
      <w:r w:rsidRPr="00091600">
        <w:rPr>
          <w:rFonts w:cstheme="majorHAnsi"/>
          <w:lang w:val="en-AU"/>
        </w:rPr>
        <w:t>Based on their final year performance, four (</w:t>
      </w:r>
      <w:r w:rsidR="000F2262" w:rsidRPr="00091600">
        <w:rPr>
          <w:rFonts w:cstheme="majorHAnsi"/>
          <w:lang w:val="en-AU"/>
        </w:rPr>
        <w:t>one</w:t>
      </w:r>
      <w:r w:rsidRPr="00091600">
        <w:rPr>
          <w:rFonts w:cstheme="majorHAnsi"/>
          <w:lang w:val="en-AU"/>
        </w:rPr>
        <w:t xml:space="preserve"> female; three males) UPNG Economics students received a scholarship to undertake ANU’s </w:t>
      </w:r>
      <w:r w:rsidR="00113113" w:rsidRPr="00091600">
        <w:rPr>
          <w:rFonts w:cstheme="majorHAnsi"/>
          <w:lang w:val="en-AU"/>
        </w:rPr>
        <w:t>Masters</w:t>
      </w:r>
      <w:r w:rsidRPr="00091600">
        <w:rPr>
          <w:rFonts w:cstheme="majorHAnsi"/>
          <w:lang w:val="en-AU"/>
        </w:rPr>
        <w:t xml:space="preserve"> in International and Development Economics.</w:t>
      </w:r>
      <w:r w:rsidRPr="00091600">
        <w:rPr>
          <w:rStyle w:val="FootnoteReference"/>
          <w:rFonts w:cstheme="majorHAnsi"/>
          <w:lang w:val="en-AU"/>
        </w:rPr>
        <w:footnoteReference w:id="14"/>
      </w:r>
      <w:r w:rsidRPr="00091600">
        <w:rPr>
          <w:rFonts w:cstheme="majorHAnsi"/>
          <w:szCs w:val="20"/>
          <w:lang w:val="en-AU"/>
        </w:rPr>
        <w:t xml:space="preserve"> </w:t>
      </w:r>
    </w:p>
    <w:p w:rsidR="000F4B57" w:rsidRPr="00091600" w:rsidRDefault="000F4B57" w:rsidP="000F4B57">
      <w:pPr>
        <w:pStyle w:val="BodyText"/>
        <w:rPr>
          <w:rFonts w:cs="Calibri"/>
          <w:color w:val="000000"/>
          <w:lang w:val="en-AU"/>
        </w:rPr>
      </w:pPr>
      <w:r w:rsidRPr="00091600">
        <w:rPr>
          <w:lang w:val="en-AU"/>
        </w:rPr>
        <w:t>To put these efforts into perspective, overall since 2015, 123 (42 females</w:t>
      </w:r>
      <w:r w:rsidR="000F2262" w:rsidRPr="00091600">
        <w:rPr>
          <w:lang w:val="en-AU"/>
        </w:rPr>
        <w:t>;</w:t>
      </w:r>
      <w:r w:rsidRPr="00091600">
        <w:rPr>
          <w:lang w:val="en-AU"/>
        </w:rPr>
        <w:t xml:space="preserve"> 81 males) UPNG SPBB students completed their degrees with ANU assistance</w:t>
      </w:r>
      <w:r w:rsidR="006225B7" w:rsidRPr="00091600">
        <w:rPr>
          <w:lang w:val="en-AU"/>
        </w:rPr>
        <w:t>. This represents</w:t>
      </w:r>
      <w:r w:rsidRPr="00091600">
        <w:rPr>
          <w:lang w:val="en-AU"/>
        </w:rPr>
        <w:t xml:space="preserve"> </w:t>
      </w:r>
      <w:r w:rsidR="00B05EB5" w:rsidRPr="00091600">
        <w:rPr>
          <w:lang w:val="en-AU"/>
        </w:rPr>
        <w:t>a</w:t>
      </w:r>
      <w:r w:rsidRPr="00091600">
        <w:rPr>
          <w:lang w:val="en-AU"/>
        </w:rPr>
        <w:t xml:space="preserve"> fraction of the total </w:t>
      </w:r>
      <w:r w:rsidR="00A34EDB" w:rsidRPr="00091600">
        <w:rPr>
          <w:lang w:val="en-AU"/>
        </w:rPr>
        <w:t>number</w:t>
      </w:r>
      <w:r w:rsidRPr="00091600">
        <w:rPr>
          <w:lang w:val="en-AU"/>
        </w:rPr>
        <w:t xml:space="preserve"> graduating from SBPP</w:t>
      </w:r>
      <w:r w:rsidR="00DC60F0">
        <w:rPr>
          <w:lang w:val="en-AU"/>
        </w:rPr>
        <w:t xml:space="preserve">. </w:t>
      </w:r>
      <w:r w:rsidRPr="00091600">
        <w:rPr>
          <w:lang w:val="en-AU"/>
        </w:rPr>
        <w:t>I</w:t>
      </w:r>
      <w:r w:rsidRPr="00091600">
        <w:rPr>
          <w:rFonts w:cs="Calibri"/>
          <w:color w:val="000000"/>
          <w:lang w:val="en-AU"/>
        </w:rPr>
        <w:t>n 2018, SBPP graduated 417 students</w:t>
      </w:r>
      <w:r w:rsidR="00F621A5">
        <w:rPr>
          <w:rFonts w:cs="Calibri"/>
          <w:color w:val="000000"/>
          <w:lang w:val="en-AU"/>
        </w:rPr>
        <w:t xml:space="preserve"> and o</w:t>
      </w:r>
      <w:r w:rsidRPr="00091600">
        <w:rPr>
          <w:rFonts w:cs="Calibri"/>
          <w:color w:val="000000"/>
          <w:lang w:val="en-AU"/>
        </w:rPr>
        <w:t xml:space="preserve">f these, 66 (16%) were Bachelor of Economics and Bachelor of Public Policy Management students taught by ANU </w:t>
      </w:r>
      <w:r w:rsidR="00DC056E">
        <w:rPr>
          <w:rFonts w:cs="Calibri"/>
          <w:color w:val="000000"/>
          <w:lang w:val="en-AU"/>
        </w:rPr>
        <w:t>a</w:t>
      </w:r>
      <w:r w:rsidRPr="00091600">
        <w:rPr>
          <w:rFonts w:cs="Calibri"/>
          <w:color w:val="000000"/>
          <w:lang w:val="en-AU"/>
        </w:rPr>
        <w:t>cademics.</w:t>
      </w:r>
      <w:r w:rsidRPr="00091600">
        <w:rPr>
          <w:rStyle w:val="FootnoteReference"/>
          <w:lang w:val="en-AU"/>
        </w:rPr>
        <w:t xml:space="preserve"> </w:t>
      </w:r>
      <w:r w:rsidRPr="00091600">
        <w:rPr>
          <w:rStyle w:val="FootnoteReference"/>
          <w:lang w:val="en-AU"/>
        </w:rPr>
        <w:footnoteReference w:id="15"/>
      </w:r>
    </w:p>
    <w:p w:rsidR="000F4B57" w:rsidRPr="00091600" w:rsidRDefault="000F4B57" w:rsidP="000F4B57">
      <w:pPr>
        <w:pStyle w:val="BodyText"/>
        <w:rPr>
          <w:color w:val="000000"/>
          <w:lang w:val="en-AU"/>
        </w:rPr>
      </w:pPr>
      <w:r w:rsidRPr="001422B3">
        <w:rPr>
          <w:rFonts w:ascii="Roboto" w:hAnsi="Roboto" w:cstheme="minorHAnsi"/>
          <w:b/>
          <w:lang w:val="en-AU"/>
        </w:rPr>
        <w:t>Public outreach</w:t>
      </w:r>
      <w:r w:rsidR="000F2262" w:rsidRPr="00931BFA">
        <w:rPr>
          <w:rFonts w:ascii="Roboto" w:hAnsi="Roboto" w:cstheme="minorHAnsi"/>
          <w:lang w:val="en-AU"/>
        </w:rPr>
        <w:t>:</w:t>
      </w:r>
      <w:r w:rsidR="00560BEF" w:rsidRPr="00091600">
        <w:rPr>
          <w:rFonts w:cstheme="minorHAnsi"/>
          <w:lang w:val="en-AU"/>
        </w:rPr>
        <w:t xml:space="preserve"> </w:t>
      </w:r>
      <w:r w:rsidR="000F2262" w:rsidRPr="00091600">
        <w:rPr>
          <w:lang w:val="en-AU"/>
        </w:rPr>
        <w:t>t</w:t>
      </w:r>
      <w:r w:rsidR="008F3B8D" w:rsidRPr="00091600">
        <w:rPr>
          <w:lang w:val="en-AU"/>
        </w:rPr>
        <w:t>he</w:t>
      </w:r>
      <w:r w:rsidRPr="00091600">
        <w:rPr>
          <w:lang w:val="en-AU"/>
        </w:rPr>
        <w:t xml:space="preserve"> ‘PNG Update’ is an annual conference that has been jointly hosted by UPNG and ANU since 2014, initially alternating between Australia and PNG. It is now fully hosted in-country. The 2018 Update was held on 14–15 June, with approximately 1,000 people attending. More than 75 papers were presented from a cross-section of politicians, bureaucrats, industrialists, academics, and the public.</w:t>
      </w:r>
      <w:r w:rsidRPr="00091600">
        <w:rPr>
          <w:rStyle w:val="FootnoteReference"/>
          <w:lang w:val="en-AU"/>
        </w:rPr>
        <w:footnoteReference w:id="16"/>
      </w:r>
      <w:r w:rsidRPr="00091600">
        <w:rPr>
          <w:lang w:val="en-AU"/>
        </w:rPr>
        <w:t xml:space="preserve"> </w:t>
      </w:r>
      <w:r w:rsidRPr="00091600">
        <w:rPr>
          <w:color w:val="000000"/>
          <w:lang w:val="en-AU"/>
        </w:rPr>
        <w:t>Overall, between 2015 and 2017, at least 2,000 people participated in PNG Update Discussions as both presenters and audiences.</w:t>
      </w:r>
      <w:r w:rsidRPr="00091600">
        <w:rPr>
          <w:rStyle w:val="FootnoteReference"/>
          <w:color w:val="000000"/>
          <w:lang w:val="en-AU"/>
        </w:rPr>
        <w:footnoteReference w:id="17"/>
      </w:r>
      <w:r w:rsidRPr="00091600">
        <w:rPr>
          <w:color w:val="000000"/>
          <w:lang w:val="en-AU"/>
        </w:rPr>
        <w:t xml:space="preserve"> </w:t>
      </w:r>
      <w:r w:rsidRPr="00091600">
        <w:rPr>
          <w:lang w:val="en-AU"/>
        </w:rPr>
        <w:t>(PNG Update activities are funded by the grant but branded separately from the Precinct).</w:t>
      </w:r>
    </w:p>
    <w:p w:rsidR="000F4B57" w:rsidRPr="00091600" w:rsidRDefault="000F4B57" w:rsidP="000F4B57">
      <w:pPr>
        <w:pStyle w:val="BodyText"/>
        <w:rPr>
          <w:lang w:val="en-AU"/>
        </w:rPr>
      </w:pPr>
      <w:r w:rsidRPr="00091600">
        <w:rPr>
          <w:lang w:val="en-AU"/>
        </w:rPr>
        <w:t xml:space="preserve">The hosting of the </w:t>
      </w:r>
      <w:r w:rsidR="00E628AB" w:rsidRPr="00091600">
        <w:rPr>
          <w:lang w:val="en-AU"/>
        </w:rPr>
        <w:t>Asia</w:t>
      </w:r>
      <w:r w:rsidR="00DC056E" w:rsidRPr="00091600">
        <w:rPr>
          <w:lang w:val="en-AU"/>
        </w:rPr>
        <w:t>–</w:t>
      </w:r>
      <w:r w:rsidR="00E628AB" w:rsidRPr="00091600">
        <w:rPr>
          <w:lang w:val="en-AU"/>
        </w:rPr>
        <w:t>Pacific Economic Cooperation (</w:t>
      </w:r>
      <w:r w:rsidR="008F3B8D" w:rsidRPr="00091600">
        <w:rPr>
          <w:lang w:val="en-AU"/>
        </w:rPr>
        <w:t>APEC</w:t>
      </w:r>
      <w:r w:rsidR="00E628AB" w:rsidRPr="00091600">
        <w:rPr>
          <w:lang w:val="en-AU"/>
        </w:rPr>
        <w:t>)</w:t>
      </w:r>
      <w:r w:rsidR="00C52D14" w:rsidRPr="00091600">
        <w:rPr>
          <w:lang w:val="en-AU"/>
        </w:rPr>
        <w:t xml:space="preserve"> </w:t>
      </w:r>
      <w:r w:rsidRPr="00091600">
        <w:rPr>
          <w:lang w:val="en-AU"/>
        </w:rPr>
        <w:t>seminar series in the new UPNG lecture theatre shows the gradual increase in the quantity of public outreach undertaken by SBPP. The quality of papers and discussions emanating from such public outreach programs are yet to be determined</w:t>
      </w:r>
      <w:r w:rsidR="00E628AB" w:rsidRPr="00091600">
        <w:rPr>
          <w:lang w:val="en-AU"/>
        </w:rPr>
        <w:t>,</w:t>
      </w:r>
      <w:r w:rsidR="008F3B8D" w:rsidRPr="00091600">
        <w:rPr>
          <w:lang w:val="en-AU"/>
        </w:rPr>
        <w:t xml:space="preserve"> given the absence of data to ver</w:t>
      </w:r>
      <w:r w:rsidR="00010938" w:rsidRPr="00091600">
        <w:rPr>
          <w:lang w:val="en-AU"/>
        </w:rPr>
        <w:t>ify claims of quality</w:t>
      </w:r>
      <w:r w:rsidR="00CF11D3" w:rsidRPr="00091600">
        <w:rPr>
          <w:lang w:val="en-AU"/>
        </w:rPr>
        <w:t xml:space="preserve"> and policy influence</w:t>
      </w:r>
      <w:r w:rsidR="00010938" w:rsidRPr="00091600">
        <w:rPr>
          <w:lang w:val="en-AU"/>
        </w:rPr>
        <w:t>.</w:t>
      </w:r>
      <w:r w:rsidRPr="00091600">
        <w:rPr>
          <w:lang w:val="en-AU"/>
        </w:rPr>
        <w:t xml:space="preserve"> Evidence of publications and external reviews of papers could be considered as the way forward. </w:t>
      </w:r>
    </w:p>
    <w:p w:rsidR="000F4B57" w:rsidRPr="00091600" w:rsidRDefault="000F4B57" w:rsidP="000F4B57">
      <w:pPr>
        <w:pStyle w:val="BodyText"/>
        <w:rPr>
          <w:lang w:val="en-AU"/>
        </w:rPr>
      </w:pPr>
      <w:r w:rsidRPr="001422B3">
        <w:rPr>
          <w:rFonts w:ascii="Roboto" w:hAnsi="Roboto"/>
          <w:b/>
          <w:lang w:val="en-AU"/>
        </w:rPr>
        <w:t>Infrastructure</w:t>
      </w:r>
      <w:r w:rsidR="000F2262" w:rsidRPr="00931BFA">
        <w:rPr>
          <w:rFonts w:ascii="Roboto" w:hAnsi="Roboto"/>
          <w:lang w:val="en-AU"/>
        </w:rPr>
        <w:t>:</w:t>
      </w:r>
      <w:r w:rsidR="00740EDE" w:rsidRPr="00091600">
        <w:rPr>
          <w:lang w:val="en-AU"/>
        </w:rPr>
        <w:t xml:space="preserve"> </w:t>
      </w:r>
      <w:r w:rsidRPr="00091600">
        <w:rPr>
          <w:lang w:val="en-AU"/>
        </w:rPr>
        <w:t xml:space="preserve">through the AHC infrastructure program, the Precinct is delivering three new state-of-the-art buildings at UPNG. The new UPNG lecture theatre and the student services building </w:t>
      </w:r>
      <w:r w:rsidR="00464132" w:rsidRPr="00091600">
        <w:rPr>
          <w:lang w:val="en-AU"/>
        </w:rPr>
        <w:t>ha</w:t>
      </w:r>
      <w:r w:rsidR="000F2262" w:rsidRPr="00091600">
        <w:rPr>
          <w:lang w:val="en-AU"/>
        </w:rPr>
        <w:t>ve</w:t>
      </w:r>
      <w:r w:rsidRPr="00091600">
        <w:rPr>
          <w:lang w:val="en-AU"/>
        </w:rPr>
        <w:t xml:space="preserve"> been completed and were in use at the time of our visit. A new flagship SBPP lecture building was in progress and expected to be completed in November 2018. It will be accessible to people living with mobility challenges. All buildings are wheelchair accessible, but they are not vision and hearing enabled. The impact of the buildings </w:t>
      </w:r>
      <w:r w:rsidR="00464132" w:rsidRPr="00091600">
        <w:rPr>
          <w:lang w:val="en-AU"/>
        </w:rPr>
        <w:t>can only</w:t>
      </w:r>
      <w:r w:rsidRPr="00091600">
        <w:rPr>
          <w:lang w:val="en-AU"/>
        </w:rPr>
        <w:t xml:space="preserve"> be assessed at a later date, but this considerable Australian investment is seen as a physical demonstration of the bilateral partnership.</w:t>
      </w:r>
    </w:p>
    <w:p w:rsidR="000F4B57" w:rsidRPr="00091600" w:rsidRDefault="000F4B57" w:rsidP="006C6DBE">
      <w:pPr>
        <w:pStyle w:val="Heading4"/>
        <w:rPr>
          <w:lang w:val="en-AU"/>
        </w:rPr>
      </w:pPr>
      <w:r w:rsidRPr="006C6DBE">
        <w:t>Strengths</w:t>
      </w:r>
    </w:p>
    <w:p w:rsidR="000F4B57" w:rsidRPr="00091600" w:rsidRDefault="000F4B57" w:rsidP="000F4B57">
      <w:pPr>
        <w:pStyle w:val="BodyText"/>
        <w:rPr>
          <w:lang w:val="en-AU"/>
        </w:rPr>
      </w:pPr>
      <w:r w:rsidRPr="001422B3">
        <w:rPr>
          <w:rFonts w:ascii="Roboto" w:hAnsi="Roboto"/>
          <w:b/>
          <w:lang w:val="en-AU"/>
        </w:rPr>
        <w:t>High-quality learning</w:t>
      </w:r>
      <w:r w:rsidR="000F2262" w:rsidRPr="00931BFA">
        <w:rPr>
          <w:rFonts w:ascii="Roboto" w:hAnsi="Roboto"/>
          <w:lang w:val="en-AU"/>
        </w:rPr>
        <w:t>:</w:t>
      </w:r>
      <w:r w:rsidR="005B3638" w:rsidRPr="00091600">
        <w:rPr>
          <w:lang w:val="en-AU"/>
        </w:rPr>
        <w:t xml:space="preserve"> </w:t>
      </w:r>
      <w:r w:rsidR="000F2262" w:rsidRPr="00091600">
        <w:rPr>
          <w:lang w:val="en-AU"/>
        </w:rPr>
        <w:t>t</w:t>
      </w:r>
      <w:r w:rsidR="0041398F" w:rsidRPr="00091600">
        <w:rPr>
          <w:lang w:val="en-AU"/>
        </w:rPr>
        <w:t>he</w:t>
      </w:r>
      <w:r w:rsidRPr="00091600">
        <w:rPr>
          <w:lang w:val="en-AU"/>
        </w:rPr>
        <w:t xml:space="preserve"> ANU biannual reports all attest to the successful development and delivery of the programs by the five ANU lecturers.</w:t>
      </w:r>
      <w:r w:rsidRPr="00091600">
        <w:rPr>
          <w:rStyle w:val="FootnoteReference"/>
          <w:rFonts w:cstheme="minorHAnsi"/>
          <w:lang w:val="en-AU"/>
        </w:rPr>
        <w:footnoteReference w:id="18"/>
      </w:r>
      <w:r w:rsidRPr="00091600">
        <w:rPr>
          <w:lang w:val="en-AU"/>
        </w:rPr>
        <w:t xml:space="preserve"> These reports are substantiated by student evaluations of the courses and the responses of the undergraduate and postgraduate students interviewed by the </w:t>
      </w:r>
      <w:r w:rsidR="00CF45C5" w:rsidRPr="00091600">
        <w:rPr>
          <w:lang w:val="en-AU"/>
        </w:rPr>
        <w:t>review</w:t>
      </w:r>
      <w:r w:rsidRPr="00091600">
        <w:rPr>
          <w:lang w:val="en-AU"/>
        </w:rPr>
        <w:t xml:space="preserve"> team. The ANU approach is benchmarked against best education practice, using adult learning principles (or andragogy)</w:t>
      </w:r>
      <w:r w:rsidRPr="00091600">
        <w:rPr>
          <w:rStyle w:val="FootnoteReference"/>
          <w:lang w:val="en-AU"/>
        </w:rPr>
        <w:footnoteReference w:id="19"/>
      </w:r>
      <w:r w:rsidRPr="00091600">
        <w:rPr>
          <w:lang w:val="en-AU"/>
        </w:rPr>
        <w:t xml:space="preserve"> engaging in reflective practice by both staff and students. The approach promotes critical thinking skills through formal and informal interactions. For example, in one interview, a student felt the highlight of his learning was his exposure to critical thinking skills, which forced him to step back and critically analyse a PNG case study using current economics and public policy theories. The students shared positive experiences of the </w:t>
      </w:r>
      <w:r w:rsidR="000F2262" w:rsidRPr="00091600">
        <w:rPr>
          <w:lang w:val="en-AU"/>
        </w:rPr>
        <w:t>s</w:t>
      </w:r>
      <w:r w:rsidR="004521E1" w:rsidRPr="00091600">
        <w:rPr>
          <w:lang w:val="en-AU"/>
        </w:rPr>
        <w:t xml:space="preserve">ummer </w:t>
      </w:r>
      <w:r w:rsidR="000F2262" w:rsidRPr="00091600">
        <w:rPr>
          <w:lang w:val="en-AU"/>
        </w:rPr>
        <w:t>s</w:t>
      </w:r>
      <w:r w:rsidR="004521E1" w:rsidRPr="00091600">
        <w:rPr>
          <w:lang w:val="en-AU"/>
        </w:rPr>
        <w:t>chool</w:t>
      </w:r>
      <w:r w:rsidRPr="00091600">
        <w:rPr>
          <w:lang w:val="en-AU"/>
        </w:rPr>
        <w:t xml:space="preserve"> they attended at ANU, describing the exchange as ‘eye-opening’ and motivating them to ‘dream big’ and think ‘outside the box’.</w:t>
      </w:r>
    </w:p>
    <w:p w:rsidR="000F4B57" w:rsidRPr="00091600" w:rsidRDefault="000F4B57" w:rsidP="000F4B57">
      <w:pPr>
        <w:pStyle w:val="BodyText"/>
        <w:rPr>
          <w:lang w:val="en-AU"/>
        </w:rPr>
      </w:pPr>
      <w:r w:rsidRPr="00091600">
        <w:rPr>
          <w:lang w:val="en-AU"/>
        </w:rPr>
        <w:t>SBPP students also stated upfront how much they appreciated being treated like adults and trusted to have a say in their learning. They related well to their lecturers because of their ‘open door’ policy, enabling students to feel free and comfortable to consult them if and when they need assistance. ANU lecturers have demonstrated that they have adapted their approach to the UPNG context, where the internet is unreliable. They provide key literature through offline databases (thumb drives)</w:t>
      </w:r>
      <w:r w:rsidR="007A082E" w:rsidRPr="00091600">
        <w:rPr>
          <w:lang w:val="en-AU"/>
        </w:rPr>
        <w:t xml:space="preserve"> and</w:t>
      </w:r>
      <w:r w:rsidRPr="00091600">
        <w:rPr>
          <w:lang w:val="en-AU"/>
        </w:rPr>
        <w:t xml:space="preserve"> use social media (WhatsApp) for student questions/staff answers that the whole class can access.</w:t>
      </w:r>
    </w:p>
    <w:p w:rsidR="000F4B57" w:rsidRPr="00091600" w:rsidRDefault="000F4B57" w:rsidP="000F4B57">
      <w:pPr>
        <w:pStyle w:val="BodyText"/>
        <w:rPr>
          <w:lang w:val="en-AU"/>
        </w:rPr>
      </w:pPr>
      <w:r w:rsidRPr="00091600">
        <w:rPr>
          <w:lang w:val="en-AU"/>
        </w:rPr>
        <w:t>Clearly, the evidence supports good progress under the first medium-term</w:t>
      </w:r>
      <w:r w:rsidR="00112876" w:rsidRPr="00091600">
        <w:rPr>
          <w:lang w:val="en-AU"/>
        </w:rPr>
        <w:t xml:space="preserve"> </w:t>
      </w:r>
      <w:r w:rsidR="007D3F34" w:rsidRPr="00091600">
        <w:rPr>
          <w:lang w:val="en-AU"/>
        </w:rPr>
        <w:t>outcome</w:t>
      </w:r>
      <w:r w:rsidR="004521E1" w:rsidRPr="00091600">
        <w:rPr>
          <w:lang w:val="en-AU"/>
        </w:rPr>
        <w:t xml:space="preserve"> </w:t>
      </w:r>
      <w:r w:rsidR="00112876" w:rsidRPr="00091600">
        <w:rPr>
          <w:lang w:val="en-AU"/>
        </w:rPr>
        <w:t>(five to seven years)</w:t>
      </w:r>
      <w:r w:rsidRPr="00091600">
        <w:rPr>
          <w:lang w:val="en-AU"/>
        </w:rPr>
        <w:t xml:space="preserve"> of the SBPP project. Improved quality of teaching at SBPP is contributing to better quality student learning, leading to the increased capacity of students to apply problem-solving and critical thinking skills in economics and public policy.</w:t>
      </w:r>
    </w:p>
    <w:p w:rsidR="000F4B57" w:rsidRDefault="000F4B57" w:rsidP="000F4B57">
      <w:pPr>
        <w:pStyle w:val="BodyText"/>
        <w:rPr>
          <w:lang w:val="en-AU"/>
        </w:rPr>
      </w:pPr>
      <w:r w:rsidRPr="00091600">
        <w:rPr>
          <w:lang w:val="en-AU"/>
        </w:rPr>
        <w:t>This good use of learning methods is reflected in the Precinct first lesson learned identified by the review team (see lessons learned box 1).</w:t>
      </w:r>
    </w:p>
    <w:p w:rsidR="00D82571" w:rsidRPr="00091600" w:rsidRDefault="00D82571" w:rsidP="00D82571">
      <w:pPr>
        <w:pStyle w:val="BodyText"/>
        <w:rPr>
          <w:color w:val="000000"/>
          <w:lang w:val="en-AU"/>
        </w:rPr>
      </w:pPr>
      <w:r w:rsidRPr="001422B3">
        <w:rPr>
          <w:rFonts w:ascii="Roboto" w:hAnsi="Roboto"/>
          <w:b/>
          <w:lang w:val="en-AU"/>
        </w:rPr>
        <w:t>SBPP-ANU partnership</w:t>
      </w:r>
      <w:r w:rsidRPr="00931BFA">
        <w:rPr>
          <w:rFonts w:ascii="Roboto" w:hAnsi="Roboto"/>
          <w:lang w:val="en-AU"/>
        </w:rPr>
        <w:t>:</w:t>
      </w:r>
      <w:r w:rsidRPr="00091600">
        <w:rPr>
          <w:lang w:val="en-AU"/>
        </w:rPr>
        <w:t xml:space="preserve"> ANU has demonstrated its long-term commitment to UPNG through the Precinct program, and to SBPP in particular. At an individual level, ANU lecturers demonstrate professionalism and cultural sensitivity. SBPP and UPNG have also demonstrated their commitment by investing time and resources in collaborating with ANU. A renewed partnership agreement was signed in May 2018. </w:t>
      </w:r>
    </w:p>
    <w:p w:rsidR="00D82571" w:rsidRPr="00091600" w:rsidRDefault="00D82571" w:rsidP="000F4B57">
      <w:pPr>
        <w:pStyle w:val="BodyText"/>
        <w:rPr>
          <w:lang w:val="en-AU"/>
        </w:rPr>
      </w:pPr>
    </w:p>
    <w:tbl>
      <w:tblPr>
        <w:tblStyle w:val="OPMBoxstyle"/>
        <w:tblW w:w="0" w:type="auto"/>
        <w:tblLook w:val="04A0" w:firstRow="1" w:lastRow="0" w:firstColumn="1" w:lastColumn="0" w:noHBand="0" w:noVBand="1"/>
        <w:tblCaption w:val="Precinct lessons learned 1 - culturally competent leadership training requires adult learning approaches"/>
        <w:tblDescription w:val="In educational approaches to teaching and learning, pedagogy is about directed learning and andragogy about facilitated learning. Learning (engaging and processing of knowledge and skills) may be non-reflective, as in rote learning, where very little thinking is demanded on the part of the learner. By contrast, reflective learning requires far more in-depth thinking. The review team found that the ANU lecturers at SBPP and the UQ trainers all engaged in facilitated learning, ensuring that the knowledge and skills imparted were largely drawn from the experiences of the learners. The most appreciated courses included practical case studies and projects enabling learners to apply their skills based on their own cultural context and experiences."/>
      </w:tblPr>
      <w:tblGrid>
        <w:gridCol w:w="9730"/>
      </w:tblGrid>
      <w:tr w:rsidR="00467A81" w:rsidRPr="00091600" w:rsidTr="00CE4AA6">
        <w:trPr>
          <w:cnfStyle w:val="100000000000" w:firstRow="1" w:lastRow="0" w:firstColumn="0" w:lastColumn="0" w:oddVBand="0" w:evenVBand="0" w:oddHBand="0" w:evenHBand="0" w:firstRowFirstColumn="0" w:firstRowLastColumn="0" w:lastRowFirstColumn="0" w:lastRowLastColumn="0"/>
          <w:trHeight w:val="507"/>
          <w:tblHeader/>
        </w:trPr>
        <w:tc>
          <w:tcPr>
            <w:tcW w:w="9730" w:type="dxa"/>
          </w:tcPr>
          <w:p w:rsidR="00467A81" w:rsidRPr="00931BFA" w:rsidRDefault="00467A81" w:rsidP="00931BFA">
            <w:pPr>
              <w:pStyle w:val="Boxcaption"/>
            </w:pPr>
            <w:r w:rsidRPr="00931BFA">
              <w:t xml:space="preserve">Box </w:t>
            </w:r>
            <w:r w:rsidRPr="00931BFA">
              <w:fldChar w:fldCharType="begin"/>
            </w:r>
            <w:r w:rsidRPr="00931BFA">
              <w:instrText xml:space="preserve"> SEQ Box \* ARABIC </w:instrText>
            </w:r>
            <w:r w:rsidRPr="00931BFA">
              <w:fldChar w:fldCharType="separate"/>
            </w:r>
            <w:r w:rsidR="004964E9">
              <w:rPr>
                <w:noProof/>
              </w:rPr>
              <w:t>1</w:t>
            </w:r>
            <w:r w:rsidRPr="00931BFA">
              <w:fldChar w:fldCharType="end"/>
            </w:r>
            <w:r w:rsidRPr="00931BFA">
              <w:t>:</w:t>
            </w:r>
            <w:r w:rsidRPr="00931BFA">
              <w:tab/>
              <w:t>Precinct lessons learned 1</w:t>
            </w:r>
            <w:r w:rsidR="00F32086">
              <w:t xml:space="preserve"> –</w:t>
            </w:r>
            <w:r w:rsidRPr="00931BFA">
              <w:t xml:space="preserve"> </w:t>
            </w:r>
            <w:r w:rsidRPr="00D808F8">
              <w:rPr>
                <w:b w:val="0"/>
              </w:rPr>
              <w:t>culturally competent leadership training requires adult learning approaches.</w:t>
            </w:r>
          </w:p>
        </w:tc>
      </w:tr>
      <w:tr w:rsidR="000F4B57" w:rsidRPr="00091600" w:rsidTr="007879AD">
        <w:trPr>
          <w:trHeight w:val="2057"/>
        </w:trPr>
        <w:tc>
          <w:tcPr>
            <w:tcW w:w="0" w:type="dxa"/>
          </w:tcPr>
          <w:p w:rsidR="000F4B57" w:rsidRPr="007879AD" w:rsidRDefault="000F4B57">
            <w:pPr>
              <w:pStyle w:val="Boxtext"/>
              <w:rPr>
                <w:rFonts w:ascii="Roboto Light" w:hAnsi="Roboto Light"/>
              </w:rPr>
            </w:pPr>
            <w:r w:rsidRPr="007879AD">
              <w:rPr>
                <w:rFonts w:ascii="Roboto Light" w:hAnsi="Roboto Light"/>
              </w:rPr>
              <w:t>In educational approaches to teaching and learning, pedagogy is about directed learning and andragogy about facilitated learning. Learning (engaging and processing of knowledge and skills) may be non-reflective, as in rote learning, where very little thinking is demanded on the part of the learner. By contrast, reflective learning requires far more in-depth thinking. The review team found that the ANU lecturers at SBPP and the UQ trainers all engaged in facilitated learning, ensuring that the knowledge and skills imparted were largely drawn from the experiences of the learners. The most appreciated courses included practical case studies and projects enabling learners to apply their skills based on their own cultural context and experiences.</w:t>
            </w:r>
          </w:p>
        </w:tc>
      </w:tr>
    </w:tbl>
    <w:p w:rsidR="000F4B57" w:rsidRPr="00091600" w:rsidRDefault="000F4B57" w:rsidP="00931BFA">
      <w:pPr>
        <w:pStyle w:val="Heading4"/>
        <w:rPr>
          <w:lang w:val="en-AU"/>
        </w:rPr>
      </w:pPr>
      <w:r w:rsidRPr="00931BFA">
        <w:t>Challenges</w:t>
      </w:r>
    </w:p>
    <w:p w:rsidR="000F4B57" w:rsidRPr="00091600" w:rsidRDefault="009C66A2" w:rsidP="000F4B57">
      <w:pPr>
        <w:pStyle w:val="BodyText"/>
        <w:rPr>
          <w:lang w:val="en-AU"/>
        </w:rPr>
      </w:pPr>
      <w:r w:rsidRPr="001422B3">
        <w:rPr>
          <w:rFonts w:ascii="Roboto" w:hAnsi="Roboto"/>
          <w:b/>
          <w:lang w:val="en-AU"/>
        </w:rPr>
        <w:t>C</w:t>
      </w:r>
      <w:r w:rsidR="005B3638" w:rsidRPr="001422B3">
        <w:rPr>
          <w:rFonts w:ascii="Roboto" w:hAnsi="Roboto"/>
          <w:b/>
          <w:lang w:val="en-AU"/>
        </w:rPr>
        <w:t xml:space="preserve">apacity </w:t>
      </w:r>
      <w:r w:rsidR="000F4B57" w:rsidRPr="001422B3">
        <w:rPr>
          <w:rFonts w:ascii="Roboto" w:hAnsi="Roboto"/>
          <w:b/>
          <w:lang w:val="en-AU"/>
        </w:rPr>
        <w:t>development</w:t>
      </w:r>
      <w:r w:rsidR="00AA1C8A" w:rsidRPr="0086119A">
        <w:rPr>
          <w:rFonts w:ascii="Roboto" w:hAnsi="Roboto"/>
          <w:lang w:val="en-AU"/>
        </w:rPr>
        <w:t>:</w:t>
      </w:r>
      <w:r w:rsidR="005B3638" w:rsidRPr="00091600">
        <w:rPr>
          <w:lang w:val="en-AU"/>
        </w:rPr>
        <w:t xml:space="preserve"> </w:t>
      </w:r>
      <w:r w:rsidR="00AA1C8A" w:rsidRPr="00091600">
        <w:rPr>
          <w:lang w:val="en-AU"/>
        </w:rPr>
        <w:t>t</w:t>
      </w:r>
      <w:r w:rsidR="006E76DB" w:rsidRPr="00091600">
        <w:rPr>
          <w:lang w:val="en-AU"/>
        </w:rPr>
        <w:t>he</w:t>
      </w:r>
      <w:r w:rsidR="000F4B57" w:rsidRPr="00091600">
        <w:rPr>
          <w:lang w:val="en-AU"/>
        </w:rPr>
        <w:t xml:space="preserve"> support provided by ANU constitutes ‘capacity substitution’, as male and female ANU lecturers directly deliver courses to SBPP students. There is currently</w:t>
      </w:r>
      <w:r w:rsidR="00F47EAB" w:rsidRPr="00091600">
        <w:rPr>
          <w:lang w:val="en-AU"/>
        </w:rPr>
        <w:t xml:space="preserve"> </w:t>
      </w:r>
      <w:r w:rsidR="000F4B57" w:rsidRPr="00091600">
        <w:rPr>
          <w:lang w:val="en-AU"/>
        </w:rPr>
        <w:t xml:space="preserve">one PNG lecturer (male). Three UPNG (male) graduate students are undergoing training at ANU before returning as junior UPNG lecturers (one female was due to commence in 2019). There has been limited progress with academic publications </w:t>
      </w:r>
      <w:r w:rsidR="000F4B57" w:rsidRPr="00D667F3">
        <w:rPr>
          <w:lang w:val="en-AU"/>
        </w:rPr>
        <w:t xml:space="preserve">produced jointly by ANU and SBPP staff because of the limited number of SBPP academics available. </w:t>
      </w:r>
      <w:r w:rsidR="00E1569C" w:rsidRPr="00D667F3">
        <w:rPr>
          <w:lang w:val="en-AU"/>
        </w:rPr>
        <w:t>T</w:t>
      </w:r>
      <w:r w:rsidR="00AA74CA" w:rsidRPr="00D667F3">
        <w:rPr>
          <w:lang w:val="en-AU"/>
        </w:rPr>
        <w:t>his</w:t>
      </w:r>
      <w:r w:rsidR="000F4B57" w:rsidRPr="00D667F3">
        <w:rPr>
          <w:lang w:val="en-AU"/>
        </w:rPr>
        <w:t xml:space="preserve"> </w:t>
      </w:r>
      <w:r w:rsidR="00465FDB" w:rsidRPr="00D667F3">
        <w:rPr>
          <w:lang w:val="en-AU"/>
        </w:rPr>
        <w:t xml:space="preserve">capacity substitution </w:t>
      </w:r>
      <w:r w:rsidR="000F4B57" w:rsidRPr="00D667F3">
        <w:rPr>
          <w:lang w:val="en-AU"/>
        </w:rPr>
        <w:t>approach was</w:t>
      </w:r>
      <w:r w:rsidR="00465FDB" w:rsidRPr="00D667F3">
        <w:rPr>
          <w:lang w:val="en-AU"/>
        </w:rPr>
        <w:t xml:space="preserve"> a deliberate</w:t>
      </w:r>
      <w:r w:rsidR="000F4B57" w:rsidRPr="00D667F3">
        <w:rPr>
          <w:lang w:val="en-AU"/>
        </w:rPr>
        <w:t xml:space="preserve"> part of the original Precinct design to improve the quality of SBPP courses quickly</w:t>
      </w:r>
      <w:r w:rsidR="00E1569C" w:rsidRPr="00D667F3">
        <w:rPr>
          <w:lang w:val="en-AU"/>
        </w:rPr>
        <w:t>. O</w:t>
      </w:r>
      <w:r w:rsidR="00AA74CA" w:rsidRPr="00D667F3">
        <w:rPr>
          <w:lang w:val="en-AU"/>
        </w:rPr>
        <w:t>ur</w:t>
      </w:r>
      <w:r w:rsidR="000F4B57" w:rsidRPr="00091600">
        <w:rPr>
          <w:lang w:val="en-AU"/>
        </w:rPr>
        <w:t xml:space="preserve"> interviewees identified the need to </w:t>
      </w:r>
      <w:r w:rsidR="00E1569C" w:rsidRPr="00091600">
        <w:rPr>
          <w:lang w:val="en-AU"/>
        </w:rPr>
        <w:t xml:space="preserve">now </w:t>
      </w:r>
      <w:r w:rsidR="000F4B57" w:rsidRPr="00091600">
        <w:rPr>
          <w:lang w:val="en-AU"/>
        </w:rPr>
        <w:t>move from ANU ‘capacity substitution’ to greater ‘capacity development’.</w:t>
      </w:r>
      <w:r w:rsidR="00465FDB" w:rsidRPr="00091600">
        <w:rPr>
          <w:lang w:val="en-AU"/>
        </w:rPr>
        <w:t xml:space="preserve"> </w:t>
      </w:r>
    </w:p>
    <w:p w:rsidR="00385440" w:rsidRPr="00091600" w:rsidRDefault="0052728E" w:rsidP="005975B5">
      <w:pPr>
        <w:pStyle w:val="BodyText"/>
        <w:rPr>
          <w:lang w:val="en-AU"/>
        </w:rPr>
      </w:pPr>
      <w:r w:rsidRPr="00091600">
        <w:rPr>
          <w:lang w:val="en-AU"/>
        </w:rPr>
        <w:t xml:space="preserve">The Precinct partners need to consider how to increase the </w:t>
      </w:r>
      <w:r w:rsidR="00AA1C8A" w:rsidRPr="00091600">
        <w:rPr>
          <w:lang w:val="en-AU"/>
        </w:rPr>
        <w:t xml:space="preserve">number of </w:t>
      </w:r>
      <w:r w:rsidR="00AA74CA" w:rsidRPr="00091600">
        <w:rPr>
          <w:lang w:val="en-AU"/>
        </w:rPr>
        <w:t>PNG lecturers at SBPP</w:t>
      </w:r>
      <w:r w:rsidRPr="00091600">
        <w:rPr>
          <w:lang w:val="en-AU"/>
        </w:rPr>
        <w:t>. Possible strategies include</w:t>
      </w:r>
      <w:r w:rsidR="00AA74CA" w:rsidRPr="00091600">
        <w:rPr>
          <w:lang w:val="en-AU"/>
        </w:rPr>
        <w:t xml:space="preserve"> increasing the</w:t>
      </w:r>
      <w:r w:rsidR="005B3638" w:rsidRPr="00091600">
        <w:rPr>
          <w:lang w:val="en-AU"/>
        </w:rPr>
        <w:t xml:space="preserve"> </w:t>
      </w:r>
      <w:r w:rsidR="006E76DB" w:rsidRPr="00091600">
        <w:rPr>
          <w:lang w:val="en-AU"/>
        </w:rPr>
        <w:t>ownership of course content and teaching</w:t>
      </w:r>
      <w:r w:rsidR="00AA74CA" w:rsidRPr="00091600">
        <w:rPr>
          <w:lang w:val="en-AU"/>
        </w:rPr>
        <w:t xml:space="preserve"> methods</w:t>
      </w:r>
      <w:r w:rsidR="006E76DB" w:rsidRPr="00091600">
        <w:rPr>
          <w:lang w:val="en-AU"/>
        </w:rPr>
        <w:t xml:space="preserve"> by PNG lecturers</w:t>
      </w:r>
      <w:r w:rsidR="00905E82" w:rsidRPr="00091600">
        <w:rPr>
          <w:lang w:val="en-AU"/>
        </w:rPr>
        <w:t xml:space="preserve"> (male and female)</w:t>
      </w:r>
      <w:r w:rsidR="006E76DB" w:rsidRPr="00091600">
        <w:rPr>
          <w:lang w:val="en-AU"/>
        </w:rPr>
        <w:t>;</w:t>
      </w:r>
      <w:r w:rsidR="00AA74CA" w:rsidRPr="00091600">
        <w:rPr>
          <w:lang w:val="en-AU"/>
        </w:rPr>
        <w:t xml:space="preserve"> more time dedicated </w:t>
      </w:r>
      <w:r w:rsidR="00FF3E3A" w:rsidRPr="00091600">
        <w:rPr>
          <w:lang w:val="en-AU"/>
        </w:rPr>
        <w:t xml:space="preserve">to </w:t>
      </w:r>
      <w:r w:rsidR="006E76DB" w:rsidRPr="00091600">
        <w:rPr>
          <w:lang w:val="en-AU"/>
        </w:rPr>
        <w:t>sharing and exchange of knowledge</w:t>
      </w:r>
      <w:r w:rsidR="00AA74CA" w:rsidRPr="00091600">
        <w:rPr>
          <w:lang w:val="en-AU"/>
        </w:rPr>
        <w:t xml:space="preserve"> between ANU and UPNG lecturers; </w:t>
      </w:r>
      <w:r w:rsidRPr="00091600">
        <w:rPr>
          <w:lang w:val="en-AU"/>
        </w:rPr>
        <w:t xml:space="preserve">and </w:t>
      </w:r>
      <w:r w:rsidR="006E76DB" w:rsidRPr="00091600">
        <w:rPr>
          <w:lang w:val="en-AU"/>
        </w:rPr>
        <w:t xml:space="preserve">funding and scholarships </w:t>
      </w:r>
      <w:r w:rsidR="00AA74CA" w:rsidRPr="00091600">
        <w:rPr>
          <w:lang w:val="en-AU"/>
        </w:rPr>
        <w:t>to sustain student numbers</w:t>
      </w:r>
      <w:r w:rsidR="006E76DB" w:rsidRPr="00091600">
        <w:rPr>
          <w:lang w:val="en-AU"/>
        </w:rPr>
        <w:t xml:space="preserve"> in the new </w:t>
      </w:r>
      <w:r w:rsidR="00EA7ADD" w:rsidRPr="00091600">
        <w:rPr>
          <w:lang w:val="en-AU"/>
        </w:rPr>
        <w:t>Master’s</w:t>
      </w:r>
      <w:r w:rsidR="006E76DB" w:rsidRPr="00091600">
        <w:rPr>
          <w:lang w:val="en-AU"/>
        </w:rPr>
        <w:t xml:space="preserve"> program</w:t>
      </w:r>
      <w:r w:rsidR="00385440" w:rsidRPr="00091600">
        <w:rPr>
          <w:lang w:val="en-AU"/>
        </w:rPr>
        <w:t xml:space="preserve"> (including by seeking private sector funding)</w:t>
      </w:r>
      <w:r w:rsidR="00AA74CA" w:rsidRPr="00091600">
        <w:rPr>
          <w:lang w:val="en-AU"/>
        </w:rPr>
        <w:t>.</w:t>
      </w:r>
      <w:r w:rsidR="006E76DB" w:rsidRPr="00091600">
        <w:rPr>
          <w:lang w:val="en-AU"/>
        </w:rPr>
        <w:t xml:space="preserve"> </w:t>
      </w:r>
      <w:r w:rsidR="00FE16D9" w:rsidRPr="00091600">
        <w:rPr>
          <w:lang w:val="en-AU"/>
        </w:rPr>
        <w:t xml:space="preserve">SBPP </w:t>
      </w:r>
      <w:r w:rsidRPr="00091600">
        <w:rPr>
          <w:lang w:val="en-AU"/>
        </w:rPr>
        <w:t>could</w:t>
      </w:r>
      <w:r w:rsidR="00FE16D9" w:rsidRPr="00091600">
        <w:rPr>
          <w:lang w:val="en-AU"/>
        </w:rPr>
        <w:t xml:space="preserve"> recruit future national </w:t>
      </w:r>
      <w:r w:rsidR="00FE16D9" w:rsidRPr="00091600">
        <w:rPr>
          <w:color w:val="000000" w:themeColor="text1"/>
          <w:lang w:val="en-AU"/>
        </w:rPr>
        <w:t>academics</w:t>
      </w:r>
      <w:r w:rsidR="00443D67">
        <w:rPr>
          <w:color w:val="000000" w:themeColor="text1"/>
          <w:lang w:val="en-AU"/>
        </w:rPr>
        <w:t xml:space="preserve"> (</w:t>
      </w:r>
      <w:r w:rsidR="00796726" w:rsidRPr="00091600">
        <w:rPr>
          <w:color w:val="000000" w:themeColor="text1"/>
          <w:lang w:val="en-AU"/>
        </w:rPr>
        <w:t>both male and female</w:t>
      </w:r>
      <w:r w:rsidR="00443D67">
        <w:rPr>
          <w:color w:val="000000" w:themeColor="text1"/>
          <w:lang w:val="en-AU"/>
        </w:rPr>
        <w:t>)</w:t>
      </w:r>
      <w:r w:rsidR="00796726" w:rsidRPr="00091600">
        <w:rPr>
          <w:color w:val="000000" w:themeColor="text1"/>
          <w:lang w:val="en-AU"/>
        </w:rPr>
        <w:t xml:space="preserve"> </w:t>
      </w:r>
      <w:r w:rsidR="00FE16D9" w:rsidRPr="00091600">
        <w:rPr>
          <w:color w:val="000000" w:themeColor="text1"/>
          <w:lang w:val="en-AU"/>
        </w:rPr>
        <w:t xml:space="preserve">by identifying its top graduates </w:t>
      </w:r>
      <w:r w:rsidR="00AA1C8A" w:rsidRPr="00091600">
        <w:rPr>
          <w:color w:val="000000" w:themeColor="text1"/>
          <w:lang w:val="en-AU"/>
        </w:rPr>
        <w:t xml:space="preserve">from </w:t>
      </w:r>
      <w:r w:rsidR="00FE16D9" w:rsidRPr="00091600">
        <w:rPr>
          <w:color w:val="000000" w:themeColor="text1"/>
          <w:lang w:val="en-AU"/>
        </w:rPr>
        <w:t xml:space="preserve">the </w:t>
      </w:r>
      <w:r w:rsidR="00EA7ADD" w:rsidRPr="00091600">
        <w:rPr>
          <w:color w:val="000000" w:themeColor="text1"/>
          <w:lang w:val="en-AU"/>
        </w:rPr>
        <w:t>Master’s</w:t>
      </w:r>
      <w:r w:rsidR="00FE16D9" w:rsidRPr="00091600">
        <w:rPr>
          <w:color w:val="000000" w:themeColor="text1"/>
          <w:lang w:val="en-AU"/>
        </w:rPr>
        <w:t xml:space="preserve"> program and </w:t>
      </w:r>
      <w:r w:rsidR="00FE16D9" w:rsidRPr="00091600">
        <w:rPr>
          <w:lang w:val="en-AU"/>
        </w:rPr>
        <w:t>put</w:t>
      </w:r>
      <w:r w:rsidR="00AA1C8A" w:rsidRPr="00091600">
        <w:rPr>
          <w:lang w:val="en-AU"/>
        </w:rPr>
        <w:t>ting</w:t>
      </w:r>
      <w:r w:rsidR="00FE16D9" w:rsidRPr="00091600">
        <w:rPr>
          <w:color w:val="000000" w:themeColor="text1"/>
          <w:lang w:val="en-AU"/>
        </w:rPr>
        <w:t xml:space="preserve"> them through an intensive staff development program. It </w:t>
      </w:r>
      <w:r w:rsidRPr="00091600">
        <w:rPr>
          <w:color w:val="000000" w:themeColor="text1"/>
          <w:lang w:val="en-AU"/>
        </w:rPr>
        <w:t xml:space="preserve">could </w:t>
      </w:r>
      <w:r w:rsidR="00FE16D9" w:rsidRPr="00091600">
        <w:rPr>
          <w:color w:val="000000" w:themeColor="text1"/>
          <w:lang w:val="en-AU"/>
        </w:rPr>
        <w:t xml:space="preserve">also identify its </w:t>
      </w:r>
      <w:r w:rsidR="00680082" w:rsidRPr="00091600">
        <w:rPr>
          <w:lang w:val="en-AU"/>
        </w:rPr>
        <w:t>high-</w:t>
      </w:r>
      <w:r w:rsidR="00FE16D9" w:rsidRPr="00091600">
        <w:rPr>
          <w:lang w:val="en-AU"/>
        </w:rPr>
        <w:t>performing undergraduate students to undertake postgraduate studies to prepare them as future leaders in SBPP and the public service.</w:t>
      </w:r>
    </w:p>
    <w:p w:rsidR="000F4B57" w:rsidRPr="00091600" w:rsidRDefault="000F4B57" w:rsidP="000F4B57">
      <w:pPr>
        <w:pStyle w:val="BodyText"/>
        <w:rPr>
          <w:lang w:val="en-AU"/>
        </w:rPr>
      </w:pPr>
      <w:r w:rsidRPr="001422B3">
        <w:rPr>
          <w:rFonts w:ascii="Roboto" w:hAnsi="Roboto"/>
          <w:b/>
          <w:lang w:val="en-AU"/>
        </w:rPr>
        <w:t xml:space="preserve">The </w:t>
      </w:r>
      <w:r w:rsidR="00AA1C8A" w:rsidRPr="001422B3">
        <w:rPr>
          <w:rFonts w:ascii="Roboto" w:hAnsi="Roboto"/>
          <w:b/>
          <w:lang w:val="en-AU"/>
        </w:rPr>
        <w:t>w</w:t>
      </w:r>
      <w:r w:rsidR="005B3638" w:rsidRPr="001422B3">
        <w:rPr>
          <w:rFonts w:ascii="Roboto" w:hAnsi="Roboto"/>
          <w:b/>
          <w:lang w:val="en-AU"/>
        </w:rPr>
        <w:t>ider</w:t>
      </w:r>
      <w:r w:rsidRPr="001422B3">
        <w:rPr>
          <w:rFonts w:ascii="Roboto" w:hAnsi="Roboto"/>
          <w:b/>
          <w:lang w:val="en-AU"/>
        </w:rPr>
        <w:t xml:space="preserve"> SBPP context</w:t>
      </w:r>
      <w:r w:rsidR="00AA1C8A" w:rsidRPr="0086119A">
        <w:rPr>
          <w:rFonts w:ascii="Roboto" w:hAnsi="Roboto"/>
          <w:lang w:val="en-AU"/>
        </w:rPr>
        <w:t>:</w:t>
      </w:r>
      <w:r w:rsidR="005B3638" w:rsidRPr="00091600">
        <w:rPr>
          <w:lang w:val="en-AU"/>
        </w:rPr>
        <w:t xml:space="preserve"> </w:t>
      </w:r>
      <w:r w:rsidRPr="00091600">
        <w:rPr>
          <w:lang w:val="en-AU"/>
        </w:rPr>
        <w:t>SBPP is one of five schools within UPNG</w:t>
      </w:r>
      <w:r w:rsidR="005B3638" w:rsidRPr="00091600">
        <w:rPr>
          <w:lang w:val="en-AU"/>
        </w:rPr>
        <w:t xml:space="preserve">. It is therefore </w:t>
      </w:r>
      <w:r w:rsidRPr="00091600">
        <w:rPr>
          <w:lang w:val="en-AU"/>
        </w:rPr>
        <w:t xml:space="preserve">affected by the larger university budget, which is under severe pressure due to the current </w:t>
      </w:r>
      <w:r w:rsidR="00E87298">
        <w:rPr>
          <w:lang w:val="en-AU"/>
        </w:rPr>
        <w:t>PNG Government</w:t>
      </w:r>
      <w:r w:rsidRPr="00091600">
        <w:rPr>
          <w:lang w:val="en-AU"/>
        </w:rPr>
        <w:t xml:space="preserve"> fiscal shortfall. This has a direct impact on the number of lecturers available to be trained and to deliver SBPP courses. ANU dependence will be reduced when UPNG is able to support SBPP to recruit more male and female lecturer</w:t>
      </w:r>
      <w:r w:rsidRPr="00091600">
        <w:rPr>
          <w:color w:val="000000" w:themeColor="text1"/>
          <w:lang w:val="en-AU"/>
        </w:rPr>
        <w:t>s</w:t>
      </w:r>
      <w:r w:rsidRPr="00091600">
        <w:rPr>
          <w:lang w:val="en-AU"/>
        </w:rPr>
        <w:t xml:space="preserve">. </w:t>
      </w:r>
    </w:p>
    <w:p w:rsidR="000F4B57" w:rsidRPr="00091600" w:rsidRDefault="000F4B57" w:rsidP="000F4B57">
      <w:pPr>
        <w:pStyle w:val="BodyText"/>
        <w:rPr>
          <w:lang w:val="en-AU"/>
        </w:rPr>
      </w:pPr>
      <w:r w:rsidRPr="00091600">
        <w:rPr>
          <w:lang w:val="en-AU"/>
        </w:rPr>
        <w:t xml:space="preserve">The quality of SBPP teaching, and of UPNG as a whole, can be further strengthened with improved and reliable information and communications technology (ICT) infrastructure and the adoption of a student learning management system. SBPP should also ensure it adheres to the wider UPNG vision and plans. </w:t>
      </w:r>
    </w:p>
    <w:p w:rsidR="000F4B57" w:rsidRPr="00091600" w:rsidRDefault="000F4B57" w:rsidP="000F4B57">
      <w:pPr>
        <w:pStyle w:val="BodyText"/>
        <w:rPr>
          <w:lang w:val="en-AU"/>
        </w:rPr>
      </w:pPr>
      <w:r w:rsidRPr="00091600">
        <w:rPr>
          <w:lang w:val="en-AU"/>
        </w:rPr>
        <w:t xml:space="preserve">Finally, </w:t>
      </w:r>
      <w:r w:rsidR="00420EAA" w:rsidRPr="00091600">
        <w:rPr>
          <w:lang w:val="en-AU"/>
        </w:rPr>
        <w:t>Precinct management also need to consider</w:t>
      </w:r>
      <w:r w:rsidR="00E72D5E" w:rsidRPr="00091600">
        <w:rPr>
          <w:lang w:val="en-AU"/>
        </w:rPr>
        <w:t xml:space="preserve"> equity </w:t>
      </w:r>
      <w:r w:rsidR="00420EAA" w:rsidRPr="00091600">
        <w:rPr>
          <w:lang w:val="en-AU"/>
        </w:rPr>
        <w:t>issues in</w:t>
      </w:r>
      <w:r w:rsidR="00E72D5E" w:rsidRPr="00091600">
        <w:rPr>
          <w:lang w:val="en-AU"/>
        </w:rPr>
        <w:t xml:space="preserve"> the </w:t>
      </w:r>
      <w:r w:rsidRPr="00091600">
        <w:rPr>
          <w:lang w:val="en-AU"/>
        </w:rPr>
        <w:t>future allocation of resources. A number of interviewees were concerned that only one school within UPNG benefited from targeted support, whereas other academic disciplines were also relevant for the preparation of PNG’s future leaders.</w:t>
      </w:r>
    </w:p>
    <w:p w:rsidR="00593693" w:rsidRPr="00091600" w:rsidRDefault="00AD0048" w:rsidP="005975B5">
      <w:pPr>
        <w:pStyle w:val="BodyText"/>
        <w:rPr>
          <w:lang w:val="en-AU"/>
        </w:rPr>
      </w:pPr>
      <w:r w:rsidRPr="001422B3">
        <w:rPr>
          <w:rFonts w:ascii="Roboto" w:hAnsi="Roboto"/>
          <w:b/>
          <w:lang w:val="en-AU"/>
        </w:rPr>
        <w:t xml:space="preserve">GESI </w:t>
      </w:r>
      <w:r w:rsidR="001D1CB6" w:rsidRPr="001422B3">
        <w:rPr>
          <w:rFonts w:ascii="Roboto" w:hAnsi="Roboto"/>
          <w:b/>
          <w:lang w:val="en-AU"/>
        </w:rPr>
        <w:t xml:space="preserve">Policy </w:t>
      </w:r>
      <w:r w:rsidRPr="001422B3">
        <w:rPr>
          <w:rFonts w:ascii="Roboto" w:hAnsi="Roboto"/>
          <w:b/>
          <w:lang w:val="en-AU"/>
        </w:rPr>
        <w:t>and LCF integration</w:t>
      </w:r>
      <w:r w:rsidR="00AA1C8A" w:rsidRPr="0086119A">
        <w:rPr>
          <w:rFonts w:ascii="Roboto" w:hAnsi="Roboto"/>
          <w:lang w:val="en-AU"/>
        </w:rPr>
        <w:t>:</w:t>
      </w:r>
      <w:r w:rsidR="00BA2BF1" w:rsidRPr="00091600">
        <w:rPr>
          <w:lang w:val="en-AU"/>
        </w:rPr>
        <w:t xml:space="preserve"> </w:t>
      </w:r>
      <w:r w:rsidR="00AA1C8A" w:rsidRPr="00091600">
        <w:rPr>
          <w:lang w:val="en-AU"/>
        </w:rPr>
        <w:t>i</w:t>
      </w:r>
      <w:r w:rsidR="004521E1" w:rsidRPr="00091600">
        <w:rPr>
          <w:lang w:val="en-AU"/>
        </w:rPr>
        <w:t xml:space="preserve">n our interviews, PNG students noted the complementary roles </w:t>
      </w:r>
      <w:r w:rsidR="00AA1C8A" w:rsidRPr="00091600">
        <w:rPr>
          <w:lang w:val="en-AU"/>
        </w:rPr>
        <w:t xml:space="preserve">played by </w:t>
      </w:r>
      <w:r w:rsidR="004521E1" w:rsidRPr="00091600">
        <w:rPr>
          <w:lang w:val="en-AU"/>
        </w:rPr>
        <w:t>Christian and traditional values in shaping their world</w:t>
      </w:r>
      <w:r w:rsidR="002E22E9" w:rsidRPr="00091600">
        <w:rPr>
          <w:lang w:val="en-AU"/>
        </w:rPr>
        <w:t xml:space="preserve"> </w:t>
      </w:r>
      <w:r w:rsidR="004521E1" w:rsidRPr="00091600">
        <w:rPr>
          <w:lang w:val="en-AU"/>
        </w:rPr>
        <w:t>views and learning on leadership, gender</w:t>
      </w:r>
      <w:r w:rsidR="00AA1C8A" w:rsidRPr="00091600">
        <w:rPr>
          <w:lang w:val="en-AU"/>
        </w:rPr>
        <w:t>,</w:t>
      </w:r>
      <w:r w:rsidR="004521E1" w:rsidRPr="00091600">
        <w:rPr>
          <w:lang w:val="en-AU"/>
        </w:rPr>
        <w:t xml:space="preserve"> and inclusion. The</w:t>
      </w:r>
      <w:r w:rsidR="002E22E9" w:rsidRPr="00091600">
        <w:rPr>
          <w:lang w:val="en-AU"/>
        </w:rPr>
        <w:t>y</w:t>
      </w:r>
      <w:r w:rsidR="004521E1" w:rsidRPr="00091600">
        <w:rPr>
          <w:lang w:val="en-AU"/>
        </w:rPr>
        <w:t xml:space="preserve"> also </w:t>
      </w:r>
      <w:r w:rsidR="00593693" w:rsidRPr="00091600">
        <w:rPr>
          <w:lang w:val="en-AU"/>
        </w:rPr>
        <w:t xml:space="preserve">described efforts to integrate </w:t>
      </w:r>
      <w:r w:rsidR="004521E1" w:rsidRPr="00091600">
        <w:rPr>
          <w:lang w:val="en-AU"/>
        </w:rPr>
        <w:t>the LCF</w:t>
      </w:r>
      <w:r w:rsidR="001D1CB6" w:rsidRPr="00091600">
        <w:rPr>
          <w:lang w:val="en-AU"/>
        </w:rPr>
        <w:t xml:space="preserve"> and GESI P</w:t>
      </w:r>
      <w:r w:rsidR="00593693" w:rsidRPr="00091600">
        <w:rPr>
          <w:lang w:val="en-AU"/>
        </w:rPr>
        <w:t xml:space="preserve">olicy in the SBPP course content as intended learning outcomes. </w:t>
      </w:r>
      <w:r w:rsidR="00EA2ABE" w:rsidRPr="00091600">
        <w:rPr>
          <w:lang w:val="en-AU"/>
        </w:rPr>
        <w:t xml:space="preserve">However, only the Public Policy </w:t>
      </w:r>
      <w:r w:rsidR="00AA1C8A" w:rsidRPr="00091600">
        <w:rPr>
          <w:lang w:val="en-AU"/>
        </w:rPr>
        <w:t>s</w:t>
      </w:r>
      <w:r w:rsidR="00EA2ABE" w:rsidRPr="00091600">
        <w:rPr>
          <w:lang w:val="en-AU"/>
        </w:rPr>
        <w:t xml:space="preserve">tudents were familiar with the LCF. </w:t>
      </w:r>
      <w:r w:rsidR="00593693" w:rsidRPr="00091600">
        <w:rPr>
          <w:lang w:val="en-AU"/>
        </w:rPr>
        <w:t xml:space="preserve">The </w:t>
      </w:r>
      <w:r w:rsidR="00CF45C5" w:rsidRPr="00091600">
        <w:rPr>
          <w:lang w:val="en-AU"/>
        </w:rPr>
        <w:t>review team</w:t>
      </w:r>
      <w:r w:rsidR="00593693" w:rsidRPr="00091600">
        <w:rPr>
          <w:lang w:val="en-AU"/>
        </w:rPr>
        <w:t xml:space="preserve"> was unable to gain access to the course curriculum to verify these claims. </w:t>
      </w:r>
      <w:r w:rsidR="00EA2ABE" w:rsidRPr="00091600">
        <w:rPr>
          <w:lang w:val="en-AU"/>
        </w:rPr>
        <w:t>Of greater concern is the lack of progress towards having more female academics teaching</w:t>
      </w:r>
      <w:r w:rsidR="00BA2BF1" w:rsidRPr="00091600">
        <w:rPr>
          <w:lang w:val="en-AU"/>
        </w:rPr>
        <w:t xml:space="preserve"> in the SBPP and more female</w:t>
      </w:r>
      <w:r w:rsidR="00905E82" w:rsidRPr="00091600">
        <w:rPr>
          <w:lang w:val="en-AU"/>
        </w:rPr>
        <w:t xml:space="preserve"> higher degree</w:t>
      </w:r>
      <w:r w:rsidR="00BA2BF1" w:rsidRPr="00091600">
        <w:rPr>
          <w:lang w:val="en-AU"/>
        </w:rPr>
        <w:t xml:space="preserve"> students, especially in economics.</w:t>
      </w:r>
    </w:p>
    <w:p w:rsidR="000F4B57" w:rsidRPr="00091600" w:rsidRDefault="000F4B57" w:rsidP="0086119A">
      <w:pPr>
        <w:pStyle w:val="Heading4"/>
        <w:rPr>
          <w:lang w:val="en-AU"/>
        </w:rPr>
      </w:pPr>
      <w:r w:rsidRPr="0086119A">
        <w:t>Opportunities</w:t>
      </w:r>
    </w:p>
    <w:p w:rsidR="000F4B57" w:rsidRPr="00091600" w:rsidRDefault="000F4B57" w:rsidP="000F4B57">
      <w:pPr>
        <w:pStyle w:val="BodyText"/>
        <w:rPr>
          <w:bCs/>
          <w:lang w:val="en-AU"/>
        </w:rPr>
      </w:pPr>
      <w:r w:rsidRPr="001422B3">
        <w:rPr>
          <w:rFonts w:ascii="Roboto" w:hAnsi="Roboto"/>
          <w:b/>
          <w:lang w:val="en-AU"/>
        </w:rPr>
        <w:t>Contribution to a new generation of leaders</w:t>
      </w:r>
      <w:r w:rsidR="00AA1C8A" w:rsidRPr="0086119A">
        <w:rPr>
          <w:rFonts w:ascii="Roboto" w:hAnsi="Roboto"/>
          <w:lang w:val="en-AU"/>
        </w:rPr>
        <w:t>:</w:t>
      </w:r>
      <w:r w:rsidR="006959A4" w:rsidRPr="00091600">
        <w:rPr>
          <w:lang w:val="en-AU"/>
        </w:rPr>
        <w:t xml:space="preserve"> </w:t>
      </w:r>
      <w:r w:rsidR="00AA1C8A" w:rsidRPr="00091600">
        <w:rPr>
          <w:lang w:val="en-AU"/>
        </w:rPr>
        <w:t>i</w:t>
      </w:r>
      <w:r w:rsidR="004518D1" w:rsidRPr="00091600">
        <w:rPr>
          <w:lang w:val="en-AU"/>
        </w:rPr>
        <w:t>nterviewed</w:t>
      </w:r>
      <w:r w:rsidRPr="00091600">
        <w:rPr>
          <w:lang w:val="en-AU"/>
        </w:rPr>
        <w:t xml:space="preserve"> male and female undergraduates stated that they are being taught at a very high level and felt confident of their chances of securing employment soon after graduating. A 2017 </w:t>
      </w:r>
      <w:r w:rsidRPr="00091600">
        <w:rPr>
          <w:bCs/>
          <w:lang w:val="en-AU"/>
        </w:rPr>
        <w:t xml:space="preserve">survey of graduates in economics </w:t>
      </w:r>
      <w:r w:rsidRPr="00091600">
        <w:rPr>
          <w:lang w:val="en-AU"/>
        </w:rPr>
        <w:t>reports that ‘between six months and one year after graduation, most graduates had found work: 38% within six months, a further 38% within one year of graduation, a further 10% within 18 months, and a further 5% within two years’.</w:t>
      </w:r>
      <w:r w:rsidRPr="00091600">
        <w:rPr>
          <w:rStyle w:val="FootnoteReference"/>
          <w:lang w:val="en-AU"/>
        </w:rPr>
        <w:footnoteReference w:id="20"/>
      </w:r>
    </w:p>
    <w:p w:rsidR="000F4B57" w:rsidRPr="00091600" w:rsidRDefault="000F4B57" w:rsidP="000F4B57">
      <w:pPr>
        <w:pStyle w:val="BodyText"/>
        <w:rPr>
          <w:bCs/>
          <w:lang w:val="en-AU"/>
        </w:rPr>
      </w:pPr>
      <w:r w:rsidRPr="00091600">
        <w:rPr>
          <w:lang w:val="en-AU"/>
        </w:rPr>
        <w:t xml:space="preserve">The question is whether SBPP graduates are likely to contribute to the Precinct’s goal of ‘a new generation of ethical public service leaders, both women and men’. </w:t>
      </w:r>
      <w:r w:rsidRPr="00091600">
        <w:rPr>
          <w:bCs/>
          <w:lang w:val="en-AU"/>
        </w:rPr>
        <w:t>We do not know how many SBPP graduates are going into public service</w:t>
      </w:r>
      <w:r w:rsidR="001305C5" w:rsidRPr="00091600">
        <w:rPr>
          <w:lang w:val="en-AU"/>
        </w:rPr>
        <w:t>.</w:t>
      </w:r>
      <w:r w:rsidR="004518D1" w:rsidRPr="00091600">
        <w:rPr>
          <w:lang w:val="en-AU"/>
        </w:rPr>
        <w:t xml:space="preserve"> </w:t>
      </w:r>
      <w:r w:rsidRPr="00091600">
        <w:rPr>
          <w:lang w:val="en-AU"/>
        </w:rPr>
        <w:t xml:space="preserve">This will also depend on </w:t>
      </w:r>
      <w:r w:rsidR="00E87298">
        <w:rPr>
          <w:lang w:val="en-AU"/>
        </w:rPr>
        <w:t>PNG Government</w:t>
      </w:r>
      <w:r w:rsidRPr="00091600">
        <w:rPr>
          <w:lang w:val="en-AU"/>
        </w:rPr>
        <w:t xml:space="preserve"> recruitment policies. The academic evidence shows that a merit-based system helps attract well-qualified individuals. It also shows how higher education institutions can both foster or undermine developmental </w:t>
      </w:r>
      <w:r w:rsidR="00171B75" w:rsidRPr="00091600">
        <w:rPr>
          <w:lang w:val="en-AU"/>
        </w:rPr>
        <w:t>leaderships</w:t>
      </w:r>
      <w:r w:rsidRPr="00091600">
        <w:rPr>
          <w:lang w:val="en-AU"/>
        </w:rPr>
        <w:t xml:space="preserve"> (see </w:t>
      </w:r>
      <w:r w:rsidR="00AA1C8A" w:rsidRPr="00091600">
        <w:rPr>
          <w:lang w:val="en-AU"/>
        </w:rPr>
        <w:t>E</w:t>
      </w:r>
      <w:r w:rsidR="00FB4CC5" w:rsidRPr="00091600">
        <w:rPr>
          <w:lang w:val="en-AU"/>
        </w:rPr>
        <w:t xml:space="preserve">vidence </w:t>
      </w:r>
      <w:r w:rsidR="00AA1C8A" w:rsidRPr="00091600">
        <w:rPr>
          <w:lang w:val="en-AU"/>
        </w:rPr>
        <w:t>B</w:t>
      </w:r>
      <w:r w:rsidR="00171B75" w:rsidRPr="00091600">
        <w:rPr>
          <w:lang w:val="en-AU"/>
        </w:rPr>
        <w:t>ox</w:t>
      </w:r>
      <w:r w:rsidRPr="00091600">
        <w:rPr>
          <w:lang w:val="en-AU"/>
        </w:rPr>
        <w:t xml:space="preserve"> 1)</w:t>
      </w:r>
      <w:r w:rsidRPr="00091600">
        <w:rPr>
          <w:rFonts w:eastAsia="Times New Roman" w:cs="Calibri"/>
          <w:lang w:val="en-AU"/>
        </w:rPr>
        <w:t xml:space="preserve">. </w:t>
      </w:r>
      <w:r w:rsidRPr="00091600">
        <w:rPr>
          <w:lang w:val="en-AU"/>
        </w:rPr>
        <w:t>Our interviews with stakeholders beyond SBPP and UPNG noted that the SBPP was on a journey to become a centre of excellence.</w:t>
      </w:r>
      <w:r w:rsidRPr="00091600">
        <w:rPr>
          <w:bCs/>
          <w:lang w:val="en-AU"/>
        </w:rPr>
        <w:t xml:space="preserve"> It is making efforts to adopt good education practice to achieve this objective.</w:t>
      </w:r>
      <w:r w:rsidRPr="00091600">
        <w:rPr>
          <w:rStyle w:val="FootnoteReference"/>
          <w:bCs/>
          <w:lang w:val="en-AU"/>
        </w:rPr>
        <w:footnoteReference w:id="21"/>
      </w:r>
    </w:p>
    <w:p w:rsidR="000F4B57" w:rsidRPr="00091600" w:rsidRDefault="000F4B57" w:rsidP="000F4B57">
      <w:pPr>
        <w:pStyle w:val="BodyText"/>
        <w:rPr>
          <w:rFonts w:cstheme="minorHAnsi"/>
          <w:lang w:val="en-AU"/>
        </w:rPr>
      </w:pPr>
      <w:r w:rsidRPr="00091600">
        <w:rPr>
          <w:lang w:val="en-AU"/>
        </w:rPr>
        <w:t>ANU is noted for ensuring quality economics graduates among its own Australian students through the economics exam. However, under the partnership arrangements, the exam is not compulsory for SBPP students. Only volunteer graduates take it, posing issues of data reliability and validity. It is worth considering whether all graduates should take the ANU/UPNG economics exam to ensure quality of the graduates to make a difference in the workforce. This would provide further evidence of the program logic, moving from SBPP teaching to SBPP graduates contributing to the Precinct long-term outcomes in terms of improving public service leadership and the quality of public debates informing public policy.</w:t>
      </w:r>
    </w:p>
    <w:p w:rsidR="000F4B57" w:rsidRPr="00091600" w:rsidRDefault="000F4B57" w:rsidP="000F4B57">
      <w:pPr>
        <w:pStyle w:val="BodyText"/>
        <w:rPr>
          <w:lang w:val="en-AU"/>
        </w:rPr>
      </w:pPr>
      <w:r w:rsidRPr="001422B3">
        <w:rPr>
          <w:rFonts w:ascii="Roboto" w:hAnsi="Roboto"/>
          <w:b/>
          <w:lang w:val="en-AU"/>
        </w:rPr>
        <w:t>SBPP strategic plan</w:t>
      </w:r>
      <w:r w:rsidR="00AA1C8A" w:rsidRPr="00EF6467">
        <w:rPr>
          <w:rFonts w:ascii="Roboto" w:hAnsi="Roboto"/>
          <w:lang w:val="en-AU"/>
        </w:rPr>
        <w:t>:</w:t>
      </w:r>
      <w:r w:rsidR="008411E1" w:rsidRPr="00091600">
        <w:rPr>
          <w:lang w:val="en-AU"/>
        </w:rPr>
        <w:t xml:space="preserve"> </w:t>
      </w:r>
      <w:r w:rsidR="00AA1C8A" w:rsidRPr="00091600">
        <w:rPr>
          <w:lang w:val="en-AU"/>
        </w:rPr>
        <w:t>t</w:t>
      </w:r>
      <w:r w:rsidR="008411E1" w:rsidRPr="00091600">
        <w:rPr>
          <w:lang w:val="en-AU"/>
        </w:rPr>
        <w:t>he</w:t>
      </w:r>
      <w:r w:rsidRPr="00091600">
        <w:rPr>
          <w:lang w:val="en-AU"/>
        </w:rPr>
        <w:t xml:space="preserve"> 2018 draft SBPP strategic plan had been developed but not yet launched at the time of this review. </w:t>
      </w:r>
      <w:r w:rsidR="00AA1C8A" w:rsidRPr="00091600">
        <w:rPr>
          <w:lang w:val="en-AU"/>
        </w:rPr>
        <w:t>In</w:t>
      </w:r>
      <w:r w:rsidRPr="00091600">
        <w:rPr>
          <w:lang w:val="en-AU"/>
        </w:rPr>
        <w:t xml:space="preserve"> addition to helping SBPP become a centre of excellence, the Precinct original design</w:t>
      </w:r>
      <w:r w:rsidR="00AA1C8A" w:rsidRPr="00091600">
        <w:rPr>
          <w:lang w:val="en-AU"/>
        </w:rPr>
        <w:t xml:space="preserve"> </w:t>
      </w:r>
      <w:r w:rsidRPr="00091600">
        <w:rPr>
          <w:lang w:val="en-AU"/>
        </w:rPr>
        <w:t xml:space="preserve">was also meant to contribute to SBPP’s greater interaction and relevance to </w:t>
      </w:r>
      <w:r w:rsidR="00E87298">
        <w:rPr>
          <w:lang w:val="en-AU"/>
        </w:rPr>
        <w:t>the PNG Government</w:t>
      </w:r>
      <w:r w:rsidRPr="00091600">
        <w:rPr>
          <w:lang w:val="en-AU"/>
        </w:rPr>
        <w:t xml:space="preserve"> in public policy.</w:t>
      </w:r>
    </w:p>
    <w:p w:rsidR="000F4B57" w:rsidRPr="00091600" w:rsidRDefault="000F4B57" w:rsidP="000F4B57">
      <w:pPr>
        <w:pStyle w:val="BodyText"/>
        <w:rPr>
          <w:lang w:val="en-AU"/>
        </w:rPr>
      </w:pPr>
      <w:r w:rsidRPr="001422B3">
        <w:rPr>
          <w:rFonts w:ascii="Roboto" w:hAnsi="Roboto"/>
          <w:b/>
          <w:lang w:val="en-AU"/>
        </w:rPr>
        <w:t>SBPP integration within the wider university</w:t>
      </w:r>
      <w:r w:rsidR="00AA1C8A" w:rsidRPr="00EF6467">
        <w:rPr>
          <w:rFonts w:ascii="Roboto" w:hAnsi="Roboto"/>
          <w:lang w:val="en-AU"/>
        </w:rPr>
        <w:t>:</w:t>
      </w:r>
      <w:r w:rsidRPr="00091600">
        <w:rPr>
          <w:lang w:val="en-AU"/>
        </w:rPr>
        <w:t xml:space="preserve"> UPNG management participate in the JSC and are aware of the importance of integrating the SBPP with the rest of the university. For example, two Curriculum Alignment </w:t>
      </w:r>
      <w:r w:rsidR="0013376A" w:rsidRPr="00091600">
        <w:rPr>
          <w:lang w:val="en-AU"/>
        </w:rPr>
        <w:t>Initiative</w:t>
      </w:r>
      <w:r w:rsidRPr="00091600">
        <w:rPr>
          <w:lang w:val="en-AU"/>
        </w:rPr>
        <w:t xml:space="preserve"> workshops have been held in 2017 and 2018 with UPNG and SBPP to ensure the new courses are aligned with university-wide </w:t>
      </w:r>
      <w:r w:rsidR="009F5553" w:rsidRPr="00091600">
        <w:rPr>
          <w:lang w:val="en-AU"/>
        </w:rPr>
        <w:t>p</w:t>
      </w:r>
      <w:r w:rsidR="00FD028E" w:rsidRPr="00091600">
        <w:rPr>
          <w:lang w:val="en-AU"/>
        </w:rPr>
        <w:t xml:space="preserve">rogram </w:t>
      </w:r>
      <w:r w:rsidR="009F5553" w:rsidRPr="00091600">
        <w:rPr>
          <w:lang w:val="en-AU"/>
        </w:rPr>
        <w:t>s</w:t>
      </w:r>
      <w:r w:rsidR="00FD028E" w:rsidRPr="00091600">
        <w:rPr>
          <w:lang w:val="en-AU"/>
        </w:rPr>
        <w:t xml:space="preserve">pecification </w:t>
      </w:r>
      <w:r w:rsidR="009F5553" w:rsidRPr="00091600">
        <w:rPr>
          <w:lang w:val="en-AU"/>
        </w:rPr>
        <w:t>d</w:t>
      </w:r>
      <w:r w:rsidR="00FD028E" w:rsidRPr="00091600">
        <w:rPr>
          <w:lang w:val="en-AU"/>
        </w:rPr>
        <w:t>ocuments</w:t>
      </w:r>
      <w:r w:rsidRPr="00091600">
        <w:rPr>
          <w:lang w:val="en-AU"/>
        </w:rPr>
        <w:t>, as outlined by the University Senate (Academic Board).</w:t>
      </w:r>
      <w:r w:rsidRPr="00091600">
        <w:rPr>
          <w:rStyle w:val="FootnoteReference"/>
          <w:rFonts w:cstheme="minorHAnsi"/>
          <w:lang w:val="en-AU"/>
        </w:rPr>
        <w:footnoteReference w:id="22"/>
      </w:r>
      <w:r w:rsidRPr="00091600">
        <w:rPr>
          <w:rFonts w:cstheme="minorHAnsi"/>
          <w:lang w:val="en-AU"/>
        </w:rPr>
        <w:t xml:space="preserve"> SBPP and UPNG management need to continue to work together to ensure that SBPP is not constrained by UPNG’s strategic plan, but instead </w:t>
      </w:r>
      <w:r w:rsidR="00DA6072" w:rsidRPr="00091600">
        <w:rPr>
          <w:rFonts w:cstheme="minorHAnsi"/>
          <w:lang w:val="en-AU"/>
        </w:rPr>
        <w:t>make</w:t>
      </w:r>
      <w:r w:rsidR="00AA1C8A" w:rsidRPr="00091600">
        <w:rPr>
          <w:rFonts w:cstheme="minorHAnsi"/>
          <w:lang w:val="en-AU"/>
        </w:rPr>
        <w:t>s</w:t>
      </w:r>
      <w:r w:rsidRPr="00091600">
        <w:rPr>
          <w:rFonts w:cstheme="minorHAnsi"/>
          <w:lang w:val="en-AU"/>
        </w:rPr>
        <w:t xml:space="preserve"> the most of it and </w:t>
      </w:r>
      <w:r w:rsidR="00DA6072" w:rsidRPr="00091600">
        <w:rPr>
          <w:rFonts w:cstheme="minorHAnsi"/>
          <w:lang w:val="en-AU"/>
        </w:rPr>
        <w:t>contribute</w:t>
      </w:r>
      <w:r w:rsidR="00AA1C8A" w:rsidRPr="00091600">
        <w:rPr>
          <w:rFonts w:cstheme="minorHAnsi"/>
          <w:lang w:val="en-AU"/>
        </w:rPr>
        <w:t>s</w:t>
      </w:r>
      <w:r w:rsidRPr="00091600">
        <w:rPr>
          <w:rFonts w:cstheme="minorHAnsi"/>
          <w:lang w:val="en-AU"/>
        </w:rPr>
        <w:t xml:space="preserve"> to it.</w:t>
      </w:r>
    </w:p>
    <w:p w:rsidR="000F4B57" w:rsidRPr="00091600" w:rsidRDefault="000F4B57" w:rsidP="000F4B57">
      <w:pPr>
        <w:pStyle w:val="BodyText"/>
        <w:rPr>
          <w:lang w:val="en-AU"/>
        </w:rPr>
      </w:pPr>
      <w:r w:rsidRPr="001422B3">
        <w:rPr>
          <w:rFonts w:ascii="Roboto" w:hAnsi="Roboto"/>
          <w:b/>
          <w:lang w:val="en-AU"/>
        </w:rPr>
        <w:t>SBPP outreach and partnerships</w:t>
      </w:r>
      <w:r w:rsidR="00AA1C8A" w:rsidRPr="00EF6467">
        <w:rPr>
          <w:rFonts w:ascii="Roboto" w:hAnsi="Roboto"/>
          <w:lang w:val="en-AU"/>
        </w:rPr>
        <w:t>:</w:t>
      </w:r>
      <w:r w:rsidR="00FE16D9" w:rsidRPr="00091600">
        <w:rPr>
          <w:lang w:val="en-AU"/>
        </w:rPr>
        <w:t xml:space="preserve"> </w:t>
      </w:r>
      <w:r w:rsidR="00AA1C8A" w:rsidRPr="00091600">
        <w:rPr>
          <w:lang w:val="en-AU"/>
        </w:rPr>
        <w:t>t</w:t>
      </w:r>
      <w:r w:rsidR="00FE16D9" w:rsidRPr="00091600">
        <w:rPr>
          <w:lang w:val="en-AU"/>
        </w:rPr>
        <w:t>he</w:t>
      </w:r>
      <w:r w:rsidRPr="00091600">
        <w:rPr>
          <w:lang w:val="en-AU"/>
        </w:rPr>
        <w:t xml:space="preserve"> wider Precinct program creates opportunities for SBPP to extend its current partnership arrangements to network with other PNG organisations and higher learning institutions through collaborative research and related community engagement activities. This would help multiply the benefits of the Precinct across PNG. </w:t>
      </w:r>
    </w:p>
    <w:p w:rsidR="000F4B57" w:rsidRPr="00EF6467" w:rsidRDefault="000F4B57" w:rsidP="00EF6467">
      <w:pPr>
        <w:pStyle w:val="Recommendationthing"/>
      </w:pPr>
      <w:r w:rsidRPr="00EF6467">
        <w:t>SBPP recommendations</w:t>
      </w:r>
    </w:p>
    <w:p w:rsidR="000F4B57" w:rsidRPr="00091600" w:rsidRDefault="009207B2">
      <w:pPr>
        <w:pStyle w:val="BodyText"/>
        <w:rPr>
          <w:lang w:val="en-AU"/>
        </w:rPr>
      </w:pPr>
      <w:r w:rsidRPr="00091600">
        <w:rPr>
          <w:rStyle w:val="RecommendationthingChar"/>
          <w:rFonts w:ascii="Roboto Light" w:hAnsi="Roboto Light"/>
          <w:color w:val="45A7E1" w:themeColor="accent1"/>
        </w:rPr>
        <w:sym w:font="Wingdings" w:char="F06E"/>
      </w:r>
      <w:r w:rsidRPr="006A2786">
        <w:rPr>
          <w:rStyle w:val="RecommendationthingChar"/>
          <w:rFonts w:ascii="Poppins Black" w:hAnsi="Poppins Black" w:cs="Poppins Black"/>
          <w:color w:val="45A7E1" w:themeColor="accent1"/>
        </w:rPr>
        <w:t xml:space="preserve"> </w:t>
      </w:r>
      <w:r w:rsidR="000F4B57" w:rsidRPr="006A2786">
        <w:rPr>
          <w:rStyle w:val="RecommendationthingChar"/>
          <w:rFonts w:ascii="Poppins Black" w:hAnsi="Poppins Black" w:cs="Poppins Black"/>
        </w:rPr>
        <w:t>R1</w:t>
      </w:r>
      <w:r w:rsidR="000F4B57" w:rsidRPr="00091600">
        <w:rPr>
          <w:lang w:val="en-AU"/>
        </w:rPr>
        <w:t xml:space="preserve"> (to DHERST, UPNG, and SBPP): </w:t>
      </w:r>
      <w:r w:rsidR="00AA1C8A" w:rsidRPr="00091600">
        <w:rPr>
          <w:lang w:val="en-AU"/>
        </w:rPr>
        <w:t>u</w:t>
      </w:r>
      <w:r w:rsidR="00022A64" w:rsidRPr="00091600">
        <w:rPr>
          <w:lang w:val="en-AU"/>
        </w:rPr>
        <w:t>pdate</w:t>
      </w:r>
      <w:r w:rsidR="000F4B57" w:rsidRPr="00091600">
        <w:rPr>
          <w:lang w:val="en-AU"/>
        </w:rPr>
        <w:t xml:space="preserve"> the SBPP Precinct strategy to move</w:t>
      </w:r>
      <w:r w:rsidR="00B05EB5" w:rsidRPr="00091600">
        <w:rPr>
          <w:lang w:val="en-AU"/>
        </w:rPr>
        <w:t xml:space="preserve"> </w:t>
      </w:r>
      <w:r w:rsidR="000F4B57" w:rsidRPr="00091600">
        <w:rPr>
          <w:lang w:val="en-AU"/>
        </w:rPr>
        <w:t>from SBPP capacity substitution towards greater capacity development by building academic staff capacity</w:t>
      </w:r>
      <w:r w:rsidR="00022A64" w:rsidRPr="00091600">
        <w:rPr>
          <w:lang w:val="en-AU"/>
        </w:rPr>
        <w:t xml:space="preserve"> (by June 2019)</w:t>
      </w:r>
      <w:r w:rsidR="00AE1D68" w:rsidRPr="00091600">
        <w:rPr>
          <w:lang w:val="en-AU"/>
        </w:rPr>
        <w:t>.</w:t>
      </w:r>
    </w:p>
    <w:p w:rsidR="000F4B57" w:rsidRPr="00091600" w:rsidRDefault="009207B2">
      <w:pPr>
        <w:pStyle w:val="BodyText"/>
        <w:rPr>
          <w:lang w:val="en-AU"/>
        </w:rPr>
      </w:pPr>
      <w:r w:rsidRPr="00091600">
        <w:rPr>
          <w:rStyle w:val="RecommendationthingChar"/>
          <w:rFonts w:ascii="Roboto Light" w:hAnsi="Roboto Light"/>
          <w:color w:val="45A7E1" w:themeColor="accent1"/>
        </w:rPr>
        <w:sym w:font="Wingdings" w:char="F06E"/>
      </w:r>
      <w:r w:rsidRPr="00091600">
        <w:rPr>
          <w:rStyle w:val="RecommendationthingChar"/>
          <w:rFonts w:ascii="Roboto Light" w:hAnsi="Roboto Light"/>
          <w:color w:val="45A7E1" w:themeColor="accent1"/>
        </w:rPr>
        <w:t xml:space="preserve"> </w:t>
      </w:r>
      <w:r w:rsidR="000F4B57" w:rsidRPr="006A2786">
        <w:rPr>
          <w:rStyle w:val="RecommendationthingChar"/>
          <w:rFonts w:ascii="Poppins Black" w:hAnsi="Poppins Black" w:cs="Poppins Black"/>
        </w:rPr>
        <w:t>R2</w:t>
      </w:r>
      <w:r w:rsidR="000F4B57" w:rsidRPr="00091600">
        <w:rPr>
          <w:lang w:val="en-AU"/>
        </w:rPr>
        <w:t xml:space="preserve"> (to SBPP and UPNG): </w:t>
      </w:r>
      <w:r w:rsidR="00AA1C8A" w:rsidRPr="00091600">
        <w:rPr>
          <w:lang w:val="en-AU"/>
        </w:rPr>
        <w:t>l</w:t>
      </w:r>
      <w:r w:rsidR="00022A64" w:rsidRPr="00091600">
        <w:rPr>
          <w:lang w:val="en-AU"/>
        </w:rPr>
        <w:t>aunch</w:t>
      </w:r>
      <w:r w:rsidR="000F4B57" w:rsidRPr="00091600">
        <w:rPr>
          <w:lang w:val="en-AU"/>
        </w:rPr>
        <w:t xml:space="preserve"> and implement the SBPP strategic plan (with UPNG support</w:t>
      </w:r>
      <w:r w:rsidR="00AA1C8A" w:rsidRPr="00091600">
        <w:rPr>
          <w:lang w:val="en-AU"/>
        </w:rPr>
        <w:t>)</w:t>
      </w:r>
      <w:r w:rsidR="000F4B57" w:rsidRPr="00091600">
        <w:rPr>
          <w:lang w:val="en-AU"/>
        </w:rPr>
        <w:t xml:space="preserve"> within the larger UPNG strategic plan and environment (by December 2018).</w:t>
      </w:r>
    </w:p>
    <w:p w:rsidR="000F4B57" w:rsidRPr="00091600" w:rsidRDefault="009207B2">
      <w:pPr>
        <w:pStyle w:val="BodyText"/>
        <w:rPr>
          <w:lang w:val="en-AU"/>
        </w:rPr>
      </w:pPr>
      <w:r w:rsidRPr="00091600">
        <w:rPr>
          <w:rStyle w:val="RecommendationthingChar"/>
          <w:rFonts w:ascii="Roboto Light" w:hAnsi="Roboto Light"/>
          <w:color w:val="45A7E1" w:themeColor="accent1"/>
        </w:rPr>
        <w:sym w:font="Wingdings" w:char="F06E"/>
      </w:r>
      <w:r w:rsidRPr="00091600">
        <w:rPr>
          <w:rStyle w:val="RecommendationthingChar"/>
          <w:rFonts w:ascii="Roboto Light" w:hAnsi="Roboto Light"/>
          <w:color w:val="45A7E1" w:themeColor="accent1"/>
        </w:rPr>
        <w:t xml:space="preserve"> </w:t>
      </w:r>
      <w:r w:rsidR="000F4B57" w:rsidRPr="006A2786">
        <w:rPr>
          <w:rStyle w:val="RecommendationthingChar"/>
          <w:rFonts w:ascii="Poppins Black" w:hAnsi="Poppins Black" w:cs="Poppins Black"/>
        </w:rPr>
        <w:t>R3</w:t>
      </w:r>
      <w:r w:rsidR="000F4B57" w:rsidRPr="006A2786">
        <w:rPr>
          <w:rFonts w:ascii="Poppins Black" w:hAnsi="Poppins Black" w:cs="Poppins Black"/>
          <w:lang w:val="en-AU"/>
        </w:rPr>
        <w:t xml:space="preserve"> </w:t>
      </w:r>
      <w:r w:rsidR="000F4B57" w:rsidRPr="00091600">
        <w:rPr>
          <w:lang w:val="en-AU"/>
        </w:rPr>
        <w:t xml:space="preserve">(to SBPP and UPNG): </w:t>
      </w:r>
      <w:r w:rsidR="00AA1C8A" w:rsidRPr="00091600">
        <w:rPr>
          <w:lang w:val="en-AU"/>
        </w:rPr>
        <w:t>e</w:t>
      </w:r>
      <w:r w:rsidR="004521E1" w:rsidRPr="00091600">
        <w:rPr>
          <w:lang w:val="en-AU"/>
        </w:rPr>
        <w:t>nsure</w:t>
      </w:r>
      <w:r w:rsidR="000F4B57" w:rsidRPr="00091600">
        <w:rPr>
          <w:lang w:val="en-AU"/>
        </w:rPr>
        <w:t xml:space="preserve"> the new SBPP courses are aligned with university-wide </w:t>
      </w:r>
      <w:r w:rsidR="009F5553" w:rsidRPr="00091600">
        <w:rPr>
          <w:lang w:val="en-AU"/>
        </w:rPr>
        <w:t>p</w:t>
      </w:r>
      <w:r w:rsidR="004521E1" w:rsidRPr="00091600">
        <w:rPr>
          <w:lang w:val="en-AU"/>
        </w:rPr>
        <w:t xml:space="preserve">rogram </w:t>
      </w:r>
      <w:r w:rsidR="009F5553" w:rsidRPr="00091600">
        <w:rPr>
          <w:lang w:val="en-AU"/>
        </w:rPr>
        <w:t>s</w:t>
      </w:r>
      <w:r w:rsidR="004521E1" w:rsidRPr="00091600">
        <w:rPr>
          <w:lang w:val="en-AU"/>
        </w:rPr>
        <w:t xml:space="preserve">pecification </w:t>
      </w:r>
      <w:r w:rsidR="009F5553" w:rsidRPr="00091600">
        <w:rPr>
          <w:lang w:val="en-AU"/>
        </w:rPr>
        <w:t>d</w:t>
      </w:r>
      <w:r w:rsidR="004521E1" w:rsidRPr="00091600">
        <w:rPr>
          <w:lang w:val="en-AU"/>
        </w:rPr>
        <w:t>ocuments</w:t>
      </w:r>
      <w:r w:rsidR="000F4B57" w:rsidRPr="00091600">
        <w:rPr>
          <w:lang w:val="en-AU"/>
        </w:rPr>
        <w:t xml:space="preserve"> as outlined by the University Senate, and that they comply with the PNG National Qualification Framework, to pave the way for the PILAG pathway (by June 2019).</w:t>
      </w:r>
    </w:p>
    <w:p w:rsidR="000F4B57" w:rsidRPr="00091600" w:rsidRDefault="009207B2">
      <w:pPr>
        <w:pStyle w:val="BodyText"/>
        <w:rPr>
          <w:lang w:val="en-AU"/>
        </w:rPr>
      </w:pPr>
      <w:r w:rsidRPr="00091600">
        <w:rPr>
          <w:rStyle w:val="RecommendationthingChar"/>
          <w:rFonts w:ascii="Roboto Light" w:hAnsi="Roboto Light"/>
          <w:color w:val="45A7E1" w:themeColor="accent1"/>
        </w:rPr>
        <w:sym w:font="Wingdings" w:char="F06E"/>
      </w:r>
      <w:r w:rsidRPr="00091600">
        <w:rPr>
          <w:rStyle w:val="RecommendationthingChar"/>
          <w:rFonts w:ascii="Roboto Light" w:hAnsi="Roboto Light"/>
          <w:color w:val="45A7E1" w:themeColor="accent1"/>
        </w:rPr>
        <w:t xml:space="preserve"> </w:t>
      </w:r>
      <w:r w:rsidR="000F4B57" w:rsidRPr="006A2786">
        <w:rPr>
          <w:rStyle w:val="RecommendationthingChar"/>
          <w:rFonts w:ascii="Poppins Black" w:hAnsi="Poppins Black" w:cs="Poppins Black"/>
        </w:rPr>
        <w:t>R4</w:t>
      </w:r>
      <w:r w:rsidR="000F4B57" w:rsidRPr="00091600">
        <w:rPr>
          <w:lang w:val="en-AU"/>
        </w:rPr>
        <w:t xml:space="preserve"> (to SBPP, UPNG, DHERST, and DFAT/AHC): </w:t>
      </w:r>
      <w:r w:rsidR="00AA1C8A" w:rsidRPr="00091600">
        <w:rPr>
          <w:lang w:val="en-AU"/>
        </w:rPr>
        <w:t>c</w:t>
      </w:r>
      <w:r w:rsidR="00501BA5" w:rsidRPr="00091600">
        <w:rPr>
          <w:lang w:val="en-AU"/>
        </w:rPr>
        <w:t>onduct</w:t>
      </w:r>
      <w:r w:rsidR="000F4B57" w:rsidRPr="00091600">
        <w:rPr>
          <w:lang w:val="en-AU"/>
        </w:rPr>
        <w:t xml:space="preserve"> a mapping exercise of </w:t>
      </w:r>
      <w:r w:rsidR="00501BA5" w:rsidRPr="00091600">
        <w:rPr>
          <w:lang w:val="en-AU"/>
        </w:rPr>
        <w:t>gender equity and social inclusion</w:t>
      </w:r>
      <w:r w:rsidR="000F4B57" w:rsidRPr="00091600">
        <w:rPr>
          <w:lang w:val="en-AU"/>
        </w:rPr>
        <w:t xml:space="preserve"> in the SBPP component, and an analysis of barriers to</w:t>
      </w:r>
      <w:r w:rsidR="00577807">
        <w:rPr>
          <w:lang w:val="en-AU"/>
        </w:rPr>
        <w:t>/</w:t>
      </w:r>
      <w:r w:rsidR="000F4B57" w:rsidRPr="00091600">
        <w:rPr>
          <w:lang w:val="en-AU"/>
        </w:rPr>
        <w:t>enablers of</w:t>
      </w:r>
      <w:r w:rsidR="00122C4C" w:rsidRPr="00091600">
        <w:rPr>
          <w:lang w:val="en-AU"/>
        </w:rPr>
        <w:t xml:space="preserve"> </w:t>
      </w:r>
      <w:r w:rsidR="000F4B57" w:rsidRPr="00091600">
        <w:rPr>
          <w:lang w:val="en-AU"/>
        </w:rPr>
        <w:t>improved inclusion within SBPP. Use these analyses to update the SBPP Precinct strategy (by June 2019).</w:t>
      </w:r>
    </w:p>
    <w:tbl>
      <w:tblPr>
        <w:tblStyle w:val="OPMBoxstyle"/>
        <w:tblW w:w="0" w:type="auto"/>
        <w:tblLook w:val="04A0" w:firstRow="1" w:lastRow="0" w:firstColumn="1" w:lastColumn="0" w:noHBand="0" w:noVBand="1"/>
        <w:tblCaption w:val="Evidence for the Precinct to consider 1 - higher education, developmental leadership and public service performance"/>
        <w:tblDescription w:val="A 2017 literature review by the University of Birmingham found that higher education most often entrenches existing patterns of power and inequality, hampering the emergence of developmental leaders. The following findings could inspire PNG higher education institutions:  ‘Universities foster developmental leadership when:&#10;• they operate according to principles of meritocracy and inclusion;&#10;• they teach a broad curriculum through interactive and student-focused pedagogies: most developmental leaders hold degrees in the arts, humanities and social sciences; &#10;• they promote opportunities for leadership training and practice through extracurricular activities (such as community work, political science societies, student councils and student newspapers);&#10;• they provide role models and a new social environment and peer group, mentorship and shared living experiences; &#10;• they model an environment of good governance in their leadership and governance structures;&#10;• they encourage the creation of heterogeneous networks by encouraging social, religious, ethnic and economic mixing as well as providing scholarships to study abroad.’&#10;World Bank and International Monetary Fund studies have shown that when public servants are recruited based on merit (such as their educational achievements), the performance of the public service improves. Merit-based recruitment and predictable, rewarding career ladders improve public servants’ capability and performance. The implication for the Precinct is that the SBPP project has to be complemented with public service initiatives, so that SBPP students who have received a higher quality education may be able to join the PNG Government public service. Without merit-based recruitment and promotion, they (and other well-qualified PNG students) may not be selected to join the public service, nor will they be incentivised to do so"/>
      </w:tblPr>
      <w:tblGrid>
        <w:gridCol w:w="9730"/>
      </w:tblGrid>
      <w:tr w:rsidR="000F22FB" w:rsidRPr="00091600" w:rsidTr="00CE4AA6">
        <w:trPr>
          <w:cnfStyle w:val="100000000000" w:firstRow="1" w:lastRow="0" w:firstColumn="0" w:lastColumn="0" w:oddVBand="0" w:evenVBand="0" w:oddHBand="0" w:evenHBand="0" w:firstRowFirstColumn="0" w:firstRowLastColumn="0" w:lastRowFirstColumn="0" w:lastRowLastColumn="0"/>
          <w:trHeight w:val="507"/>
          <w:tblHeader/>
        </w:trPr>
        <w:tc>
          <w:tcPr>
            <w:tcW w:w="9730" w:type="dxa"/>
          </w:tcPr>
          <w:p w:rsidR="000F22FB" w:rsidRPr="006A2786" w:rsidRDefault="000F22FB" w:rsidP="006A2786">
            <w:pPr>
              <w:pStyle w:val="Boxcaption"/>
            </w:pPr>
            <w:bookmarkStart w:id="52" w:name="_Toc503428191"/>
            <w:bookmarkStart w:id="53" w:name="_Toc503429251"/>
            <w:bookmarkStart w:id="54" w:name="_Toc503429815"/>
            <w:bookmarkStart w:id="55" w:name="_Toc504562298"/>
            <w:bookmarkStart w:id="56" w:name="_Toc507324907"/>
            <w:bookmarkStart w:id="57" w:name="_Toc507418354"/>
            <w:bookmarkStart w:id="58" w:name="_Toc507672733"/>
            <w:bookmarkStart w:id="59" w:name="_Toc532467480"/>
            <w:r w:rsidRPr="006A2786">
              <w:t xml:space="preserve">Box </w:t>
            </w:r>
            <w:r w:rsidRPr="006A2786">
              <w:fldChar w:fldCharType="begin"/>
            </w:r>
            <w:r w:rsidRPr="006A2786">
              <w:instrText xml:space="preserve"> SEQ Box \* ARABIC </w:instrText>
            </w:r>
            <w:r w:rsidRPr="006A2786">
              <w:fldChar w:fldCharType="separate"/>
            </w:r>
            <w:r w:rsidR="004964E9">
              <w:rPr>
                <w:noProof/>
              </w:rPr>
              <w:t>2</w:t>
            </w:r>
            <w:r w:rsidRPr="006A2786">
              <w:fldChar w:fldCharType="end"/>
            </w:r>
            <w:r w:rsidRPr="006A2786">
              <w:t>:</w:t>
            </w:r>
            <w:r w:rsidRPr="006A2786">
              <w:tab/>
            </w:r>
            <w:bookmarkEnd w:id="52"/>
            <w:bookmarkEnd w:id="53"/>
            <w:bookmarkEnd w:id="54"/>
            <w:bookmarkEnd w:id="55"/>
            <w:bookmarkEnd w:id="56"/>
            <w:bookmarkEnd w:id="57"/>
            <w:bookmarkEnd w:id="58"/>
            <w:bookmarkEnd w:id="59"/>
            <w:r w:rsidRPr="006A2786">
              <w:t>Evidence for the Precinct to consider 1</w:t>
            </w:r>
            <w:r w:rsidR="007879AD">
              <w:t xml:space="preserve"> – </w:t>
            </w:r>
            <w:r w:rsidRPr="001A39C5">
              <w:rPr>
                <w:b w:val="0"/>
              </w:rPr>
              <w:t>higher education, developmental leadership, and public service performance</w:t>
            </w:r>
          </w:p>
        </w:tc>
      </w:tr>
      <w:tr w:rsidR="000F4B57" w:rsidRPr="00091600" w:rsidTr="000F22FB">
        <w:tc>
          <w:tcPr>
            <w:tcW w:w="9730" w:type="dxa"/>
          </w:tcPr>
          <w:p w:rsidR="000F4B57" w:rsidRPr="00091600" w:rsidRDefault="00773CDC" w:rsidP="00013D3C">
            <w:pPr>
              <w:pStyle w:val="Boxtext"/>
              <w:rPr>
                <w:rFonts w:ascii="Roboto Light" w:hAnsi="Roboto Light"/>
                <w:lang w:val="en-AU"/>
              </w:rPr>
            </w:pPr>
            <w:r>
              <w:rPr>
                <w:rFonts w:ascii="Roboto Light" w:hAnsi="Roboto Light"/>
                <w:lang w:val="en-AU"/>
              </w:rPr>
              <w:t xml:space="preserve">A </w:t>
            </w:r>
            <w:r w:rsidR="000F4B57" w:rsidRPr="00091600">
              <w:rPr>
                <w:rFonts w:ascii="Roboto Light" w:hAnsi="Roboto Light"/>
                <w:lang w:val="en-AU"/>
              </w:rPr>
              <w:t>2017 literature review by the University of Birmingham found that higher education most often entrenches existing patterns of power and inequality, hampering the emergence of developmental leaders. The following findings could inspire PNG higher education institutions:</w:t>
            </w:r>
            <w:r>
              <w:rPr>
                <w:rFonts w:ascii="Roboto Light" w:hAnsi="Roboto Light"/>
                <w:lang w:val="en-AU"/>
              </w:rPr>
              <w:t xml:space="preserve">  ‘</w:t>
            </w:r>
            <w:r w:rsidR="000F4B57" w:rsidRPr="00091600">
              <w:rPr>
                <w:rFonts w:ascii="Roboto Light" w:hAnsi="Roboto Light"/>
                <w:lang w:val="en-AU"/>
              </w:rPr>
              <w:t>Universities</w:t>
            </w:r>
            <w:r w:rsidR="000F4B57" w:rsidRPr="00091600">
              <w:rPr>
                <w:rStyle w:val="apple-converted-space"/>
                <w:rFonts w:ascii="Roboto Light" w:hAnsi="Roboto Light" w:cstheme="minorHAnsi"/>
                <w:color w:val="000000" w:themeColor="text1"/>
                <w:lang w:val="en-AU"/>
              </w:rPr>
              <w:t> </w:t>
            </w:r>
            <w:r w:rsidR="000F4B57" w:rsidRPr="00265774">
              <w:rPr>
                <w:rStyle w:val="Emphasis"/>
                <w:rFonts w:ascii="Roboto Light" w:hAnsi="Roboto Light" w:cstheme="minorHAnsi"/>
                <w:i w:val="0"/>
                <w:color w:val="000000" w:themeColor="text1"/>
                <w:lang w:val="en-AU"/>
              </w:rPr>
              <w:t>foster</w:t>
            </w:r>
            <w:r w:rsidR="000F4B57" w:rsidRPr="00091600">
              <w:rPr>
                <w:rStyle w:val="apple-converted-space"/>
                <w:rFonts w:ascii="Roboto Light" w:hAnsi="Roboto Light" w:cstheme="minorHAnsi"/>
                <w:iCs/>
                <w:color w:val="000000" w:themeColor="text1"/>
                <w:lang w:val="en-AU"/>
              </w:rPr>
              <w:t> </w:t>
            </w:r>
            <w:r w:rsidR="000F4B57" w:rsidRPr="00091600">
              <w:rPr>
                <w:rFonts w:ascii="Roboto Light" w:hAnsi="Roboto Light"/>
                <w:lang w:val="en-AU"/>
              </w:rPr>
              <w:t>developmental leadership when:</w:t>
            </w:r>
          </w:p>
          <w:p w:rsidR="000F4B57" w:rsidRPr="00091600" w:rsidRDefault="000F4B57" w:rsidP="00013D3C">
            <w:pPr>
              <w:pStyle w:val="Boxtext"/>
              <w:numPr>
                <w:ilvl w:val="0"/>
                <w:numId w:val="46"/>
              </w:numPr>
              <w:rPr>
                <w:rFonts w:ascii="Roboto Light" w:hAnsi="Roboto Light"/>
                <w:lang w:val="en-AU"/>
              </w:rPr>
            </w:pPr>
            <w:r w:rsidRPr="00091600">
              <w:rPr>
                <w:rFonts w:ascii="Roboto Light" w:hAnsi="Roboto Light"/>
                <w:lang w:val="en-AU"/>
              </w:rPr>
              <w:t>they operate according to principles of meritocracy and inclusion;</w:t>
            </w:r>
          </w:p>
          <w:p w:rsidR="000F4B57" w:rsidRPr="00091600" w:rsidRDefault="000F4B57" w:rsidP="00013D3C">
            <w:pPr>
              <w:pStyle w:val="Boxtext"/>
              <w:numPr>
                <w:ilvl w:val="0"/>
                <w:numId w:val="46"/>
              </w:numPr>
              <w:rPr>
                <w:rFonts w:ascii="Roboto Light" w:hAnsi="Roboto Light"/>
                <w:lang w:val="en-AU"/>
              </w:rPr>
            </w:pPr>
            <w:r w:rsidRPr="00091600">
              <w:rPr>
                <w:rFonts w:ascii="Roboto Light" w:hAnsi="Roboto Light"/>
                <w:lang w:val="en-AU"/>
              </w:rPr>
              <w:t>they teach a broad curriculum through interactive and student-focused pedagogies: most developmental leaders hold degrees in the arts, humanities and social sciences; </w:t>
            </w:r>
          </w:p>
          <w:p w:rsidR="000F4B57" w:rsidRPr="00091600" w:rsidRDefault="000F4B57" w:rsidP="00013D3C">
            <w:pPr>
              <w:pStyle w:val="Boxtext"/>
              <w:numPr>
                <w:ilvl w:val="0"/>
                <w:numId w:val="46"/>
              </w:numPr>
              <w:rPr>
                <w:rFonts w:ascii="Roboto Light" w:hAnsi="Roboto Light"/>
                <w:lang w:val="en-AU"/>
              </w:rPr>
            </w:pPr>
            <w:r w:rsidRPr="00091600">
              <w:rPr>
                <w:rFonts w:ascii="Roboto Light" w:hAnsi="Roboto Light"/>
                <w:lang w:val="en-AU"/>
              </w:rPr>
              <w:t>they promote opportunities for leadership training and practice through extracurricular activities (such as community work, political science societies, student councils and student newspapers);</w:t>
            </w:r>
          </w:p>
          <w:p w:rsidR="000F4B57" w:rsidRPr="00091600" w:rsidRDefault="000F4B57" w:rsidP="00013D3C">
            <w:pPr>
              <w:pStyle w:val="Boxtext"/>
              <w:numPr>
                <w:ilvl w:val="0"/>
                <w:numId w:val="46"/>
              </w:numPr>
              <w:rPr>
                <w:rFonts w:ascii="Roboto Light" w:hAnsi="Roboto Light"/>
                <w:lang w:val="en-AU"/>
              </w:rPr>
            </w:pPr>
            <w:r w:rsidRPr="00091600">
              <w:rPr>
                <w:rFonts w:ascii="Roboto Light" w:hAnsi="Roboto Light"/>
                <w:lang w:val="en-AU"/>
              </w:rPr>
              <w:t>they provide role models and a new social environment and peer group, mentorship and shared living experiences; </w:t>
            </w:r>
          </w:p>
          <w:p w:rsidR="000F4B57" w:rsidRPr="00091600" w:rsidRDefault="000F4B57" w:rsidP="00013D3C">
            <w:pPr>
              <w:pStyle w:val="Boxtext"/>
              <w:numPr>
                <w:ilvl w:val="0"/>
                <w:numId w:val="46"/>
              </w:numPr>
              <w:rPr>
                <w:rFonts w:ascii="Roboto Light" w:hAnsi="Roboto Light"/>
                <w:lang w:val="en-AU"/>
              </w:rPr>
            </w:pPr>
            <w:r w:rsidRPr="00091600">
              <w:rPr>
                <w:rFonts w:ascii="Roboto Light" w:hAnsi="Roboto Light"/>
                <w:lang w:val="en-AU"/>
              </w:rPr>
              <w:t>they model an environment of good governance in their leadership and governance structures;</w:t>
            </w:r>
          </w:p>
          <w:p w:rsidR="000F4B57" w:rsidRPr="00091600" w:rsidRDefault="000F4B57" w:rsidP="00013D3C">
            <w:pPr>
              <w:pStyle w:val="Boxtext"/>
              <w:numPr>
                <w:ilvl w:val="0"/>
                <w:numId w:val="46"/>
              </w:numPr>
              <w:rPr>
                <w:rFonts w:ascii="Roboto Light" w:hAnsi="Roboto Light"/>
                <w:lang w:val="en-AU"/>
              </w:rPr>
            </w:pPr>
            <w:r w:rsidRPr="00091600">
              <w:rPr>
                <w:rFonts w:ascii="Roboto Light" w:hAnsi="Roboto Light"/>
                <w:lang w:val="en-AU"/>
              </w:rPr>
              <w:t>they encourage the creation of heterogeneous networks by encouraging social, religious, ethnic and economic mixing as well as providing scholarships to study abroad.’</w:t>
            </w:r>
          </w:p>
          <w:p w:rsidR="000F4B57" w:rsidRPr="00091600" w:rsidRDefault="000F4B57" w:rsidP="00013D3C">
            <w:pPr>
              <w:pStyle w:val="Boxtext"/>
              <w:rPr>
                <w:rFonts w:ascii="Roboto Light" w:hAnsi="Roboto Light"/>
                <w:lang w:val="en-AU"/>
              </w:rPr>
            </w:pPr>
            <w:r w:rsidRPr="00091600">
              <w:rPr>
                <w:rFonts w:ascii="Roboto Light" w:hAnsi="Roboto Light"/>
                <w:lang w:val="en-AU"/>
              </w:rPr>
              <w:t xml:space="preserve">World Bank and International Monetary Fund studies have shown that when public servants are recruited based on merit (such as their educational achievements), the performance of the public service improves. Merit-based recruitment and predictable, rewarding career ladders improve public servants’ capability and performance. The implication for the Precinct is that the SBPP project has to be complemented with public service initiatives, so that SBPP students who have received a higher quality education may be able to join the </w:t>
            </w:r>
            <w:r w:rsidR="00E87298">
              <w:rPr>
                <w:rFonts w:ascii="Roboto Light" w:hAnsi="Roboto Light"/>
                <w:lang w:val="en-AU"/>
              </w:rPr>
              <w:t>PNG Government</w:t>
            </w:r>
            <w:r w:rsidRPr="00091600">
              <w:rPr>
                <w:rFonts w:ascii="Roboto Light" w:hAnsi="Roboto Light"/>
                <w:lang w:val="en-AU"/>
              </w:rPr>
              <w:t xml:space="preserve"> public service. Without merit-based recruitment and promotion, they (and other well-qualified PNG students) may not be selected to join the public service, nor will they be incentivised to do so. </w:t>
            </w:r>
          </w:p>
          <w:p w:rsidR="000F4B57" w:rsidRPr="006C6DBE" w:rsidRDefault="000F4B57" w:rsidP="006C6DBE">
            <w:pPr>
              <w:spacing w:after="0" w:line="240" w:lineRule="auto"/>
              <w:rPr>
                <w:rFonts w:ascii="Roboto" w:hAnsi="Roboto" w:cstheme="minorHAnsi"/>
                <w:color w:val="000000" w:themeColor="text1"/>
                <w:sz w:val="18"/>
                <w:szCs w:val="20"/>
                <w:lang w:val="en-AU"/>
              </w:rPr>
            </w:pPr>
            <w:r w:rsidRPr="006C6DBE">
              <w:rPr>
                <w:rFonts w:ascii="Roboto" w:hAnsi="Roboto" w:cstheme="minorHAnsi"/>
                <w:color w:val="000000" w:themeColor="text1"/>
                <w:sz w:val="18"/>
                <w:szCs w:val="20"/>
                <w:lang w:val="en-AU"/>
              </w:rPr>
              <w:t>Sources</w:t>
            </w:r>
          </w:p>
          <w:p w:rsidR="000F4B57" w:rsidRPr="00091600" w:rsidRDefault="000F4B57" w:rsidP="00013D3C">
            <w:pPr>
              <w:pStyle w:val="Boxtext"/>
              <w:rPr>
                <w:rFonts w:ascii="Roboto Light" w:hAnsi="Roboto Light"/>
                <w:sz w:val="18"/>
                <w:lang w:val="en-AU"/>
              </w:rPr>
            </w:pPr>
            <w:r w:rsidRPr="00091600">
              <w:rPr>
                <w:rFonts w:ascii="Roboto Light" w:hAnsi="Roboto Light"/>
                <w:sz w:val="18"/>
                <w:lang w:val="en-AU"/>
              </w:rPr>
              <w:t xml:space="preserve">J. Anderson, G. Reid, and R. Ryterman (2003) Understanding public sector performance in transition countries: An empirical contribution, World Bank, Washington DC. </w:t>
            </w:r>
          </w:p>
          <w:p w:rsidR="000F4B57" w:rsidRPr="00091600" w:rsidRDefault="000F4B57" w:rsidP="00013D3C">
            <w:pPr>
              <w:pStyle w:val="Boxtext"/>
              <w:rPr>
                <w:rFonts w:ascii="Roboto Light" w:hAnsi="Roboto Light"/>
                <w:sz w:val="18"/>
                <w:lang w:val="en-AU"/>
              </w:rPr>
            </w:pPr>
            <w:r w:rsidRPr="00091600">
              <w:rPr>
                <w:rFonts w:ascii="Roboto Light" w:hAnsi="Roboto Light"/>
                <w:sz w:val="18"/>
                <w:lang w:val="en-AU"/>
              </w:rPr>
              <w:t>R. Arezki, H. Lui, M. Quintyn, and F. Toscani (2012) ‘Education attainment in public administration around the world: Evidence from a new dataset’, IMF Working Paper 12/231, International Monetary Fund, Washington DC.</w:t>
            </w:r>
          </w:p>
          <w:p w:rsidR="000F4B57" w:rsidRPr="00091600" w:rsidRDefault="000F4B57" w:rsidP="00013D3C">
            <w:pPr>
              <w:pStyle w:val="Boxtext"/>
              <w:rPr>
                <w:rFonts w:ascii="Roboto Light" w:hAnsi="Roboto Light"/>
                <w:sz w:val="18"/>
                <w:lang w:val="en-AU"/>
              </w:rPr>
            </w:pPr>
            <w:r w:rsidRPr="00091600">
              <w:rPr>
                <w:rFonts w:ascii="Roboto Light" w:hAnsi="Roboto Light"/>
                <w:sz w:val="18"/>
                <w:lang w:val="en-AU"/>
              </w:rPr>
              <w:t xml:space="preserve">R. Arezki and M. Quintyn (2013) ‘Degrees of development’, Finance and Development 50(1). </w:t>
            </w:r>
          </w:p>
          <w:p w:rsidR="000F4B57" w:rsidRPr="00091600" w:rsidRDefault="000F4B57" w:rsidP="00013D3C">
            <w:pPr>
              <w:pStyle w:val="Boxtext"/>
              <w:rPr>
                <w:rFonts w:ascii="Roboto Light" w:hAnsi="Roboto Light"/>
                <w:sz w:val="22"/>
                <w:lang w:val="en-AU"/>
              </w:rPr>
            </w:pPr>
            <w:r w:rsidRPr="00091600">
              <w:rPr>
                <w:rFonts w:ascii="Roboto Light" w:hAnsi="Roboto Light"/>
                <w:sz w:val="18"/>
                <w:lang w:val="en-AU"/>
              </w:rPr>
              <w:t>G. Fontana (2017) ‘The impact of higher education on developmental leadership and on good governance’, K4D Helpdesk Report, Institute of Development Studies, Brighton.</w:t>
            </w:r>
          </w:p>
        </w:tc>
      </w:tr>
    </w:tbl>
    <w:p w:rsidR="000F4B57" w:rsidRPr="00091600" w:rsidRDefault="000F4B57" w:rsidP="000F4B57">
      <w:pPr>
        <w:pStyle w:val="BodyText"/>
        <w:rPr>
          <w:lang w:val="en-AU"/>
        </w:rPr>
      </w:pPr>
    </w:p>
    <w:p w:rsidR="000F4B57" w:rsidRPr="00091600" w:rsidRDefault="000F4B57" w:rsidP="000F4B57">
      <w:pPr>
        <w:rPr>
          <w:rFonts w:ascii="Roboto Light" w:hAnsi="Roboto Light" w:cs="Poppins"/>
          <w:b/>
          <w:bCs/>
          <w:color w:val="0B1F51"/>
          <w:kern w:val="32"/>
          <w:sz w:val="28"/>
          <w:szCs w:val="28"/>
          <w:lang w:val="en-AU"/>
        </w:rPr>
      </w:pPr>
      <w:bookmarkStart w:id="60" w:name="_Toc523866155"/>
      <w:r w:rsidRPr="00091600">
        <w:rPr>
          <w:rFonts w:ascii="Roboto Light" w:hAnsi="Roboto Light"/>
          <w:lang w:val="en-AU"/>
        </w:rPr>
        <w:br w:type="page"/>
      </w:r>
    </w:p>
    <w:p w:rsidR="000F4B57" w:rsidRPr="00091600" w:rsidRDefault="000F4B57" w:rsidP="006A2786">
      <w:pPr>
        <w:pStyle w:val="Heading2NONUM"/>
        <w:rPr>
          <w:rFonts w:eastAsiaTheme="minorHAnsi"/>
          <w:lang w:val="en-AU"/>
        </w:rPr>
      </w:pPr>
      <w:bookmarkStart w:id="61" w:name="_Toc536719910"/>
      <w:bookmarkStart w:id="62" w:name="_Toc2091550"/>
      <w:r w:rsidRPr="00091600">
        <w:rPr>
          <w:rFonts w:eastAsiaTheme="minorHAnsi"/>
          <w:lang w:val="en-AU"/>
        </w:rPr>
        <w:t xml:space="preserve">2.2 </w:t>
      </w:r>
      <w:r w:rsidR="008F2C89">
        <w:rPr>
          <w:rFonts w:eastAsiaTheme="minorHAnsi"/>
          <w:lang w:val="en-AU"/>
        </w:rPr>
        <w:t xml:space="preserve">     </w:t>
      </w:r>
      <w:r w:rsidRPr="00091600">
        <w:rPr>
          <w:rFonts w:eastAsiaTheme="minorHAnsi"/>
          <w:lang w:val="en-AU"/>
        </w:rPr>
        <w:t xml:space="preserve">Pacific </w:t>
      </w:r>
      <w:r w:rsidRPr="006A2786">
        <w:rPr>
          <w:rFonts w:eastAsiaTheme="minorHAnsi"/>
        </w:rPr>
        <w:t>Institute</w:t>
      </w:r>
      <w:r w:rsidRPr="00091600">
        <w:rPr>
          <w:rFonts w:eastAsiaTheme="minorHAnsi"/>
          <w:lang w:val="en-AU"/>
        </w:rPr>
        <w:t xml:space="preserve"> for Leadership and Governance</w:t>
      </w:r>
      <w:bookmarkEnd w:id="61"/>
      <w:bookmarkEnd w:id="62"/>
    </w:p>
    <w:tbl>
      <w:tblPr>
        <w:tblStyle w:val="OPMBoxstyle"/>
        <w:tblW w:w="5000" w:type="pct"/>
        <w:tblLook w:val="04A0" w:firstRow="1" w:lastRow="0" w:firstColumn="1" w:lastColumn="0" w:noHBand="0" w:noVBand="1"/>
        <w:tblCaption w:val="Key Review Questions"/>
        <w:tblDescription w:val="• What is working and what are the challenges facing PILAG (and identify the potential support needed) to establish itself in the medium to longer term as a quality tertiary institution, having regard to the PNG National Qualifications Framework, the Higher and Technical Education Strategic Implementation Plan (2017–38), the roadmap to achieve the aims of the Higher and Technical Education Sector, and the Twelve Standards for Quality Assurance?&#10;• What are the key achievements for each pillar of the Precinct? Are these consistent with expectations at this stage in the investment? (Are we on track?)&#10;• What are the strengths in the Precinct approaches?&#10;• What are the challenges facing the Precinct approaches, and what strategies can be suggested to overcome these challenges?&#10;• What are the lessons that can be applied to Precinct activities? Are there relevant lessons from other international situations?&#10;• Are there more general lessons for other future GoA investments in culturally competent higher education and ethical leadership?&#10;"/>
      </w:tblPr>
      <w:tblGrid>
        <w:gridCol w:w="9730"/>
      </w:tblGrid>
      <w:tr w:rsidR="00090707" w:rsidRPr="00091600" w:rsidTr="00CE4AA6">
        <w:trPr>
          <w:cnfStyle w:val="100000000000" w:firstRow="1" w:lastRow="0" w:firstColumn="0" w:lastColumn="0" w:oddVBand="0" w:evenVBand="0" w:oddHBand="0" w:evenHBand="0" w:firstRowFirstColumn="0" w:firstRowLastColumn="0" w:lastRowFirstColumn="0" w:lastRowLastColumn="0"/>
          <w:trHeight w:val="413"/>
          <w:tblHeader/>
        </w:trPr>
        <w:tc>
          <w:tcPr>
            <w:tcW w:w="0" w:type="pct"/>
          </w:tcPr>
          <w:p w:rsidR="00090707" w:rsidRPr="006A2786" w:rsidRDefault="00090707" w:rsidP="008E1745">
            <w:pPr>
              <w:pStyle w:val="Questions"/>
            </w:pPr>
            <w:r w:rsidRPr="006A2786">
              <w:t>Key Review Questions</w:t>
            </w:r>
          </w:p>
        </w:tc>
      </w:tr>
      <w:bookmarkEnd w:id="60"/>
      <w:tr w:rsidR="000F4B57" w:rsidRPr="00091600" w:rsidTr="00C159F6">
        <w:trPr>
          <w:trHeight w:val="3591"/>
        </w:trPr>
        <w:tc>
          <w:tcPr>
            <w:tcW w:w="5000" w:type="pct"/>
          </w:tcPr>
          <w:p w:rsidR="000F4B57" w:rsidRPr="006C6DBE" w:rsidRDefault="000F4B57" w:rsidP="00013D3C">
            <w:pPr>
              <w:pStyle w:val="BodyText"/>
              <w:numPr>
                <w:ilvl w:val="0"/>
                <w:numId w:val="29"/>
              </w:numPr>
              <w:spacing w:before="120" w:after="120"/>
              <w:rPr>
                <w:rFonts w:eastAsia="Helvetica" w:cs="Poppins"/>
                <w:color w:val="0B1F51"/>
                <w:sz w:val="20"/>
                <w:lang w:val="en-AU"/>
              </w:rPr>
            </w:pPr>
            <w:r w:rsidRPr="006C6DBE">
              <w:rPr>
                <w:sz w:val="20"/>
                <w:lang w:val="en-AU"/>
              </w:rPr>
              <w:t xml:space="preserve">What is working and what are the challenges facing PILAG (and identify the potential support needed) to establish itself in the medium to longer term as a quality tertiary institution, having regard to the </w:t>
            </w:r>
            <w:r w:rsidRPr="006C6DBE">
              <w:rPr>
                <w:iCs/>
                <w:sz w:val="20"/>
                <w:lang w:val="en-AU"/>
              </w:rPr>
              <w:t>PNG National Qualifications Framework</w:t>
            </w:r>
            <w:r w:rsidRPr="006C6DBE">
              <w:rPr>
                <w:sz w:val="20"/>
                <w:lang w:val="en-AU"/>
              </w:rPr>
              <w:t xml:space="preserve">, the </w:t>
            </w:r>
            <w:r w:rsidRPr="006C6DBE">
              <w:rPr>
                <w:iCs/>
                <w:sz w:val="20"/>
                <w:lang w:val="en-AU"/>
              </w:rPr>
              <w:t>Higher and Technical Education Strategic Implementation Plan (2017–38)</w:t>
            </w:r>
            <w:r w:rsidRPr="006C6DBE">
              <w:rPr>
                <w:sz w:val="20"/>
                <w:lang w:val="en-AU"/>
              </w:rPr>
              <w:t xml:space="preserve">, the roadmap to achieve the aims of the Higher and Technical Education Sector, and the </w:t>
            </w:r>
            <w:r w:rsidRPr="006C6DBE">
              <w:rPr>
                <w:iCs/>
                <w:sz w:val="20"/>
                <w:lang w:val="en-AU"/>
              </w:rPr>
              <w:t>Twelve Standards for Quality Assurance</w:t>
            </w:r>
            <w:r w:rsidRPr="006C6DBE">
              <w:rPr>
                <w:sz w:val="20"/>
                <w:lang w:val="en-AU"/>
              </w:rPr>
              <w:t>?</w:t>
            </w:r>
          </w:p>
          <w:p w:rsidR="000F4B57" w:rsidRPr="006C6DBE" w:rsidRDefault="000F4B57" w:rsidP="00013D3C">
            <w:pPr>
              <w:pStyle w:val="BodyText"/>
              <w:numPr>
                <w:ilvl w:val="0"/>
                <w:numId w:val="29"/>
              </w:numPr>
              <w:spacing w:before="120" w:after="120"/>
              <w:rPr>
                <w:rFonts w:eastAsia="Helvetica" w:cs="Poppins"/>
                <w:color w:val="0B1F51"/>
                <w:sz w:val="20"/>
                <w:lang w:val="en-AU"/>
              </w:rPr>
            </w:pPr>
            <w:r w:rsidRPr="006C6DBE">
              <w:rPr>
                <w:sz w:val="20"/>
                <w:lang w:val="en-AU"/>
              </w:rPr>
              <w:t>What are the key achievements for each pillar of the Precinct? Are these consistent with expectations at this stage in the investment? (Are we on track?)</w:t>
            </w:r>
          </w:p>
          <w:p w:rsidR="000F4B57" w:rsidRPr="006C6DBE" w:rsidRDefault="000F4B57" w:rsidP="00013D3C">
            <w:pPr>
              <w:pStyle w:val="BodyText"/>
              <w:numPr>
                <w:ilvl w:val="0"/>
                <w:numId w:val="29"/>
              </w:numPr>
              <w:spacing w:before="120" w:after="120"/>
              <w:rPr>
                <w:sz w:val="20"/>
                <w:lang w:val="en-AU"/>
              </w:rPr>
            </w:pPr>
            <w:r w:rsidRPr="006C6DBE">
              <w:rPr>
                <w:sz w:val="20"/>
                <w:lang w:val="en-AU"/>
              </w:rPr>
              <w:t>What are the strengths in the Precinct approaches?</w:t>
            </w:r>
          </w:p>
          <w:p w:rsidR="000F4B57" w:rsidRPr="006C6DBE" w:rsidRDefault="000F4B57" w:rsidP="00013D3C">
            <w:pPr>
              <w:pStyle w:val="BodyText"/>
              <w:numPr>
                <w:ilvl w:val="0"/>
                <w:numId w:val="29"/>
              </w:numPr>
              <w:spacing w:before="120" w:after="120"/>
              <w:rPr>
                <w:sz w:val="20"/>
                <w:lang w:val="en-AU"/>
              </w:rPr>
            </w:pPr>
            <w:r w:rsidRPr="006C6DBE">
              <w:rPr>
                <w:sz w:val="20"/>
                <w:lang w:val="en-AU"/>
              </w:rPr>
              <w:t>What are the challenges facing the Precinct approaches, and what strategies can be suggested to overcome these challenges?</w:t>
            </w:r>
          </w:p>
          <w:p w:rsidR="000F4B57" w:rsidRPr="006C6DBE" w:rsidRDefault="000F4B57" w:rsidP="00013D3C">
            <w:pPr>
              <w:pStyle w:val="BodyText"/>
              <w:numPr>
                <w:ilvl w:val="0"/>
                <w:numId w:val="29"/>
              </w:numPr>
              <w:spacing w:before="120" w:after="120"/>
              <w:rPr>
                <w:sz w:val="20"/>
                <w:lang w:val="en-AU"/>
              </w:rPr>
            </w:pPr>
            <w:r w:rsidRPr="006C6DBE">
              <w:rPr>
                <w:sz w:val="20"/>
                <w:lang w:val="en-AU"/>
              </w:rPr>
              <w:t>What are the lessons that can be applied to Precinct activities? Are there relevant lessons from other international situations?</w:t>
            </w:r>
          </w:p>
          <w:p w:rsidR="000F4B57" w:rsidRPr="00091600" w:rsidRDefault="000F4B57" w:rsidP="00013D3C">
            <w:pPr>
              <w:pStyle w:val="BodyText"/>
              <w:numPr>
                <w:ilvl w:val="0"/>
                <w:numId w:val="29"/>
              </w:numPr>
              <w:spacing w:before="120" w:after="120"/>
              <w:rPr>
                <w:rStyle w:val="Heading3Char"/>
                <w:rFonts w:ascii="Roboto Light" w:eastAsiaTheme="minorEastAsia" w:hAnsi="Roboto Light"/>
                <w:b w:val="0"/>
                <w:color w:val="auto"/>
                <w:sz w:val="22"/>
                <w:lang w:val="en-AU"/>
              </w:rPr>
            </w:pPr>
            <w:r w:rsidRPr="006C6DBE">
              <w:rPr>
                <w:sz w:val="20"/>
                <w:lang w:val="en-AU"/>
              </w:rPr>
              <w:t>Are there more general lessons for other future GoA investments in culturally competent higher education and ethical leadership?</w:t>
            </w:r>
          </w:p>
        </w:tc>
      </w:tr>
    </w:tbl>
    <w:p w:rsidR="000F4B57" w:rsidRPr="00091600" w:rsidRDefault="000F4B57" w:rsidP="006A2786">
      <w:pPr>
        <w:pStyle w:val="Heading4"/>
        <w:rPr>
          <w:lang w:val="en-AU"/>
        </w:rPr>
      </w:pPr>
      <w:r w:rsidRPr="00091600">
        <w:rPr>
          <w:lang w:val="en-AU"/>
        </w:rPr>
        <w:t xml:space="preserve">Project </w:t>
      </w:r>
      <w:r w:rsidRPr="006A2786">
        <w:t>logic</w:t>
      </w:r>
    </w:p>
    <w:p w:rsidR="000F4B57" w:rsidRPr="00091600" w:rsidRDefault="000F4B57" w:rsidP="000F4B57">
      <w:pPr>
        <w:pStyle w:val="BodyText"/>
        <w:rPr>
          <w:lang w:val="en-AU"/>
        </w:rPr>
      </w:pPr>
      <w:r w:rsidRPr="00091600">
        <w:rPr>
          <w:lang w:val="en-AU"/>
        </w:rPr>
        <w:t>The focus of this project was the transformation of the historical PNG IPA</w:t>
      </w:r>
      <w:r w:rsidR="00D9466D">
        <w:rPr>
          <w:lang w:val="en-AU"/>
        </w:rPr>
        <w:t xml:space="preserve"> (</w:t>
      </w:r>
      <w:r w:rsidRPr="00091600">
        <w:rPr>
          <w:lang w:val="en-AU"/>
        </w:rPr>
        <w:t>now PILAG</w:t>
      </w:r>
      <w:r w:rsidR="00D9466D">
        <w:rPr>
          <w:lang w:val="en-AU"/>
        </w:rPr>
        <w:t>)</w:t>
      </w:r>
      <w:r w:rsidRPr="00091600">
        <w:rPr>
          <w:lang w:val="en-AU"/>
        </w:rPr>
        <w:t xml:space="preserve"> into a strengthened PNG School of Government. Since its creation in 1963, PNG IPA was PNG’s preference for the vocational training of public servants</w:t>
      </w:r>
      <w:r w:rsidR="00D9466D">
        <w:rPr>
          <w:lang w:val="en-AU"/>
        </w:rPr>
        <w:t xml:space="preserve">. It was </w:t>
      </w:r>
      <w:r w:rsidRPr="00091600">
        <w:rPr>
          <w:lang w:val="en-AU"/>
        </w:rPr>
        <w:t xml:space="preserve">a government organisation reporting to DPM (which </w:t>
      </w:r>
      <w:r w:rsidR="00BF0ACE" w:rsidRPr="00091600">
        <w:rPr>
          <w:lang w:val="en-AU"/>
        </w:rPr>
        <w:t>chair</w:t>
      </w:r>
      <w:r w:rsidR="00AA2645" w:rsidRPr="00091600">
        <w:rPr>
          <w:lang w:val="en-AU"/>
        </w:rPr>
        <w:t>ed</w:t>
      </w:r>
      <w:r w:rsidRPr="00091600">
        <w:rPr>
          <w:lang w:val="en-AU"/>
        </w:rPr>
        <w:t xml:space="preserve"> its </w:t>
      </w:r>
      <w:r w:rsidR="00AA2645" w:rsidRPr="00091600">
        <w:rPr>
          <w:lang w:val="en-AU"/>
        </w:rPr>
        <w:t>b</w:t>
      </w:r>
      <w:r w:rsidR="00072C8C" w:rsidRPr="00091600">
        <w:rPr>
          <w:lang w:val="en-AU"/>
        </w:rPr>
        <w:t>oard</w:t>
      </w:r>
      <w:r w:rsidRPr="00091600">
        <w:rPr>
          <w:lang w:val="en-AU"/>
        </w:rPr>
        <w:t>), and to which government departments could send their staff using their training budgets.</w:t>
      </w:r>
    </w:p>
    <w:p w:rsidR="000F4B57" w:rsidRPr="00091600" w:rsidRDefault="000F4B57" w:rsidP="000F4B57">
      <w:pPr>
        <w:pStyle w:val="BodyText"/>
        <w:rPr>
          <w:lang w:val="en-AU"/>
        </w:rPr>
      </w:pPr>
      <w:r w:rsidRPr="00091600">
        <w:rPr>
          <w:lang w:val="en-AU"/>
        </w:rPr>
        <w:t xml:space="preserve">However, between 2012 and 2014, the </w:t>
      </w:r>
      <w:r w:rsidR="009F5553" w:rsidRPr="00091600">
        <w:rPr>
          <w:lang w:val="en-AU"/>
        </w:rPr>
        <w:t>i</w:t>
      </w:r>
      <w:r w:rsidR="00F1188E" w:rsidRPr="00091600">
        <w:rPr>
          <w:lang w:val="en-AU"/>
        </w:rPr>
        <w:t>nstitute</w:t>
      </w:r>
      <w:r w:rsidRPr="00091600">
        <w:rPr>
          <w:lang w:val="en-AU"/>
        </w:rPr>
        <w:t xml:space="preserve"> was unable to perform its duties (despite </w:t>
      </w:r>
      <w:r w:rsidR="00BF0ACE" w:rsidRPr="00091600">
        <w:rPr>
          <w:lang w:val="en-AU"/>
        </w:rPr>
        <w:t>benefit</w:t>
      </w:r>
      <w:r w:rsidR="00AA2645" w:rsidRPr="00091600">
        <w:rPr>
          <w:lang w:val="en-AU"/>
        </w:rPr>
        <w:t>ing</w:t>
      </w:r>
      <w:r w:rsidRPr="00091600">
        <w:rPr>
          <w:lang w:val="en-AU"/>
        </w:rPr>
        <w:t xml:space="preserve"> from the Australian PSWFDI/P). The decline in both the quality and quantity of staff was evident, as was the decline in </w:t>
      </w:r>
      <w:r w:rsidR="00F1188E" w:rsidRPr="00091600">
        <w:rPr>
          <w:lang w:val="en-AU"/>
        </w:rPr>
        <w:t>student</w:t>
      </w:r>
      <w:r w:rsidRPr="00091600">
        <w:rPr>
          <w:lang w:val="en-AU"/>
        </w:rPr>
        <w:t xml:space="preserve"> support services, infrastructure, library, ICT, and financial </w:t>
      </w:r>
      <w:r w:rsidR="005D401E" w:rsidRPr="00091600">
        <w:rPr>
          <w:lang w:val="en-AU"/>
        </w:rPr>
        <w:t>records</w:t>
      </w:r>
      <w:r w:rsidRPr="00091600">
        <w:rPr>
          <w:lang w:val="en-AU"/>
        </w:rPr>
        <w:t>.</w:t>
      </w:r>
      <w:r w:rsidRPr="00091600">
        <w:rPr>
          <w:rStyle w:val="FootnoteReference"/>
          <w:lang w:val="en-AU"/>
        </w:rPr>
        <w:footnoteReference w:id="23"/>
      </w:r>
      <w:r w:rsidRPr="00091600">
        <w:rPr>
          <w:lang w:val="en-AU"/>
        </w:rPr>
        <w:t xml:space="preserve"> The Precinct design recognised the need for deep organisational change to return it into a high-quality organisation. It was always clear that the process was ambitious. It would require time and technical assistance to make it happen.</w:t>
      </w:r>
      <w:r w:rsidRPr="00091600">
        <w:rPr>
          <w:rStyle w:val="FootnoteReference"/>
          <w:lang w:val="en-AU"/>
        </w:rPr>
        <w:footnoteReference w:id="24"/>
      </w:r>
    </w:p>
    <w:p w:rsidR="000F4B57" w:rsidRPr="00D667F3" w:rsidRDefault="000F4B57" w:rsidP="000F4B57">
      <w:pPr>
        <w:pStyle w:val="BodyText"/>
        <w:rPr>
          <w:lang w:val="en-AU"/>
        </w:rPr>
      </w:pPr>
      <w:r w:rsidRPr="00091600">
        <w:rPr>
          <w:lang w:val="en-AU"/>
        </w:rPr>
        <w:t>In addition to PILAG, this section also reviews UQ training for public servants to bring together</w:t>
      </w:r>
      <w:r w:rsidR="00AA2645" w:rsidRPr="00091600">
        <w:rPr>
          <w:lang w:val="en-AU"/>
        </w:rPr>
        <w:t xml:space="preserve"> </w:t>
      </w:r>
      <w:r w:rsidRPr="00091600">
        <w:rPr>
          <w:lang w:val="en-AU"/>
        </w:rPr>
        <w:t xml:space="preserve">our analysis of the Precinct public servants’ training in one place. UQ activities are distinct from the </w:t>
      </w:r>
      <w:r w:rsidRPr="00D667F3">
        <w:rPr>
          <w:lang w:val="en-AU"/>
        </w:rPr>
        <w:t>PILAG project, but do not clearly sit within one Precinct component.</w:t>
      </w:r>
      <w:r w:rsidRPr="00D667F3">
        <w:rPr>
          <w:rStyle w:val="FootnoteReference"/>
          <w:lang w:val="en-AU"/>
        </w:rPr>
        <w:footnoteReference w:id="25"/>
      </w:r>
    </w:p>
    <w:p w:rsidR="000F4B57" w:rsidRPr="00D667F3" w:rsidRDefault="000F4B57" w:rsidP="000F4B57">
      <w:pPr>
        <w:pStyle w:val="BodyText"/>
        <w:rPr>
          <w:color w:val="000000" w:themeColor="text1"/>
          <w:lang w:val="en-AU"/>
        </w:rPr>
      </w:pPr>
      <w:r w:rsidRPr="00D667F3">
        <w:rPr>
          <w:lang w:val="en-AU"/>
        </w:rPr>
        <w:t xml:space="preserve">The main assumption </w:t>
      </w:r>
      <w:r w:rsidR="00B57D55" w:rsidRPr="001422B3">
        <w:rPr>
          <w:lang w:val="en-AU"/>
        </w:rPr>
        <w:t>i</w:t>
      </w:r>
      <w:r w:rsidR="007E36DA" w:rsidRPr="00D667F3">
        <w:rPr>
          <w:lang w:val="en-AU"/>
        </w:rPr>
        <w:t xml:space="preserve">s </w:t>
      </w:r>
      <w:r w:rsidRPr="00D667F3">
        <w:rPr>
          <w:lang w:val="en-AU"/>
        </w:rPr>
        <w:t>that training public servants</w:t>
      </w:r>
      <w:r w:rsidRPr="00091600">
        <w:rPr>
          <w:lang w:val="en-AU"/>
        </w:rPr>
        <w:t xml:space="preserve"> (including through PILAG and UQ courses) would improve both their ethics and their capability over the medium</w:t>
      </w:r>
      <w:r w:rsidR="00B57D55">
        <w:rPr>
          <w:lang w:val="en-AU"/>
        </w:rPr>
        <w:t>-</w:t>
      </w:r>
      <w:r w:rsidRPr="00091600">
        <w:rPr>
          <w:lang w:val="en-AU"/>
        </w:rPr>
        <w:t xml:space="preserve">term. This would in turn contribute to improved public service performance (in terms of service delivery and economic development). Building PILAG’s institutional </w:t>
      </w:r>
      <w:r w:rsidRPr="00091600">
        <w:rPr>
          <w:color w:val="000000" w:themeColor="text1"/>
          <w:lang w:val="en-AU"/>
        </w:rPr>
        <w:t>capacity and physical infrastructure are seen as necessary complementary interventions. Three implicit assumptions are that</w:t>
      </w:r>
      <w:r w:rsidR="00B57D55">
        <w:rPr>
          <w:color w:val="000000" w:themeColor="text1"/>
          <w:lang w:val="en-AU"/>
        </w:rPr>
        <w:t>:</w:t>
      </w:r>
      <w:r w:rsidRPr="00091600">
        <w:rPr>
          <w:color w:val="000000" w:themeColor="text1"/>
          <w:lang w:val="en-AU"/>
        </w:rPr>
        <w:t xml:space="preserve"> the PNG public service requires a dedicated training institute (PILAG</w:t>
      </w:r>
      <w:r w:rsidR="00593859" w:rsidRPr="00091600">
        <w:rPr>
          <w:color w:val="000000" w:themeColor="text1"/>
          <w:lang w:val="en-AU"/>
        </w:rPr>
        <w:t>)</w:t>
      </w:r>
      <w:r w:rsidR="00AA2645" w:rsidRPr="00091600">
        <w:rPr>
          <w:color w:val="000000" w:themeColor="text1"/>
          <w:lang w:val="en-AU"/>
        </w:rPr>
        <w:t>;</w:t>
      </w:r>
      <w:r w:rsidRPr="00091600">
        <w:rPr>
          <w:color w:val="000000" w:themeColor="text1"/>
          <w:lang w:val="en-AU"/>
        </w:rPr>
        <w:t xml:space="preserve"> that it </w:t>
      </w:r>
      <w:r w:rsidR="00AA2645" w:rsidRPr="00091600">
        <w:rPr>
          <w:color w:val="000000" w:themeColor="text1"/>
          <w:lang w:val="en-AU"/>
        </w:rPr>
        <w:t>requires</w:t>
      </w:r>
      <w:r w:rsidRPr="00091600">
        <w:rPr>
          <w:color w:val="000000" w:themeColor="text1"/>
          <w:lang w:val="en-AU"/>
        </w:rPr>
        <w:t xml:space="preserve"> additional high-quality courses (through UQ); and that</w:t>
      </w:r>
      <w:r w:rsidR="00D36E3A" w:rsidRPr="00091600">
        <w:rPr>
          <w:color w:val="000000" w:themeColor="text1"/>
          <w:lang w:val="en-AU"/>
        </w:rPr>
        <w:t xml:space="preserve"> </w:t>
      </w:r>
      <w:r w:rsidRPr="00091600">
        <w:rPr>
          <w:color w:val="000000" w:themeColor="text1"/>
          <w:lang w:val="en-AU"/>
        </w:rPr>
        <w:t xml:space="preserve">the project should not aim to address the other barriers that </w:t>
      </w:r>
      <w:r w:rsidRPr="00D667F3">
        <w:rPr>
          <w:color w:val="000000" w:themeColor="text1"/>
          <w:lang w:val="en-AU"/>
        </w:rPr>
        <w:t>undermine the performance of public servants.</w:t>
      </w:r>
    </w:p>
    <w:p w:rsidR="00B57D55" w:rsidRPr="00D667F3" w:rsidRDefault="000F4B57" w:rsidP="00B57D55">
      <w:pPr>
        <w:pStyle w:val="BodyText"/>
        <w:spacing w:before="120" w:after="120"/>
        <w:rPr>
          <w:lang w:val="en-AU"/>
        </w:rPr>
      </w:pPr>
      <w:r w:rsidRPr="00D667F3">
        <w:rPr>
          <w:lang w:val="en-AU"/>
        </w:rPr>
        <w:t xml:space="preserve">The IPA/PILAG project had four main initial streams corresponding to four medium-term </w:t>
      </w:r>
      <w:r w:rsidR="00593859" w:rsidRPr="00D667F3">
        <w:rPr>
          <w:lang w:val="en-AU"/>
        </w:rPr>
        <w:t>outcomes</w:t>
      </w:r>
      <w:r w:rsidR="00ED0F07" w:rsidRPr="00D667F3">
        <w:rPr>
          <w:lang w:val="en-AU"/>
        </w:rPr>
        <w:t xml:space="preserve"> </w:t>
      </w:r>
      <w:r w:rsidR="00112876" w:rsidRPr="00D667F3">
        <w:rPr>
          <w:lang w:val="en-AU"/>
        </w:rPr>
        <w:t>(</w:t>
      </w:r>
      <w:r w:rsidR="00B57D55" w:rsidRPr="001422B3">
        <w:rPr>
          <w:lang w:val="en-AU"/>
        </w:rPr>
        <w:t xml:space="preserve">to be achieved within </w:t>
      </w:r>
      <w:r w:rsidR="00112876" w:rsidRPr="00D667F3">
        <w:rPr>
          <w:lang w:val="en-AU"/>
        </w:rPr>
        <w:t>five to seven years</w:t>
      </w:r>
      <w:r w:rsidR="00ED0F07" w:rsidRPr="00D667F3">
        <w:rPr>
          <w:lang w:val="en-AU"/>
        </w:rPr>
        <w:t>)</w:t>
      </w:r>
      <w:r w:rsidR="00F1188E" w:rsidRPr="00D667F3">
        <w:rPr>
          <w:lang w:val="en-AU"/>
        </w:rPr>
        <w:t xml:space="preserve">: </w:t>
      </w:r>
    </w:p>
    <w:p w:rsidR="000F4B57" w:rsidRPr="00D667F3" w:rsidRDefault="000F4B57" w:rsidP="001422B3">
      <w:pPr>
        <w:pStyle w:val="BodyText"/>
        <w:numPr>
          <w:ilvl w:val="0"/>
          <w:numId w:val="26"/>
        </w:numPr>
        <w:spacing w:before="120" w:after="120"/>
        <w:rPr>
          <w:lang w:val="en-AU"/>
        </w:rPr>
      </w:pPr>
      <w:r w:rsidRPr="00D667F3">
        <w:rPr>
          <w:lang w:val="en-AU"/>
        </w:rPr>
        <w:t xml:space="preserve">PNG IPA courses </w:t>
      </w:r>
      <w:r w:rsidR="00593859" w:rsidRPr="00D667F3">
        <w:rPr>
          <w:lang w:val="en-AU"/>
        </w:rPr>
        <w:t>are</w:t>
      </w:r>
      <w:r w:rsidRPr="00D667F3">
        <w:rPr>
          <w:lang w:val="en-AU"/>
        </w:rPr>
        <w:t xml:space="preserve"> relevant, effective and have a broad reach</w:t>
      </w:r>
      <w:r w:rsidR="00B57D55" w:rsidRPr="001422B3">
        <w:rPr>
          <w:lang w:val="en-AU"/>
        </w:rPr>
        <w:t>.</w:t>
      </w:r>
    </w:p>
    <w:p w:rsidR="000F4B57" w:rsidRPr="00D667F3" w:rsidRDefault="000F4B57" w:rsidP="008C34EE">
      <w:pPr>
        <w:pStyle w:val="BodyText"/>
        <w:numPr>
          <w:ilvl w:val="0"/>
          <w:numId w:val="26"/>
        </w:numPr>
        <w:spacing w:before="120" w:after="120"/>
        <w:ind w:left="714" w:hanging="357"/>
        <w:rPr>
          <w:lang w:val="en-AU"/>
        </w:rPr>
      </w:pPr>
      <w:r w:rsidRPr="00D667F3">
        <w:rPr>
          <w:lang w:val="en-AU"/>
        </w:rPr>
        <w:t>PNG IPA transitions to a quality-assured School of Government</w:t>
      </w:r>
      <w:r w:rsidR="00B57D55" w:rsidRPr="001422B3">
        <w:rPr>
          <w:lang w:val="en-AU"/>
        </w:rPr>
        <w:t>.</w:t>
      </w:r>
    </w:p>
    <w:p w:rsidR="000F4B57" w:rsidRPr="00D667F3" w:rsidRDefault="009236C1" w:rsidP="008C34EE">
      <w:pPr>
        <w:pStyle w:val="BodyText"/>
        <w:numPr>
          <w:ilvl w:val="0"/>
          <w:numId w:val="26"/>
        </w:numPr>
        <w:spacing w:before="120" w:after="120"/>
        <w:ind w:left="714" w:hanging="357"/>
        <w:rPr>
          <w:lang w:val="en-AU"/>
        </w:rPr>
      </w:pPr>
      <w:r w:rsidRPr="00D667F3">
        <w:rPr>
          <w:lang w:val="en-AU"/>
        </w:rPr>
        <w:t>S</w:t>
      </w:r>
      <w:r w:rsidR="000F4B57" w:rsidRPr="00D667F3">
        <w:rPr>
          <w:lang w:val="en-AU"/>
        </w:rPr>
        <w:t>trategic planning and management is robust and achieves its goals</w:t>
      </w:r>
      <w:r w:rsidR="00B57D55" w:rsidRPr="001422B3">
        <w:rPr>
          <w:lang w:val="en-AU"/>
        </w:rPr>
        <w:t>.</w:t>
      </w:r>
      <w:r w:rsidR="000F4B57" w:rsidRPr="00D667F3">
        <w:rPr>
          <w:lang w:val="en-AU"/>
        </w:rPr>
        <w:t xml:space="preserve"> </w:t>
      </w:r>
    </w:p>
    <w:p w:rsidR="000F4B57" w:rsidRPr="00D667F3" w:rsidRDefault="009236C1" w:rsidP="008C34EE">
      <w:pPr>
        <w:pStyle w:val="BodyText"/>
        <w:numPr>
          <w:ilvl w:val="0"/>
          <w:numId w:val="26"/>
        </w:numPr>
        <w:spacing w:before="120" w:after="120"/>
        <w:ind w:left="714" w:hanging="357"/>
        <w:rPr>
          <w:lang w:val="en-AU"/>
        </w:rPr>
      </w:pPr>
      <w:r w:rsidRPr="00D667F3">
        <w:rPr>
          <w:lang w:val="en-AU"/>
        </w:rPr>
        <w:t>C</w:t>
      </w:r>
      <w:r w:rsidR="000F4B57" w:rsidRPr="00D667F3">
        <w:rPr>
          <w:lang w:val="en-AU"/>
        </w:rPr>
        <w:t xml:space="preserve">orporate resource management is efficient and effective. </w:t>
      </w:r>
    </w:p>
    <w:p w:rsidR="000F4B57" w:rsidRPr="00D667F3" w:rsidRDefault="000F4B57" w:rsidP="000F4B57">
      <w:pPr>
        <w:pStyle w:val="BodyText"/>
        <w:rPr>
          <w:lang w:val="en-AU"/>
        </w:rPr>
      </w:pPr>
      <w:r w:rsidRPr="00D667F3">
        <w:rPr>
          <w:lang w:val="en-AU"/>
        </w:rPr>
        <w:t xml:space="preserve">In addition, the UQ short-term </w:t>
      </w:r>
      <w:r w:rsidR="00593859" w:rsidRPr="00D667F3">
        <w:rPr>
          <w:lang w:val="en-AU"/>
        </w:rPr>
        <w:t xml:space="preserve">outcome </w:t>
      </w:r>
      <w:r w:rsidR="00112876" w:rsidRPr="00D667F3">
        <w:rPr>
          <w:lang w:val="en-AU"/>
        </w:rPr>
        <w:t xml:space="preserve">(two to five years) </w:t>
      </w:r>
      <w:r w:rsidRPr="00D667F3">
        <w:rPr>
          <w:lang w:val="en-AU"/>
        </w:rPr>
        <w:t xml:space="preserve">was listed under the SBPP component of the 2016 result framework: </w:t>
      </w:r>
    </w:p>
    <w:p w:rsidR="000F4B57" w:rsidRPr="00091600" w:rsidRDefault="009236C1" w:rsidP="008F7A55">
      <w:pPr>
        <w:pStyle w:val="BodyText"/>
        <w:numPr>
          <w:ilvl w:val="0"/>
          <w:numId w:val="26"/>
        </w:numPr>
        <w:rPr>
          <w:lang w:val="en-AU"/>
        </w:rPr>
      </w:pPr>
      <w:r w:rsidRPr="00D667F3">
        <w:rPr>
          <w:lang w:val="en-AU"/>
        </w:rPr>
        <w:t>T</w:t>
      </w:r>
      <w:r w:rsidR="000F4B57" w:rsidRPr="00D667F3">
        <w:rPr>
          <w:lang w:val="en-AU"/>
        </w:rPr>
        <w:t>he Executive Leadership Program improves the skills</w:t>
      </w:r>
      <w:r w:rsidR="000F4B57" w:rsidRPr="00091600">
        <w:rPr>
          <w:lang w:val="en-AU"/>
        </w:rPr>
        <w:t>, knowledge and attitudes of public sector employees leading to behavioural changes consistent with LCF and GESI principles.</w:t>
      </w:r>
      <w:r w:rsidR="000F4B57" w:rsidRPr="00091600">
        <w:rPr>
          <w:rStyle w:val="FootnoteReference"/>
          <w:lang w:val="en-AU"/>
        </w:rPr>
        <w:footnoteReference w:id="26"/>
      </w:r>
    </w:p>
    <w:p w:rsidR="000F4B57" w:rsidRPr="00091600" w:rsidRDefault="000F4B57" w:rsidP="006A2786">
      <w:pPr>
        <w:pStyle w:val="Heading4"/>
        <w:rPr>
          <w:lang w:val="en-AU"/>
        </w:rPr>
      </w:pPr>
      <w:r w:rsidRPr="006A2786">
        <w:t>Achievements</w:t>
      </w:r>
    </w:p>
    <w:p w:rsidR="00642839" w:rsidRDefault="000F4B57" w:rsidP="000F4B57">
      <w:pPr>
        <w:pStyle w:val="BodyText"/>
        <w:rPr>
          <w:rFonts w:cstheme="majorHAnsi"/>
          <w:lang w:val="en-AU"/>
        </w:rPr>
      </w:pPr>
      <w:r w:rsidRPr="00955A4F">
        <w:rPr>
          <w:rFonts w:ascii="Roboto" w:hAnsi="Roboto"/>
          <w:b/>
          <w:lang w:val="en-AU"/>
        </w:rPr>
        <w:t>Vocational courses</w:t>
      </w:r>
      <w:r w:rsidR="00AA2645" w:rsidRPr="00955A4F">
        <w:rPr>
          <w:rFonts w:ascii="Roboto" w:hAnsi="Roboto"/>
          <w:lang w:val="en-AU"/>
        </w:rPr>
        <w:t>:</w:t>
      </w:r>
      <w:r w:rsidR="001669F8" w:rsidRPr="00091600">
        <w:rPr>
          <w:lang w:val="en-AU"/>
        </w:rPr>
        <w:t xml:space="preserve"> </w:t>
      </w:r>
      <w:r w:rsidR="00AA2645" w:rsidRPr="00091600">
        <w:rPr>
          <w:rFonts w:cstheme="majorHAnsi"/>
          <w:lang w:val="en-AU"/>
        </w:rPr>
        <w:t>b</w:t>
      </w:r>
      <w:r w:rsidR="007B4B08" w:rsidRPr="00091600">
        <w:rPr>
          <w:rFonts w:cstheme="majorHAnsi"/>
          <w:lang w:val="en-AU"/>
        </w:rPr>
        <w:t>etween</w:t>
      </w:r>
      <w:r w:rsidRPr="00091600">
        <w:rPr>
          <w:rFonts w:cstheme="majorHAnsi"/>
          <w:lang w:val="en-AU"/>
        </w:rPr>
        <w:t xml:space="preserve"> 2015 and May 2018, the Precinct supported the vocational training of 1,534 participants (709 female</w:t>
      </w:r>
      <w:r w:rsidR="00AA2645" w:rsidRPr="00091600">
        <w:rPr>
          <w:rFonts w:cstheme="majorHAnsi"/>
          <w:lang w:val="en-AU"/>
        </w:rPr>
        <w:t>;</w:t>
      </w:r>
      <w:r w:rsidRPr="00091600">
        <w:rPr>
          <w:rFonts w:cstheme="majorHAnsi"/>
          <w:lang w:val="en-AU"/>
        </w:rPr>
        <w:t xml:space="preserve"> 825 male) (</w:t>
      </w:r>
      <w:r w:rsidR="0056062C" w:rsidRPr="00091600">
        <w:rPr>
          <w:rFonts w:cstheme="majorHAnsi"/>
          <w:lang w:val="en-AU"/>
        </w:rPr>
        <w:fldChar w:fldCharType="begin"/>
      </w:r>
      <w:r w:rsidR="0056062C" w:rsidRPr="00091600">
        <w:rPr>
          <w:rFonts w:cstheme="majorHAnsi"/>
          <w:lang w:val="en-AU"/>
        </w:rPr>
        <w:instrText xml:space="preserve"> REF _Ref536627677 \h </w:instrText>
      </w:r>
      <w:r w:rsidR="005975B5" w:rsidRPr="00091600">
        <w:rPr>
          <w:rFonts w:cstheme="majorHAnsi"/>
          <w:lang w:val="en-AU"/>
        </w:rPr>
        <w:instrText xml:space="preserve"> \* MERGEFORMAT </w:instrText>
      </w:r>
      <w:r w:rsidR="0056062C" w:rsidRPr="00091600">
        <w:rPr>
          <w:rFonts w:cstheme="majorHAnsi"/>
          <w:lang w:val="en-AU"/>
        </w:rPr>
      </w:r>
      <w:r w:rsidR="0056062C" w:rsidRPr="00091600">
        <w:rPr>
          <w:rFonts w:cstheme="majorHAnsi"/>
          <w:lang w:val="en-AU"/>
        </w:rPr>
        <w:fldChar w:fldCharType="end"/>
      </w:r>
      <w:r w:rsidR="007177E4" w:rsidRPr="00091600">
        <w:rPr>
          <w:rFonts w:cstheme="majorHAnsi"/>
          <w:lang w:val="en-AU"/>
        </w:rPr>
        <w:t>).</w:t>
      </w:r>
      <w:r w:rsidRPr="00091600">
        <w:rPr>
          <w:rFonts w:cstheme="majorHAnsi"/>
          <w:lang w:val="en-AU"/>
        </w:rPr>
        <w:t xml:space="preserve"> </w:t>
      </w:r>
    </w:p>
    <w:p w:rsidR="00642839" w:rsidRDefault="000F4B57" w:rsidP="00642839">
      <w:pPr>
        <w:pStyle w:val="BodyText"/>
        <w:numPr>
          <w:ilvl w:val="0"/>
          <w:numId w:val="54"/>
        </w:numPr>
        <w:rPr>
          <w:lang w:val="en-AU"/>
        </w:rPr>
      </w:pPr>
      <w:r w:rsidRPr="00091600">
        <w:rPr>
          <w:rFonts w:cstheme="majorHAnsi"/>
          <w:lang w:val="en-AU"/>
        </w:rPr>
        <w:t xml:space="preserve">Of these, </w:t>
      </w:r>
      <w:r w:rsidR="00AA2645" w:rsidRPr="00091600">
        <w:rPr>
          <w:rFonts w:cstheme="majorHAnsi"/>
          <w:lang w:val="en-AU"/>
        </w:rPr>
        <w:t>t</w:t>
      </w:r>
      <w:r w:rsidR="007B4B08" w:rsidRPr="00091600">
        <w:rPr>
          <w:rFonts w:cstheme="majorHAnsi"/>
          <w:lang w:val="en-AU"/>
        </w:rPr>
        <w:t>wo</w:t>
      </w:r>
      <w:r w:rsidRPr="00091600">
        <w:rPr>
          <w:rFonts w:cstheme="majorHAnsi"/>
          <w:lang w:val="en-AU"/>
        </w:rPr>
        <w:t xml:space="preserve">-thirds took part in Precinct short courses </w:t>
      </w:r>
      <w:r w:rsidRPr="00091600">
        <w:rPr>
          <w:lang w:val="en-AU"/>
        </w:rPr>
        <w:t xml:space="preserve">(e.g. on ethical leadership or on basic public servant competencies such as public speaking and speech writing) delivered by UQ and a few other providers. </w:t>
      </w:r>
    </w:p>
    <w:p w:rsidR="000F4B57" w:rsidRDefault="000F4B57" w:rsidP="00642839">
      <w:pPr>
        <w:pStyle w:val="BodyText"/>
        <w:numPr>
          <w:ilvl w:val="0"/>
          <w:numId w:val="54"/>
        </w:numPr>
        <w:rPr>
          <w:lang w:val="en-AU"/>
        </w:rPr>
      </w:pPr>
      <w:r w:rsidRPr="00091600">
        <w:rPr>
          <w:lang w:val="en-AU"/>
        </w:rPr>
        <w:t xml:space="preserve">The other third took part in a range of other courses, including PILAG </w:t>
      </w:r>
      <w:r w:rsidR="00767779" w:rsidRPr="00091600">
        <w:rPr>
          <w:lang w:val="en-AU"/>
        </w:rPr>
        <w:t>s</w:t>
      </w:r>
      <w:r w:rsidR="007B4B08" w:rsidRPr="00091600">
        <w:rPr>
          <w:lang w:val="en-AU"/>
        </w:rPr>
        <w:t xml:space="preserve">hort </w:t>
      </w:r>
      <w:r w:rsidR="00767779" w:rsidRPr="00091600">
        <w:rPr>
          <w:lang w:val="en-AU"/>
        </w:rPr>
        <w:t>c</w:t>
      </w:r>
      <w:r w:rsidR="007B4B08" w:rsidRPr="00091600">
        <w:rPr>
          <w:lang w:val="en-AU"/>
        </w:rPr>
        <w:t>ourses</w:t>
      </w:r>
      <w:r w:rsidRPr="00091600">
        <w:rPr>
          <w:lang w:val="en-AU"/>
        </w:rPr>
        <w:t xml:space="preserve"> on project management and financial management co-delivered by PILAG in partnership with APSC (through its provider CIT Solutions) (16</w:t>
      </w:r>
      <w:r w:rsidR="00767779" w:rsidRPr="00091600">
        <w:rPr>
          <w:lang w:val="en-AU"/>
        </w:rPr>
        <w:t>%);</w:t>
      </w:r>
      <w:r w:rsidRPr="00091600">
        <w:rPr>
          <w:lang w:val="en-AU"/>
        </w:rPr>
        <w:t xml:space="preserve"> and</w:t>
      </w:r>
      <w:r w:rsidR="00767779" w:rsidRPr="00091600">
        <w:rPr>
          <w:lang w:val="en-AU"/>
        </w:rPr>
        <w:t xml:space="preserve"> </w:t>
      </w:r>
      <w:r w:rsidRPr="00091600">
        <w:rPr>
          <w:lang w:val="en-AU"/>
        </w:rPr>
        <w:t>Diplomas and Certificate courses mostly delivered by APSC (through its training provider CIT Solutions) (10%). A further 4% took part in</w:t>
      </w:r>
      <w:r w:rsidRPr="00091600">
        <w:rPr>
          <w:rFonts w:cstheme="majorHAnsi"/>
          <w:lang w:val="en-AU"/>
        </w:rPr>
        <w:t xml:space="preserve"> </w:t>
      </w:r>
      <w:r w:rsidRPr="00091600">
        <w:rPr>
          <w:lang w:val="en-AU"/>
        </w:rPr>
        <w:t xml:space="preserve">UQ Future Leaders </w:t>
      </w:r>
      <w:r w:rsidR="00767779" w:rsidRPr="00091600">
        <w:rPr>
          <w:lang w:val="en-AU"/>
        </w:rPr>
        <w:t>p</w:t>
      </w:r>
      <w:r w:rsidR="007B4B08" w:rsidRPr="00091600">
        <w:rPr>
          <w:lang w:val="en-AU"/>
        </w:rPr>
        <w:t>rograms</w:t>
      </w:r>
      <w:r w:rsidRPr="00091600">
        <w:rPr>
          <w:lang w:val="en-AU"/>
        </w:rPr>
        <w:t xml:space="preserve"> which started in 2017 (for emerging leaders, and which initially met three times for two weeks over a nine-month period) in national and provincial settings. Finally, 2% participated in the </w:t>
      </w:r>
      <w:r w:rsidRPr="00091600">
        <w:rPr>
          <w:rFonts w:cstheme="majorHAnsi"/>
          <w:lang w:val="en-AU"/>
        </w:rPr>
        <w:t>Bougainville Senior Leaders Training (BSLT) delivered by the Queensland University of Technology</w:t>
      </w:r>
      <w:r w:rsidR="00774E68">
        <w:rPr>
          <w:rFonts w:cstheme="majorHAnsi"/>
          <w:lang w:val="en-AU"/>
        </w:rPr>
        <w:t xml:space="preserve"> (</w:t>
      </w:r>
      <w:r w:rsidRPr="00091600">
        <w:rPr>
          <w:rFonts w:cstheme="majorHAnsi"/>
          <w:lang w:val="en-AU"/>
        </w:rPr>
        <w:t xml:space="preserve">which was not examined by the </w:t>
      </w:r>
      <w:r w:rsidR="00CF45C5" w:rsidRPr="00091600">
        <w:rPr>
          <w:rFonts w:cstheme="majorHAnsi"/>
          <w:lang w:val="en-AU"/>
        </w:rPr>
        <w:t>review</w:t>
      </w:r>
      <w:r w:rsidRPr="00091600">
        <w:rPr>
          <w:rFonts w:cstheme="majorHAnsi"/>
          <w:lang w:val="en-AU"/>
        </w:rPr>
        <w:t xml:space="preserve"> team)</w:t>
      </w:r>
      <w:r w:rsidRPr="00091600">
        <w:rPr>
          <w:lang w:val="en-AU"/>
        </w:rPr>
        <w:t>.</w:t>
      </w:r>
      <w:r w:rsidRPr="00091600">
        <w:rPr>
          <w:rStyle w:val="FootnoteReference"/>
          <w:lang w:val="en-AU"/>
        </w:rPr>
        <w:footnoteReference w:id="27"/>
      </w:r>
    </w:p>
    <w:p w:rsidR="00642839" w:rsidRPr="00091600" w:rsidRDefault="00642839" w:rsidP="00642839">
      <w:pPr>
        <w:pStyle w:val="BodyText"/>
        <w:numPr>
          <w:ilvl w:val="0"/>
          <w:numId w:val="54"/>
        </w:numPr>
        <w:rPr>
          <w:lang w:val="en-AU"/>
        </w:rPr>
      </w:pPr>
      <w:r w:rsidRPr="00091600">
        <w:rPr>
          <w:lang w:val="en-AU"/>
        </w:rPr>
        <w:t xml:space="preserve">Only 9% of vocational courses participants came from the private sector. </w:t>
      </w:r>
    </w:p>
    <w:p w:rsidR="00642839" w:rsidRDefault="00642839" w:rsidP="00021D3E">
      <w:pPr>
        <w:pStyle w:val="BodyText"/>
        <w:numPr>
          <w:ilvl w:val="0"/>
          <w:numId w:val="54"/>
        </w:numPr>
        <w:rPr>
          <w:lang w:val="en-AU"/>
        </w:rPr>
      </w:pPr>
      <w:r w:rsidRPr="00091600">
        <w:rPr>
          <w:lang w:val="en-AU"/>
        </w:rPr>
        <w:t xml:space="preserve">Of the public sector participants, 40% were officers (and the majority of them at the national level). </w:t>
      </w:r>
      <w:r w:rsidRPr="00642839">
        <w:rPr>
          <w:lang w:val="en-AU"/>
        </w:rPr>
        <w:t>Only 3% of public sector participants belonged to the executive management cadre, whereas roughly 45% belonged to the middle or senior management cadre (</w:t>
      </w:r>
      <w:r w:rsidRPr="00642839">
        <w:rPr>
          <w:lang w:val="en-AU"/>
        </w:rPr>
        <w:fldChar w:fldCharType="begin"/>
      </w:r>
      <w:r w:rsidRPr="00AE4362">
        <w:rPr>
          <w:lang w:val="en-AU"/>
        </w:rPr>
        <w:instrText xml:space="preserve"> REF _Ref536627703 \h  \* MERGEFORMAT </w:instrText>
      </w:r>
      <w:r w:rsidRPr="00642839">
        <w:rPr>
          <w:lang w:val="en-AU"/>
        </w:rPr>
      </w:r>
      <w:r w:rsidRPr="00642839">
        <w:rPr>
          <w:lang w:val="en-AU"/>
        </w:rPr>
        <w:fldChar w:fldCharType="separate"/>
      </w:r>
      <w:r w:rsidR="004964E9" w:rsidRPr="00091600">
        <w:rPr>
          <w:lang w:val="en-AU"/>
        </w:rPr>
        <w:t>Figur</w:t>
      </w:r>
      <w:r w:rsidR="004964E9" w:rsidRPr="00EB766E">
        <w:rPr>
          <w:lang w:val="en-AU"/>
        </w:rPr>
        <w:t xml:space="preserve">e </w:t>
      </w:r>
      <w:r w:rsidR="004964E9">
        <w:rPr>
          <w:lang w:val="en-AU"/>
        </w:rPr>
        <w:t>4</w:t>
      </w:r>
      <w:r w:rsidRPr="00642839">
        <w:rPr>
          <w:lang w:val="en-AU"/>
        </w:rPr>
        <w:fldChar w:fldCharType="end"/>
      </w:r>
      <w:r w:rsidRPr="00642839">
        <w:rPr>
          <w:lang w:val="en-AU"/>
        </w:rPr>
        <w:t xml:space="preserve">). </w:t>
      </w:r>
    </w:p>
    <w:p w:rsidR="00021D3E" w:rsidRDefault="00021D3E" w:rsidP="00021D3E">
      <w:pPr>
        <w:pStyle w:val="BodyText"/>
        <w:numPr>
          <w:ilvl w:val="0"/>
          <w:numId w:val="54"/>
        </w:numPr>
        <w:rPr>
          <w:lang w:val="en-AU"/>
        </w:rPr>
      </w:pPr>
      <w:r w:rsidRPr="00091600">
        <w:rPr>
          <w:lang w:val="en-AU"/>
        </w:rPr>
        <w:t>Looking at the subset of participants from the public sector (including BSLT), 42% belonged to national-level departments, followed by 31% from provincial departments (</w:t>
      </w:r>
      <w:r w:rsidR="008E1745">
        <w:rPr>
          <w:lang w:val="en-AU"/>
        </w:rPr>
        <w:fldChar w:fldCharType="begin"/>
      </w:r>
      <w:r w:rsidR="008E1745">
        <w:rPr>
          <w:lang w:val="en-AU"/>
        </w:rPr>
        <w:instrText xml:space="preserve"> REF _Ref2093024 \h </w:instrText>
      </w:r>
      <w:r w:rsidR="008E1745">
        <w:rPr>
          <w:lang w:val="en-AU"/>
        </w:rPr>
      </w:r>
      <w:r w:rsidR="008E1745">
        <w:rPr>
          <w:lang w:val="en-AU"/>
        </w:rPr>
        <w:fldChar w:fldCharType="separate"/>
      </w:r>
      <w:r w:rsidR="004964E9">
        <w:t xml:space="preserve">Figure </w:t>
      </w:r>
      <w:r w:rsidR="004964E9">
        <w:rPr>
          <w:noProof/>
        </w:rPr>
        <w:t>5</w:t>
      </w:r>
      <w:r w:rsidR="008E1745">
        <w:rPr>
          <w:lang w:val="en-AU"/>
        </w:rPr>
        <w:fldChar w:fldCharType="end"/>
      </w:r>
      <w:r w:rsidRPr="00091600">
        <w:rPr>
          <w:lang w:val="en-AU"/>
        </w:rPr>
        <w:t xml:space="preserve">). </w:t>
      </w:r>
    </w:p>
    <w:p w:rsidR="00021D3E" w:rsidRPr="00021D3E" w:rsidRDefault="00021D3E" w:rsidP="001422B3">
      <w:pPr>
        <w:pStyle w:val="BodyText"/>
        <w:ind w:left="720"/>
        <w:rPr>
          <w:lang w:val="en-AU"/>
        </w:rPr>
      </w:pPr>
    </w:p>
    <w:bookmarkStart w:id="63" w:name="_Ref536627677"/>
    <w:bookmarkStart w:id="64" w:name="_Toc536627413"/>
    <w:bookmarkStart w:id="65" w:name="_Toc536627424"/>
    <w:p w:rsidR="00F72DD0" w:rsidRPr="0052398D" w:rsidRDefault="004160A2" w:rsidP="004160A2">
      <w:pPr>
        <w:pStyle w:val="Boxcaption"/>
        <w:ind w:left="0" w:firstLine="0"/>
        <w:rPr>
          <w:rFonts w:ascii="Roboto Light" w:hAnsi="Roboto Light"/>
          <w:sz w:val="20"/>
          <w:lang w:val="en-AU"/>
        </w:rPr>
      </w:pPr>
      <w:r>
        <w:rPr>
          <w:noProof/>
          <w:lang w:val="en-AU" w:eastAsia="en-AU"/>
        </w:rPr>
        <mc:AlternateContent>
          <mc:Choice Requires="wps">
            <w:drawing>
              <wp:anchor distT="0" distB="0" distL="114300" distR="114300" simplePos="0" relativeHeight="251597824" behindDoc="0" locked="0" layoutInCell="1" allowOverlap="1" wp14:anchorId="1071BADF" wp14:editId="77988E9F">
                <wp:simplePos x="0" y="0"/>
                <wp:positionH relativeFrom="margin">
                  <wp:align>left</wp:align>
                </wp:positionH>
                <wp:positionV relativeFrom="paragraph">
                  <wp:posOffset>23569</wp:posOffset>
                </wp:positionV>
                <wp:extent cx="3559175" cy="457200"/>
                <wp:effectExtent l="0" t="0" r="3175" b="0"/>
                <wp:wrapTopAndBottom/>
                <wp:docPr id="18" name="Text Box 1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59175" cy="457200"/>
                        </a:xfrm>
                        <a:prstGeom prst="rect">
                          <a:avLst/>
                        </a:prstGeom>
                        <a:solidFill>
                          <a:prstClr val="white"/>
                        </a:solidFill>
                        <a:ln>
                          <a:noFill/>
                        </a:ln>
                      </wps:spPr>
                      <wps:txbx>
                        <w:txbxContent>
                          <w:p w:rsidR="00166A4C" w:rsidRPr="0085413D" w:rsidRDefault="00166A4C" w:rsidP="004160A2">
                            <w:pPr>
                              <w:pStyle w:val="Caption"/>
                              <w:rPr>
                                <w:noProof/>
                              </w:rPr>
                            </w:pPr>
                            <w:bookmarkStart w:id="66" w:name="_Toc2089246"/>
                            <w:r>
                              <w:t xml:space="preserve">Figure </w:t>
                            </w:r>
                            <w:r>
                              <w:fldChar w:fldCharType="begin"/>
                            </w:r>
                            <w:r>
                              <w:instrText xml:space="preserve"> SEQ Figure \* ARABIC </w:instrText>
                            </w:r>
                            <w:r>
                              <w:fldChar w:fldCharType="separate"/>
                            </w:r>
                            <w:r>
                              <w:rPr>
                                <w:noProof/>
                              </w:rPr>
                              <w:t>2</w:t>
                            </w:r>
                            <w:r>
                              <w:fldChar w:fldCharType="end"/>
                            </w:r>
                            <w:r>
                              <w:t>:</w:t>
                            </w:r>
                            <w:r>
                              <w:tab/>
                            </w:r>
                            <w:r w:rsidRPr="001856E8">
                              <w:t>Distribution of Precinct vocational courses participants (2015 to May 2018)</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071BADF" id="Text Box 18" o:spid="_x0000_s1027" type="#_x0000_t202" style="position:absolute;margin-left:0;margin-top:1.85pt;width:280.25pt;height:36pt;z-index:2515978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" stroked="f">
                <v:textbox inset="0,0,0,0">
                  <w:txbxContent>
                    <w:p w:rsidR="00166A4C" w:rsidRPr="0085413D" w:rsidRDefault="00166A4C" w:rsidP="004160A2">
                      <w:pPr>
                        <w:pStyle w:val="Caption"/>
                        <w:rPr>
                          <w:noProof/>
                        </w:rPr>
                      </w:pPr>
                      <w:bookmarkStart w:id="66" w:name="_Toc2089246"/>
                      <w:r>
                        <w:t xml:space="preserve">Figure </w:t>
                      </w:r>
                      <w:r>
                        <w:fldChar w:fldCharType="begin"/>
                      </w:r>
                      <w:r>
                        <w:instrText xml:space="preserve"> SEQ Figure \* ARABIC </w:instrText>
                      </w:r>
                      <w:r>
                        <w:fldChar w:fldCharType="separate"/>
                      </w:r>
                      <w:r>
                        <w:rPr>
                          <w:noProof/>
                        </w:rPr>
                        <w:t>2</w:t>
                      </w:r>
                      <w:r>
                        <w:fldChar w:fldCharType="end"/>
                      </w:r>
                      <w:r>
                        <w:t>:</w:t>
                      </w:r>
                      <w:r>
                        <w:tab/>
                      </w:r>
                      <w:r w:rsidRPr="001856E8">
                        <w:t>Distribution of Precinct vocational courses participants (2015 to May 2018)</w:t>
                      </w:r>
                      <w:bookmarkEnd w:id="66"/>
                    </w:p>
                  </w:txbxContent>
                </v:textbox>
                <w10:wrap type="topAndBottom" anchorx="margin"/>
              </v:shape>
            </w:pict>
          </mc:Fallback>
        </mc:AlternateContent>
      </w:r>
      <w:r w:rsidRPr="00091600">
        <w:rPr>
          <w:noProof/>
          <w:lang w:val="en-AU" w:eastAsia="en-AU"/>
        </w:rPr>
        <w:drawing>
          <wp:anchor distT="0" distB="0" distL="114300" distR="114300" simplePos="0" relativeHeight="251290624" behindDoc="0" locked="0" layoutInCell="1" allowOverlap="1" wp14:anchorId="4F3D75A2" wp14:editId="5E2969C2">
            <wp:simplePos x="0" y="0"/>
            <wp:positionH relativeFrom="margin">
              <wp:posOffset>0</wp:posOffset>
            </wp:positionH>
            <wp:positionV relativeFrom="paragraph">
              <wp:posOffset>693420</wp:posOffset>
            </wp:positionV>
            <wp:extent cx="3559175" cy="2872740"/>
            <wp:effectExtent l="0" t="0" r="3175" b="3810"/>
            <wp:wrapTopAndBottom/>
            <wp:docPr id="1" name="Picture 1" descr="Figure shows that the vast bulk of participation is through leadership short courses, with 479 men participating and 535 women. BSLT had the smallest number of beneficiaries, only 4 women and 31 men." title="Distribution of Precinct vocational courses participant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59175" cy="2872740"/>
                    </a:xfrm>
                    <a:prstGeom prst="rect">
                      <a:avLst/>
                    </a:prstGeom>
                  </pic:spPr>
                </pic:pic>
              </a:graphicData>
            </a:graphic>
            <wp14:sizeRelH relativeFrom="margin">
              <wp14:pctWidth>0</wp14:pctWidth>
            </wp14:sizeRelH>
            <wp14:sizeRelV relativeFrom="margin">
              <wp14:pctHeight>0</wp14:pctHeight>
            </wp14:sizeRelV>
          </wp:anchor>
        </w:drawing>
      </w:r>
      <w:r w:rsidRPr="001901CF">
        <w:rPr>
          <w:noProof/>
          <w:lang w:val="en-AU" w:eastAsia="en-AU"/>
        </w:rPr>
        <w:drawing>
          <wp:anchor distT="0" distB="0" distL="114300" distR="114300" simplePos="0" relativeHeight="251552768" behindDoc="0" locked="0" layoutInCell="1" allowOverlap="1" wp14:anchorId="0BE2026E" wp14:editId="7598E957">
            <wp:simplePos x="0" y="0"/>
            <wp:positionH relativeFrom="margin">
              <wp:posOffset>3670300</wp:posOffset>
            </wp:positionH>
            <wp:positionV relativeFrom="paragraph">
              <wp:posOffset>644363</wp:posOffset>
            </wp:positionV>
            <wp:extent cx="2513965" cy="2785110"/>
            <wp:effectExtent l="0" t="0" r="635" b="0"/>
            <wp:wrapTopAndBottom/>
            <wp:docPr id="10" name="Picture 10" descr="Graph shows that the largest is UQ/Tanorama at 31%" title="Distribution of course participants by Precinct provider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13965" cy="2785110"/>
                    </a:xfrm>
                    <a:prstGeom prst="rect">
                      <a:avLst/>
                    </a:prstGeom>
                  </pic:spPr>
                </pic:pic>
              </a:graphicData>
            </a:graphic>
            <wp14:sizeRelH relativeFrom="margin">
              <wp14:pctWidth>0</wp14:pctWidth>
            </wp14:sizeRelH>
            <wp14:sizeRelV relativeFrom="margin">
              <wp14:pctHeight>0</wp14:pctHeight>
            </wp14:sizeRelV>
          </wp:anchor>
        </w:drawing>
      </w:r>
      <w:r w:rsidR="001C457F">
        <w:rPr>
          <w:noProof/>
          <w:lang w:val="en-AU" w:eastAsia="en-AU"/>
        </w:rPr>
        <mc:AlternateContent>
          <mc:Choice Requires="wps">
            <w:drawing>
              <wp:anchor distT="0" distB="0" distL="114300" distR="114300" simplePos="0" relativeHeight="251582464" behindDoc="0" locked="0" layoutInCell="1" allowOverlap="1" wp14:anchorId="0D216272" wp14:editId="1F60E008">
                <wp:simplePos x="0" y="0"/>
                <wp:positionH relativeFrom="margin">
                  <wp:align>right</wp:align>
                </wp:positionH>
                <wp:positionV relativeFrom="paragraph">
                  <wp:posOffset>222</wp:posOffset>
                </wp:positionV>
                <wp:extent cx="2513965" cy="637540"/>
                <wp:effectExtent l="0" t="0" r="635" b="0"/>
                <wp:wrapTopAndBottom/>
                <wp:docPr id="14" name="Text Box 1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13965" cy="637953"/>
                        </a:xfrm>
                        <a:prstGeom prst="rect">
                          <a:avLst/>
                        </a:prstGeom>
                        <a:solidFill>
                          <a:prstClr val="white"/>
                        </a:solidFill>
                        <a:ln>
                          <a:noFill/>
                        </a:ln>
                      </wps:spPr>
                      <wps:txbx>
                        <w:txbxContent>
                          <w:p w:rsidR="00166A4C" w:rsidRPr="00170C19" w:rsidRDefault="00166A4C" w:rsidP="004160A2">
                            <w:pPr>
                              <w:pStyle w:val="Caption"/>
                            </w:pPr>
                            <w:bookmarkStart w:id="67" w:name="_Toc2089247"/>
                            <w:r>
                              <w:t xml:space="preserve">Figure </w:t>
                            </w:r>
                            <w:r>
                              <w:fldChar w:fldCharType="begin"/>
                            </w:r>
                            <w:r>
                              <w:instrText xml:space="preserve"> SEQ Figure \* ARABIC </w:instrText>
                            </w:r>
                            <w:r>
                              <w:fldChar w:fldCharType="separate"/>
                            </w:r>
                            <w:r>
                              <w:rPr>
                                <w:noProof/>
                              </w:rPr>
                              <w:t>3</w:t>
                            </w:r>
                            <w:r>
                              <w:fldChar w:fldCharType="end"/>
                            </w:r>
                            <w:r>
                              <w:t>:</w:t>
                            </w:r>
                            <w:r>
                              <w:tab/>
                            </w:r>
                            <w:r w:rsidRPr="004A162D">
                              <w:t>Distribution of course participants by Precinct providers (2015 to May 2018)</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16272" id="Text Box 14" o:spid="_x0000_s1028" type="#_x0000_t202" style="position:absolute;margin-left:146.75pt;margin-top:0;width:197.95pt;height:50.2pt;z-index:2515824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" stroked="f">
                <v:textbox inset="0,0,0,0">
                  <w:txbxContent>
                    <w:p w:rsidR="00166A4C" w:rsidRPr="00170C19" w:rsidRDefault="00166A4C" w:rsidP="004160A2">
                      <w:pPr>
                        <w:pStyle w:val="Caption"/>
                      </w:pPr>
                      <w:bookmarkStart w:id="68" w:name="_Toc2089247"/>
                      <w:r>
                        <w:t xml:space="preserve">Figure </w:t>
                      </w:r>
                      <w:r>
                        <w:fldChar w:fldCharType="begin"/>
                      </w:r>
                      <w:r>
                        <w:instrText xml:space="preserve"> SEQ Figure \* ARABIC </w:instrText>
                      </w:r>
                      <w:r>
                        <w:fldChar w:fldCharType="separate"/>
                      </w:r>
                      <w:r>
                        <w:rPr>
                          <w:noProof/>
                        </w:rPr>
                        <w:t>3</w:t>
                      </w:r>
                      <w:r>
                        <w:fldChar w:fldCharType="end"/>
                      </w:r>
                      <w:r>
                        <w:t>:</w:t>
                      </w:r>
                      <w:r>
                        <w:tab/>
                      </w:r>
                      <w:r w:rsidRPr="004A162D">
                        <w:t>Distribution of course participants by Precinct providers (2015 to May 2018)</w:t>
                      </w:r>
                      <w:bookmarkEnd w:id="68"/>
                    </w:p>
                  </w:txbxContent>
                </v:textbox>
                <w10:wrap type="topAndBottom" anchorx="margin"/>
              </v:shape>
            </w:pict>
          </mc:Fallback>
        </mc:AlternateContent>
      </w:r>
      <w:bookmarkEnd w:id="63"/>
      <w:bookmarkEnd w:id="64"/>
      <w:bookmarkEnd w:id="65"/>
    </w:p>
    <w:p w:rsidR="000F4B57" w:rsidRPr="00EB766E" w:rsidRDefault="009D7894" w:rsidP="006A2786">
      <w:pPr>
        <w:pStyle w:val="Boxcaption"/>
        <w:rPr>
          <w:lang w:val="en-AU"/>
        </w:rPr>
      </w:pPr>
      <w:bookmarkStart w:id="68" w:name="_Ref536627703"/>
      <w:bookmarkStart w:id="69" w:name="_Toc536627416"/>
      <w:bookmarkStart w:id="70" w:name="_Toc536627427"/>
      <w:bookmarkStart w:id="71" w:name="_Toc2089248"/>
      <w:r w:rsidRPr="00091600">
        <w:rPr>
          <w:noProof/>
          <w:lang w:val="en-AU" w:eastAsia="en-AU"/>
        </w:rPr>
        <w:drawing>
          <wp:anchor distT="0" distB="0" distL="114300" distR="114300" simplePos="0" relativeHeight="251327488" behindDoc="0" locked="0" layoutInCell="1" allowOverlap="1" wp14:anchorId="4328702D" wp14:editId="18851CBC">
            <wp:simplePos x="0" y="0"/>
            <wp:positionH relativeFrom="margin">
              <wp:posOffset>987425</wp:posOffset>
            </wp:positionH>
            <wp:positionV relativeFrom="paragraph">
              <wp:posOffset>260985</wp:posOffset>
            </wp:positionV>
            <wp:extent cx="4206240" cy="3595601"/>
            <wp:effectExtent l="0" t="0" r="3810" b="5080"/>
            <wp:wrapTopAndBottom/>
            <wp:docPr id="8" name="Picture 8" descr="Graph shows that the officer level, the lowest professional level, has the highest participation rate. The participation rate decreases as the level of the officer increases." title="Participants per job title by level of governmen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206240" cy="3595601"/>
                    </a:xfrm>
                    <a:prstGeom prst="rect">
                      <a:avLst/>
                    </a:prstGeom>
                  </pic:spPr>
                </pic:pic>
              </a:graphicData>
            </a:graphic>
            <wp14:sizeRelH relativeFrom="margin">
              <wp14:pctWidth>0</wp14:pctWidth>
            </wp14:sizeRelH>
            <wp14:sizeRelV relativeFrom="margin">
              <wp14:pctHeight>0</wp14:pctHeight>
            </wp14:sizeRelV>
          </wp:anchor>
        </w:drawing>
      </w:r>
      <w:r w:rsidR="004A4095" w:rsidRPr="00091600">
        <w:rPr>
          <w:lang w:val="en-AU"/>
        </w:rPr>
        <w:t>Figur</w:t>
      </w:r>
      <w:r w:rsidR="004A4095" w:rsidRPr="00EB766E">
        <w:rPr>
          <w:lang w:val="en-AU"/>
        </w:rPr>
        <w:t>e</w:t>
      </w:r>
      <w:r w:rsidR="000F4B57" w:rsidRPr="00EB766E">
        <w:rPr>
          <w:lang w:val="en-AU"/>
        </w:rPr>
        <w:t xml:space="preserve"> </w:t>
      </w:r>
      <w:r w:rsidR="001C457F">
        <w:rPr>
          <w:lang w:val="en-AU"/>
        </w:rPr>
        <w:fldChar w:fldCharType="begin"/>
      </w:r>
      <w:r w:rsidR="001C457F">
        <w:rPr>
          <w:lang w:val="en-AU"/>
        </w:rPr>
        <w:instrText xml:space="preserve"> SEQ Figure \* ARABIC </w:instrText>
      </w:r>
      <w:r w:rsidR="001C457F">
        <w:rPr>
          <w:lang w:val="en-AU"/>
        </w:rPr>
        <w:fldChar w:fldCharType="separate"/>
      </w:r>
      <w:r w:rsidR="004964E9">
        <w:rPr>
          <w:noProof/>
          <w:lang w:val="en-AU"/>
        </w:rPr>
        <w:t>4</w:t>
      </w:r>
      <w:r w:rsidR="001C457F">
        <w:rPr>
          <w:lang w:val="en-AU"/>
        </w:rPr>
        <w:fldChar w:fldCharType="end"/>
      </w:r>
      <w:bookmarkEnd w:id="68"/>
      <w:r w:rsidR="000F4B57" w:rsidRPr="00EB766E">
        <w:rPr>
          <w:rFonts w:eastAsiaTheme="minorHAnsi"/>
          <w:lang w:val="en-AU"/>
        </w:rPr>
        <w:t xml:space="preserve">: </w:t>
      </w:r>
      <w:r w:rsidR="000F4B57" w:rsidRPr="00EB766E">
        <w:rPr>
          <w:rFonts w:eastAsiaTheme="minorHAnsi"/>
          <w:lang w:val="en-AU"/>
        </w:rPr>
        <w:tab/>
        <w:t>Participants per job title by level of government</w:t>
      </w:r>
      <w:bookmarkEnd w:id="69"/>
      <w:bookmarkEnd w:id="70"/>
      <w:bookmarkEnd w:id="71"/>
      <w:r w:rsidR="000F4B57" w:rsidRPr="00EB766E">
        <w:rPr>
          <w:rFonts w:eastAsiaTheme="minorHAnsi"/>
          <w:lang w:val="en-AU"/>
        </w:rPr>
        <w:t xml:space="preserve"> </w:t>
      </w:r>
    </w:p>
    <w:p w:rsidR="000F4B57" w:rsidRDefault="00642839" w:rsidP="000F4B57">
      <w:pPr>
        <w:pStyle w:val="BodyText"/>
        <w:rPr>
          <w:rFonts w:cs="Times New Roman"/>
          <w:bCs/>
          <w:color w:val="000000" w:themeColor="text1"/>
          <w:lang w:val="en-AU"/>
        </w:rPr>
      </w:pPr>
      <w:r w:rsidRPr="00353B3A">
        <w:rPr>
          <w:rFonts w:ascii="Roboto" w:hAnsi="Roboto"/>
          <w:b/>
        </w:rPr>
        <w:t>Decentralisation:</w:t>
      </w:r>
      <w:r w:rsidRPr="00EB766E">
        <w:t xml:space="preserve"> </w:t>
      </w:r>
      <w:r w:rsidRPr="00EB766E">
        <w:rPr>
          <w:color w:val="000000" w:themeColor="text1"/>
          <w:lang w:val="en-AU"/>
        </w:rPr>
        <w:t>o</w:t>
      </w:r>
      <w:r w:rsidR="00F01C48" w:rsidRPr="00EB766E">
        <w:rPr>
          <w:color w:val="000000" w:themeColor="text1"/>
          <w:lang w:val="en-AU"/>
        </w:rPr>
        <w:t>ver</w:t>
      </w:r>
      <w:r w:rsidR="00767779" w:rsidRPr="00EB766E">
        <w:rPr>
          <w:color w:val="000000" w:themeColor="text1"/>
          <w:lang w:val="en-AU"/>
        </w:rPr>
        <w:t xml:space="preserve"> </w:t>
      </w:r>
      <w:r w:rsidR="00F01C48" w:rsidRPr="00EB766E">
        <w:rPr>
          <w:color w:val="000000" w:themeColor="text1"/>
          <w:lang w:val="en-AU"/>
        </w:rPr>
        <w:t>time, the</w:t>
      </w:r>
      <w:r w:rsidR="000F4B57" w:rsidRPr="00EB766E">
        <w:rPr>
          <w:color w:val="000000" w:themeColor="text1"/>
          <w:lang w:val="en-AU"/>
        </w:rPr>
        <w:t xml:space="preserve"> Precinct has prioritised sub-national levels of government </w:t>
      </w:r>
      <w:r w:rsidR="00847E89" w:rsidRPr="00EB766E">
        <w:rPr>
          <w:color w:val="000000" w:themeColor="text1"/>
          <w:lang w:val="en-AU"/>
        </w:rPr>
        <w:t xml:space="preserve">in support of the </w:t>
      </w:r>
      <w:r w:rsidR="00E87298">
        <w:rPr>
          <w:color w:val="000000" w:themeColor="text1"/>
          <w:lang w:val="en-AU"/>
        </w:rPr>
        <w:t>PNG Government</w:t>
      </w:r>
      <w:r w:rsidR="00847E89" w:rsidRPr="00EB766E">
        <w:rPr>
          <w:color w:val="000000" w:themeColor="text1"/>
          <w:lang w:val="en-AU"/>
        </w:rPr>
        <w:t xml:space="preserve"> agenda</w:t>
      </w:r>
      <w:r w:rsidR="005E36F2" w:rsidRPr="00EB766E">
        <w:rPr>
          <w:color w:val="000000" w:themeColor="text1"/>
          <w:lang w:val="en-AU"/>
        </w:rPr>
        <w:t xml:space="preserve"> </w:t>
      </w:r>
      <w:r w:rsidR="000F4B57" w:rsidRPr="00EB766E">
        <w:rPr>
          <w:color w:val="000000" w:themeColor="text1"/>
          <w:lang w:val="en-AU"/>
        </w:rPr>
        <w:t>(</w:t>
      </w:r>
      <w:r w:rsidR="0056062C" w:rsidRPr="00EB766E">
        <w:rPr>
          <w:color w:val="000000" w:themeColor="text1"/>
          <w:lang w:val="en-AU"/>
        </w:rPr>
        <w:fldChar w:fldCharType="begin"/>
      </w:r>
      <w:r w:rsidR="0056062C" w:rsidRPr="00EB766E">
        <w:rPr>
          <w:color w:val="000000" w:themeColor="text1"/>
          <w:lang w:val="en-AU"/>
        </w:rPr>
        <w:instrText xml:space="preserve"> REF _Ref536627718 \h </w:instrText>
      </w:r>
      <w:r w:rsidR="005975B5" w:rsidRPr="00EB766E">
        <w:rPr>
          <w:color w:val="000000" w:themeColor="text1"/>
          <w:lang w:val="en-AU"/>
        </w:rPr>
        <w:instrText xml:space="preserve"> \* MERGEFORMAT </w:instrText>
      </w:r>
      <w:r w:rsidR="0056062C" w:rsidRPr="00EB766E">
        <w:rPr>
          <w:color w:val="000000" w:themeColor="text1"/>
          <w:lang w:val="en-AU"/>
        </w:rPr>
      </w:r>
      <w:r w:rsidR="0056062C" w:rsidRPr="00EB766E">
        <w:rPr>
          <w:color w:val="000000" w:themeColor="text1"/>
          <w:lang w:val="en-AU"/>
        </w:rPr>
        <w:fldChar w:fldCharType="separate"/>
      </w:r>
      <w:r w:rsidR="004964E9" w:rsidRPr="00091600">
        <w:rPr>
          <w:lang w:val="en-AU"/>
        </w:rPr>
        <w:t xml:space="preserve">Figure </w:t>
      </w:r>
      <w:r w:rsidR="004964E9">
        <w:rPr>
          <w:lang w:val="en-AU"/>
        </w:rPr>
        <w:t>6</w:t>
      </w:r>
      <w:r w:rsidR="0056062C" w:rsidRPr="00EB766E">
        <w:rPr>
          <w:color w:val="000000" w:themeColor="text1"/>
          <w:lang w:val="en-AU"/>
        </w:rPr>
        <w:fldChar w:fldCharType="end"/>
      </w:r>
      <w:r w:rsidR="005E36F2" w:rsidRPr="00EB766E">
        <w:rPr>
          <w:color w:val="000000" w:themeColor="text1"/>
          <w:lang w:val="en-AU"/>
        </w:rPr>
        <w:t>)</w:t>
      </w:r>
      <w:r w:rsidR="00F01C48" w:rsidRPr="00EB766E">
        <w:rPr>
          <w:color w:val="000000" w:themeColor="text1"/>
          <w:lang w:val="en-AU"/>
        </w:rPr>
        <w:t>.</w:t>
      </w:r>
      <w:r w:rsidR="0043310B" w:rsidRPr="00EB766E">
        <w:rPr>
          <w:rStyle w:val="FootnoteReference"/>
          <w:color w:val="000000" w:themeColor="text1"/>
          <w:lang w:val="en-AU"/>
        </w:rPr>
        <w:footnoteReference w:id="28"/>
      </w:r>
      <w:r w:rsidR="00F01C48" w:rsidRPr="00EB766E">
        <w:rPr>
          <w:color w:val="000000" w:themeColor="text1"/>
          <w:lang w:val="en-AU"/>
        </w:rPr>
        <w:t xml:space="preserve"> </w:t>
      </w:r>
      <w:r w:rsidR="005E36F2" w:rsidRPr="00EB766E">
        <w:rPr>
          <w:rFonts w:cs="Times New Roman"/>
          <w:bCs/>
          <w:color w:val="000000" w:themeColor="text1"/>
          <w:lang w:val="en-AU"/>
        </w:rPr>
        <w:t>In</w:t>
      </w:r>
      <w:r w:rsidR="000F4B57" w:rsidRPr="00EB766E">
        <w:rPr>
          <w:rFonts w:cs="Times New Roman"/>
          <w:bCs/>
          <w:color w:val="000000" w:themeColor="text1"/>
          <w:lang w:val="en-AU"/>
        </w:rPr>
        <w:t xml:space="preserve"> 2015 and 2016, the highest participation was at the national level (more than 50%). </w:t>
      </w:r>
      <w:r w:rsidR="0028749A" w:rsidRPr="001422B3">
        <w:rPr>
          <w:rFonts w:cs="Times New Roman"/>
          <w:bCs/>
          <w:color w:val="000000" w:themeColor="text1"/>
          <w:lang w:val="en-AU"/>
        </w:rPr>
        <w:t xml:space="preserve">In </w:t>
      </w:r>
      <w:r w:rsidR="000F4B57" w:rsidRPr="00EB766E">
        <w:rPr>
          <w:rFonts w:cs="Times New Roman"/>
          <w:bCs/>
          <w:color w:val="000000" w:themeColor="text1"/>
          <w:lang w:val="en-AU"/>
        </w:rPr>
        <w:t>2017 more than 50% of participants were at the provincial level</w:t>
      </w:r>
      <w:r w:rsidR="00F01C48" w:rsidRPr="00EB766E">
        <w:rPr>
          <w:rFonts w:cs="Times New Roman"/>
          <w:bCs/>
          <w:color w:val="000000" w:themeColor="text1"/>
          <w:lang w:val="en-AU"/>
        </w:rPr>
        <w:t>.</w:t>
      </w:r>
      <w:r w:rsidR="000F4B57" w:rsidRPr="00EB766E">
        <w:rPr>
          <w:rFonts w:cs="Times New Roman"/>
          <w:bCs/>
          <w:color w:val="000000" w:themeColor="text1"/>
          <w:lang w:val="en-AU"/>
        </w:rPr>
        <w:t xml:space="preserve"> Up to May 2018, the provincial administrations which have benefited the most </w:t>
      </w:r>
      <w:r w:rsidR="00767779" w:rsidRPr="00EB766E">
        <w:rPr>
          <w:rFonts w:cs="Times New Roman"/>
          <w:bCs/>
          <w:color w:val="000000" w:themeColor="text1"/>
          <w:lang w:val="en-AU"/>
        </w:rPr>
        <w:t>have</w:t>
      </w:r>
      <w:r w:rsidR="000F4B57" w:rsidRPr="00EB766E">
        <w:rPr>
          <w:rFonts w:cs="Times New Roman"/>
          <w:bCs/>
          <w:color w:val="000000" w:themeColor="text1"/>
          <w:lang w:val="en-AU"/>
        </w:rPr>
        <w:t xml:space="preserve"> been East </w:t>
      </w:r>
      <w:r w:rsidR="001876D2" w:rsidRPr="00091600">
        <w:rPr>
          <w:noProof/>
          <w:lang w:val="en-AU" w:eastAsia="en-AU"/>
        </w:rPr>
        <w:drawing>
          <wp:anchor distT="0" distB="0" distL="114300" distR="114300" simplePos="0" relativeHeight="251487232" behindDoc="0" locked="0" layoutInCell="1" allowOverlap="1" wp14:anchorId="1F15DB98" wp14:editId="12CFFE5A">
            <wp:simplePos x="0" y="0"/>
            <wp:positionH relativeFrom="margin">
              <wp:align>right</wp:align>
            </wp:positionH>
            <wp:positionV relativeFrom="paragraph">
              <wp:posOffset>361950</wp:posOffset>
            </wp:positionV>
            <wp:extent cx="3416300" cy="1906270"/>
            <wp:effectExtent l="0" t="0" r="0" b="0"/>
            <wp:wrapSquare wrapText="bothSides"/>
            <wp:docPr id="4" name="Picture 4" descr="This pie graph is showing that most participants are national staff - at 42&amp;. Provincial is the next largest at 31%, District participation is 12%" title="Percentage of public sector participants by level of governmen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416300" cy="1906270"/>
                    </a:xfrm>
                    <a:prstGeom prst="rect">
                      <a:avLst/>
                    </a:prstGeom>
                  </pic:spPr>
                </pic:pic>
              </a:graphicData>
            </a:graphic>
            <wp14:sizeRelH relativeFrom="margin">
              <wp14:pctWidth>0</wp14:pctWidth>
            </wp14:sizeRelH>
            <wp14:sizeRelV relativeFrom="margin">
              <wp14:pctHeight>0</wp14:pctHeight>
            </wp14:sizeRelV>
          </wp:anchor>
        </w:drawing>
      </w:r>
      <w:r w:rsidR="000F4B57" w:rsidRPr="00EB766E">
        <w:rPr>
          <w:rFonts w:cs="Times New Roman"/>
          <w:bCs/>
          <w:color w:val="000000" w:themeColor="text1"/>
          <w:lang w:val="en-AU"/>
        </w:rPr>
        <w:t xml:space="preserve">New Britain (8% </w:t>
      </w:r>
      <w:r w:rsidR="001876D2">
        <w:rPr>
          <w:noProof/>
          <w:lang w:val="en-AU" w:eastAsia="en-AU"/>
        </w:rPr>
        <mc:AlternateContent>
          <mc:Choice Requires="wps">
            <w:drawing>
              <wp:anchor distT="0" distB="0" distL="114300" distR="114300" simplePos="0" relativeHeight="251615232" behindDoc="0" locked="0" layoutInCell="1" allowOverlap="1" wp14:anchorId="37A30192" wp14:editId="701B5E88">
                <wp:simplePos x="0" y="0"/>
                <wp:positionH relativeFrom="column">
                  <wp:posOffset>2768600</wp:posOffset>
                </wp:positionH>
                <wp:positionV relativeFrom="paragraph">
                  <wp:posOffset>0</wp:posOffset>
                </wp:positionV>
                <wp:extent cx="3416300" cy="457200"/>
                <wp:effectExtent l="0" t="0" r="0" b="0"/>
                <wp:wrapSquare wrapText="bothSides"/>
                <wp:docPr id="24" name="Text Box 2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16300" cy="457200"/>
                        </a:xfrm>
                        <a:prstGeom prst="rect">
                          <a:avLst/>
                        </a:prstGeom>
                        <a:solidFill>
                          <a:prstClr val="white"/>
                        </a:solidFill>
                        <a:ln>
                          <a:noFill/>
                        </a:ln>
                      </wps:spPr>
                      <wps:txbx>
                        <w:txbxContent>
                          <w:p w:rsidR="00166A4C" w:rsidRPr="0091251C" w:rsidRDefault="00166A4C" w:rsidP="001876D2">
                            <w:pPr>
                              <w:pStyle w:val="Caption"/>
                              <w:rPr>
                                <w:rFonts w:eastAsiaTheme="minorHAnsi" w:cs="Arial"/>
                              </w:rPr>
                            </w:pPr>
                            <w:bookmarkStart w:id="72" w:name="_Ref2093024"/>
                            <w:bookmarkStart w:id="73" w:name="_Toc2089249"/>
                            <w:r>
                              <w:t xml:space="preserve">Figure </w:t>
                            </w:r>
                            <w:r>
                              <w:fldChar w:fldCharType="begin"/>
                            </w:r>
                            <w:r>
                              <w:instrText xml:space="preserve"> SEQ Figure \* ARABIC </w:instrText>
                            </w:r>
                            <w:r>
                              <w:fldChar w:fldCharType="separate"/>
                            </w:r>
                            <w:r>
                              <w:rPr>
                                <w:noProof/>
                              </w:rPr>
                              <w:t>5</w:t>
                            </w:r>
                            <w:r>
                              <w:fldChar w:fldCharType="end"/>
                            </w:r>
                            <w:bookmarkEnd w:id="72"/>
                            <w:r>
                              <w:t>:</w:t>
                            </w:r>
                            <w:r>
                              <w:tab/>
                            </w:r>
                            <w:r w:rsidRPr="005323BF">
                              <w:t>Percentage of public sector participants by level of government</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7A30192" id="Text Box 24" o:spid="_x0000_s1029" type="#_x0000_t202" style="position:absolute;margin-left:218pt;margin-top:0;width:269pt;height:36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" stroked="f">
                <v:textbox inset="0,0,0,0">
                  <w:txbxContent>
                    <w:p w:rsidR="00166A4C" w:rsidRPr="0091251C" w:rsidRDefault="00166A4C" w:rsidP="001876D2">
                      <w:pPr>
                        <w:pStyle w:val="Caption"/>
                        <w:rPr>
                          <w:rFonts w:eastAsiaTheme="minorHAnsi" w:cs="Arial"/>
                        </w:rPr>
                      </w:pPr>
                      <w:bookmarkStart w:id="75" w:name="_Ref2093024"/>
                      <w:bookmarkStart w:id="76" w:name="_Toc2089249"/>
                      <w:r>
                        <w:t xml:space="preserve">Figure </w:t>
                      </w:r>
                      <w:r>
                        <w:fldChar w:fldCharType="begin"/>
                      </w:r>
                      <w:r>
                        <w:instrText xml:space="preserve"> SEQ Figure \* ARABIC </w:instrText>
                      </w:r>
                      <w:r>
                        <w:fldChar w:fldCharType="separate"/>
                      </w:r>
                      <w:r>
                        <w:rPr>
                          <w:noProof/>
                        </w:rPr>
                        <w:t>5</w:t>
                      </w:r>
                      <w:r>
                        <w:fldChar w:fldCharType="end"/>
                      </w:r>
                      <w:bookmarkEnd w:id="75"/>
                      <w:r>
                        <w:t>:</w:t>
                      </w:r>
                      <w:r>
                        <w:tab/>
                      </w:r>
                      <w:r w:rsidRPr="005323BF">
                        <w:t>Percentage of public sector participants by level of government</w:t>
                      </w:r>
                      <w:bookmarkEnd w:id="76"/>
                    </w:p>
                  </w:txbxContent>
                </v:textbox>
                <w10:wrap type="square"/>
              </v:shape>
            </w:pict>
          </mc:Fallback>
        </mc:AlternateContent>
      </w:r>
      <w:r w:rsidR="000F4B57" w:rsidRPr="00EB766E">
        <w:rPr>
          <w:rFonts w:cs="Times New Roman"/>
          <w:bCs/>
          <w:color w:val="000000" w:themeColor="text1"/>
          <w:lang w:val="en-AU"/>
        </w:rPr>
        <w:t>of all vocational courses participation</w:t>
      </w:r>
      <w:r w:rsidR="006E40F5" w:rsidRPr="00EB766E">
        <w:rPr>
          <w:rFonts w:cs="Times New Roman"/>
          <w:bCs/>
          <w:color w:val="000000" w:themeColor="text1"/>
          <w:lang w:val="en-AU"/>
        </w:rPr>
        <w:t>)</w:t>
      </w:r>
      <w:r w:rsidR="00767779" w:rsidRPr="00EB766E">
        <w:rPr>
          <w:rFonts w:cs="Times New Roman"/>
          <w:bCs/>
          <w:color w:val="000000" w:themeColor="text1"/>
          <w:lang w:val="en-AU"/>
        </w:rPr>
        <w:t>;</w:t>
      </w:r>
      <w:r w:rsidR="000F4B57" w:rsidRPr="00EB766E">
        <w:rPr>
          <w:rFonts w:cs="Times New Roman"/>
          <w:bCs/>
          <w:color w:val="000000" w:themeColor="text1"/>
          <w:lang w:val="en-AU"/>
        </w:rPr>
        <w:t xml:space="preserve"> East Sepik (5</w:t>
      </w:r>
      <w:r w:rsidR="006E40F5" w:rsidRPr="00EB766E">
        <w:rPr>
          <w:rFonts w:cs="Times New Roman"/>
          <w:bCs/>
          <w:color w:val="000000" w:themeColor="text1"/>
          <w:lang w:val="en-AU"/>
        </w:rPr>
        <w:t>%)</w:t>
      </w:r>
      <w:r w:rsidR="00767779" w:rsidRPr="00EB766E">
        <w:rPr>
          <w:rFonts w:cs="Times New Roman"/>
          <w:bCs/>
          <w:color w:val="000000" w:themeColor="text1"/>
          <w:lang w:val="en-AU"/>
        </w:rPr>
        <w:t>;</w:t>
      </w:r>
      <w:r w:rsidR="000F4B57" w:rsidRPr="00EB766E">
        <w:rPr>
          <w:rFonts w:cs="Times New Roman"/>
          <w:bCs/>
          <w:color w:val="000000" w:themeColor="text1"/>
          <w:lang w:val="en-AU"/>
        </w:rPr>
        <w:t xml:space="preserve"> Madang (3</w:t>
      </w:r>
      <w:r w:rsidR="006E40F5" w:rsidRPr="00EB766E">
        <w:rPr>
          <w:rFonts w:cs="Times New Roman"/>
          <w:bCs/>
          <w:color w:val="000000" w:themeColor="text1"/>
          <w:lang w:val="en-AU"/>
        </w:rPr>
        <w:t>%)</w:t>
      </w:r>
      <w:r w:rsidR="00767779" w:rsidRPr="00EB766E">
        <w:rPr>
          <w:rFonts w:cs="Times New Roman"/>
          <w:bCs/>
          <w:color w:val="000000" w:themeColor="text1"/>
          <w:lang w:val="en-AU"/>
        </w:rPr>
        <w:t>;</w:t>
      </w:r>
      <w:r w:rsidR="000F4B57" w:rsidRPr="00EB766E">
        <w:rPr>
          <w:rFonts w:cs="Times New Roman"/>
          <w:bCs/>
          <w:color w:val="000000" w:themeColor="text1"/>
          <w:lang w:val="en-AU"/>
        </w:rPr>
        <w:t xml:space="preserve"> Bougainville Autonomous Government</w:t>
      </w:r>
      <w:r w:rsidR="00767779" w:rsidRPr="00EB766E">
        <w:rPr>
          <w:rFonts w:cs="Times New Roman"/>
          <w:bCs/>
          <w:color w:val="000000" w:themeColor="text1"/>
          <w:lang w:val="en-AU"/>
        </w:rPr>
        <w:t>;</w:t>
      </w:r>
      <w:r w:rsidR="000F4B57" w:rsidRPr="00EB766E">
        <w:rPr>
          <w:rFonts w:cs="Times New Roman"/>
          <w:bCs/>
          <w:color w:val="000000" w:themeColor="text1"/>
          <w:lang w:val="en-AU"/>
        </w:rPr>
        <w:t xml:space="preserve"> Milne Bay; and Southern Highlands (</w:t>
      </w:r>
      <w:r w:rsidR="006E40F5" w:rsidRPr="00EB766E">
        <w:rPr>
          <w:rFonts w:cs="Times New Roman"/>
          <w:bCs/>
          <w:color w:val="000000" w:themeColor="text1"/>
          <w:lang w:val="en-AU"/>
        </w:rPr>
        <w:t>2%</w:t>
      </w:r>
      <w:r w:rsidR="007E36DA" w:rsidRPr="00EB766E">
        <w:rPr>
          <w:rFonts w:cs="Times New Roman"/>
          <w:bCs/>
          <w:color w:val="000000" w:themeColor="text1"/>
          <w:lang w:val="en-AU"/>
        </w:rPr>
        <w:t xml:space="preserve"> </w:t>
      </w:r>
      <w:r w:rsidR="000F4B57" w:rsidRPr="00EB766E">
        <w:rPr>
          <w:rFonts w:cs="Times New Roman"/>
          <w:bCs/>
          <w:color w:val="000000" w:themeColor="text1"/>
          <w:lang w:val="en-AU"/>
        </w:rPr>
        <w:t>each</w:t>
      </w:r>
      <w:r w:rsidR="006E40F5" w:rsidRPr="00EB766E">
        <w:rPr>
          <w:rFonts w:cs="Times New Roman"/>
          <w:bCs/>
          <w:color w:val="000000" w:themeColor="text1"/>
          <w:lang w:val="en-AU"/>
        </w:rPr>
        <w:t>).</w:t>
      </w:r>
      <w:r w:rsidR="000F4B57" w:rsidRPr="00EB766E">
        <w:rPr>
          <w:rFonts w:cs="Times New Roman"/>
          <w:bCs/>
          <w:color w:val="000000" w:themeColor="text1"/>
          <w:lang w:val="en-AU"/>
        </w:rPr>
        <w:t xml:space="preserve"> </w:t>
      </w:r>
    </w:p>
    <w:p w:rsidR="000F4B57" w:rsidRPr="00091600" w:rsidRDefault="000F4B57" w:rsidP="000F4B57">
      <w:pPr>
        <w:pStyle w:val="BodyText"/>
        <w:rPr>
          <w:lang w:val="en-AU"/>
        </w:rPr>
      </w:pPr>
      <w:r w:rsidRPr="00EB766E">
        <w:rPr>
          <w:lang w:val="en-AU"/>
        </w:rPr>
        <w:t>A recent development since late 2017 has been the roll-out to districts and local</w:t>
      </w:r>
      <w:r w:rsidR="00F01C48" w:rsidRPr="00EB766E">
        <w:rPr>
          <w:lang w:val="en-AU"/>
        </w:rPr>
        <w:t xml:space="preserve"> </w:t>
      </w:r>
      <w:r w:rsidRPr="00EB766E">
        <w:rPr>
          <w:lang w:val="en-AU"/>
        </w:rPr>
        <w:t>governments</w:t>
      </w:r>
      <w:r w:rsidRPr="00091600">
        <w:rPr>
          <w:lang w:val="en-AU"/>
        </w:rPr>
        <w:t xml:space="preserve">, which now comprise 18% of participants (by May 2018). Given PNG’s size and the relative inaccessibility of many local offices, these courses are much more challenging to organise. This support to the </w:t>
      </w:r>
      <w:r w:rsidR="00E87298">
        <w:rPr>
          <w:lang w:val="en-AU"/>
        </w:rPr>
        <w:t>PNG Government</w:t>
      </w:r>
      <w:r w:rsidRPr="00091600">
        <w:rPr>
          <w:lang w:val="en-AU"/>
        </w:rPr>
        <w:t xml:space="preserve"> decentralisation agenda was welcomed by all our interviewees, who often noted extreme weaknesses in local administration: the low English literacy of local officials, their limited knowledge of </w:t>
      </w:r>
      <w:r w:rsidR="00E87298">
        <w:rPr>
          <w:lang w:val="en-AU"/>
        </w:rPr>
        <w:t>PNG Government</w:t>
      </w:r>
      <w:r w:rsidRPr="00091600">
        <w:rPr>
          <w:lang w:val="en-AU"/>
        </w:rPr>
        <w:t xml:space="preserve"> policies, the absence of adequate infrastructure/ICT, and the resulting opportunities for abuses of power and mismanagement, particularly regarding District Development Authority funds.</w:t>
      </w:r>
      <w:r w:rsidRPr="00091600">
        <w:rPr>
          <w:rStyle w:val="FootnoteReference"/>
          <w:lang w:val="en-AU"/>
        </w:rPr>
        <w:footnoteReference w:id="29"/>
      </w:r>
    </w:p>
    <w:p w:rsidR="000F4B57" w:rsidRPr="00091600" w:rsidRDefault="001876D2" w:rsidP="006A2786">
      <w:pPr>
        <w:pStyle w:val="Boxcaption"/>
        <w:rPr>
          <w:lang w:val="en-AU"/>
        </w:rPr>
      </w:pPr>
      <w:bookmarkStart w:id="74" w:name="_Ref536627718"/>
      <w:bookmarkStart w:id="75" w:name="_Toc536627417"/>
      <w:bookmarkStart w:id="76" w:name="_Toc536627428"/>
      <w:bookmarkStart w:id="77" w:name="_Toc2089250"/>
      <w:r w:rsidRPr="00091600">
        <w:rPr>
          <w:noProof/>
          <w:lang w:val="en-AU" w:eastAsia="en-AU"/>
        </w:rPr>
        <w:drawing>
          <wp:anchor distT="0" distB="0" distL="114300" distR="114300" simplePos="0" relativeHeight="251347968" behindDoc="0" locked="0" layoutInCell="1" allowOverlap="1" wp14:anchorId="1E851DE3" wp14:editId="73E44600">
            <wp:simplePos x="0" y="0"/>
            <wp:positionH relativeFrom="margin">
              <wp:align>center</wp:align>
            </wp:positionH>
            <wp:positionV relativeFrom="paragraph">
              <wp:posOffset>370840</wp:posOffset>
            </wp:positionV>
            <wp:extent cx="5509260" cy="3209925"/>
            <wp:effectExtent l="0" t="0" r="0" b="9525"/>
            <wp:wrapTopAndBottom/>
            <wp:docPr id="11" name="Picture 11" descr="This bar graph is showing that the overall number of beneficiaries has decreased each year, in the first year there were a significant number where the employment level is unknown. The table also shows the program has become increasing subnational over time, and in the last year has included a significant number of private sector participants." title="Participants per level of governmen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509260" cy="3209925"/>
                    </a:xfrm>
                    <a:prstGeom prst="rect">
                      <a:avLst/>
                    </a:prstGeom>
                  </pic:spPr>
                </pic:pic>
              </a:graphicData>
            </a:graphic>
            <wp14:sizeRelH relativeFrom="margin">
              <wp14:pctWidth>0</wp14:pctWidth>
            </wp14:sizeRelH>
            <wp14:sizeRelV relativeFrom="margin">
              <wp14:pctHeight>0</wp14:pctHeight>
            </wp14:sizeRelV>
          </wp:anchor>
        </w:drawing>
      </w:r>
      <w:r w:rsidR="004A4095" w:rsidRPr="00091600">
        <w:rPr>
          <w:lang w:val="en-AU"/>
        </w:rPr>
        <w:t>Figure</w:t>
      </w:r>
      <w:r w:rsidR="000F4B57" w:rsidRPr="00091600">
        <w:rPr>
          <w:lang w:val="en-AU"/>
        </w:rPr>
        <w:t xml:space="preserve"> </w:t>
      </w:r>
      <w:r w:rsidR="001C457F">
        <w:rPr>
          <w:lang w:val="en-AU"/>
        </w:rPr>
        <w:fldChar w:fldCharType="begin"/>
      </w:r>
      <w:r w:rsidR="001C457F">
        <w:rPr>
          <w:lang w:val="en-AU"/>
        </w:rPr>
        <w:instrText xml:space="preserve"> SEQ Figure \* ARABIC </w:instrText>
      </w:r>
      <w:r w:rsidR="001C457F">
        <w:rPr>
          <w:lang w:val="en-AU"/>
        </w:rPr>
        <w:fldChar w:fldCharType="separate"/>
      </w:r>
      <w:r w:rsidR="004964E9">
        <w:rPr>
          <w:noProof/>
          <w:lang w:val="en-AU"/>
        </w:rPr>
        <w:t>6</w:t>
      </w:r>
      <w:r w:rsidR="001C457F">
        <w:rPr>
          <w:lang w:val="en-AU"/>
        </w:rPr>
        <w:fldChar w:fldCharType="end"/>
      </w:r>
      <w:bookmarkEnd w:id="74"/>
      <w:r w:rsidR="000F4B57" w:rsidRPr="00091600">
        <w:rPr>
          <w:lang w:val="en-AU"/>
        </w:rPr>
        <w:t xml:space="preserve">: </w:t>
      </w:r>
      <w:r w:rsidR="000F4B57" w:rsidRPr="00091600">
        <w:rPr>
          <w:lang w:val="en-AU"/>
        </w:rPr>
        <w:tab/>
        <w:t>Participants per level of government (2015 to May 2018)</w:t>
      </w:r>
      <w:bookmarkEnd w:id="75"/>
      <w:bookmarkEnd w:id="76"/>
      <w:bookmarkEnd w:id="77"/>
    </w:p>
    <w:p w:rsidR="00F839DB" w:rsidRPr="00091600" w:rsidRDefault="00197A72" w:rsidP="005975B5">
      <w:pPr>
        <w:rPr>
          <w:rFonts w:ascii="Roboto Light" w:hAnsi="Roboto Light"/>
          <w:bCs/>
          <w:color w:val="14577E" w:themeColor="accent1" w:themeShade="80"/>
          <w:szCs w:val="20"/>
          <w:lang w:val="en-AU"/>
        </w:rPr>
      </w:pPr>
      <w:r w:rsidRPr="00091600">
        <w:rPr>
          <w:rFonts w:ascii="Roboto Light" w:hAnsi="Roboto Light"/>
          <w:noProof/>
        </w:rPr>
        <w:t xml:space="preserve"> </w:t>
      </w:r>
    </w:p>
    <w:p w:rsidR="000F4B57" w:rsidRPr="00091600" w:rsidRDefault="000F4B57" w:rsidP="000F4B57">
      <w:pPr>
        <w:pStyle w:val="BodyText"/>
        <w:rPr>
          <w:lang w:val="en-AU"/>
        </w:rPr>
      </w:pPr>
      <w:r w:rsidRPr="001422B3">
        <w:rPr>
          <w:rFonts w:ascii="Roboto" w:hAnsi="Roboto"/>
          <w:b/>
          <w:lang w:val="en-AU"/>
        </w:rPr>
        <w:t>Infrastructure</w:t>
      </w:r>
      <w:r w:rsidR="00767779" w:rsidRPr="006A2786">
        <w:rPr>
          <w:rFonts w:ascii="Roboto" w:hAnsi="Roboto"/>
          <w:lang w:val="en-AU"/>
        </w:rPr>
        <w:t>:</w:t>
      </w:r>
      <w:r w:rsidRPr="00091600">
        <w:rPr>
          <w:lang w:val="en-AU"/>
        </w:rPr>
        <w:t xml:space="preserve"> PILAG’s infrastructure dates from the 1960s. As part of the Precinct commitments, two new buildings were completed in June 2018</w:t>
      </w:r>
      <w:r w:rsidR="0096381F" w:rsidRPr="00091600">
        <w:rPr>
          <w:lang w:val="en-AU"/>
        </w:rPr>
        <w:t>.</w:t>
      </w:r>
      <w:r w:rsidRPr="00091600">
        <w:rPr>
          <w:lang w:val="en-AU"/>
        </w:rPr>
        <w:t xml:space="preserve"> A new PILAG administrative building creates a better working environment for its staff. A new Learning Resource Centre </w:t>
      </w:r>
      <w:r w:rsidR="0096381F" w:rsidRPr="00091600">
        <w:rPr>
          <w:lang w:val="en-AU"/>
        </w:rPr>
        <w:t>ha</w:t>
      </w:r>
      <w:r w:rsidR="005824E4" w:rsidRPr="00091600">
        <w:rPr>
          <w:lang w:val="en-AU"/>
        </w:rPr>
        <w:t>s</w:t>
      </w:r>
      <w:r w:rsidRPr="00091600">
        <w:rPr>
          <w:lang w:val="en-AU"/>
        </w:rPr>
        <w:t xml:space="preserve"> also been finalised and was scheduled to open by November 2018. At the time of the review,</w:t>
      </w:r>
      <w:r w:rsidR="00E72D5E" w:rsidRPr="00091600">
        <w:rPr>
          <w:lang w:val="en-AU"/>
        </w:rPr>
        <w:t xml:space="preserve"> </w:t>
      </w:r>
      <w:r w:rsidR="00050280" w:rsidRPr="00091600">
        <w:rPr>
          <w:lang w:val="en-AU"/>
        </w:rPr>
        <w:t>it</w:t>
      </w:r>
      <w:r w:rsidR="00291254" w:rsidRPr="00091600">
        <w:rPr>
          <w:lang w:val="en-AU"/>
        </w:rPr>
        <w:t xml:space="preserve"> was </w:t>
      </w:r>
      <w:r w:rsidR="00050280" w:rsidRPr="00091600">
        <w:rPr>
          <w:lang w:val="en-AU"/>
        </w:rPr>
        <w:t>not being used</w:t>
      </w:r>
      <w:r w:rsidR="005824E4" w:rsidRPr="00091600">
        <w:rPr>
          <w:lang w:val="en-AU"/>
        </w:rPr>
        <w:t>,</w:t>
      </w:r>
      <w:r w:rsidR="00050280" w:rsidRPr="00091600">
        <w:rPr>
          <w:lang w:val="en-AU"/>
        </w:rPr>
        <w:t xml:space="preserve"> as it had</w:t>
      </w:r>
      <w:r w:rsidR="00F1188E" w:rsidRPr="00091600">
        <w:rPr>
          <w:lang w:val="en-AU"/>
        </w:rPr>
        <w:t xml:space="preserve"> not yet been equipped with</w:t>
      </w:r>
      <w:r w:rsidR="00291254" w:rsidRPr="00091600">
        <w:rPr>
          <w:lang w:val="en-AU"/>
        </w:rPr>
        <w:t xml:space="preserve"> books </w:t>
      </w:r>
      <w:r w:rsidR="00F1188E" w:rsidRPr="00091600">
        <w:rPr>
          <w:lang w:val="en-AU"/>
        </w:rPr>
        <w:t>or</w:t>
      </w:r>
      <w:r w:rsidR="00291254" w:rsidRPr="00091600">
        <w:rPr>
          <w:lang w:val="en-AU"/>
        </w:rPr>
        <w:t xml:space="preserve"> computers.</w:t>
      </w:r>
    </w:p>
    <w:p w:rsidR="000F4B57" w:rsidRPr="00091600" w:rsidRDefault="000F4B57" w:rsidP="006A2786">
      <w:pPr>
        <w:pStyle w:val="Heading4"/>
        <w:rPr>
          <w:lang w:val="en-AU"/>
        </w:rPr>
      </w:pPr>
      <w:r w:rsidRPr="00091600">
        <w:rPr>
          <w:lang w:val="en-AU"/>
        </w:rPr>
        <w:t>Strengths</w:t>
      </w:r>
    </w:p>
    <w:p w:rsidR="000F4B57" w:rsidRPr="00EB766E" w:rsidRDefault="000F4B57" w:rsidP="000F4B57">
      <w:pPr>
        <w:pStyle w:val="BodyText"/>
        <w:rPr>
          <w:lang w:val="en-AU"/>
        </w:rPr>
      </w:pPr>
      <w:r w:rsidRPr="001422B3">
        <w:rPr>
          <w:rFonts w:ascii="Roboto" w:hAnsi="Roboto"/>
          <w:b/>
          <w:lang w:val="en-AU"/>
        </w:rPr>
        <w:t>Historic symbolism</w:t>
      </w:r>
      <w:r w:rsidR="005824E4" w:rsidRPr="00EB766E">
        <w:rPr>
          <w:rFonts w:ascii="Roboto" w:hAnsi="Roboto"/>
          <w:lang w:val="en-AU"/>
        </w:rPr>
        <w:t>:</w:t>
      </w:r>
      <w:r w:rsidRPr="00EB766E">
        <w:rPr>
          <w:lang w:val="en-AU"/>
        </w:rPr>
        <w:t xml:space="preserve"> since pre-independence times, PILAG has been recognised as the traditional PNG centre for public servants training from which PNG’s national leaders have emerged.</w:t>
      </w:r>
    </w:p>
    <w:p w:rsidR="000F4B57" w:rsidRPr="00EB766E" w:rsidRDefault="000F4B57" w:rsidP="000F4B57">
      <w:pPr>
        <w:pStyle w:val="BodyText"/>
        <w:rPr>
          <w:lang w:val="en-AU"/>
        </w:rPr>
      </w:pPr>
      <w:r w:rsidRPr="001422B3">
        <w:rPr>
          <w:rFonts w:ascii="Roboto" w:hAnsi="Roboto"/>
          <w:b/>
          <w:lang w:val="en-AU"/>
        </w:rPr>
        <w:t>Infrastructure</w:t>
      </w:r>
      <w:r w:rsidR="005824E4" w:rsidRPr="00EB766E">
        <w:rPr>
          <w:rFonts w:ascii="Roboto" w:hAnsi="Roboto"/>
          <w:lang w:val="en-AU"/>
        </w:rPr>
        <w:t>:</w:t>
      </w:r>
      <w:r w:rsidR="00237463" w:rsidRPr="00EB766E">
        <w:rPr>
          <w:lang w:val="en-AU"/>
        </w:rPr>
        <w:t xml:space="preserve"> </w:t>
      </w:r>
      <w:r w:rsidR="005824E4" w:rsidRPr="00EB766E">
        <w:rPr>
          <w:lang w:val="en-AU"/>
        </w:rPr>
        <w:t>i</w:t>
      </w:r>
      <w:r w:rsidR="00237463" w:rsidRPr="00EB766E">
        <w:rPr>
          <w:lang w:val="en-AU"/>
        </w:rPr>
        <w:t>n</w:t>
      </w:r>
      <w:r w:rsidRPr="00EB766E">
        <w:rPr>
          <w:lang w:val="en-AU"/>
        </w:rPr>
        <w:t xml:space="preserve"> Melanesian culture, constructing new buildings symbolises a stronger relationship between Australia and PNG. The new </w:t>
      </w:r>
      <w:r w:rsidR="005824E4" w:rsidRPr="00EB766E">
        <w:rPr>
          <w:lang w:val="en-AU"/>
        </w:rPr>
        <w:t>buildings</w:t>
      </w:r>
      <w:r w:rsidRPr="00EB766E">
        <w:rPr>
          <w:lang w:val="en-AU"/>
        </w:rPr>
        <w:t xml:space="preserve"> visibly demonstrate </w:t>
      </w:r>
      <w:r w:rsidR="00F1188E" w:rsidRPr="00EB766E">
        <w:rPr>
          <w:lang w:val="en-AU"/>
        </w:rPr>
        <w:t>Australian</w:t>
      </w:r>
      <w:r w:rsidR="00291254" w:rsidRPr="00EB766E">
        <w:rPr>
          <w:lang w:val="en-AU"/>
        </w:rPr>
        <w:t xml:space="preserve"> </w:t>
      </w:r>
      <w:r w:rsidRPr="00EB766E">
        <w:rPr>
          <w:lang w:val="en-AU"/>
        </w:rPr>
        <w:t>commitment to</w:t>
      </w:r>
      <w:r w:rsidR="00291254" w:rsidRPr="00EB766E">
        <w:rPr>
          <w:lang w:val="en-AU"/>
        </w:rPr>
        <w:t xml:space="preserve"> </w:t>
      </w:r>
      <w:r w:rsidRPr="00EB766E">
        <w:rPr>
          <w:lang w:val="en-AU"/>
        </w:rPr>
        <w:t>PNG</w:t>
      </w:r>
      <w:r w:rsidR="00BA6354" w:rsidRPr="00EB766E">
        <w:rPr>
          <w:lang w:val="en-AU"/>
        </w:rPr>
        <w:t>.</w:t>
      </w:r>
      <w:r w:rsidR="00BA6354" w:rsidRPr="00EB766E">
        <w:rPr>
          <w:rStyle w:val="FootnoteReference"/>
          <w:lang w:val="en-AU"/>
        </w:rPr>
        <w:footnoteReference w:id="30"/>
      </w:r>
      <w:r w:rsidR="00D62BD0" w:rsidRPr="00EB766E">
        <w:rPr>
          <w:lang w:val="en-AU"/>
        </w:rPr>
        <w:t xml:space="preserve"> </w:t>
      </w:r>
      <w:r w:rsidRPr="00EB766E">
        <w:rPr>
          <w:lang w:val="en-AU"/>
        </w:rPr>
        <w:t>On the practical side, the new PILAG infrastructure gives students and staff access to improved services which have the potential to improve students learning and PILAG management.</w:t>
      </w:r>
    </w:p>
    <w:p w:rsidR="000F4B57" w:rsidRPr="00091600" w:rsidRDefault="000F4B57" w:rsidP="000F4B57">
      <w:pPr>
        <w:pStyle w:val="BodyText"/>
        <w:rPr>
          <w:lang w:val="en-AU"/>
        </w:rPr>
      </w:pPr>
      <w:r w:rsidRPr="001422B3">
        <w:rPr>
          <w:rFonts w:ascii="Roboto" w:hAnsi="Roboto"/>
          <w:b/>
          <w:lang w:val="en-AU"/>
        </w:rPr>
        <w:t>PILAG Act 2017</w:t>
      </w:r>
      <w:r w:rsidR="005824E4" w:rsidRPr="00EB766E">
        <w:rPr>
          <w:rFonts w:ascii="Roboto" w:hAnsi="Roboto"/>
          <w:lang w:val="en-AU"/>
        </w:rPr>
        <w:t>:</w:t>
      </w:r>
      <w:r w:rsidR="00237463" w:rsidRPr="00EB766E">
        <w:rPr>
          <w:lang w:val="en-AU"/>
        </w:rPr>
        <w:t xml:space="preserve"> </w:t>
      </w:r>
      <w:r w:rsidR="005824E4" w:rsidRPr="00EB766E">
        <w:rPr>
          <w:lang w:val="en-AU"/>
        </w:rPr>
        <w:t>i</w:t>
      </w:r>
      <w:r w:rsidR="00EF2EC9" w:rsidRPr="00EB766E">
        <w:rPr>
          <w:lang w:val="en-AU"/>
        </w:rPr>
        <w:t>t</w:t>
      </w:r>
      <w:r w:rsidRPr="00EB766E">
        <w:rPr>
          <w:lang w:val="en-AU"/>
        </w:rPr>
        <w:t xml:space="preserve"> transformed PNG IPA within </w:t>
      </w:r>
      <w:r w:rsidR="00D626A3" w:rsidRPr="00EB766E">
        <w:rPr>
          <w:lang w:val="en-AU"/>
        </w:rPr>
        <w:t>D</w:t>
      </w:r>
      <w:r w:rsidR="00780A6F" w:rsidRPr="00EB766E">
        <w:rPr>
          <w:lang w:val="en-AU"/>
        </w:rPr>
        <w:t>PM</w:t>
      </w:r>
      <w:r w:rsidRPr="00EB766E">
        <w:rPr>
          <w:lang w:val="en-AU"/>
        </w:rPr>
        <w:t xml:space="preserve"> into PILAG </w:t>
      </w:r>
      <w:r w:rsidR="00417183" w:rsidRPr="00EB766E">
        <w:rPr>
          <w:lang w:val="en-AU"/>
        </w:rPr>
        <w:t xml:space="preserve">as </w:t>
      </w:r>
      <w:r w:rsidRPr="00EB766E">
        <w:rPr>
          <w:lang w:val="en-AU"/>
        </w:rPr>
        <w:t>a separate legal entity. This represents a new start for the organisation under a strong legal framework. It reinforces PILAG’s mandate of recognised quality training, with the potential to expand to the wider Pacific region. It enables it to operate as a business (with new</w:t>
      </w:r>
      <w:r w:rsidRPr="00091600">
        <w:rPr>
          <w:lang w:val="en-AU"/>
        </w:rPr>
        <w:t xml:space="preserve"> partners if required) to reduce its reliance on government, which is facing a fiscal crisis. It also requires appointing a CEO with experience in managing and delivering training.</w:t>
      </w:r>
      <w:r w:rsidRPr="00091600">
        <w:rPr>
          <w:rStyle w:val="FootnoteReference"/>
          <w:lang w:val="en-AU"/>
        </w:rPr>
        <w:footnoteReference w:id="31"/>
      </w:r>
    </w:p>
    <w:p w:rsidR="000F4B57" w:rsidRPr="00091600" w:rsidRDefault="000F4B57" w:rsidP="000F4B57">
      <w:pPr>
        <w:pStyle w:val="BodyText"/>
        <w:rPr>
          <w:lang w:val="en-AU"/>
        </w:rPr>
      </w:pPr>
      <w:r w:rsidRPr="001422B3">
        <w:rPr>
          <w:rFonts w:ascii="Roboto" w:hAnsi="Roboto"/>
          <w:b/>
          <w:lang w:val="en-AU"/>
        </w:rPr>
        <w:t>Training quality and co-delivery</w:t>
      </w:r>
      <w:r w:rsidR="005824E4" w:rsidRPr="006A2786">
        <w:rPr>
          <w:rFonts w:ascii="Roboto" w:hAnsi="Roboto"/>
          <w:lang w:val="en-AU"/>
        </w:rPr>
        <w:t>:</w:t>
      </w:r>
      <w:r w:rsidRPr="00091600">
        <w:rPr>
          <w:lang w:val="en-AU"/>
        </w:rPr>
        <w:t xml:space="preserve"> UQ and its local partner, Tanorama, have delivered the largest percentage of courses (45%). The different stakeholders we interviewed all coincided in their assessment of the high quality of these courses and their value for students</w:t>
      </w:r>
      <w:r w:rsidR="00417183">
        <w:rPr>
          <w:lang w:val="en-AU"/>
        </w:rPr>
        <w:t xml:space="preserve"> (See lessons learned box 1)</w:t>
      </w:r>
      <w:r w:rsidRPr="00091600">
        <w:rPr>
          <w:lang w:val="en-AU"/>
        </w:rPr>
        <w:t>. An engaging methodology and practical exercises for the PNG context were highlighted as the most valuable characteristics</w:t>
      </w:r>
      <w:r w:rsidR="00417183">
        <w:rPr>
          <w:lang w:val="en-AU"/>
        </w:rPr>
        <w:t xml:space="preserve">. </w:t>
      </w:r>
      <w:r w:rsidRPr="00091600">
        <w:rPr>
          <w:lang w:val="en-AU"/>
        </w:rPr>
        <w:t xml:space="preserve">Public servants who attended UQ Future Leaders courses or </w:t>
      </w:r>
      <w:r w:rsidR="005824E4" w:rsidRPr="00091600">
        <w:rPr>
          <w:lang w:val="en-AU"/>
        </w:rPr>
        <w:t>s</w:t>
      </w:r>
      <w:r w:rsidR="00D27534" w:rsidRPr="00091600">
        <w:rPr>
          <w:lang w:val="en-AU"/>
        </w:rPr>
        <w:t xml:space="preserve">hort </w:t>
      </w:r>
      <w:r w:rsidR="005824E4" w:rsidRPr="00091600">
        <w:rPr>
          <w:lang w:val="en-AU"/>
        </w:rPr>
        <w:t>c</w:t>
      </w:r>
      <w:r w:rsidR="00D27534" w:rsidRPr="00091600">
        <w:rPr>
          <w:lang w:val="en-AU"/>
        </w:rPr>
        <w:t>ourses</w:t>
      </w:r>
      <w:r w:rsidRPr="00091600">
        <w:rPr>
          <w:lang w:val="en-AU"/>
        </w:rPr>
        <w:t xml:space="preserve"> described in our interviews how they had become aware of learning from one another, and not just from the trainers. Prior to the courses, they did not think their experiences mattered, or that they could add to a body of knowledge. Participating in the courses generated a feeling of being empowered by their new-found knowledge and their approach to learning. All</w:t>
      </w:r>
      <w:r w:rsidR="00090A5B" w:rsidRPr="00091600">
        <w:rPr>
          <w:lang w:val="en-AU"/>
        </w:rPr>
        <w:t xml:space="preserve"> </w:t>
      </w:r>
      <w:r w:rsidRPr="00091600">
        <w:rPr>
          <w:lang w:val="en-AU"/>
        </w:rPr>
        <w:t>agreed that they would most definitely share with colleagues what they had learned and would implement it in their workplace. Participants saw themselves as ‘change agents’, a terminology that kept coming up in the interviews with public servants taught by the UQ lecturers.</w:t>
      </w:r>
    </w:p>
    <w:p w:rsidR="000F4B57" w:rsidRPr="00091600" w:rsidRDefault="000F4B57" w:rsidP="000F4B57">
      <w:pPr>
        <w:pStyle w:val="BodyText"/>
        <w:rPr>
          <w:lang w:val="en-AU"/>
        </w:rPr>
      </w:pPr>
      <w:r w:rsidRPr="00091600">
        <w:rPr>
          <w:lang w:val="en-AU"/>
        </w:rPr>
        <w:t>CIT Solutions was cited in our interviews as a very good example of how to improve PILAG’s capacity. Their co-design, co-development, and co-delivery approach was specified in their contract with APSC. It has allowed some PILAG staff interested in professional development to be exposed to, and learn from, new and modern teaching methodologies. This has helped participating PILAG staff improve their teaching skills.</w:t>
      </w:r>
      <w:r w:rsidRPr="00091600">
        <w:rPr>
          <w:rStyle w:val="FootnoteReference"/>
          <w:lang w:val="en-AU"/>
        </w:rPr>
        <w:footnoteReference w:id="32"/>
      </w:r>
      <w:r w:rsidRPr="00091600">
        <w:rPr>
          <w:lang w:val="en-AU"/>
        </w:rPr>
        <w:t xml:space="preserve"> PILAG interviewees felt this created positive impact on other PILAG courses delivered, even outside the Precinct.</w:t>
      </w:r>
    </w:p>
    <w:p w:rsidR="000F4B57" w:rsidRPr="00091600" w:rsidRDefault="000F4B57" w:rsidP="006A2786">
      <w:pPr>
        <w:pStyle w:val="Heading4"/>
        <w:rPr>
          <w:lang w:val="en-AU"/>
        </w:rPr>
      </w:pPr>
      <w:r w:rsidRPr="006A2786">
        <w:t>Challenges</w:t>
      </w:r>
    </w:p>
    <w:p w:rsidR="000F4B57" w:rsidRPr="00091600" w:rsidRDefault="000F4B57" w:rsidP="000F4B57">
      <w:pPr>
        <w:pStyle w:val="BodyText"/>
        <w:rPr>
          <w:lang w:val="en-AU"/>
        </w:rPr>
      </w:pPr>
      <w:r w:rsidRPr="001422B3">
        <w:rPr>
          <w:rFonts w:ascii="Roboto" w:hAnsi="Roboto"/>
          <w:b/>
          <w:lang w:val="en-AU"/>
        </w:rPr>
        <w:t>PILAG capacity to deliver high-quality training</w:t>
      </w:r>
      <w:r w:rsidR="005824E4" w:rsidRPr="006A2786">
        <w:rPr>
          <w:rFonts w:ascii="Roboto" w:hAnsi="Roboto"/>
          <w:lang w:val="en-AU"/>
        </w:rPr>
        <w:t>:</w:t>
      </w:r>
      <w:r w:rsidR="00945A80" w:rsidRPr="00091600">
        <w:rPr>
          <w:lang w:val="en-AU"/>
        </w:rPr>
        <w:t xml:space="preserve"> </w:t>
      </w:r>
      <w:r w:rsidR="005824E4" w:rsidRPr="00091600">
        <w:rPr>
          <w:lang w:val="en-AU"/>
        </w:rPr>
        <w:t>t</w:t>
      </w:r>
      <w:r w:rsidR="00A942EB" w:rsidRPr="00091600">
        <w:rPr>
          <w:lang w:val="en-AU"/>
        </w:rPr>
        <w:t>he</w:t>
      </w:r>
      <w:r w:rsidRPr="00091600">
        <w:rPr>
          <w:lang w:val="en-AU"/>
        </w:rPr>
        <w:t xml:space="preserve"> original design was adequately ambitious. It aspired not only to deliver more and better courses, but also, overall, to transform the </w:t>
      </w:r>
      <w:r w:rsidR="009F5553" w:rsidRPr="00091600">
        <w:rPr>
          <w:lang w:val="en-AU"/>
        </w:rPr>
        <w:t>i</w:t>
      </w:r>
      <w:r w:rsidR="00126A3F" w:rsidRPr="00091600">
        <w:rPr>
          <w:lang w:val="en-AU"/>
        </w:rPr>
        <w:t>nstitute</w:t>
      </w:r>
      <w:r w:rsidRPr="00091600">
        <w:rPr>
          <w:lang w:val="en-AU"/>
        </w:rPr>
        <w:t xml:space="preserve"> into a ‘School of Government’ which would be quality assured and recognised by PNG’s National Training Council.</w:t>
      </w:r>
      <w:r w:rsidRPr="00091600">
        <w:rPr>
          <w:rStyle w:val="FootnoteReference"/>
          <w:lang w:val="en-AU"/>
        </w:rPr>
        <w:footnoteReference w:id="33"/>
      </w:r>
      <w:r w:rsidRPr="00091600">
        <w:rPr>
          <w:lang w:val="en-AU"/>
        </w:rPr>
        <w:t xml:space="preserve"> </w:t>
      </w:r>
    </w:p>
    <w:p w:rsidR="000F4B57" w:rsidRPr="00091600" w:rsidRDefault="000F4B57" w:rsidP="000F4B57">
      <w:pPr>
        <w:pStyle w:val="BodyText"/>
        <w:rPr>
          <w:lang w:val="en-AU"/>
        </w:rPr>
      </w:pPr>
      <w:r w:rsidRPr="00091600">
        <w:rPr>
          <w:lang w:val="en-AU"/>
        </w:rPr>
        <w:t xml:space="preserve">The Precinct support to PILAG is small in comparison to PILAG’s ongoing activities. For example, in 2017, </w:t>
      </w:r>
      <w:r w:rsidRPr="00091600">
        <w:rPr>
          <w:color w:val="000000"/>
          <w:lang w:val="en-AU"/>
        </w:rPr>
        <w:t>PILAG undertook 14 deliveries of long-term training courses (368 participants) and 15 deliveries of short courses (369 participants).</w:t>
      </w:r>
      <w:r w:rsidRPr="00091600">
        <w:rPr>
          <w:rStyle w:val="FootnoteReference"/>
          <w:color w:val="000000"/>
          <w:lang w:val="en-AU"/>
        </w:rPr>
        <w:footnoteReference w:id="34"/>
      </w:r>
      <w:r w:rsidRPr="00091600">
        <w:rPr>
          <w:color w:val="000000"/>
          <w:lang w:val="en-AU"/>
        </w:rPr>
        <w:t xml:space="preserve"> </w:t>
      </w:r>
      <w:r w:rsidRPr="00091600">
        <w:rPr>
          <w:lang w:val="en-AU"/>
        </w:rPr>
        <w:t>By comparison, in the same year, the Precinct supported PILAG, CIT</w:t>
      </w:r>
      <w:r w:rsidR="00EF4A0A">
        <w:rPr>
          <w:lang w:val="en-AU"/>
        </w:rPr>
        <w:t xml:space="preserve"> Solutions</w:t>
      </w:r>
      <w:r w:rsidRPr="00091600">
        <w:rPr>
          <w:lang w:val="en-AU"/>
        </w:rPr>
        <w:t>, and APSC to train (together or separately) about 10% (79 participants) of those trained by PILAG without Precinct support.</w:t>
      </w:r>
      <w:r w:rsidRPr="00091600">
        <w:rPr>
          <w:rStyle w:val="FootnoteReference"/>
          <w:lang w:val="en-AU"/>
        </w:rPr>
        <w:footnoteReference w:id="35"/>
      </w:r>
      <w:r w:rsidRPr="00091600">
        <w:rPr>
          <w:lang w:val="en-AU"/>
        </w:rPr>
        <w:t xml:space="preserve"> </w:t>
      </w:r>
    </w:p>
    <w:p w:rsidR="000F4B57" w:rsidRPr="00091600" w:rsidRDefault="000F4B57" w:rsidP="000F4B57">
      <w:pPr>
        <w:pStyle w:val="BodyText"/>
        <w:rPr>
          <w:lang w:val="en-AU"/>
        </w:rPr>
      </w:pPr>
      <w:r w:rsidRPr="00091600">
        <w:rPr>
          <w:lang w:val="en-AU"/>
        </w:rPr>
        <w:t>The PILAG</w:t>
      </w:r>
      <w:r w:rsidR="005824E4" w:rsidRPr="00091600">
        <w:rPr>
          <w:lang w:val="en-AU"/>
        </w:rPr>
        <w:t>–</w:t>
      </w:r>
      <w:r w:rsidRPr="00091600">
        <w:rPr>
          <w:lang w:val="en-AU"/>
        </w:rPr>
        <w:t xml:space="preserve">APSC partnership was designed to strengthen PILAG capacity and APSC’s implementer, CIT Solutions, has adopted a good co-delivery approach and delivered a Diploma in Training Design and Development to eight PILAG officers in 2016. </w:t>
      </w:r>
      <w:r w:rsidR="00B6663C" w:rsidRPr="00091600">
        <w:rPr>
          <w:lang w:val="en-AU"/>
        </w:rPr>
        <w:t>D</w:t>
      </w:r>
      <w:r w:rsidR="005C1829" w:rsidRPr="00091600">
        <w:rPr>
          <w:lang w:val="en-AU"/>
        </w:rPr>
        <w:t xml:space="preserve">isappointingly, </w:t>
      </w:r>
      <w:r w:rsidR="008506A1" w:rsidRPr="00091600">
        <w:rPr>
          <w:lang w:val="en-AU"/>
        </w:rPr>
        <w:t>only five</w:t>
      </w:r>
      <w:r w:rsidRPr="00091600">
        <w:rPr>
          <w:lang w:val="en-AU"/>
        </w:rPr>
        <w:t xml:space="preserve"> completed the course, and few PILAG trainers seem to be taking up opportunities to strengthen their skills.</w:t>
      </w:r>
      <w:r w:rsidRPr="00091600">
        <w:rPr>
          <w:rStyle w:val="FootnoteReference"/>
          <w:lang w:val="en-AU"/>
        </w:rPr>
        <w:footnoteReference w:id="36"/>
      </w:r>
      <w:r w:rsidR="001214E4" w:rsidRPr="00091600">
        <w:rPr>
          <w:lang w:val="en-AU"/>
        </w:rPr>
        <w:t xml:space="preserve"> </w:t>
      </w:r>
    </w:p>
    <w:p w:rsidR="00897AB3" w:rsidRPr="00091600" w:rsidRDefault="005824E4" w:rsidP="005975B5">
      <w:pPr>
        <w:pStyle w:val="BodyText"/>
        <w:rPr>
          <w:lang w:val="en-AU"/>
        </w:rPr>
      </w:pPr>
      <w:r w:rsidRPr="00091600">
        <w:rPr>
          <w:lang w:val="en-AU"/>
        </w:rPr>
        <w:t>W</w:t>
      </w:r>
      <w:r w:rsidR="00897AB3" w:rsidRPr="00091600">
        <w:rPr>
          <w:lang w:val="en-AU"/>
        </w:rPr>
        <w:t xml:space="preserve">e could not find evidence that UQ had transferred skills to PILAG staff. This is a direct result of </w:t>
      </w:r>
      <w:r w:rsidR="00D8124B" w:rsidRPr="00091600">
        <w:rPr>
          <w:lang w:val="en-AU"/>
        </w:rPr>
        <w:t xml:space="preserve">the </w:t>
      </w:r>
      <w:r w:rsidR="001075F1" w:rsidRPr="00091600">
        <w:rPr>
          <w:lang w:val="en-AU"/>
        </w:rPr>
        <w:t xml:space="preserve">Precinct </w:t>
      </w:r>
      <w:r w:rsidR="00897AB3" w:rsidRPr="00091600">
        <w:rPr>
          <w:lang w:val="en-AU"/>
        </w:rPr>
        <w:t>design</w:t>
      </w:r>
      <w:r w:rsidR="00022B7B">
        <w:rPr>
          <w:lang w:val="en-AU"/>
        </w:rPr>
        <w:t>: t</w:t>
      </w:r>
      <w:r w:rsidR="00897AB3" w:rsidRPr="00091600">
        <w:rPr>
          <w:lang w:val="en-AU"/>
        </w:rPr>
        <w:t>he UQ contract was not meant to improve PILAG capacity</w:t>
      </w:r>
      <w:r w:rsidR="00022B7B">
        <w:rPr>
          <w:lang w:val="en-AU"/>
        </w:rPr>
        <w:t xml:space="preserve"> and</w:t>
      </w:r>
      <w:r w:rsidR="00897AB3" w:rsidRPr="00091600">
        <w:rPr>
          <w:lang w:val="en-AU"/>
        </w:rPr>
        <w:t xml:space="preserve"> only one PILAG trainer was designated to work with UQ.</w:t>
      </w:r>
    </w:p>
    <w:p w:rsidR="000F4B57" w:rsidRPr="00091600" w:rsidRDefault="000F4B57" w:rsidP="000F4B57">
      <w:pPr>
        <w:pStyle w:val="BodyText"/>
        <w:rPr>
          <w:lang w:val="en-AU"/>
        </w:rPr>
      </w:pPr>
      <w:r w:rsidRPr="00091600">
        <w:rPr>
          <w:lang w:val="en-AU"/>
        </w:rPr>
        <w:t>A key factor for the sustainability of the program in the long run is to create the capacity within PILAG to design and deliver high-quality training.</w:t>
      </w:r>
    </w:p>
    <w:p w:rsidR="000F4B57" w:rsidRPr="00091600" w:rsidRDefault="000F4B57" w:rsidP="000F4B57">
      <w:pPr>
        <w:pStyle w:val="BodyText"/>
        <w:rPr>
          <w:lang w:val="en-AU"/>
        </w:rPr>
      </w:pPr>
      <w:r w:rsidRPr="001422B3">
        <w:rPr>
          <w:rFonts w:ascii="Roboto" w:hAnsi="Roboto"/>
          <w:b/>
          <w:lang w:val="en-AU"/>
        </w:rPr>
        <w:t>PILAG institutional capacity</w:t>
      </w:r>
      <w:r w:rsidR="005824E4" w:rsidRPr="006A2786">
        <w:rPr>
          <w:rFonts w:ascii="Roboto" w:hAnsi="Roboto"/>
          <w:lang w:val="en-AU"/>
        </w:rPr>
        <w:t>:</w:t>
      </w:r>
      <w:r w:rsidR="001A3E73" w:rsidRPr="00091600">
        <w:rPr>
          <w:lang w:val="en-AU"/>
        </w:rPr>
        <w:t xml:space="preserve"> </w:t>
      </w:r>
      <w:r w:rsidR="005824E4" w:rsidRPr="00091600">
        <w:rPr>
          <w:lang w:val="en-AU"/>
        </w:rPr>
        <w:t>t</w:t>
      </w:r>
      <w:r w:rsidR="00FD0532" w:rsidRPr="00091600">
        <w:rPr>
          <w:lang w:val="en-AU"/>
        </w:rPr>
        <w:t>o</w:t>
      </w:r>
      <w:r w:rsidRPr="00091600">
        <w:rPr>
          <w:lang w:val="en-AU"/>
        </w:rPr>
        <w:t xml:space="preserve"> deliver high-quality courses, PILAG needs adequate management, administrative, and student services capacity. The 2015 Design envisaged a number of improvements in areas such as strategic planning, resource management, and other core governance policies, systems, and processes (see </w:t>
      </w:r>
      <w:r w:rsidRPr="00091600">
        <w:rPr>
          <w:lang w:val="en-AU"/>
        </w:rPr>
        <w:fldChar w:fldCharType="begin"/>
      </w:r>
      <w:r w:rsidRPr="00091600">
        <w:rPr>
          <w:lang w:val="en-AU"/>
        </w:rPr>
        <w:instrText xml:space="preserve"> REF _Ref524707949 \r \h  \* MERGEFORMAT </w:instrText>
      </w:r>
      <w:r w:rsidRPr="00091600">
        <w:rPr>
          <w:lang w:val="en-AU"/>
        </w:rPr>
      </w:r>
      <w:r w:rsidRPr="00091600">
        <w:rPr>
          <w:lang w:val="en-AU"/>
        </w:rPr>
        <w:fldChar w:fldCharType="separate"/>
      </w:r>
      <w:r w:rsidR="004964E9">
        <w:rPr>
          <w:lang w:val="en-AU"/>
        </w:rPr>
        <w:t>Annex D</w:t>
      </w:r>
      <w:r w:rsidRPr="00091600">
        <w:rPr>
          <w:lang w:val="en-AU"/>
        </w:rPr>
        <w:fldChar w:fldCharType="end"/>
      </w:r>
      <w:r w:rsidRPr="00091600">
        <w:rPr>
          <w:lang w:val="en-AU"/>
        </w:rPr>
        <w:t>—Results Table, PILAG section). However, the team was not able to identify credible evidence that PILAG’s core capacity is being developed in a sustainable manner.</w:t>
      </w:r>
    </w:p>
    <w:p w:rsidR="000F4B57" w:rsidRPr="00091600" w:rsidRDefault="000F4B57" w:rsidP="000F4B57">
      <w:pPr>
        <w:pStyle w:val="BodyText"/>
        <w:rPr>
          <w:lang w:val="en-AU"/>
        </w:rPr>
      </w:pPr>
      <w:r w:rsidRPr="00091600">
        <w:rPr>
          <w:lang w:val="en-AU"/>
        </w:rPr>
        <w:t>Staffing issues include long-term gaps and a misalignment of staff with skills needed in particular roles.</w:t>
      </w:r>
      <w:r w:rsidRPr="00091600">
        <w:rPr>
          <w:rStyle w:val="FootnoteReference"/>
          <w:lang w:val="en-AU"/>
        </w:rPr>
        <w:footnoteReference w:id="37"/>
      </w:r>
      <w:r w:rsidRPr="00091600">
        <w:rPr>
          <w:lang w:val="en-AU"/>
        </w:rPr>
        <w:t xml:space="preserve"> Financial management will have to be a priority. We understand that PILAG has not been externally audited for a number of years.</w:t>
      </w:r>
    </w:p>
    <w:p w:rsidR="000F4B57" w:rsidRPr="00091600" w:rsidRDefault="000F4B57" w:rsidP="000F4B57">
      <w:pPr>
        <w:pStyle w:val="BodyText"/>
        <w:rPr>
          <w:lang w:val="en-AU"/>
        </w:rPr>
      </w:pPr>
      <w:r w:rsidRPr="001422B3">
        <w:rPr>
          <w:b/>
          <w:lang w:val="en-AU"/>
        </w:rPr>
        <w:t>PILAG capacity to meet provincial and district needs</w:t>
      </w:r>
      <w:r w:rsidR="005824E4" w:rsidRPr="00091600">
        <w:rPr>
          <w:lang w:val="en-AU"/>
        </w:rPr>
        <w:t>:</w:t>
      </w:r>
      <w:r w:rsidR="005953EB" w:rsidRPr="00091600">
        <w:rPr>
          <w:lang w:val="en-AU"/>
        </w:rPr>
        <w:t xml:space="preserve"> </w:t>
      </w:r>
      <w:r w:rsidR="005824E4" w:rsidRPr="00091600">
        <w:rPr>
          <w:color w:val="000000" w:themeColor="text1"/>
          <w:lang w:val="en-AU"/>
        </w:rPr>
        <w:t>i</w:t>
      </w:r>
      <w:r w:rsidR="00C83753" w:rsidRPr="00091600">
        <w:rPr>
          <w:color w:val="000000" w:themeColor="text1"/>
          <w:lang w:val="en-AU"/>
        </w:rPr>
        <w:t>n</w:t>
      </w:r>
      <w:r w:rsidRPr="00091600">
        <w:rPr>
          <w:color w:val="000000" w:themeColor="text1"/>
          <w:lang w:val="en-AU"/>
        </w:rPr>
        <w:t xml:space="preserve"> terms of geographical outreach, PILAG aims to have four functional regional centres tied to local universities to increase access and to tailor training </w:t>
      </w:r>
      <w:r w:rsidRPr="00091600">
        <w:rPr>
          <w:lang w:val="en-AU"/>
        </w:rPr>
        <w:t xml:space="preserve">based on regional needs. The Islands Regional Training Centre in Vunadidir, East New Britain Province, which was visited by the </w:t>
      </w:r>
      <w:r w:rsidR="00CF45C5" w:rsidRPr="00091600">
        <w:rPr>
          <w:lang w:val="en-AU"/>
        </w:rPr>
        <w:t>review</w:t>
      </w:r>
      <w:r w:rsidRPr="00091600">
        <w:rPr>
          <w:lang w:val="en-AU"/>
        </w:rPr>
        <w:t xml:space="preserve"> team, was not structurally safe. As a result, PILAG trainings are held in a hotel conference venue, at a much higher cost. Precinct infrastructure investment has benefited national campuses, but not provincial ones, where the needs are greater. </w:t>
      </w:r>
    </w:p>
    <w:p w:rsidR="000F4B57" w:rsidRPr="00091600" w:rsidRDefault="000F4B57" w:rsidP="006A2786">
      <w:pPr>
        <w:pStyle w:val="Heading4"/>
        <w:rPr>
          <w:lang w:val="en-AU"/>
        </w:rPr>
      </w:pPr>
      <w:r w:rsidRPr="006A2786">
        <w:t>Opportunities</w:t>
      </w:r>
    </w:p>
    <w:p w:rsidR="000F4B57" w:rsidRPr="00091600" w:rsidRDefault="000F4B57" w:rsidP="000F4B57">
      <w:pPr>
        <w:pStyle w:val="BodyText"/>
        <w:rPr>
          <w:lang w:val="en-AU"/>
        </w:rPr>
      </w:pPr>
      <w:r w:rsidRPr="001422B3">
        <w:rPr>
          <w:rFonts w:ascii="Roboto" w:hAnsi="Roboto"/>
          <w:b/>
          <w:lang w:val="en-AU"/>
        </w:rPr>
        <w:t>PILAG status</w:t>
      </w:r>
      <w:r w:rsidR="005824E4" w:rsidRPr="006A2786">
        <w:rPr>
          <w:rFonts w:ascii="Roboto" w:hAnsi="Roboto"/>
          <w:lang w:val="en-AU"/>
        </w:rPr>
        <w:t>:</w:t>
      </w:r>
      <w:r w:rsidR="001A3E73" w:rsidRPr="00091600">
        <w:rPr>
          <w:lang w:val="en-AU"/>
        </w:rPr>
        <w:t xml:space="preserve"> </w:t>
      </w:r>
      <w:r w:rsidR="005824E4" w:rsidRPr="00091600">
        <w:rPr>
          <w:lang w:val="en-AU"/>
        </w:rPr>
        <w:t>t</w:t>
      </w:r>
      <w:r w:rsidR="001A3E73" w:rsidRPr="00091600">
        <w:rPr>
          <w:lang w:val="en-AU"/>
        </w:rPr>
        <w:t>he</w:t>
      </w:r>
      <w:r w:rsidRPr="00091600">
        <w:rPr>
          <w:lang w:val="en-AU"/>
        </w:rPr>
        <w:t xml:space="preserve"> main opportunity for PILAG to grow is to make the best use of its new legal framework and its explicit mandate to become a new and modern organisation.</w:t>
      </w:r>
      <w:r w:rsidR="001A3E73" w:rsidRPr="00091600">
        <w:rPr>
          <w:lang w:val="en-AU"/>
        </w:rPr>
        <w:t xml:space="preserve"> </w:t>
      </w:r>
      <w:r w:rsidR="00CB7AC4" w:rsidRPr="00091600">
        <w:rPr>
          <w:lang w:val="en-AU"/>
        </w:rPr>
        <w:t xml:space="preserve">However, changes through a legal Act, and </w:t>
      </w:r>
      <w:r w:rsidR="005824E4" w:rsidRPr="00091600">
        <w:rPr>
          <w:lang w:val="en-AU"/>
        </w:rPr>
        <w:t xml:space="preserve">adopting </w:t>
      </w:r>
      <w:r w:rsidR="00CB7AC4" w:rsidRPr="00091600">
        <w:rPr>
          <w:lang w:val="en-AU"/>
        </w:rPr>
        <w:t xml:space="preserve">a new </w:t>
      </w:r>
      <w:r w:rsidR="005824E4" w:rsidRPr="00091600">
        <w:rPr>
          <w:lang w:val="en-AU"/>
        </w:rPr>
        <w:t>name</w:t>
      </w:r>
      <w:r w:rsidR="00CB7AC4" w:rsidRPr="00091600">
        <w:rPr>
          <w:lang w:val="en-AU"/>
        </w:rPr>
        <w:t>, are not sufficient.</w:t>
      </w:r>
      <w:r w:rsidRPr="00091600">
        <w:rPr>
          <w:lang w:val="en-AU"/>
        </w:rPr>
        <w:t xml:space="preserve"> PILAG needs to set the foundations to be able to sustain change, both in terms of its core institutional capacity and its ability to deliver high-quality training.</w:t>
      </w:r>
    </w:p>
    <w:p w:rsidR="000F4B57" w:rsidRPr="00091600" w:rsidRDefault="00E55F17" w:rsidP="001422B3">
      <w:pPr>
        <w:pStyle w:val="BodyText"/>
        <w:rPr>
          <w:lang w:val="en-AU"/>
        </w:rPr>
      </w:pPr>
      <w:r w:rsidRPr="00091600">
        <w:rPr>
          <w:lang w:val="en-AU"/>
        </w:rPr>
        <w:t>In</w:t>
      </w:r>
      <w:r w:rsidR="000F4B57" w:rsidRPr="00091600">
        <w:rPr>
          <w:lang w:val="en-AU"/>
        </w:rPr>
        <w:t xml:space="preserve"> terms of leadership and systems, this </w:t>
      </w:r>
      <w:r w:rsidRPr="00091600">
        <w:rPr>
          <w:lang w:val="en-AU"/>
        </w:rPr>
        <w:t>would include</w:t>
      </w:r>
      <w:r w:rsidR="0049780E">
        <w:rPr>
          <w:lang w:val="en-AU"/>
        </w:rPr>
        <w:t>:</w:t>
      </w:r>
      <w:r w:rsidRPr="00091600">
        <w:rPr>
          <w:lang w:val="en-AU"/>
        </w:rPr>
        <w:t xml:space="preserve"> appoint</w:t>
      </w:r>
      <w:r w:rsidR="005824E4" w:rsidRPr="00091600">
        <w:rPr>
          <w:lang w:val="en-AU"/>
        </w:rPr>
        <w:t>ing</w:t>
      </w:r>
      <w:r w:rsidR="001214E4" w:rsidRPr="00091600">
        <w:rPr>
          <w:lang w:val="en-AU"/>
        </w:rPr>
        <w:t xml:space="preserve"> </w:t>
      </w:r>
      <w:r w:rsidR="000F4B57" w:rsidRPr="00091600">
        <w:rPr>
          <w:lang w:val="en-AU"/>
        </w:rPr>
        <w:t xml:space="preserve">a new Chief Executive Officer (CEO) and </w:t>
      </w:r>
      <w:r w:rsidR="005824E4" w:rsidRPr="00091600">
        <w:rPr>
          <w:lang w:val="en-AU"/>
        </w:rPr>
        <w:t>b</w:t>
      </w:r>
      <w:r w:rsidRPr="00091600">
        <w:rPr>
          <w:lang w:val="en-AU"/>
        </w:rPr>
        <w:t>oard</w:t>
      </w:r>
      <w:r w:rsidR="000F4B57" w:rsidRPr="00091600">
        <w:rPr>
          <w:lang w:val="en-AU"/>
        </w:rPr>
        <w:t>, according to the parameters established in the PILAG Act;</w:t>
      </w:r>
      <w:r w:rsidRPr="00091600">
        <w:rPr>
          <w:lang w:val="en-AU"/>
        </w:rPr>
        <w:t xml:space="preserve"> se</w:t>
      </w:r>
      <w:r w:rsidR="005824E4" w:rsidRPr="00091600">
        <w:rPr>
          <w:lang w:val="en-AU"/>
        </w:rPr>
        <w:t>tting</w:t>
      </w:r>
      <w:r w:rsidR="000F4B57" w:rsidRPr="00091600">
        <w:rPr>
          <w:lang w:val="en-AU"/>
        </w:rPr>
        <w:t xml:space="preserve"> up an inclusive and competent core team that can support the actions of the new CEO; </w:t>
      </w:r>
      <w:r w:rsidR="001214E4" w:rsidRPr="00091600">
        <w:rPr>
          <w:lang w:val="en-AU"/>
        </w:rPr>
        <w:t>e</w:t>
      </w:r>
      <w:r w:rsidR="000F4B57" w:rsidRPr="00091600">
        <w:rPr>
          <w:lang w:val="en-AU"/>
        </w:rPr>
        <w:t xml:space="preserve">stablishing the </w:t>
      </w:r>
      <w:r w:rsidRPr="00091600">
        <w:rPr>
          <w:lang w:val="en-AU"/>
        </w:rPr>
        <w:t>scaffolding</w:t>
      </w:r>
      <w:r w:rsidR="000F4B57" w:rsidRPr="00091600">
        <w:rPr>
          <w:lang w:val="en-AU"/>
        </w:rPr>
        <w:t xml:space="preserve"> required for organisational growth (financial, administrative, and human resource management systems); </w:t>
      </w:r>
      <w:r w:rsidR="001214E4" w:rsidRPr="00091600">
        <w:rPr>
          <w:lang w:val="en-AU"/>
        </w:rPr>
        <w:t>p</w:t>
      </w:r>
      <w:r w:rsidR="000F4B57" w:rsidRPr="00091600">
        <w:rPr>
          <w:lang w:val="en-AU"/>
        </w:rPr>
        <w:t xml:space="preserve">erforming an independent audit of the organisation for a fresh start; </w:t>
      </w:r>
      <w:r w:rsidRPr="00091600">
        <w:rPr>
          <w:lang w:val="en-AU"/>
        </w:rPr>
        <w:t>approv</w:t>
      </w:r>
      <w:r w:rsidR="005824E4" w:rsidRPr="00091600">
        <w:rPr>
          <w:lang w:val="en-AU"/>
        </w:rPr>
        <w:t>ing</w:t>
      </w:r>
      <w:r w:rsidR="000F4B57" w:rsidRPr="00091600">
        <w:rPr>
          <w:lang w:val="en-AU"/>
        </w:rPr>
        <w:t xml:space="preserve"> the budget for the current fiscal year; and developing a business plan with short- and long-term goals for self-sustainability.</w:t>
      </w:r>
    </w:p>
    <w:p w:rsidR="000F4B57" w:rsidRPr="00091600" w:rsidRDefault="000F4B57" w:rsidP="000F4B57">
      <w:pPr>
        <w:pStyle w:val="BodyText"/>
        <w:rPr>
          <w:lang w:val="en-AU"/>
        </w:rPr>
      </w:pPr>
      <w:r w:rsidRPr="00091600">
        <w:rPr>
          <w:lang w:val="en-AU"/>
        </w:rPr>
        <w:t xml:space="preserve">In terms of the strengthening </w:t>
      </w:r>
      <w:r w:rsidR="00E55F17" w:rsidRPr="00091600">
        <w:rPr>
          <w:lang w:val="en-AU"/>
        </w:rPr>
        <w:t xml:space="preserve">the quality of </w:t>
      </w:r>
      <w:r w:rsidRPr="00091600">
        <w:rPr>
          <w:lang w:val="en-AU"/>
        </w:rPr>
        <w:t>training, this would include</w:t>
      </w:r>
      <w:r w:rsidR="0049780E">
        <w:rPr>
          <w:lang w:val="en-AU"/>
        </w:rPr>
        <w:t>:</w:t>
      </w:r>
      <w:r w:rsidR="00E55F17" w:rsidRPr="00091600">
        <w:rPr>
          <w:lang w:val="en-AU"/>
        </w:rPr>
        <w:t xml:space="preserve"> continu</w:t>
      </w:r>
      <w:r w:rsidR="005824E4" w:rsidRPr="00091600">
        <w:rPr>
          <w:lang w:val="en-AU"/>
        </w:rPr>
        <w:t>ing</w:t>
      </w:r>
      <w:r w:rsidRPr="00091600">
        <w:rPr>
          <w:lang w:val="en-AU"/>
        </w:rPr>
        <w:t xml:space="preserve"> to engage with APSC and CIT Solutions-supported capacity development,</w:t>
      </w:r>
      <w:r w:rsidR="00217892" w:rsidRPr="00091600">
        <w:rPr>
          <w:lang w:val="en-AU"/>
        </w:rPr>
        <w:t xml:space="preserve"> </w:t>
      </w:r>
      <w:r w:rsidR="00E55F17" w:rsidRPr="00091600">
        <w:rPr>
          <w:lang w:val="en-AU"/>
        </w:rPr>
        <w:t>avoid</w:t>
      </w:r>
      <w:r w:rsidR="005824E4" w:rsidRPr="00091600">
        <w:rPr>
          <w:lang w:val="en-AU"/>
        </w:rPr>
        <w:t>ing</w:t>
      </w:r>
      <w:r w:rsidR="00E55F17" w:rsidRPr="00091600">
        <w:rPr>
          <w:lang w:val="en-AU"/>
        </w:rPr>
        <w:t xml:space="preserve"> the temptation of ‘capacity substitution’</w:t>
      </w:r>
      <w:r w:rsidRPr="00091600">
        <w:rPr>
          <w:lang w:val="en-AU"/>
        </w:rPr>
        <w:t>; recruiting experienced male and female trainers to deliver PILAG courses; forming a strategy to strengthen the academic programs delivered at PILAG, fulfilling all the requirements to be recognised under the PNG National Qualifications Framework as a vocational training institute; reviewing potential public sector students’ learning needs, including the balance between basic skills (e.g. a toolbox that every civil servant should master) or leadership skills, and how best to integrate GESI; and drawing on new partners to enhance PILAG’s training capacity (from the private sector to help fund courses or from PNG or internationally to build its capacity).</w:t>
      </w:r>
    </w:p>
    <w:p w:rsidR="000F4B57" w:rsidRPr="00091600" w:rsidRDefault="000F4B57" w:rsidP="006A2786">
      <w:pPr>
        <w:pStyle w:val="Recommendationthing"/>
      </w:pPr>
      <w:r w:rsidRPr="00091600">
        <w:t xml:space="preserve">PILAG </w:t>
      </w:r>
      <w:r w:rsidRPr="006A2786">
        <w:t>recommendations</w:t>
      </w:r>
    </w:p>
    <w:p w:rsidR="000F4B57" w:rsidRPr="00091600" w:rsidRDefault="009207B2">
      <w:pPr>
        <w:pStyle w:val="BodyText"/>
        <w:rPr>
          <w:lang w:val="en-AU"/>
        </w:rPr>
      </w:pPr>
      <w:r w:rsidRPr="00091600">
        <w:rPr>
          <w:rStyle w:val="RecommendationthingChar"/>
          <w:rFonts w:ascii="Roboto Light" w:hAnsi="Roboto Light"/>
          <w:color w:val="45A7E1" w:themeColor="accent1"/>
        </w:rPr>
        <w:sym w:font="Wingdings" w:char="F06E"/>
      </w:r>
      <w:r w:rsidRPr="00091600">
        <w:rPr>
          <w:rStyle w:val="RecommendationthingChar"/>
          <w:rFonts w:ascii="Roboto Light" w:hAnsi="Roboto Light"/>
          <w:color w:val="45A7E1" w:themeColor="accent1"/>
        </w:rPr>
        <w:t xml:space="preserve"> </w:t>
      </w:r>
      <w:r w:rsidR="000F4B57" w:rsidRPr="006A2786">
        <w:rPr>
          <w:rStyle w:val="RecommendationthingChar"/>
          <w:rFonts w:ascii="Poppins Black" w:hAnsi="Poppins Black" w:cs="Poppins Black"/>
        </w:rPr>
        <w:t>R5</w:t>
      </w:r>
      <w:r w:rsidR="000F4B57" w:rsidRPr="00091600">
        <w:rPr>
          <w:lang w:val="en-AU"/>
        </w:rPr>
        <w:t xml:space="preserve"> </w:t>
      </w:r>
      <w:r w:rsidR="000F4B57" w:rsidRPr="00091600">
        <w:t xml:space="preserve">(to DPM and PILAG Board): </w:t>
      </w:r>
      <w:r w:rsidR="001075F1" w:rsidRPr="00091600">
        <w:rPr>
          <w:lang w:val="en-AU"/>
        </w:rPr>
        <w:t>p</w:t>
      </w:r>
      <w:r w:rsidR="007329BA" w:rsidRPr="00091600">
        <w:rPr>
          <w:lang w:val="en-AU"/>
        </w:rPr>
        <w:t>ut</w:t>
      </w:r>
      <w:r w:rsidR="000F4B57" w:rsidRPr="00091600">
        <w:t xml:space="preserve"> in place the leadership, staff and systems required to implement the PILAG Act for PILAG to succeed in its transformation (by June 2019). </w:t>
      </w:r>
    </w:p>
    <w:p w:rsidR="000F4B57" w:rsidRPr="00091600" w:rsidRDefault="009207B2">
      <w:pPr>
        <w:pStyle w:val="BodyText"/>
        <w:rPr>
          <w:lang w:val="en-AU"/>
        </w:rPr>
      </w:pPr>
      <w:r w:rsidRPr="00091600">
        <w:rPr>
          <w:rStyle w:val="RecommendationthingChar"/>
          <w:rFonts w:ascii="Roboto Light" w:hAnsi="Roboto Light"/>
          <w:color w:val="45A7E1" w:themeColor="accent1"/>
        </w:rPr>
        <w:sym w:font="Wingdings" w:char="F06E"/>
      </w:r>
      <w:r w:rsidRPr="00091600">
        <w:rPr>
          <w:rStyle w:val="RecommendationthingChar"/>
          <w:rFonts w:ascii="Roboto Light" w:hAnsi="Roboto Light"/>
          <w:color w:val="45A7E1" w:themeColor="accent1"/>
        </w:rPr>
        <w:t xml:space="preserve"> </w:t>
      </w:r>
      <w:r w:rsidR="000F4B57" w:rsidRPr="006A2786">
        <w:rPr>
          <w:rStyle w:val="RecommendationthingChar"/>
          <w:rFonts w:ascii="Poppins Black" w:hAnsi="Poppins Black" w:cs="Poppins Black"/>
        </w:rPr>
        <w:t>R6</w:t>
      </w:r>
      <w:r w:rsidR="000F4B57" w:rsidRPr="006A2786">
        <w:rPr>
          <w:rFonts w:ascii="Poppins Black" w:hAnsi="Poppins Black" w:cs="Poppins Black"/>
          <w:lang w:val="en-AU"/>
        </w:rPr>
        <w:t xml:space="preserve"> </w:t>
      </w:r>
      <w:r w:rsidR="000F4B57" w:rsidRPr="00091600">
        <w:rPr>
          <w:lang w:val="en-AU"/>
        </w:rPr>
        <w:t xml:space="preserve">(to PILAG, DPM, and DHERST): </w:t>
      </w:r>
      <w:r w:rsidR="005824E4" w:rsidRPr="00091600">
        <w:rPr>
          <w:lang w:val="en-AU"/>
        </w:rPr>
        <w:t>u</w:t>
      </w:r>
      <w:r w:rsidR="002A4FFC" w:rsidRPr="00091600">
        <w:rPr>
          <w:lang w:val="en-AU"/>
        </w:rPr>
        <w:t>pdate</w:t>
      </w:r>
      <w:r w:rsidR="000F4B57" w:rsidRPr="00091600">
        <w:rPr>
          <w:lang w:val="en-AU"/>
        </w:rPr>
        <w:t xml:space="preserve"> the Precinct PILAG strategy for PILAG to strengthen its training capacity and become a quality-assured tertiary training institution (by June 2019). </w:t>
      </w:r>
    </w:p>
    <w:p w:rsidR="000F4B57" w:rsidRPr="00091600" w:rsidRDefault="009207B2">
      <w:pPr>
        <w:pStyle w:val="BodyText"/>
        <w:rPr>
          <w:lang w:val="en-AU"/>
        </w:rPr>
      </w:pPr>
      <w:r w:rsidRPr="00091600">
        <w:rPr>
          <w:rStyle w:val="RecommendationthingChar"/>
          <w:rFonts w:ascii="Roboto Light" w:hAnsi="Roboto Light"/>
          <w:color w:val="45A7E1" w:themeColor="accent1"/>
        </w:rPr>
        <w:sym w:font="Wingdings" w:char="F06E"/>
      </w:r>
      <w:r w:rsidRPr="00091600">
        <w:rPr>
          <w:rStyle w:val="RecommendationthingChar"/>
          <w:rFonts w:ascii="Roboto Light" w:hAnsi="Roboto Light"/>
          <w:color w:val="45A7E1" w:themeColor="accent1"/>
        </w:rPr>
        <w:t xml:space="preserve"> </w:t>
      </w:r>
      <w:r w:rsidR="000F4B57" w:rsidRPr="006A2786">
        <w:rPr>
          <w:rStyle w:val="RecommendationthingChar"/>
          <w:rFonts w:ascii="Poppins Black" w:hAnsi="Poppins Black" w:cs="Poppins Black"/>
        </w:rPr>
        <w:t>R7</w:t>
      </w:r>
      <w:r w:rsidR="000F4B57" w:rsidRPr="00091600">
        <w:rPr>
          <w:lang w:val="en-AU"/>
        </w:rPr>
        <w:t xml:space="preserve"> (to PILAG, DPM, and DFAT/AHC): </w:t>
      </w:r>
      <w:r w:rsidR="005824E4" w:rsidRPr="00091600">
        <w:rPr>
          <w:lang w:val="en-AU"/>
        </w:rPr>
        <w:t>c</w:t>
      </w:r>
      <w:r w:rsidR="004A6126" w:rsidRPr="00091600">
        <w:rPr>
          <w:lang w:val="en-AU"/>
        </w:rPr>
        <w:t>onduct</w:t>
      </w:r>
      <w:r w:rsidR="000F4B57" w:rsidRPr="00091600">
        <w:rPr>
          <w:lang w:val="en-AU"/>
        </w:rPr>
        <w:t xml:space="preserve"> a mapping exercise of </w:t>
      </w:r>
      <w:r w:rsidR="004A6126" w:rsidRPr="00091600">
        <w:rPr>
          <w:lang w:val="en-AU"/>
        </w:rPr>
        <w:t>gender equity and social inclusion</w:t>
      </w:r>
      <w:r w:rsidR="000F4B57" w:rsidRPr="00091600">
        <w:rPr>
          <w:lang w:val="en-AU"/>
        </w:rPr>
        <w:t xml:space="preserve"> in the PILAG component and in vocational trainings supported by the Precinct, and an analysis of barriers to</w:t>
      </w:r>
      <w:r w:rsidR="00E822CE">
        <w:rPr>
          <w:lang w:val="en-AU"/>
        </w:rPr>
        <w:t>/</w:t>
      </w:r>
      <w:r w:rsidR="000F4B57" w:rsidRPr="00091600">
        <w:rPr>
          <w:lang w:val="en-AU"/>
        </w:rPr>
        <w:t>enablers of improved</w:t>
      </w:r>
      <w:r w:rsidR="007D7775">
        <w:rPr>
          <w:lang w:val="en-AU"/>
        </w:rPr>
        <w:t xml:space="preserve"> gender and social inclusion</w:t>
      </w:r>
      <w:r w:rsidR="000F4B57" w:rsidRPr="00091600">
        <w:rPr>
          <w:lang w:val="en-AU"/>
        </w:rPr>
        <w:t>. Use them to update the PILAG component and vocational trainings (by June 2019).</w:t>
      </w:r>
    </w:p>
    <w:p w:rsidR="000F4B57" w:rsidRPr="00091600" w:rsidRDefault="000F4B57" w:rsidP="000F4B57">
      <w:pPr>
        <w:rPr>
          <w:rFonts w:ascii="Roboto Light" w:hAnsi="Roboto Light" w:cs="Poppins"/>
          <w:b/>
          <w:bCs/>
          <w:color w:val="0B1F51"/>
          <w:kern w:val="32"/>
          <w:sz w:val="28"/>
          <w:szCs w:val="28"/>
          <w:lang w:val="en-AU"/>
        </w:rPr>
      </w:pPr>
      <w:bookmarkStart w:id="78" w:name="_Toc523866159"/>
      <w:r w:rsidRPr="00091600">
        <w:rPr>
          <w:rFonts w:ascii="Roboto Light" w:hAnsi="Roboto Light"/>
          <w:lang w:val="en-AU"/>
        </w:rPr>
        <w:br w:type="page"/>
      </w:r>
    </w:p>
    <w:p w:rsidR="000F4B57" w:rsidRPr="00091600" w:rsidRDefault="000F4B57" w:rsidP="006A2786">
      <w:pPr>
        <w:pStyle w:val="Heading2NONUM"/>
        <w:rPr>
          <w:rFonts w:eastAsiaTheme="minorHAnsi"/>
          <w:lang w:val="en-AU"/>
        </w:rPr>
      </w:pPr>
      <w:bookmarkStart w:id="79" w:name="_Toc536719911"/>
      <w:bookmarkStart w:id="80" w:name="_Toc2091551"/>
      <w:r w:rsidRPr="00091600">
        <w:rPr>
          <w:rFonts w:eastAsiaTheme="minorHAnsi"/>
          <w:lang w:val="en-AU"/>
        </w:rPr>
        <w:t xml:space="preserve">2.3 </w:t>
      </w:r>
      <w:r w:rsidRPr="00091600">
        <w:rPr>
          <w:rFonts w:eastAsiaTheme="minorHAnsi"/>
          <w:lang w:val="en-AU"/>
        </w:rPr>
        <w:tab/>
        <w:t xml:space="preserve">Pathways and </w:t>
      </w:r>
      <w:r w:rsidRPr="006A2786">
        <w:rPr>
          <w:rFonts w:eastAsiaTheme="minorHAnsi"/>
        </w:rPr>
        <w:t>enabling</w:t>
      </w:r>
      <w:r w:rsidRPr="00091600">
        <w:rPr>
          <w:rFonts w:eastAsiaTheme="minorHAnsi"/>
          <w:lang w:val="en-AU"/>
        </w:rPr>
        <w:t xml:space="preserve"> environment</w:t>
      </w:r>
      <w:bookmarkEnd w:id="78"/>
      <w:bookmarkEnd w:id="79"/>
      <w:bookmarkEnd w:id="80"/>
    </w:p>
    <w:tbl>
      <w:tblPr>
        <w:tblStyle w:val="OPMBoxstyle"/>
        <w:tblW w:w="5000" w:type="pct"/>
        <w:tblBorders>
          <w:insideH w:val="single" w:sz="4" w:space="0" w:color="45A7E1" w:themeColor="accent1"/>
          <w:insideV w:val="single" w:sz="4" w:space="0" w:color="45A7E1" w:themeColor="accent1"/>
        </w:tblBorders>
        <w:tblLook w:val="04A0" w:firstRow="1" w:lastRow="0" w:firstColumn="1" w:lastColumn="0" w:noHBand="0" w:noVBand="1"/>
        <w:tblCaption w:val="Key Review Questions"/>
        <w:tblDescription w:val="• What are the key achievements for each pillar of the Precinct? Are these consistent with expectations at this stage in the investment? (Are we on track?)&#10;• What are the strengths in the Precinct approaches?&#10;• What are the challenges facing the Precinct approaches and what strategies can be suggested to overcome these challenges?&#10;• What are the lessons that can be applied to Precinct activities? Are there relevant lessons from other international situations?&#10;• Are there more general lessons for other future GoA investments in culturally competent higher education and ethical leadership?&#10;• Are there opportunities to augment current Precinct activities to enhance the implementation of specific public sector reforms?&#10;"/>
      </w:tblPr>
      <w:tblGrid>
        <w:gridCol w:w="9730"/>
      </w:tblGrid>
      <w:tr w:rsidR="00112430" w:rsidRPr="00091600" w:rsidTr="00CE4AA6">
        <w:trPr>
          <w:cnfStyle w:val="100000000000" w:firstRow="1" w:lastRow="0" w:firstColumn="0" w:lastColumn="0" w:oddVBand="0" w:evenVBand="0" w:oddHBand="0" w:evenHBand="0" w:firstRowFirstColumn="0" w:firstRowLastColumn="0" w:lastRowFirstColumn="0" w:lastRowLastColumn="0"/>
          <w:trHeight w:val="413"/>
          <w:tblHeader/>
        </w:trPr>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112430" w:rsidRPr="006A2786" w:rsidRDefault="00112430" w:rsidP="008E1745">
            <w:pPr>
              <w:pStyle w:val="Questions"/>
            </w:pPr>
            <w:r w:rsidRPr="006A2786">
              <w:t>Key Review Questions</w:t>
            </w:r>
          </w:p>
        </w:tc>
      </w:tr>
      <w:tr w:rsidR="000F4B57" w:rsidRPr="00091600" w:rsidTr="00013D3C">
        <w:trPr>
          <w:trHeight w:val="987"/>
        </w:trPr>
        <w:tc>
          <w:tcPr>
            <w:tcW w:w="0" w:type="pct"/>
          </w:tcPr>
          <w:p w:rsidR="000F4B57" w:rsidRPr="00CF1ACC" w:rsidRDefault="000F4B57" w:rsidP="00013D3C">
            <w:pPr>
              <w:pStyle w:val="BodyText"/>
              <w:numPr>
                <w:ilvl w:val="0"/>
                <w:numId w:val="30"/>
              </w:numPr>
              <w:spacing w:before="120" w:after="120"/>
              <w:rPr>
                <w:rFonts w:eastAsia="Helvetica" w:cs="Poppins"/>
                <w:color w:val="0B1F51"/>
                <w:sz w:val="20"/>
                <w:lang w:val="en-AU"/>
              </w:rPr>
            </w:pPr>
            <w:r w:rsidRPr="00CF1ACC">
              <w:rPr>
                <w:sz w:val="20"/>
                <w:lang w:val="en-AU"/>
              </w:rPr>
              <w:t>What are the key achievements for each pillar of the Precinct? A</w:t>
            </w:r>
            <w:r w:rsidR="00A6565A">
              <w:rPr>
                <w:sz w:val="20"/>
                <w:lang w:val="en-AU"/>
              </w:rPr>
              <w:t>r</w:t>
            </w:r>
            <w:r w:rsidRPr="00CF1ACC">
              <w:rPr>
                <w:sz w:val="20"/>
                <w:lang w:val="en-AU"/>
              </w:rPr>
              <w:t>e these consistent with expectations at this stage in the investment? (Are we on track?)</w:t>
            </w:r>
          </w:p>
          <w:p w:rsidR="000F4B57" w:rsidRPr="00CF1ACC" w:rsidRDefault="000F4B57" w:rsidP="00013D3C">
            <w:pPr>
              <w:pStyle w:val="BodyText"/>
              <w:numPr>
                <w:ilvl w:val="0"/>
                <w:numId w:val="30"/>
              </w:numPr>
              <w:spacing w:before="120" w:after="120"/>
              <w:rPr>
                <w:sz w:val="20"/>
                <w:lang w:val="en-AU"/>
              </w:rPr>
            </w:pPr>
            <w:r w:rsidRPr="00CF1ACC">
              <w:rPr>
                <w:sz w:val="20"/>
                <w:lang w:val="en-AU"/>
              </w:rPr>
              <w:t>What are the strengths in the Precinct approaches?</w:t>
            </w:r>
          </w:p>
          <w:p w:rsidR="000F4B57" w:rsidRPr="00CF1ACC" w:rsidRDefault="000F4B57" w:rsidP="00013D3C">
            <w:pPr>
              <w:pStyle w:val="BodyText"/>
              <w:numPr>
                <w:ilvl w:val="0"/>
                <w:numId w:val="30"/>
              </w:numPr>
              <w:spacing w:before="120" w:after="120"/>
              <w:rPr>
                <w:sz w:val="20"/>
                <w:lang w:val="en-AU"/>
              </w:rPr>
            </w:pPr>
            <w:r w:rsidRPr="00CF1ACC">
              <w:rPr>
                <w:sz w:val="20"/>
                <w:lang w:val="en-AU"/>
              </w:rPr>
              <w:t>What are the challenges facing the Precinct approaches and what strategies can be suggested to overcome these challenges?</w:t>
            </w:r>
          </w:p>
          <w:p w:rsidR="000F4B57" w:rsidRPr="00CF1ACC" w:rsidRDefault="000F4B57" w:rsidP="00013D3C">
            <w:pPr>
              <w:pStyle w:val="BodyText"/>
              <w:numPr>
                <w:ilvl w:val="0"/>
                <w:numId w:val="30"/>
              </w:numPr>
              <w:spacing w:before="120" w:after="120"/>
              <w:rPr>
                <w:sz w:val="20"/>
                <w:lang w:val="en-AU"/>
              </w:rPr>
            </w:pPr>
            <w:r w:rsidRPr="00CF1ACC">
              <w:rPr>
                <w:sz w:val="20"/>
                <w:lang w:val="en-AU"/>
              </w:rPr>
              <w:t>What are the lessons that can be applied to Precinct activities? Are there relevant lessons from other international situations?</w:t>
            </w:r>
          </w:p>
          <w:p w:rsidR="000F4B57" w:rsidRPr="00CF1ACC" w:rsidRDefault="000F4B57" w:rsidP="00013D3C">
            <w:pPr>
              <w:pStyle w:val="BodyText"/>
              <w:numPr>
                <w:ilvl w:val="0"/>
                <w:numId w:val="30"/>
              </w:numPr>
              <w:spacing w:before="120" w:after="120"/>
              <w:rPr>
                <w:sz w:val="20"/>
                <w:lang w:val="en-AU"/>
              </w:rPr>
            </w:pPr>
            <w:r w:rsidRPr="00CF1ACC">
              <w:rPr>
                <w:sz w:val="20"/>
                <w:lang w:val="en-AU"/>
              </w:rPr>
              <w:t>Are there more general lessons for other future GoA investments in culturally competent higher education and ethical leadership?</w:t>
            </w:r>
          </w:p>
          <w:p w:rsidR="000F4B57" w:rsidRPr="00091600" w:rsidRDefault="000F4B57" w:rsidP="00013D3C">
            <w:pPr>
              <w:pStyle w:val="BodyText"/>
              <w:numPr>
                <w:ilvl w:val="0"/>
                <w:numId w:val="30"/>
              </w:numPr>
              <w:spacing w:before="120" w:after="120"/>
              <w:rPr>
                <w:rStyle w:val="Heading3Char"/>
                <w:rFonts w:ascii="Roboto Light" w:eastAsiaTheme="minorEastAsia" w:hAnsi="Roboto Light"/>
                <w:b w:val="0"/>
                <w:color w:val="auto"/>
                <w:sz w:val="22"/>
                <w:lang w:val="en-AU"/>
              </w:rPr>
            </w:pPr>
            <w:r w:rsidRPr="00CF1ACC">
              <w:rPr>
                <w:sz w:val="20"/>
                <w:lang w:val="en-AU"/>
              </w:rPr>
              <w:t>Are there opportunities to augment current Precinct activities to enhance the implementation of specific public sector reforms?</w:t>
            </w:r>
          </w:p>
        </w:tc>
      </w:tr>
    </w:tbl>
    <w:p w:rsidR="000F4B57" w:rsidRPr="00091600" w:rsidRDefault="000F4B57" w:rsidP="006A2786">
      <w:pPr>
        <w:pStyle w:val="Heading4"/>
        <w:rPr>
          <w:lang w:val="en-AU"/>
        </w:rPr>
      </w:pPr>
      <w:r w:rsidRPr="00091600">
        <w:rPr>
          <w:lang w:val="en-AU"/>
        </w:rPr>
        <w:t xml:space="preserve">Program </w:t>
      </w:r>
      <w:r w:rsidRPr="006A2786">
        <w:t>logic</w:t>
      </w:r>
    </w:p>
    <w:p w:rsidR="000F4B57" w:rsidRPr="00091600" w:rsidRDefault="000F4B57" w:rsidP="000F4B57">
      <w:pPr>
        <w:pStyle w:val="BodyText"/>
        <w:rPr>
          <w:lang w:val="en-AU"/>
        </w:rPr>
      </w:pPr>
      <w:r w:rsidRPr="00091600">
        <w:rPr>
          <w:lang w:val="en-AU"/>
        </w:rPr>
        <w:t xml:space="preserve">The original program design recognised the need to foster collaboration between the main Precinct organisations (SBPP and PILAG), as well as other stakeholders, </w:t>
      </w:r>
      <w:r w:rsidR="001F6805" w:rsidRPr="00091600">
        <w:rPr>
          <w:lang w:val="en-AU"/>
        </w:rPr>
        <w:t xml:space="preserve">in order </w:t>
      </w:r>
      <w:r w:rsidRPr="00091600">
        <w:rPr>
          <w:lang w:val="en-AU"/>
        </w:rPr>
        <w:t xml:space="preserve">to promote inclusive leadership. This is captured by long-term </w:t>
      </w:r>
      <w:r w:rsidR="001D6EC8" w:rsidRPr="00091600">
        <w:rPr>
          <w:lang w:val="en-AU"/>
        </w:rPr>
        <w:t>O</w:t>
      </w:r>
      <w:r w:rsidR="00C166D3" w:rsidRPr="00091600">
        <w:rPr>
          <w:lang w:val="en-AU"/>
        </w:rPr>
        <w:t>utcomes</w:t>
      </w:r>
      <w:r w:rsidRPr="00091600">
        <w:rPr>
          <w:lang w:val="en-AU"/>
        </w:rPr>
        <w:t xml:space="preserve"> 4 to 6. However, this part of the program logic is the least developed, as evidenced by changes in its names and activities. For example, the 2016 Update refers to the component as ‘the Precinct Program’, while the March 2018 draft Update describes it at ‘Leadership discussions, debate, and pathways’ to reflect ongoing PSLR activities.</w:t>
      </w:r>
    </w:p>
    <w:p w:rsidR="000F4B57" w:rsidRPr="00091600" w:rsidRDefault="000F4B57" w:rsidP="006A2786">
      <w:pPr>
        <w:pStyle w:val="Heading4"/>
        <w:rPr>
          <w:lang w:val="en-AU"/>
        </w:rPr>
      </w:pPr>
      <w:r w:rsidRPr="006A2786">
        <w:t>Achievements</w:t>
      </w:r>
    </w:p>
    <w:p w:rsidR="000F4B57" w:rsidRPr="00091600" w:rsidRDefault="000F4B57" w:rsidP="000F4B57">
      <w:pPr>
        <w:pStyle w:val="BodyText"/>
        <w:rPr>
          <w:lang w:val="en-AU"/>
        </w:rPr>
      </w:pPr>
      <w:r w:rsidRPr="001422B3">
        <w:rPr>
          <w:rFonts w:ascii="Roboto" w:hAnsi="Roboto"/>
          <w:b/>
          <w:lang w:val="en-AU"/>
        </w:rPr>
        <w:t>Pathways</w:t>
      </w:r>
      <w:r w:rsidRPr="006A2786">
        <w:rPr>
          <w:rFonts w:ascii="Roboto" w:hAnsi="Roboto"/>
          <w:lang w:val="en-AU"/>
        </w:rPr>
        <w:t>:</w:t>
      </w:r>
      <w:r w:rsidRPr="00091600">
        <w:rPr>
          <w:lang w:val="en-AU"/>
        </w:rPr>
        <w:t xml:space="preserve"> </w:t>
      </w:r>
      <w:r w:rsidR="001D6EC8" w:rsidRPr="00091600">
        <w:rPr>
          <w:lang w:val="en-AU"/>
        </w:rPr>
        <w:t>t</w:t>
      </w:r>
      <w:r w:rsidR="00531CA3" w:rsidRPr="00091600">
        <w:rPr>
          <w:lang w:val="en-AU"/>
        </w:rPr>
        <w:t>he</w:t>
      </w:r>
      <w:r w:rsidRPr="00091600">
        <w:rPr>
          <w:lang w:val="en-AU"/>
        </w:rPr>
        <w:t xml:space="preserve"> Precinct supports UPNG/SBPP and PILAG through separate projects, but also facilitates their collaboration. For example, in 2015 a study tour to the Western Australia Joondalup Learning Precinct deepened DPM, PILAG, UPNG, SBPP, and DFAT personal relations and led to a Record of Understanding.</w:t>
      </w:r>
      <w:r w:rsidRPr="00091600">
        <w:rPr>
          <w:rStyle w:val="FootnoteReference"/>
          <w:lang w:val="en-AU"/>
        </w:rPr>
        <w:footnoteReference w:id="38"/>
      </w:r>
      <w:r w:rsidRPr="00091600">
        <w:rPr>
          <w:lang w:val="en-AU"/>
        </w:rPr>
        <w:t xml:space="preserve"> A physical pathway (footpath) is being built which will connect the UPNG and PILAG campuses (which are 1.5 km apart), so that UPNG students can make use of the new PILAG resource centre and PILAG students can attend UPNG events. An academic pathway between PILAG and UPNG would require PILAG to be accredited to the DHERST National Qualifications Framework requirements so that PILAG certificates and diplomas are recognised academically. DHERST, PILAG and UPNG are working on this, including through the UPNG Curriculum Alignment Initiative.</w:t>
      </w:r>
    </w:p>
    <w:p w:rsidR="000F4B57" w:rsidRPr="00091600" w:rsidRDefault="000F4B57" w:rsidP="000F4B57">
      <w:pPr>
        <w:pStyle w:val="BodyText"/>
        <w:rPr>
          <w:lang w:val="en-AU"/>
        </w:rPr>
      </w:pPr>
      <w:r w:rsidRPr="001422B3">
        <w:rPr>
          <w:rFonts w:ascii="Roboto" w:hAnsi="Roboto"/>
          <w:b/>
          <w:lang w:val="en-AU"/>
        </w:rPr>
        <w:t>Private sector and civil society engagement</w:t>
      </w:r>
      <w:r w:rsidR="001D6EC8" w:rsidRPr="006A2786">
        <w:rPr>
          <w:rFonts w:ascii="Roboto" w:hAnsi="Roboto"/>
          <w:lang w:val="en-AU"/>
        </w:rPr>
        <w:t>:</w:t>
      </w:r>
      <w:r w:rsidR="003F14B5" w:rsidRPr="00091600">
        <w:rPr>
          <w:lang w:val="en-AU"/>
        </w:rPr>
        <w:t xml:space="preserve"> </w:t>
      </w:r>
      <w:r w:rsidR="001D6EC8" w:rsidRPr="00091600">
        <w:rPr>
          <w:lang w:val="en-AU"/>
        </w:rPr>
        <w:t>t</w:t>
      </w:r>
      <w:r w:rsidR="003F14B5" w:rsidRPr="00091600">
        <w:rPr>
          <w:lang w:val="en-AU"/>
        </w:rPr>
        <w:t>he</w:t>
      </w:r>
      <w:r w:rsidRPr="00091600">
        <w:rPr>
          <w:lang w:val="en-AU"/>
        </w:rPr>
        <w:t xml:space="preserve"> Precinct, in particular through the UQ Precinct Initiative Program, has undertaken a number of bespoke courses and events to facilitate networking between the public sector, private sector and civil society. For example, UQ has collaborated with the Minerals and Energy for Development Alliance and the PNG Extractive Industry Transparency Initiative to run several workshops, including in New Ireland Province. Participants came from government, industry, and civil society.</w:t>
      </w:r>
      <w:r w:rsidRPr="00091600">
        <w:rPr>
          <w:rStyle w:val="FootnoteReference"/>
          <w:lang w:val="en-AU"/>
        </w:rPr>
        <w:footnoteReference w:id="39"/>
      </w:r>
    </w:p>
    <w:p w:rsidR="000F4B57" w:rsidRPr="00091600" w:rsidRDefault="000F4B57" w:rsidP="000F4B57">
      <w:pPr>
        <w:pStyle w:val="BodyText"/>
        <w:rPr>
          <w:lang w:val="en-AU"/>
        </w:rPr>
      </w:pPr>
      <w:r w:rsidRPr="001422B3">
        <w:rPr>
          <w:rFonts w:ascii="Roboto" w:hAnsi="Roboto"/>
          <w:b/>
          <w:lang w:val="en-AU"/>
        </w:rPr>
        <w:t>Public policy</w:t>
      </w:r>
      <w:r w:rsidR="001D6EC8" w:rsidRPr="006A2786">
        <w:rPr>
          <w:rFonts w:ascii="Roboto" w:hAnsi="Roboto"/>
          <w:lang w:val="en-AU"/>
        </w:rPr>
        <w:t>:</w:t>
      </w:r>
      <w:r w:rsidR="00607146" w:rsidRPr="00091600">
        <w:rPr>
          <w:lang w:val="en-AU"/>
        </w:rPr>
        <w:t xml:space="preserve"> </w:t>
      </w:r>
      <w:r w:rsidR="001D6EC8" w:rsidRPr="00091600">
        <w:rPr>
          <w:lang w:val="en-AU"/>
        </w:rPr>
        <w:t>t</w:t>
      </w:r>
      <w:r w:rsidR="00607146" w:rsidRPr="00091600">
        <w:rPr>
          <w:lang w:val="en-AU"/>
        </w:rPr>
        <w:t>he</w:t>
      </w:r>
      <w:r w:rsidRPr="00091600">
        <w:rPr>
          <w:lang w:val="en-AU"/>
        </w:rPr>
        <w:t xml:space="preserve"> Precinct has supported a number of public policy outreach debates, including the UPNG Update and APEC seminar series, which Abt PNG estimates are altogether reaching nearly 4,000 people, both female and male.</w:t>
      </w:r>
      <w:r w:rsidRPr="00091600">
        <w:rPr>
          <w:rStyle w:val="FootnoteReference"/>
          <w:lang w:val="en-AU"/>
        </w:rPr>
        <w:footnoteReference w:id="40"/>
      </w:r>
    </w:p>
    <w:p w:rsidR="000F4B57" w:rsidRPr="00091600" w:rsidRDefault="000F4B57" w:rsidP="000F4B57">
      <w:pPr>
        <w:pStyle w:val="BodyText"/>
        <w:rPr>
          <w:lang w:val="en-AU"/>
        </w:rPr>
      </w:pPr>
      <w:r w:rsidRPr="001422B3">
        <w:rPr>
          <w:rFonts w:ascii="Roboto" w:hAnsi="Roboto"/>
          <w:b/>
          <w:lang w:val="en-AU"/>
        </w:rPr>
        <w:t>Youth and women leadership</w:t>
      </w:r>
      <w:r w:rsidRPr="006A2786">
        <w:rPr>
          <w:rFonts w:ascii="Roboto" w:hAnsi="Roboto"/>
          <w:lang w:val="en-AU"/>
        </w:rPr>
        <w:t>:</w:t>
      </w:r>
      <w:r w:rsidRPr="00091600">
        <w:rPr>
          <w:lang w:val="en-AU"/>
        </w:rPr>
        <w:t xml:space="preserve"> </w:t>
      </w:r>
      <w:hyperlink r:id="rId26" w:history="1">
        <w:r w:rsidRPr="00091600">
          <w:rPr>
            <w:rStyle w:val="Hyperlink"/>
            <w:lang w:val="en-AU"/>
          </w:rPr>
          <w:t>The Voice Inc</w:t>
        </w:r>
      </w:hyperlink>
      <w:r w:rsidRPr="00091600">
        <w:rPr>
          <w:rStyle w:val="Hyperlink"/>
          <w:lang w:val="en-AU"/>
        </w:rPr>
        <w:t>.</w:t>
      </w:r>
      <w:r w:rsidRPr="00091600">
        <w:rPr>
          <w:lang w:val="en-AU"/>
        </w:rPr>
        <w:t xml:space="preserve"> is a youth development organisation set up in 2007 which delivers youth development leadership programs for university students to become active citizens and nation-builders. Two PSLR advisers (on program management and action research) have assisted The Voice Inc., for example to identify how it can work to meet the needs of different universities (including UPNG SBPP) and develop a PNG-wide youth coalition. The </w:t>
      </w:r>
      <w:hyperlink r:id="rId27" w:history="1">
        <w:r w:rsidRPr="00091600">
          <w:rPr>
            <w:rStyle w:val="Hyperlink"/>
            <w:lang w:val="en-AU"/>
          </w:rPr>
          <w:t>Coalition of Public Sector Women in Leadership</w:t>
        </w:r>
      </w:hyperlink>
      <w:r w:rsidRPr="00091600">
        <w:rPr>
          <w:lang w:val="en-AU"/>
        </w:rPr>
        <w:t xml:space="preserve"> brings together current and former public service women and provides a safe space for them to discuss issues related to the public service and the good of the nation. PSLR supported the </w:t>
      </w:r>
      <w:r w:rsidR="001D6EC8" w:rsidRPr="00091600">
        <w:rPr>
          <w:lang w:val="en-AU"/>
        </w:rPr>
        <w:t>c</w:t>
      </w:r>
      <w:r w:rsidR="00BD472B" w:rsidRPr="00091600">
        <w:rPr>
          <w:lang w:val="en-AU"/>
        </w:rPr>
        <w:t>oalition’s</w:t>
      </w:r>
      <w:r w:rsidRPr="00091600">
        <w:rPr>
          <w:lang w:val="en-AU"/>
        </w:rPr>
        <w:t xml:space="preserve"> registration process (which took place in August 2018). This will enable it to seek funding to provide services such as its District Mobile Mentoring Service.</w:t>
      </w:r>
      <w:r w:rsidRPr="00091600">
        <w:rPr>
          <w:rStyle w:val="FootnoteReference"/>
          <w:lang w:val="en-AU"/>
        </w:rPr>
        <w:footnoteReference w:id="41"/>
      </w:r>
    </w:p>
    <w:p w:rsidR="000F4B57" w:rsidRPr="00091600" w:rsidRDefault="000F4B57" w:rsidP="006A2786">
      <w:pPr>
        <w:pStyle w:val="Heading4"/>
        <w:rPr>
          <w:lang w:val="en-AU"/>
        </w:rPr>
      </w:pPr>
      <w:r w:rsidRPr="006A2786">
        <w:t>Strengths</w:t>
      </w:r>
    </w:p>
    <w:p w:rsidR="000F4B57" w:rsidRPr="00091600" w:rsidRDefault="000F4B57" w:rsidP="000F4B57">
      <w:pPr>
        <w:pStyle w:val="BodyText"/>
        <w:rPr>
          <w:lang w:val="en-AU"/>
        </w:rPr>
      </w:pPr>
      <w:r w:rsidRPr="001422B3">
        <w:rPr>
          <w:rFonts w:ascii="Roboto" w:hAnsi="Roboto"/>
          <w:b/>
          <w:lang w:val="en-AU"/>
        </w:rPr>
        <w:t>Complementarities</w:t>
      </w:r>
      <w:r w:rsidRPr="006A2786">
        <w:rPr>
          <w:rFonts w:ascii="Roboto" w:hAnsi="Roboto"/>
          <w:lang w:val="en-AU"/>
        </w:rPr>
        <w:t>:</w:t>
      </w:r>
      <w:r w:rsidRPr="00091600">
        <w:rPr>
          <w:lang w:val="en-AU"/>
        </w:rPr>
        <w:t xml:space="preserve"> </w:t>
      </w:r>
      <w:r w:rsidR="001D6EC8" w:rsidRPr="00091600">
        <w:rPr>
          <w:lang w:val="en-AU"/>
        </w:rPr>
        <w:t>th</w:t>
      </w:r>
      <w:r w:rsidR="00B8546A" w:rsidRPr="00091600">
        <w:rPr>
          <w:lang w:val="en-AU"/>
        </w:rPr>
        <w:t>is</w:t>
      </w:r>
      <w:r w:rsidRPr="00091600">
        <w:rPr>
          <w:lang w:val="en-AU"/>
        </w:rPr>
        <w:t xml:space="preserve"> component</w:t>
      </w:r>
      <w:r w:rsidR="001D6EC8" w:rsidRPr="00091600">
        <w:rPr>
          <w:lang w:val="en-AU"/>
        </w:rPr>
        <w:t>—</w:t>
      </w:r>
      <w:r w:rsidR="00B8546A" w:rsidRPr="00091600">
        <w:rPr>
          <w:lang w:val="en-AU"/>
        </w:rPr>
        <w:t>focus</w:t>
      </w:r>
      <w:r w:rsidR="001D6EC8" w:rsidRPr="00091600">
        <w:rPr>
          <w:lang w:val="en-AU"/>
        </w:rPr>
        <w:t>ing</w:t>
      </w:r>
      <w:r w:rsidRPr="00091600">
        <w:rPr>
          <w:lang w:val="en-AU"/>
        </w:rPr>
        <w:t xml:space="preserve"> on linkages between individuals, organisations, and the wider environment</w:t>
      </w:r>
      <w:r w:rsidR="001D6EC8" w:rsidRPr="00091600">
        <w:rPr>
          <w:lang w:val="en-AU"/>
        </w:rPr>
        <w:t>—</w:t>
      </w:r>
      <w:r w:rsidRPr="00091600">
        <w:rPr>
          <w:lang w:val="en-AU"/>
        </w:rPr>
        <w:t>can help augment the Precinct’s theory of change. Its main strength lies in its potential to deepen the program logic and complement existing activities to ensure that the program as a whole delivers its goal. It is a strength that has not yet been fully utilised.</w:t>
      </w:r>
    </w:p>
    <w:p w:rsidR="000F4B57" w:rsidRPr="00091600" w:rsidRDefault="000F4B57" w:rsidP="006A2786">
      <w:pPr>
        <w:pStyle w:val="Heading4"/>
        <w:rPr>
          <w:lang w:val="en-AU"/>
        </w:rPr>
      </w:pPr>
      <w:r w:rsidRPr="006A2786">
        <w:t>Challenges</w:t>
      </w:r>
    </w:p>
    <w:p w:rsidR="00230854" w:rsidRPr="00091600" w:rsidRDefault="000F4B57" w:rsidP="003F7250">
      <w:pPr>
        <w:spacing w:beforeLines="60" w:before="144" w:afterLines="60" w:after="144" w:line="240" w:lineRule="auto"/>
        <w:rPr>
          <w:rFonts w:ascii="Roboto Light" w:hAnsi="Roboto Light"/>
          <w:lang w:val="en-AU"/>
        </w:rPr>
      </w:pPr>
      <w:r w:rsidRPr="001422B3">
        <w:rPr>
          <w:rFonts w:ascii="Roboto" w:hAnsi="Roboto"/>
          <w:b/>
          <w:lang w:val="en-AU"/>
        </w:rPr>
        <w:t>Coherence</w:t>
      </w:r>
      <w:r w:rsidR="001D6EC8" w:rsidRPr="001422B3">
        <w:rPr>
          <w:rFonts w:ascii="Roboto" w:hAnsi="Roboto"/>
          <w:b/>
          <w:lang w:val="en-AU"/>
        </w:rPr>
        <w:t>:</w:t>
      </w:r>
      <w:r w:rsidR="00D6141E" w:rsidRPr="00091600">
        <w:rPr>
          <w:rFonts w:ascii="Roboto Light" w:hAnsi="Roboto Light"/>
          <w:lang w:val="en-AU"/>
        </w:rPr>
        <w:t xml:space="preserve"> </w:t>
      </w:r>
      <w:r w:rsidR="001D6EC8" w:rsidRPr="00091600">
        <w:rPr>
          <w:rFonts w:ascii="Roboto Light" w:hAnsi="Roboto Light"/>
          <w:lang w:val="en-AU"/>
        </w:rPr>
        <w:t>t</w:t>
      </w:r>
      <w:r w:rsidR="00230854" w:rsidRPr="00091600">
        <w:rPr>
          <w:rFonts w:ascii="Roboto Light" w:hAnsi="Roboto Light"/>
          <w:lang w:val="en-AU"/>
        </w:rPr>
        <w:t>he</w:t>
      </w:r>
      <w:r w:rsidRPr="00091600">
        <w:rPr>
          <w:rFonts w:ascii="Roboto Light" w:hAnsi="Roboto Light"/>
          <w:lang w:val="en-AU"/>
        </w:rPr>
        <w:t xml:space="preserve"> theory of change behind this program component </w:t>
      </w:r>
      <w:r w:rsidR="00230854" w:rsidRPr="00091600">
        <w:rPr>
          <w:rFonts w:ascii="Roboto Light" w:hAnsi="Roboto Light"/>
          <w:lang w:val="en-AU"/>
        </w:rPr>
        <w:t xml:space="preserve">has not been well articulated </w:t>
      </w:r>
      <w:r w:rsidR="00935AA6" w:rsidRPr="00091600">
        <w:rPr>
          <w:rFonts w:ascii="Roboto Light" w:hAnsi="Roboto Light"/>
          <w:lang w:val="en-AU"/>
        </w:rPr>
        <w:t xml:space="preserve">in program documentation. </w:t>
      </w:r>
      <w:r w:rsidRPr="00091600">
        <w:rPr>
          <w:rFonts w:ascii="Roboto Light" w:hAnsi="Roboto Light"/>
          <w:lang w:val="en-AU"/>
        </w:rPr>
        <w:t xml:space="preserve">Our interviews showed </w:t>
      </w:r>
      <w:r w:rsidR="00935AA6" w:rsidRPr="00091600">
        <w:rPr>
          <w:rFonts w:ascii="Roboto Light" w:hAnsi="Roboto Light"/>
          <w:lang w:val="en-AU"/>
        </w:rPr>
        <w:t>it</w:t>
      </w:r>
      <w:r w:rsidR="00C879CB" w:rsidRPr="00091600">
        <w:rPr>
          <w:rFonts w:ascii="Roboto Light" w:hAnsi="Roboto Light"/>
          <w:lang w:val="en-AU"/>
        </w:rPr>
        <w:t xml:space="preserve"> was </w:t>
      </w:r>
      <w:r w:rsidR="00935AA6" w:rsidRPr="00091600">
        <w:rPr>
          <w:rFonts w:ascii="Roboto Light" w:hAnsi="Roboto Light"/>
          <w:lang w:val="en-AU"/>
        </w:rPr>
        <w:t>not</w:t>
      </w:r>
      <w:r w:rsidR="00230854" w:rsidRPr="00091600">
        <w:rPr>
          <w:rFonts w:ascii="Roboto Light" w:hAnsi="Roboto Light"/>
          <w:lang w:val="en-AU"/>
        </w:rPr>
        <w:t xml:space="preserve"> understoo</w:t>
      </w:r>
      <w:r w:rsidR="003152C6" w:rsidRPr="00091600">
        <w:rPr>
          <w:rFonts w:ascii="Roboto Light" w:hAnsi="Roboto Light"/>
          <w:lang w:val="en-AU"/>
        </w:rPr>
        <w:t xml:space="preserve">d in a consistent way </w:t>
      </w:r>
      <w:r w:rsidRPr="00091600">
        <w:rPr>
          <w:rFonts w:ascii="Roboto Light" w:hAnsi="Roboto Light"/>
          <w:lang w:val="en-AU"/>
        </w:rPr>
        <w:t>across stakeholders. As a result, it can seem like a collection of unrelated activities</w:t>
      </w:r>
      <w:r w:rsidR="003152C6" w:rsidRPr="00091600">
        <w:rPr>
          <w:rFonts w:ascii="Roboto Light" w:hAnsi="Roboto Light"/>
          <w:lang w:val="en-AU"/>
        </w:rPr>
        <w:t xml:space="preserve">, which may be </w:t>
      </w:r>
      <w:r w:rsidRPr="00091600">
        <w:rPr>
          <w:rFonts w:ascii="Roboto Light" w:hAnsi="Roboto Light"/>
          <w:lang w:val="en-AU"/>
        </w:rPr>
        <w:t xml:space="preserve">individually interesting </w:t>
      </w:r>
      <w:r w:rsidR="003152C6" w:rsidRPr="00091600">
        <w:rPr>
          <w:rFonts w:ascii="Roboto Light" w:hAnsi="Roboto Light"/>
          <w:lang w:val="en-AU"/>
        </w:rPr>
        <w:t>but</w:t>
      </w:r>
      <w:r w:rsidR="00C879CB" w:rsidRPr="00091600">
        <w:rPr>
          <w:rFonts w:ascii="Roboto Light" w:hAnsi="Roboto Light"/>
          <w:lang w:val="en-AU"/>
        </w:rPr>
        <w:t xml:space="preserve"> </w:t>
      </w:r>
      <w:r w:rsidRPr="00091600">
        <w:rPr>
          <w:rFonts w:ascii="Roboto Light" w:hAnsi="Roboto Light"/>
          <w:lang w:val="en-AU"/>
        </w:rPr>
        <w:t xml:space="preserve">not core to the program success. This </w:t>
      </w:r>
      <w:r w:rsidR="00766BFD" w:rsidRPr="00091600">
        <w:rPr>
          <w:rFonts w:ascii="Roboto Light" w:hAnsi="Roboto Light"/>
          <w:lang w:val="en-AU"/>
        </w:rPr>
        <w:t xml:space="preserve">may </w:t>
      </w:r>
      <w:r w:rsidRPr="00091600">
        <w:rPr>
          <w:rFonts w:ascii="Roboto Light" w:hAnsi="Roboto Light"/>
          <w:lang w:val="en-AU"/>
        </w:rPr>
        <w:t>explain why</w:t>
      </w:r>
      <w:r w:rsidR="003974DA" w:rsidRPr="00091600">
        <w:rPr>
          <w:rFonts w:ascii="Roboto Light" w:hAnsi="Roboto Light"/>
          <w:lang w:val="en-AU"/>
        </w:rPr>
        <w:t>,</w:t>
      </w:r>
      <w:r w:rsidRPr="00091600">
        <w:rPr>
          <w:rFonts w:ascii="Roboto Light" w:hAnsi="Roboto Light"/>
          <w:lang w:val="en-AU"/>
        </w:rPr>
        <w:t xml:space="preserve"> beyond the UQ leadership courses and events, </w:t>
      </w:r>
      <w:r w:rsidR="003152C6" w:rsidRPr="00091600">
        <w:rPr>
          <w:rFonts w:ascii="Roboto Light" w:hAnsi="Roboto Light"/>
          <w:lang w:val="en-AU"/>
        </w:rPr>
        <w:t>few activities have been delivered to date</w:t>
      </w:r>
      <w:r w:rsidR="008E09F5">
        <w:rPr>
          <w:rFonts w:ascii="Roboto Light" w:hAnsi="Roboto Light"/>
          <w:lang w:val="en-AU"/>
        </w:rPr>
        <w:t xml:space="preserve"> and </w:t>
      </w:r>
      <w:r w:rsidR="003152C6" w:rsidRPr="00091600">
        <w:rPr>
          <w:rFonts w:ascii="Roboto Light" w:hAnsi="Roboto Light"/>
          <w:lang w:val="en-AU"/>
        </w:rPr>
        <w:t>represent</w:t>
      </w:r>
      <w:r w:rsidRPr="00091600">
        <w:rPr>
          <w:rFonts w:ascii="Roboto Light" w:hAnsi="Roboto Light"/>
          <w:lang w:val="en-AU"/>
        </w:rPr>
        <w:t xml:space="preserve"> a very small share of the total budget. The ‘leadership discussions, debates and pathways’ PSLR component represented 2% of the overall PSLR planned budget for </w:t>
      </w:r>
      <w:r w:rsidRPr="001422B3">
        <w:rPr>
          <w:rFonts w:ascii="Roboto Light" w:hAnsi="Roboto Light"/>
          <w:i/>
          <w:lang w:val="en-AU"/>
        </w:rPr>
        <w:t>2017</w:t>
      </w:r>
      <w:r w:rsidR="00045394" w:rsidRPr="008E09F5">
        <w:rPr>
          <w:rFonts w:ascii="Roboto Light" w:hAnsi="Roboto Light"/>
          <w:i/>
          <w:lang w:val="en-AU"/>
        </w:rPr>
        <w:t>–</w:t>
      </w:r>
      <w:r w:rsidR="00C41EE5" w:rsidRPr="00091600">
        <w:rPr>
          <w:rFonts w:ascii="Roboto Light" w:hAnsi="Roboto Light"/>
          <w:i/>
          <w:lang w:val="en-AU"/>
        </w:rPr>
        <w:t>201</w:t>
      </w:r>
      <w:r w:rsidR="00A27D50" w:rsidRPr="00091600">
        <w:rPr>
          <w:rFonts w:ascii="Roboto Light" w:hAnsi="Roboto Light"/>
          <w:i/>
          <w:lang w:val="en-AU"/>
        </w:rPr>
        <w:t>8</w:t>
      </w:r>
      <w:r w:rsidRPr="00091600">
        <w:rPr>
          <w:rFonts w:ascii="Roboto Light" w:hAnsi="Roboto Light"/>
          <w:lang w:val="en-AU"/>
        </w:rPr>
        <w:t>.</w:t>
      </w:r>
      <w:r w:rsidRPr="00091600">
        <w:rPr>
          <w:rStyle w:val="FootnoteReference"/>
          <w:rFonts w:ascii="Roboto Light" w:hAnsi="Roboto Light"/>
          <w:lang w:val="en-AU"/>
        </w:rPr>
        <w:footnoteReference w:id="42"/>
      </w:r>
      <w:r w:rsidRPr="00091600">
        <w:rPr>
          <w:rFonts w:ascii="Roboto Light" w:hAnsi="Roboto Light"/>
          <w:lang w:val="en-AU"/>
        </w:rPr>
        <w:t xml:space="preserve"> With Precinct teams stretched to deliver courses and support </w:t>
      </w:r>
      <w:r w:rsidR="005167A8" w:rsidRPr="00091600">
        <w:rPr>
          <w:rFonts w:ascii="Roboto Light" w:hAnsi="Roboto Light"/>
          <w:lang w:val="en-AU"/>
        </w:rPr>
        <w:t>JSC</w:t>
      </w:r>
      <w:r w:rsidRPr="00091600">
        <w:rPr>
          <w:rFonts w:ascii="Roboto Light" w:hAnsi="Roboto Light"/>
          <w:lang w:val="en-AU"/>
        </w:rPr>
        <w:t>/Board meetings, follow-on support through mentoring and alumni networks</w:t>
      </w:r>
      <w:r w:rsidR="00053238" w:rsidRPr="00091600">
        <w:rPr>
          <w:rFonts w:ascii="Roboto Light" w:hAnsi="Roboto Light"/>
          <w:lang w:val="en-AU"/>
        </w:rPr>
        <w:t xml:space="preserve">, </w:t>
      </w:r>
      <w:r w:rsidRPr="00091600">
        <w:rPr>
          <w:rFonts w:ascii="Roboto Light" w:hAnsi="Roboto Light"/>
          <w:lang w:val="en-AU"/>
        </w:rPr>
        <w:t xml:space="preserve">planned </w:t>
      </w:r>
      <w:r w:rsidR="00053238" w:rsidRPr="00091600">
        <w:rPr>
          <w:rFonts w:ascii="Roboto Light" w:hAnsi="Roboto Light"/>
          <w:lang w:val="en-AU"/>
        </w:rPr>
        <w:t>in design</w:t>
      </w:r>
      <w:r w:rsidR="00D06894" w:rsidRPr="00091600">
        <w:rPr>
          <w:rFonts w:ascii="Roboto Light" w:hAnsi="Roboto Light"/>
          <w:lang w:val="en-AU"/>
        </w:rPr>
        <w:t xml:space="preserve"> </w:t>
      </w:r>
      <w:r w:rsidRPr="00091600">
        <w:rPr>
          <w:rFonts w:ascii="Roboto Light" w:hAnsi="Roboto Light"/>
          <w:lang w:val="en-AU"/>
        </w:rPr>
        <w:t>to create an enabling environment for public sector transformation</w:t>
      </w:r>
      <w:r w:rsidR="00053238" w:rsidRPr="00091600">
        <w:rPr>
          <w:rFonts w:ascii="Roboto Light" w:hAnsi="Roboto Light"/>
          <w:lang w:val="en-AU"/>
        </w:rPr>
        <w:t>,</w:t>
      </w:r>
      <w:r w:rsidR="004E6AA3" w:rsidRPr="00091600">
        <w:rPr>
          <w:rFonts w:ascii="Roboto Light" w:hAnsi="Roboto Light"/>
          <w:lang w:val="en-AU"/>
        </w:rPr>
        <w:t xml:space="preserve"> </w:t>
      </w:r>
      <w:r w:rsidR="003152C6" w:rsidRPr="00091600">
        <w:rPr>
          <w:rFonts w:ascii="Roboto Light" w:hAnsi="Roboto Light"/>
          <w:lang w:val="en-AU"/>
        </w:rPr>
        <w:t xml:space="preserve">have </w:t>
      </w:r>
      <w:r w:rsidR="00F56538" w:rsidRPr="00091600">
        <w:rPr>
          <w:rFonts w:ascii="Roboto Light" w:hAnsi="Roboto Light"/>
          <w:lang w:val="en-AU"/>
        </w:rPr>
        <w:t>received</w:t>
      </w:r>
      <w:r w:rsidR="00C879CB" w:rsidRPr="00091600">
        <w:rPr>
          <w:rFonts w:ascii="Roboto Light" w:hAnsi="Roboto Light"/>
          <w:lang w:val="en-AU"/>
        </w:rPr>
        <w:t xml:space="preserve"> less attention</w:t>
      </w:r>
      <w:r w:rsidR="00A27D50" w:rsidRPr="00091600">
        <w:rPr>
          <w:rFonts w:ascii="Roboto Light" w:hAnsi="Roboto Light"/>
          <w:lang w:val="en-AU"/>
        </w:rPr>
        <w:t>.</w:t>
      </w:r>
    </w:p>
    <w:p w:rsidR="000F4B57" w:rsidRPr="00091600" w:rsidRDefault="00A27D50" w:rsidP="003F7250">
      <w:pPr>
        <w:pStyle w:val="BodyText"/>
        <w:rPr>
          <w:lang w:val="en-AU"/>
        </w:rPr>
      </w:pPr>
      <w:r w:rsidRPr="001422B3">
        <w:rPr>
          <w:rFonts w:ascii="Roboto" w:hAnsi="Roboto"/>
          <w:b/>
          <w:lang w:val="en-AU"/>
        </w:rPr>
        <w:t>Training</w:t>
      </w:r>
      <w:r w:rsidR="00C879CB" w:rsidRPr="001422B3">
        <w:rPr>
          <w:rFonts w:ascii="Roboto" w:hAnsi="Roboto"/>
          <w:b/>
          <w:lang w:val="en-AU"/>
        </w:rPr>
        <w:t xml:space="preserve"> is </w:t>
      </w:r>
      <w:r w:rsidRPr="001422B3">
        <w:rPr>
          <w:rFonts w:ascii="Roboto" w:hAnsi="Roboto"/>
          <w:b/>
          <w:lang w:val="en-AU"/>
        </w:rPr>
        <w:t>not enough</w:t>
      </w:r>
      <w:r w:rsidR="001D6EC8" w:rsidRPr="001422B3">
        <w:rPr>
          <w:rFonts w:ascii="Roboto" w:hAnsi="Roboto"/>
          <w:b/>
          <w:lang w:val="en-AU"/>
        </w:rPr>
        <w:t>:</w:t>
      </w:r>
      <w:r w:rsidR="00735333" w:rsidRPr="00091600">
        <w:rPr>
          <w:lang w:val="en-AU"/>
        </w:rPr>
        <w:t xml:space="preserve"> </w:t>
      </w:r>
      <w:r w:rsidR="001D6EC8" w:rsidRPr="00091600">
        <w:rPr>
          <w:lang w:val="en-AU"/>
        </w:rPr>
        <w:t>a</w:t>
      </w:r>
      <w:r w:rsidR="000F4B57" w:rsidRPr="00091600">
        <w:rPr>
          <w:lang w:val="en-AU"/>
        </w:rPr>
        <w:t xml:space="preserve"> consistent message from academic research and lessons learned from decades of capacity development programs is that training, often the default approach to capacity development, is important but not sufficient (see </w:t>
      </w:r>
      <w:r w:rsidR="001D6EC8" w:rsidRPr="00091600">
        <w:rPr>
          <w:lang w:val="en-AU"/>
        </w:rPr>
        <w:t>E</w:t>
      </w:r>
      <w:r w:rsidR="003B24DF" w:rsidRPr="00091600">
        <w:rPr>
          <w:lang w:val="en-AU"/>
        </w:rPr>
        <w:t xml:space="preserve">vidence </w:t>
      </w:r>
      <w:r w:rsidR="001D6EC8" w:rsidRPr="00091600">
        <w:rPr>
          <w:lang w:val="en-AU"/>
        </w:rPr>
        <w:t>B</w:t>
      </w:r>
      <w:r w:rsidR="003B24DF" w:rsidRPr="00091600">
        <w:rPr>
          <w:lang w:val="en-AU"/>
        </w:rPr>
        <w:t>ox</w:t>
      </w:r>
      <w:r w:rsidR="000F4B57" w:rsidRPr="00091600">
        <w:rPr>
          <w:lang w:val="en-AU"/>
        </w:rPr>
        <w:t xml:space="preserve"> 2). Projects too often assume that beneficiaries require new knowledge and focus on individuals and their organisations</w:t>
      </w:r>
      <w:r w:rsidR="00F56538" w:rsidRPr="00091600">
        <w:rPr>
          <w:lang w:val="en-AU"/>
        </w:rPr>
        <w:t xml:space="preserve">, </w:t>
      </w:r>
      <w:r w:rsidR="00B8546A" w:rsidRPr="00091600">
        <w:rPr>
          <w:lang w:val="en-AU"/>
        </w:rPr>
        <w:t>ignor</w:t>
      </w:r>
      <w:r w:rsidR="00F56538" w:rsidRPr="00091600">
        <w:rPr>
          <w:lang w:val="en-AU"/>
        </w:rPr>
        <w:t>ing</w:t>
      </w:r>
      <w:r w:rsidR="00B8546A" w:rsidRPr="00091600">
        <w:rPr>
          <w:lang w:val="en-AU"/>
        </w:rPr>
        <w:t xml:space="preserve"> </w:t>
      </w:r>
      <w:r w:rsidR="00C879CB" w:rsidRPr="00091600">
        <w:rPr>
          <w:lang w:val="en-AU"/>
        </w:rPr>
        <w:t>the</w:t>
      </w:r>
      <w:r w:rsidR="000F4B57" w:rsidRPr="00091600">
        <w:rPr>
          <w:lang w:val="en-AU"/>
        </w:rPr>
        <w:t xml:space="preserve"> wider environment in which individuals and organisations operate (</w:t>
      </w:r>
      <w:r w:rsidR="00D87CE1">
        <w:rPr>
          <w:lang w:val="en-AU"/>
        </w:rPr>
        <w:t xml:space="preserve">e.g. </w:t>
      </w:r>
      <w:r w:rsidR="000F4B57" w:rsidRPr="00091600">
        <w:rPr>
          <w:lang w:val="en-AU"/>
        </w:rPr>
        <w:t>historical legacies</w:t>
      </w:r>
      <w:r w:rsidR="001D6EC8" w:rsidRPr="00091600">
        <w:rPr>
          <w:lang w:val="en-AU"/>
        </w:rPr>
        <w:t>;</w:t>
      </w:r>
      <w:r w:rsidR="00B8546A" w:rsidRPr="00091600">
        <w:rPr>
          <w:lang w:val="en-AU"/>
        </w:rPr>
        <w:t xml:space="preserve"> </w:t>
      </w:r>
      <w:r w:rsidR="000F4B57" w:rsidRPr="00091600">
        <w:rPr>
          <w:lang w:val="en-AU"/>
        </w:rPr>
        <w:t>formal rules and processes</w:t>
      </w:r>
      <w:r w:rsidR="001D6EC8" w:rsidRPr="00091600">
        <w:rPr>
          <w:lang w:val="en-AU"/>
        </w:rPr>
        <w:t>;</w:t>
      </w:r>
      <w:r w:rsidR="000F4B57" w:rsidRPr="00091600">
        <w:rPr>
          <w:lang w:val="en-AU"/>
        </w:rPr>
        <w:t xml:space="preserve"> and the informal set of power relations and norms, such as those surrounding gender and ethnicity).</w:t>
      </w:r>
      <w:r w:rsidR="00D87CE1">
        <w:rPr>
          <w:lang w:val="en-AU"/>
        </w:rPr>
        <w:t xml:space="preserve"> </w:t>
      </w:r>
      <w:r w:rsidR="000F4B57" w:rsidRPr="00091600">
        <w:rPr>
          <w:lang w:val="en-AU"/>
        </w:rPr>
        <w:t>The</w:t>
      </w:r>
      <w:r w:rsidR="00C879CB" w:rsidRPr="00091600">
        <w:rPr>
          <w:lang w:val="en-AU"/>
        </w:rPr>
        <w:t xml:space="preserve"> </w:t>
      </w:r>
      <w:r w:rsidR="000F4B57" w:rsidRPr="00091600">
        <w:rPr>
          <w:lang w:val="en-AU"/>
        </w:rPr>
        <w:t xml:space="preserve">theory of change </w:t>
      </w:r>
      <w:r w:rsidR="00E63778" w:rsidRPr="00091600">
        <w:rPr>
          <w:lang w:val="en-AU"/>
        </w:rPr>
        <w:t xml:space="preserve">provided in Service Order 15 (setting out the </w:t>
      </w:r>
      <w:r w:rsidR="009F04B7" w:rsidRPr="00091600">
        <w:rPr>
          <w:lang w:val="en-AU"/>
        </w:rPr>
        <w:t>Governance Partnership</w:t>
      </w:r>
      <w:r w:rsidR="00E63778" w:rsidRPr="00091600">
        <w:rPr>
          <w:lang w:val="en-AU"/>
        </w:rPr>
        <w:t xml:space="preserve">’s approach to the Precinct) </w:t>
      </w:r>
      <w:r w:rsidR="000F4B57" w:rsidRPr="00091600">
        <w:rPr>
          <w:lang w:val="en-AU"/>
        </w:rPr>
        <w:t>identified the need to complement Precinct courses with ‘systems of accountability and performance that further incentivise ethical leadership’</w:t>
      </w:r>
      <w:r w:rsidR="001D6EC8" w:rsidRPr="00091600">
        <w:rPr>
          <w:lang w:val="en-AU"/>
        </w:rPr>
        <w:t>,</w:t>
      </w:r>
      <w:r w:rsidR="000F4B57" w:rsidRPr="00091600">
        <w:rPr>
          <w:rStyle w:val="FootnoteReference"/>
          <w:rFonts w:cstheme="minorHAnsi"/>
          <w:lang w:val="en-AU"/>
        </w:rPr>
        <w:footnoteReference w:id="43"/>
      </w:r>
      <w:r w:rsidR="000F4B57" w:rsidRPr="00091600">
        <w:rPr>
          <w:lang w:val="en-AU"/>
        </w:rPr>
        <w:t xml:space="preserve"> </w:t>
      </w:r>
      <w:r w:rsidR="00735333" w:rsidRPr="00091600">
        <w:rPr>
          <w:lang w:val="en-AU"/>
        </w:rPr>
        <w:t>but this</w:t>
      </w:r>
      <w:r w:rsidR="00C879CB" w:rsidRPr="00091600">
        <w:rPr>
          <w:lang w:val="en-AU"/>
        </w:rPr>
        <w:t xml:space="preserve"> is not</w:t>
      </w:r>
      <w:r w:rsidR="000F4B57" w:rsidRPr="00091600">
        <w:rPr>
          <w:lang w:val="en-AU"/>
        </w:rPr>
        <w:t xml:space="preserve"> visible in the current theory of change or Precinct activities.</w:t>
      </w:r>
    </w:p>
    <w:tbl>
      <w:tblPr>
        <w:tblStyle w:val="OPMBoxstyle"/>
        <w:tblW w:w="0" w:type="auto"/>
        <w:tblLook w:val="04A0" w:firstRow="1" w:lastRow="0" w:firstColumn="1" w:lastColumn="0" w:noHBand="0" w:noVBand="1"/>
        <w:tblCaption w:val="Evidence for the Precinct to consider 2 - training is not enough"/>
        <w:tblDescription w:val="In 2017, the UK Government-funded Sustainable Livelihoods Research Program synthesised its 14 primary studies on the effectiveness of capacity building drawn from eight fragile or conflict-affected countries it had studied over the course of five years. It found that ‘results are frequently disappointing’ due to four issues with how capacity building is operationalised:&#10;• training remains the default tool of capacity development. It is tangible and quantifiable, but change often does not simply result from new knowledge or more resources; &#10;• capacity development is often treated as a technical process, whereas capacity depends on how power is distributed in society and elite behaviour. As a result, practitioners target technical issues and fail to support the political drivers of change; &#10;• capacity development activities frequently target formal organisations (particularly government officials) and overlook other alternative capacities (such as churches, chiefs, or elders) and how people use services in practice; and&#10;• capacity development tends to focus on individuals and organisations rather than taking a ‘systemic’ approach. Instead it should focus on both the hardware (e.g. formal procedures) and software (e.g. social relations) to incentivise change.&#10;This finding can be applied to the Precinct’s objective of training ethical leaders. Academic evidence shows that training in ethics and codes of conduct (such as the LCF in PNG) do not address corruption on their own. A combination of individual integrity (e.g. an honest person, doing the right thing); institutions of integrity (e.g. legal rules, codes of conduct, social norms); and the integrity of institutions (e.g. institutions that are fit for purpose, promoting development objectives) are needed to prevent misconduct and corruption in the public sector. Precinct partners should consider whether and how they could work across all these levels. "/>
      </w:tblPr>
      <w:tblGrid>
        <w:gridCol w:w="9730"/>
      </w:tblGrid>
      <w:tr w:rsidR="006C61F5" w:rsidRPr="00091600" w:rsidTr="00CE4AA6">
        <w:trPr>
          <w:cnfStyle w:val="100000000000" w:firstRow="1" w:lastRow="0" w:firstColumn="0" w:lastColumn="0" w:oddVBand="0" w:evenVBand="0" w:oddHBand="0" w:evenHBand="0" w:firstRowFirstColumn="0" w:firstRowLastColumn="0" w:lastRowFirstColumn="0" w:lastRowLastColumn="0"/>
          <w:trHeight w:val="507"/>
          <w:tblHeader/>
        </w:trPr>
        <w:tc>
          <w:tcPr>
            <w:tcW w:w="9730" w:type="dxa"/>
          </w:tcPr>
          <w:p w:rsidR="006C61F5" w:rsidRPr="006A2786" w:rsidRDefault="006C61F5" w:rsidP="006A2786">
            <w:pPr>
              <w:pStyle w:val="Boxcaption"/>
            </w:pPr>
            <w:r w:rsidRPr="006A2786">
              <w:t xml:space="preserve">Box </w:t>
            </w:r>
            <w:r w:rsidRPr="006A2786">
              <w:fldChar w:fldCharType="begin"/>
            </w:r>
            <w:r w:rsidRPr="006A2786">
              <w:instrText xml:space="preserve"> SEQ Box \* ARABIC </w:instrText>
            </w:r>
            <w:r w:rsidRPr="006A2786">
              <w:fldChar w:fldCharType="separate"/>
            </w:r>
            <w:r w:rsidR="004964E9">
              <w:rPr>
                <w:noProof/>
              </w:rPr>
              <w:t>3</w:t>
            </w:r>
            <w:r w:rsidRPr="006A2786">
              <w:fldChar w:fldCharType="end"/>
            </w:r>
            <w:r w:rsidRPr="006A2786">
              <w:t>:</w:t>
            </w:r>
            <w:r w:rsidRPr="006A2786">
              <w:tab/>
              <w:t>Evidence for the Precinct to consider 2</w:t>
            </w:r>
            <w:r w:rsidR="00291198">
              <w:t xml:space="preserve"> – </w:t>
            </w:r>
            <w:r w:rsidRPr="001A39C5">
              <w:rPr>
                <w:b w:val="0"/>
              </w:rPr>
              <w:t>training is not enough</w:t>
            </w:r>
          </w:p>
        </w:tc>
      </w:tr>
      <w:tr w:rsidR="000F4B57" w:rsidRPr="00091600" w:rsidTr="00013D3C">
        <w:tc>
          <w:tcPr>
            <w:tcW w:w="0" w:type="dxa"/>
            <w:tcBorders>
              <w:top w:val="single" w:sz="4" w:space="0" w:color="45A7E1" w:themeColor="accent1"/>
              <w:bottom w:val="single" w:sz="4" w:space="0" w:color="45A7E1" w:themeColor="accent1"/>
            </w:tcBorders>
          </w:tcPr>
          <w:p w:rsidR="000F4B57" w:rsidRPr="00091600" w:rsidRDefault="000F4B57" w:rsidP="00013D3C">
            <w:pPr>
              <w:pStyle w:val="Boxtext"/>
              <w:rPr>
                <w:rFonts w:ascii="Roboto Light" w:hAnsi="Roboto Light"/>
                <w:spacing w:val="1"/>
                <w:lang w:val="en-AU"/>
              </w:rPr>
            </w:pPr>
            <w:r w:rsidRPr="00091600">
              <w:rPr>
                <w:rFonts w:ascii="Roboto Light" w:hAnsi="Roboto Light"/>
                <w:bCs/>
                <w:iCs/>
                <w:lang w:val="en-AU"/>
              </w:rPr>
              <w:t xml:space="preserve">In 2017, the UK Government-funded Sustainable Livelihoods Research Program synthesised its </w:t>
            </w:r>
            <w:r w:rsidRPr="00091600">
              <w:rPr>
                <w:rFonts w:ascii="Roboto Light" w:hAnsi="Roboto Light"/>
                <w:lang w:val="en-AU"/>
              </w:rPr>
              <w:t>14 pr</w:t>
            </w:r>
            <w:r w:rsidRPr="00091600">
              <w:rPr>
                <w:rFonts w:ascii="Roboto Light" w:hAnsi="Roboto Light"/>
                <w:spacing w:val="-2"/>
                <w:lang w:val="en-AU"/>
              </w:rPr>
              <w:t>i</w:t>
            </w:r>
            <w:r w:rsidRPr="00091600">
              <w:rPr>
                <w:rFonts w:ascii="Roboto Light" w:hAnsi="Roboto Light"/>
                <w:spacing w:val="1"/>
                <w:lang w:val="en-AU"/>
              </w:rPr>
              <w:t>m</w:t>
            </w:r>
            <w:r w:rsidRPr="00091600">
              <w:rPr>
                <w:rFonts w:ascii="Roboto Light" w:hAnsi="Roboto Light"/>
                <w:lang w:val="en-AU"/>
              </w:rPr>
              <w:t>ary</w:t>
            </w:r>
            <w:r w:rsidRPr="00091600">
              <w:rPr>
                <w:rFonts w:ascii="Roboto Light" w:hAnsi="Roboto Light"/>
                <w:spacing w:val="-1"/>
                <w:lang w:val="en-AU"/>
              </w:rPr>
              <w:t xml:space="preserve"> </w:t>
            </w:r>
            <w:r w:rsidRPr="00091600">
              <w:rPr>
                <w:rFonts w:ascii="Roboto Light" w:hAnsi="Roboto Light"/>
                <w:lang w:val="en-AU"/>
              </w:rPr>
              <w:t>s</w:t>
            </w:r>
            <w:r w:rsidRPr="00091600">
              <w:rPr>
                <w:rFonts w:ascii="Roboto Light" w:hAnsi="Roboto Light"/>
                <w:spacing w:val="-1"/>
                <w:lang w:val="en-AU"/>
              </w:rPr>
              <w:t>t</w:t>
            </w:r>
            <w:r w:rsidRPr="00091600">
              <w:rPr>
                <w:rFonts w:ascii="Roboto Light" w:hAnsi="Roboto Light"/>
                <w:lang w:val="en-AU"/>
              </w:rPr>
              <w:t>u</w:t>
            </w:r>
            <w:r w:rsidRPr="00091600">
              <w:rPr>
                <w:rFonts w:ascii="Roboto Light" w:hAnsi="Roboto Light"/>
                <w:spacing w:val="-2"/>
                <w:lang w:val="en-AU"/>
              </w:rPr>
              <w:t>d</w:t>
            </w:r>
            <w:r w:rsidRPr="00091600">
              <w:rPr>
                <w:rFonts w:ascii="Roboto Light" w:hAnsi="Roboto Light"/>
                <w:spacing w:val="1"/>
                <w:lang w:val="en-AU"/>
              </w:rPr>
              <w:t>i</w:t>
            </w:r>
            <w:r w:rsidRPr="00091600">
              <w:rPr>
                <w:rFonts w:ascii="Roboto Light" w:hAnsi="Roboto Light"/>
                <w:spacing w:val="-2"/>
                <w:lang w:val="en-AU"/>
              </w:rPr>
              <w:t>e</w:t>
            </w:r>
            <w:r w:rsidRPr="00091600">
              <w:rPr>
                <w:rFonts w:ascii="Roboto Light" w:hAnsi="Roboto Light"/>
                <w:lang w:val="en-AU"/>
              </w:rPr>
              <w:t>s</w:t>
            </w:r>
            <w:r w:rsidRPr="00091600">
              <w:rPr>
                <w:rFonts w:ascii="Roboto Light" w:hAnsi="Roboto Light"/>
                <w:spacing w:val="2"/>
                <w:lang w:val="en-AU"/>
              </w:rPr>
              <w:t xml:space="preserve"> </w:t>
            </w:r>
            <w:r w:rsidRPr="00091600">
              <w:rPr>
                <w:rFonts w:ascii="Roboto Light" w:hAnsi="Roboto Light"/>
                <w:spacing w:val="-2"/>
                <w:lang w:val="en-AU"/>
              </w:rPr>
              <w:t>o</w:t>
            </w:r>
            <w:r w:rsidRPr="00091600">
              <w:rPr>
                <w:rFonts w:ascii="Roboto Light" w:hAnsi="Roboto Light"/>
                <w:lang w:val="en-AU"/>
              </w:rPr>
              <w:t xml:space="preserve">n </w:t>
            </w:r>
            <w:r w:rsidRPr="00091600">
              <w:rPr>
                <w:rFonts w:ascii="Roboto Light" w:hAnsi="Roboto Light"/>
                <w:spacing w:val="-1"/>
                <w:lang w:val="en-AU"/>
              </w:rPr>
              <w:t>t</w:t>
            </w:r>
            <w:r w:rsidRPr="00091600">
              <w:rPr>
                <w:rFonts w:ascii="Roboto Light" w:hAnsi="Roboto Light"/>
                <w:lang w:val="en-AU"/>
              </w:rPr>
              <w:t>he</w:t>
            </w:r>
            <w:r w:rsidRPr="00091600">
              <w:rPr>
                <w:rFonts w:ascii="Roboto Light" w:hAnsi="Roboto Light"/>
                <w:spacing w:val="4"/>
                <w:lang w:val="en-AU"/>
              </w:rPr>
              <w:t xml:space="preserve"> </w:t>
            </w:r>
            <w:r w:rsidRPr="00091600">
              <w:rPr>
                <w:rFonts w:ascii="Roboto Light" w:hAnsi="Roboto Light"/>
                <w:spacing w:val="-2"/>
                <w:lang w:val="en-AU"/>
              </w:rPr>
              <w:t>e</w:t>
            </w:r>
            <w:r w:rsidRPr="00091600">
              <w:rPr>
                <w:rFonts w:ascii="Roboto Light" w:hAnsi="Roboto Light"/>
                <w:spacing w:val="1"/>
                <w:lang w:val="en-AU"/>
              </w:rPr>
              <w:t>f</w:t>
            </w:r>
            <w:r w:rsidRPr="00091600">
              <w:rPr>
                <w:rFonts w:ascii="Roboto Light" w:hAnsi="Roboto Light"/>
                <w:spacing w:val="-1"/>
                <w:lang w:val="en-AU"/>
              </w:rPr>
              <w:t>f</w:t>
            </w:r>
            <w:r w:rsidRPr="00091600">
              <w:rPr>
                <w:rFonts w:ascii="Roboto Light" w:hAnsi="Roboto Light"/>
                <w:lang w:val="en-AU"/>
              </w:rPr>
              <w:t>ec</w:t>
            </w:r>
            <w:r w:rsidRPr="00091600">
              <w:rPr>
                <w:rFonts w:ascii="Roboto Light" w:hAnsi="Roboto Light"/>
                <w:spacing w:val="-1"/>
                <w:lang w:val="en-AU"/>
              </w:rPr>
              <w:t>t</w:t>
            </w:r>
            <w:r w:rsidRPr="00091600">
              <w:rPr>
                <w:rFonts w:ascii="Roboto Light" w:hAnsi="Roboto Light"/>
                <w:spacing w:val="1"/>
                <w:lang w:val="en-AU"/>
              </w:rPr>
              <w:t>i</w:t>
            </w:r>
            <w:r w:rsidRPr="00091600">
              <w:rPr>
                <w:rFonts w:ascii="Roboto Light" w:hAnsi="Roboto Light"/>
                <w:spacing w:val="-2"/>
                <w:lang w:val="en-AU"/>
              </w:rPr>
              <w:t>v</w:t>
            </w:r>
            <w:r w:rsidRPr="00091600">
              <w:rPr>
                <w:rFonts w:ascii="Roboto Light" w:hAnsi="Roboto Light"/>
                <w:lang w:val="en-AU"/>
              </w:rPr>
              <w:t>e</w:t>
            </w:r>
            <w:r w:rsidRPr="00091600">
              <w:rPr>
                <w:rFonts w:ascii="Roboto Light" w:hAnsi="Roboto Light"/>
                <w:spacing w:val="-2"/>
                <w:lang w:val="en-AU"/>
              </w:rPr>
              <w:t>n</w:t>
            </w:r>
            <w:r w:rsidRPr="00091600">
              <w:rPr>
                <w:rFonts w:ascii="Roboto Light" w:hAnsi="Roboto Light"/>
                <w:lang w:val="en-AU"/>
              </w:rPr>
              <w:t>ess</w:t>
            </w:r>
            <w:r w:rsidRPr="00091600">
              <w:rPr>
                <w:rFonts w:ascii="Roboto Light" w:hAnsi="Roboto Light"/>
                <w:spacing w:val="2"/>
                <w:lang w:val="en-AU"/>
              </w:rPr>
              <w:t xml:space="preserve"> </w:t>
            </w:r>
            <w:r w:rsidRPr="00091600">
              <w:rPr>
                <w:rFonts w:ascii="Roboto Light" w:hAnsi="Roboto Light"/>
                <w:lang w:val="en-AU"/>
              </w:rPr>
              <w:t>of</w:t>
            </w:r>
            <w:r w:rsidRPr="00091600">
              <w:rPr>
                <w:rFonts w:ascii="Roboto Light" w:hAnsi="Roboto Light"/>
                <w:spacing w:val="3"/>
                <w:lang w:val="en-AU"/>
              </w:rPr>
              <w:t xml:space="preserve"> </w:t>
            </w:r>
            <w:r w:rsidRPr="00091600">
              <w:rPr>
                <w:rFonts w:ascii="Roboto Light" w:hAnsi="Roboto Light"/>
                <w:lang w:val="en-AU"/>
              </w:rPr>
              <w:t>c</w:t>
            </w:r>
            <w:r w:rsidRPr="00091600">
              <w:rPr>
                <w:rFonts w:ascii="Roboto Light" w:hAnsi="Roboto Light"/>
                <w:spacing w:val="-2"/>
                <w:lang w:val="en-AU"/>
              </w:rPr>
              <w:t>ap</w:t>
            </w:r>
            <w:r w:rsidRPr="00091600">
              <w:rPr>
                <w:rFonts w:ascii="Roboto Light" w:hAnsi="Roboto Light"/>
                <w:lang w:val="en-AU"/>
              </w:rPr>
              <w:t>ac</w:t>
            </w:r>
            <w:r w:rsidRPr="00091600">
              <w:rPr>
                <w:rFonts w:ascii="Roboto Light" w:hAnsi="Roboto Light"/>
                <w:spacing w:val="1"/>
                <w:lang w:val="en-AU"/>
              </w:rPr>
              <w:t>i</w:t>
            </w:r>
            <w:r w:rsidRPr="00091600">
              <w:rPr>
                <w:rFonts w:ascii="Roboto Light" w:hAnsi="Roboto Light"/>
                <w:spacing w:val="-1"/>
                <w:lang w:val="en-AU"/>
              </w:rPr>
              <w:t>t</w:t>
            </w:r>
            <w:r w:rsidRPr="00091600">
              <w:rPr>
                <w:rFonts w:ascii="Roboto Light" w:hAnsi="Roboto Light"/>
                <w:lang w:val="en-AU"/>
              </w:rPr>
              <w:t>y</w:t>
            </w:r>
            <w:r w:rsidRPr="00091600">
              <w:rPr>
                <w:rFonts w:ascii="Roboto Light" w:hAnsi="Roboto Light"/>
                <w:spacing w:val="2"/>
                <w:lang w:val="en-AU"/>
              </w:rPr>
              <w:t xml:space="preserve"> </w:t>
            </w:r>
            <w:r w:rsidRPr="00091600">
              <w:rPr>
                <w:rFonts w:ascii="Roboto Light" w:hAnsi="Roboto Light"/>
                <w:lang w:val="en-AU"/>
              </w:rPr>
              <w:t>b</w:t>
            </w:r>
            <w:r w:rsidRPr="00091600">
              <w:rPr>
                <w:rFonts w:ascii="Roboto Light" w:hAnsi="Roboto Light"/>
                <w:spacing w:val="-2"/>
                <w:lang w:val="en-AU"/>
              </w:rPr>
              <w:t>u</w:t>
            </w:r>
            <w:r w:rsidRPr="00091600">
              <w:rPr>
                <w:rFonts w:ascii="Roboto Light" w:hAnsi="Roboto Light"/>
                <w:spacing w:val="1"/>
                <w:lang w:val="en-AU"/>
              </w:rPr>
              <w:t>i</w:t>
            </w:r>
            <w:r w:rsidRPr="00091600">
              <w:rPr>
                <w:rFonts w:ascii="Roboto Light" w:hAnsi="Roboto Light"/>
                <w:spacing w:val="-1"/>
                <w:lang w:val="en-AU"/>
              </w:rPr>
              <w:t>l</w:t>
            </w:r>
            <w:r w:rsidRPr="00091600">
              <w:rPr>
                <w:rFonts w:ascii="Roboto Light" w:hAnsi="Roboto Light"/>
                <w:lang w:val="en-AU"/>
              </w:rPr>
              <w:t>d</w:t>
            </w:r>
            <w:r w:rsidRPr="00091600">
              <w:rPr>
                <w:rFonts w:ascii="Roboto Light" w:hAnsi="Roboto Light"/>
                <w:spacing w:val="1"/>
                <w:lang w:val="en-AU"/>
              </w:rPr>
              <w:t>i</w:t>
            </w:r>
            <w:r w:rsidRPr="00091600">
              <w:rPr>
                <w:rFonts w:ascii="Roboto Light" w:hAnsi="Roboto Light"/>
                <w:spacing w:val="-2"/>
                <w:lang w:val="en-AU"/>
              </w:rPr>
              <w:t>n</w:t>
            </w:r>
            <w:r w:rsidRPr="00091600">
              <w:rPr>
                <w:rFonts w:ascii="Roboto Light" w:hAnsi="Roboto Light"/>
                <w:lang w:val="en-AU"/>
              </w:rPr>
              <w:t>g</w:t>
            </w:r>
            <w:r w:rsidRPr="00091600">
              <w:rPr>
                <w:rFonts w:ascii="Roboto Light" w:hAnsi="Roboto Light"/>
                <w:spacing w:val="4"/>
                <w:lang w:val="en-AU"/>
              </w:rPr>
              <w:t xml:space="preserve"> </w:t>
            </w:r>
            <w:r w:rsidRPr="00091600">
              <w:rPr>
                <w:rFonts w:ascii="Roboto Light" w:hAnsi="Roboto Light"/>
                <w:lang w:val="en-AU"/>
              </w:rPr>
              <w:t>dra</w:t>
            </w:r>
            <w:r w:rsidRPr="00091600">
              <w:rPr>
                <w:rFonts w:ascii="Roboto Light" w:hAnsi="Roboto Light"/>
                <w:spacing w:val="-2"/>
                <w:lang w:val="en-AU"/>
              </w:rPr>
              <w:t>w</w:t>
            </w:r>
            <w:r w:rsidRPr="00091600">
              <w:rPr>
                <w:rFonts w:ascii="Roboto Light" w:hAnsi="Roboto Light"/>
                <w:lang w:val="en-AU"/>
              </w:rPr>
              <w:t>n</w:t>
            </w:r>
            <w:r w:rsidRPr="00091600">
              <w:rPr>
                <w:rFonts w:ascii="Roboto Light" w:hAnsi="Roboto Light"/>
                <w:spacing w:val="2"/>
                <w:lang w:val="en-AU"/>
              </w:rPr>
              <w:t xml:space="preserve"> </w:t>
            </w:r>
            <w:r w:rsidRPr="00091600">
              <w:rPr>
                <w:rFonts w:ascii="Roboto Light" w:hAnsi="Roboto Light"/>
                <w:spacing w:val="1"/>
                <w:lang w:val="en-AU"/>
              </w:rPr>
              <w:t>f</w:t>
            </w:r>
            <w:r w:rsidRPr="00091600">
              <w:rPr>
                <w:rFonts w:ascii="Roboto Light" w:hAnsi="Roboto Light"/>
                <w:spacing w:val="-1"/>
                <w:lang w:val="en-AU"/>
              </w:rPr>
              <w:t>r</w:t>
            </w:r>
            <w:r w:rsidRPr="00091600">
              <w:rPr>
                <w:rFonts w:ascii="Roboto Light" w:hAnsi="Roboto Light"/>
                <w:spacing w:val="-2"/>
                <w:lang w:val="en-AU"/>
              </w:rPr>
              <w:t>o</w:t>
            </w:r>
            <w:r w:rsidRPr="00091600">
              <w:rPr>
                <w:rFonts w:ascii="Roboto Light" w:hAnsi="Roboto Light"/>
                <w:lang w:val="en-AU"/>
              </w:rPr>
              <w:t>m</w:t>
            </w:r>
            <w:r w:rsidRPr="00091600">
              <w:rPr>
                <w:rFonts w:ascii="Roboto Light" w:hAnsi="Roboto Light"/>
                <w:spacing w:val="3"/>
                <w:lang w:val="en-AU"/>
              </w:rPr>
              <w:t xml:space="preserve"> </w:t>
            </w:r>
            <w:r w:rsidRPr="00091600">
              <w:rPr>
                <w:rFonts w:ascii="Roboto Light" w:hAnsi="Roboto Light"/>
                <w:lang w:val="en-AU"/>
              </w:rPr>
              <w:t>e</w:t>
            </w:r>
            <w:r w:rsidRPr="00091600">
              <w:rPr>
                <w:rFonts w:ascii="Roboto Light" w:hAnsi="Roboto Light"/>
                <w:spacing w:val="-1"/>
                <w:lang w:val="en-AU"/>
              </w:rPr>
              <w:t>i</w:t>
            </w:r>
            <w:r w:rsidRPr="00091600">
              <w:rPr>
                <w:rFonts w:ascii="Roboto Light" w:hAnsi="Roboto Light"/>
                <w:lang w:val="en-AU"/>
              </w:rPr>
              <w:t>ght</w:t>
            </w:r>
            <w:r w:rsidRPr="00091600">
              <w:rPr>
                <w:rFonts w:ascii="Roboto Light" w:hAnsi="Roboto Light"/>
                <w:spacing w:val="3"/>
                <w:lang w:val="en-AU"/>
              </w:rPr>
              <w:t xml:space="preserve"> fragile or conflict-affected </w:t>
            </w:r>
            <w:r w:rsidRPr="00091600">
              <w:rPr>
                <w:rFonts w:ascii="Roboto Light" w:hAnsi="Roboto Light"/>
                <w:spacing w:val="-2"/>
                <w:lang w:val="en-AU"/>
              </w:rPr>
              <w:t>c</w:t>
            </w:r>
            <w:r w:rsidRPr="00091600">
              <w:rPr>
                <w:rFonts w:ascii="Roboto Light" w:hAnsi="Roboto Light"/>
                <w:lang w:val="en-AU"/>
              </w:rPr>
              <w:t>ount</w:t>
            </w:r>
            <w:r w:rsidRPr="00091600">
              <w:rPr>
                <w:rFonts w:ascii="Roboto Light" w:hAnsi="Roboto Light"/>
                <w:spacing w:val="-1"/>
                <w:lang w:val="en-AU"/>
              </w:rPr>
              <w:t>ri</w:t>
            </w:r>
            <w:r w:rsidRPr="00091600">
              <w:rPr>
                <w:rFonts w:ascii="Roboto Light" w:hAnsi="Roboto Light"/>
                <w:lang w:val="en-AU"/>
              </w:rPr>
              <w:t>es it had studied over the course of five years.</w:t>
            </w:r>
            <w:r w:rsidRPr="00091600">
              <w:rPr>
                <w:rFonts w:ascii="Roboto Light" w:hAnsi="Roboto Light"/>
                <w:spacing w:val="3"/>
                <w:lang w:val="en-AU"/>
              </w:rPr>
              <w:t xml:space="preserve"> </w:t>
            </w:r>
            <w:r w:rsidRPr="00091600">
              <w:rPr>
                <w:rFonts w:ascii="Roboto Light" w:hAnsi="Roboto Light"/>
                <w:spacing w:val="-1"/>
                <w:lang w:val="en-AU"/>
              </w:rPr>
              <w:t>I</w:t>
            </w:r>
            <w:r w:rsidRPr="00091600">
              <w:rPr>
                <w:rFonts w:ascii="Roboto Light" w:hAnsi="Roboto Light"/>
                <w:lang w:val="en-AU"/>
              </w:rPr>
              <w:t xml:space="preserve">t </w:t>
            </w:r>
            <w:r w:rsidRPr="00091600">
              <w:rPr>
                <w:rFonts w:ascii="Roboto Light" w:hAnsi="Roboto Light"/>
                <w:spacing w:val="1"/>
                <w:lang w:val="en-AU"/>
              </w:rPr>
              <w:t>f</w:t>
            </w:r>
            <w:r w:rsidRPr="00091600">
              <w:rPr>
                <w:rFonts w:ascii="Roboto Light" w:hAnsi="Roboto Light"/>
                <w:spacing w:val="-1"/>
                <w:lang w:val="en-AU"/>
              </w:rPr>
              <w:t>ound</w:t>
            </w:r>
            <w:r w:rsidRPr="00091600">
              <w:rPr>
                <w:rFonts w:ascii="Roboto Light" w:hAnsi="Roboto Light"/>
                <w:spacing w:val="4"/>
                <w:lang w:val="en-AU"/>
              </w:rPr>
              <w:t xml:space="preserve"> </w:t>
            </w:r>
            <w:r w:rsidRPr="00091600">
              <w:rPr>
                <w:rFonts w:ascii="Roboto Light" w:hAnsi="Roboto Light"/>
                <w:spacing w:val="-1"/>
                <w:lang w:val="en-AU"/>
              </w:rPr>
              <w:t>t</w:t>
            </w:r>
            <w:r w:rsidRPr="00091600">
              <w:rPr>
                <w:rFonts w:ascii="Roboto Light" w:hAnsi="Roboto Light"/>
                <w:lang w:val="en-AU"/>
              </w:rPr>
              <w:t>hat</w:t>
            </w:r>
            <w:r w:rsidRPr="00091600">
              <w:rPr>
                <w:rFonts w:ascii="Roboto Light" w:hAnsi="Roboto Light"/>
                <w:spacing w:val="3"/>
                <w:lang w:val="en-AU"/>
              </w:rPr>
              <w:t xml:space="preserve"> </w:t>
            </w:r>
            <w:r w:rsidRPr="00091600">
              <w:rPr>
                <w:rFonts w:ascii="Roboto Light" w:hAnsi="Roboto Light"/>
                <w:spacing w:val="-1"/>
                <w:lang w:val="en-AU"/>
              </w:rPr>
              <w:t>‘r</w:t>
            </w:r>
            <w:r w:rsidRPr="00091600">
              <w:rPr>
                <w:rFonts w:ascii="Roboto Light" w:hAnsi="Roboto Light"/>
                <w:spacing w:val="-2"/>
                <w:lang w:val="en-AU"/>
              </w:rPr>
              <w:t>e</w:t>
            </w:r>
            <w:r w:rsidRPr="00091600">
              <w:rPr>
                <w:rFonts w:ascii="Roboto Light" w:hAnsi="Roboto Light"/>
                <w:lang w:val="en-AU"/>
              </w:rPr>
              <w:t>s</w:t>
            </w:r>
            <w:r w:rsidRPr="00091600">
              <w:rPr>
                <w:rFonts w:ascii="Roboto Light" w:hAnsi="Roboto Light"/>
                <w:spacing w:val="-2"/>
                <w:lang w:val="en-AU"/>
              </w:rPr>
              <w:t>u</w:t>
            </w:r>
            <w:r w:rsidRPr="00091600">
              <w:rPr>
                <w:rFonts w:ascii="Roboto Light" w:hAnsi="Roboto Light"/>
                <w:spacing w:val="1"/>
                <w:lang w:val="en-AU"/>
              </w:rPr>
              <w:t>l</w:t>
            </w:r>
            <w:r w:rsidRPr="00091600">
              <w:rPr>
                <w:rFonts w:ascii="Roboto Light" w:hAnsi="Roboto Light"/>
                <w:spacing w:val="-1"/>
                <w:lang w:val="en-AU"/>
              </w:rPr>
              <w:t>t</w:t>
            </w:r>
            <w:r w:rsidRPr="00091600">
              <w:rPr>
                <w:rFonts w:ascii="Roboto Light" w:hAnsi="Roboto Light"/>
                <w:lang w:val="en-AU"/>
              </w:rPr>
              <w:t>s</w:t>
            </w:r>
            <w:r w:rsidRPr="00091600">
              <w:rPr>
                <w:rFonts w:ascii="Roboto Light" w:hAnsi="Roboto Light"/>
                <w:spacing w:val="4"/>
                <w:lang w:val="en-AU"/>
              </w:rPr>
              <w:t xml:space="preserve"> </w:t>
            </w:r>
            <w:r w:rsidRPr="00091600">
              <w:rPr>
                <w:rFonts w:ascii="Roboto Light" w:hAnsi="Roboto Light"/>
                <w:lang w:val="en-AU"/>
              </w:rPr>
              <w:t xml:space="preserve">are </w:t>
            </w:r>
            <w:r w:rsidRPr="00091600">
              <w:rPr>
                <w:rFonts w:ascii="Roboto Light" w:hAnsi="Roboto Light"/>
                <w:spacing w:val="1"/>
                <w:lang w:val="en-AU"/>
              </w:rPr>
              <w:t>f</w:t>
            </w:r>
            <w:r w:rsidRPr="00091600">
              <w:rPr>
                <w:rFonts w:ascii="Roboto Light" w:hAnsi="Roboto Light"/>
                <w:spacing w:val="-1"/>
                <w:lang w:val="en-AU"/>
              </w:rPr>
              <w:t>r</w:t>
            </w:r>
            <w:r w:rsidRPr="00091600">
              <w:rPr>
                <w:rFonts w:ascii="Roboto Light" w:hAnsi="Roboto Light"/>
                <w:lang w:val="en-AU"/>
              </w:rPr>
              <w:t>e</w:t>
            </w:r>
            <w:r w:rsidRPr="00091600">
              <w:rPr>
                <w:rFonts w:ascii="Roboto Light" w:hAnsi="Roboto Light"/>
                <w:spacing w:val="-2"/>
                <w:lang w:val="en-AU"/>
              </w:rPr>
              <w:t>q</w:t>
            </w:r>
            <w:r w:rsidRPr="00091600">
              <w:rPr>
                <w:rFonts w:ascii="Roboto Light" w:hAnsi="Roboto Light"/>
                <w:lang w:val="en-AU"/>
              </w:rPr>
              <w:t>uently</w:t>
            </w:r>
            <w:r w:rsidRPr="00091600">
              <w:rPr>
                <w:rFonts w:ascii="Roboto Light" w:hAnsi="Roboto Light"/>
                <w:spacing w:val="1"/>
                <w:lang w:val="en-AU"/>
              </w:rPr>
              <w:t xml:space="preserve"> </w:t>
            </w:r>
            <w:r w:rsidRPr="00091600">
              <w:rPr>
                <w:rFonts w:ascii="Roboto Light" w:hAnsi="Roboto Light"/>
                <w:spacing w:val="-2"/>
                <w:lang w:val="en-AU"/>
              </w:rPr>
              <w:t>d</w:t>
            </w:r>
            <w:r w:rsidRPr="00091600">
              <w:rPr>
                <w:rFonts w:ascii="Roboto Light" w:hAnsi="Roboto Light"/>
                <w:spacing w:val="1"/>
                <w:lang w:val="en-AU"/>
              </w:rPr>
              <w:t>i</w:t>
            </w:r>
            <w:r w:rsidRPr="00091600">
              <w:rPr>
                <w:rFonts w:ascii="Roboto Light" w:hAnsi="Roboto Light"/>
                <w:lang w:val="en-AU"/>
              </w:rPr>
              <w:t>s</w:t>
            </w:r>
            <w:r w:rsidRPr="00091600">
              <w:rPr>
                <w:rFonts w:ascii="Roboto Light" w:hAnsi="Roboto Light"/>
                <w:spacing w:val="-2"/>
                <w:lang w:val="en-AU"/>
              </w:rPr>
              <w:t>a</w:t>
            </w:r>
            <w:r w:rsidRPr="00091600">
              <w:rPr>
                <w:rFonts w:ascii="Roboto Light" w:hAnsi="Roboto Light"/>
                <w:lang w:val="en-AU"/>
              </w:rPr>
              <w:t>pp</w:t>
            </w:r>
            <w:r w:rsidRPr="00091600">
              <w:rPr>
                <w:rFonts w:ascii="Roboto Light" w:hAnsi="Roboto Light"/>
                <w:spacing w:val="-2"/>
                <w:lang w:val="en-AU"/>
              </w:rPr>
              <w:t>o</w:t>
            </w:r>
            <w:r w:rsidRPr="00091600">
              <w:rPr>
                <w:rFonts w:ascii="Roboto Light" w:hAnsi="Roboto Light"/>
                <w:spacing w:val="1"/>
                <w:lang w:val="en-AU"/>
              </w:rPr>
              <w:t>i</w:t>
            </w:r>
            <w:r w:rsidRPr="00091600">
              <w:rPr>
                <w:rFonts w:ascii="Roboto Light" w:hAnsi="Roboto Light"/>
                <w:lang w:val="en-AU"/>
              </w:rPr>
              <w:t>n</w:t>
            </w:r>
            <w:r w:rsidRPr="00091600">
              <w:rPr>
                <w:rFonts w:ascii="Roboto Light" w:hAnsi="Roboto Light"/>
                <w:spacing w:val="-1"/>
                <w:lang w:val="en-AU"/>
              </w:rPr>
              <w:t>ti</w:t>
            </w:r>
            <w:r w:rsidRPr="00091600">
              <w:rPr>
                <w:rFonts w:ascii="Roboto Light" w:hAnsi="Roboto Light"/>
                <w:lang w:val="en-AU"/>
              </w:rPr>
              <w:t>ng’ due</w:t>
            </w:r>
            <w:r w:rsidRPr="00091600">
              <w:rPr>
                <w:rFonts w:ascii="Roboto Light" w:hAnsi="Roboto Light"/>
                <w:spacing w:val="3"/>
                <w:lang w:val="en-AU"/>
              </w:rPr>
              <w:t xml:space="preserve"> </w:t>
            </w:r>
            <w:r w:rsidRPr="00091600">
              <w:rPr>
                <w:rFonts w:ascii="Roboto Light" w:hAnsi="Roboto Light"/>
                <w:spacing w:val="-1"/>
                <w:lang w:val="en-AU"/>
              </w:rPr>
              <w:t>t</w:t>
            </w:r>
            <w:r w:rsidRPr="00091600">
              <w:rPr>
                <w:rFonts w:ascii="Roboto Light" w:hAnsi="Roboto Light"/>
                <w:lang w:val="en-AU"/>
              </w:rPr>
              <w:t xml:space="preserve">o </w:t>
            </w:r>
            <w:r w:rsidRPr="00091600">
              <w:rPr>
                <w:rFonts w:ascii="Roboto Light" w:hAnsi="Roboto Light"/>
                <w:spacing w:val="1"/>
                <w:lang w:val="en-AU"/>
              </w:rPr>
              <w:t>f</w:t>
            </w:r>
            <w:r w:rsidRPr="00091600">
              <w:rPr>
                <w:rFonts w:ascii="Roboto Light" w:hAnsi="Roboto Light"/>
                <w:lang w:val="en-AU"/>
              </w:rPr>
              <w:t xml:space="preserve">our </w:t>
            </w:r>
            <w:r w:rsidRPr="00091600">
              <w:rPr>
                <w:rFonts w:ascii="Roboto Light" w:hAnsi="Roboto Light"/>
                <w:spacing w:val="1"/>
                <w:lang w:val="en-AU"/>
              </w:rPr>
              <w:t>i</w:t>
            </w:r>
            <w:r w:rsidRPr="00091600">
              <w:rPr>
                <w:rFonts w:ascii="Roboto Light" w:hAnsi="Roboto Light"/>
                <w:lang w:val="en-AU"/>
              </w:rPr>
              <w:t>s</w:t>
            </w:r>
            <w:r w:rsidRPr="00091600">
              <w:rPr>
                <w:rFonts w:ascii="Roboto Light" w:hAnsi="Roboto Light"/>
                <w:spacing w:val="-2"/>
                <w:lang w:val="en-AU"/>
              </w:rPr>
              <w:t>s</w:t>
            </w:r>
            <w:r w:rsidRPr="00091600">
              <w:rPr>
                <w:rFonts w:ascii="Roboto Light" w:hAnsi="Roboto Light"/>
                <w:lang w:val="en-AU"/>
              </w:rPr>
              <w:t>ues</w:t>
            </w:r>
            <w:r w:rsidRPr="00091600">
              <w:rPr>
                <w:rFonts w:ascii="Roboto Light" w:hAnsi="Roboto Light"/>
                <w:spacing w:val="3"/>
                <w:lang w:val="en-AU"/>
              </w:rPr>
              <w:t xml:space="preserve"> </w:t>
            </w:r>
            <w:r w:rsidRPr="00091600">
              <w:rPr>
                <w:rFonts w:ascii="Roboto Light" w:hAnsi="Roboto Light"/>
                <w:spacing w:val="-4"/>
                <w:lang w:val="en-AU"/>
              </w:rPr>
              <w:t>w</w:t>
            </w:r>
            <w:r w:rsidRPr="00091600">
              <w:rPr>
                <w:rFonts w:ascii="Roboto Light" w:hAnsi="Roboto Light"/>
                <w:spacing w:val="1"/>
                <w:lang w:val="en-AU"/>
              </w:rPr>
              <w:t>i</w:t>
            </w:r>
            <w:r w:rsidRPr="00091600">
              <w:rPr>
                <w:rFonts w:ascii="Roboto Light" w:hAnsi="Roboto Light"/>
                <w:spacing w:val="-1"/>
                <w:lang w:val="en-AU"/>
              </w:rPr>
              <w:t>t</w:t>
            </w:r>
            <w:r w:rsidRPr="00091600">
              <w:rPr>
                <w:rFonts w:ascii="Roboto Light" w:hAnsi="Roboto Light"/>
                <w:lang w:val="en-AU"/>
              </w:rPr>
              <w:t>h</w:t>
            </w:r>
            <w:r w:rsidRPr="00091600">
              <w:rPr>
                <w:rFonts w:ascii="Roboto Light" w:hAnsi="Roboto Light"/>
                <w:spacing w:val="3"/>
                <w:lang w:val="en-AU"/>
              </w:rPr>
              <w:t xml:space="preserve"> </w:t>
            </w:r>
            <w:r w:rsidRPr="00091600">
              <w:rPr>
                <w:rFonts w:ascii="Roboto Light" w:hAnsi="Roboto Light"/>
                <w:spacing w:val="-2"/>
                <w:lang w:val="en-AU"/>
              </w:rPr>
              <w:t>h</w:t>
            </w:r>
            <w:r w:rsidRPr="00091600">
              <w:rPr>
                <w:rFonts w:ascii="Roboto Light" w:hAnsi="Roboto Light"/>
                <w:lang w:val="en-AU"/>
              </w:rPr>
              <w:t>ow</w:t>
            </w:r>
            <w:r w:rsidRPr="00091600">
              <w:rPr>
                <w:rFonts w:ascii="Roboto Light" w:hAnsi="Roboto Light"/>
                <w:spacing w:val="2"/>
                <w:lang w:val="en-AU"/>
              </w:rPr>
              <w:t xml:space="preserve"> </w:t>
            </w:r>
            <w:r w:rsidRPr="00091600">
              <w:rPr>
                <w:rFonts w:ascii="Roboto Light" w:hAnsi="Roboto Light"/>
                <w:lang w:val="en-AU"/>
              </w:rPr>
              <w:t>cap</w:t>
            </w:r>
            <w:r w:rsidRPr="00091600">
              <w:rPr>
                <w:rFonts w:ascii="Roboto Light" w:hAnsi="Roboto Light"/>
                <w:spacing w:val="-2"/>
                <w:lang w:val="en-AU"/>
              </w:rPr>
              <w:t>a</w:t>
            </w:r>
            <w:r w:rsidRPr="00091600">
              <w:rPr>
                <w:rFonts w:ascii="Roboto Light" w:hAnsi="Roboto Light"/>
                <w:lang w:val="en-AU"/>
              </w:rPr>
              <w:t>c</w:t>
            </w:r>
            <w:r w:rsidRPr="00091600">
              <w:rPr>
                <w:rFonts w:ascii="Roboto Light" w:hAnsi="Roboto Light"/>
                <w:spacing w:val="1"/>
                <w:lang w:val="en-AU"/>
              </w:rPr>
              <w:t>i</w:t>
            </w:r>
            <w:r w:rsidRPr="00091600">
              <w:rPr>
                <w:rFonts w:ascii="Roboto Light" w:hAnsi="Roboto Light"/>
                <w:spacing w:val="-1"/>
                <w:lang w:val="en-AU"/>
              </w:rPr>
              <w:t>t</w:t>
            </w:r>
            <w:r w:rsidRPr="00091600">
              <w:rPr>
                <w:rFonts w:ascii="Roboto Light" w:hAnsi="Roboto Light"/>
                <w:lang w:val="en-AU"/>
              </w:rPr>
              <w:t>y bu</w:t>
            </w:r>
            <w:r w:rsidRPr="00091600">
              <w:rPr>
                <w:rFonts w:ascii="Roboto Light" w:hAnsi="Roboto Light"/>
                <w:spacing w:val="-1"/>
                <w:lang w:val="en-AU"/>
              </w:rPr>
              <w:t>i</w:t>
            </w:r>
            <w:r w:rsidRPr="00091600">
              <w:rPr>
                <w:rFonts w:ascii="Roboto Light" w:hAnsi="Roboto Light"/>
                <w:spacing w:val="1"/>
                <w:lang w:val="en-AU"/>
              </w:rPr>
              <w:t>l</w:t>
            </w:r>
            <w:r w:rsidRPr="00091600">
              <w:rPr>
                <w:rFonts w:ascii="Roboto Light" w:hAnsi="Roboto Light"/>
                <w:spacing w:val="-2"/>
                <w:lang w:val="en-AU"/>
              </w:rPr>
              <w:t>d</w:t>
            </w:r>
            <w:r w:rsidRPr="00091600">
              <w:rPr>
                <w:rFonts w:ascii="Roboto Light" w:hAnsi="Roboto Light"/>
                <w:spacing w:val="1"/>
                <w:lang w:val="en-AU"/>
              </w:rPr>
              <w:t>i</w:t>
            </w:r>
            <w:r w:rsidRPr="00091600">
              <w:rPr>
                <w:rFonts w:ascii="Roboto Light" w:hAnsi="Roboto Light"/>
                <w:lang w:val="en-AU"/>
              </w:rPr>
              <w:t>ng</w:t>
            </w:r>
            <w:r w:rsidRPr="00091600">
              <w:rPr>
                <w:rFonts w:ascii="Roboto Light" w:hAnsi="Roboto Light"/>
                <w:spacing w:val="1"/>
                <w:lang w:val="en-AU"/>
              </w:rPr>
              <w:t xml:space="preserve"> i</w:t>
            </w:r>
            <w:r w:rsidRPr="00091600">
              <w:rPr>
                <w:rFonts w:ascii="Roboto Light" w:hAnsi="Roboto Light"/>
                <w:lang w:val="en-AU"/>
              </w:rPr>
              <w:t xml:space="preserve">s </w:t>
            </w:r>
            <w:r w:rsidRPr="00091600">
              <w:rPr>
                <w:rFonts w:ascii="Roboto Light" w:hAnsi="Roboto Light"/>
                <w:spacing w:val="-2"/>
                <w:lang w:val="en-AU"/>
              </w:rPr>
              <w:t>o</w:t>
            </w:r>
            <w:r w:rsidRPr="00091600">
              <w:rPr>
                <w:rFonts w:ascii="Roboto Light" w:hAnsi="Roboto Light"/>
                <w:lang w:val="en-AU"/>
              </w:rPr>
              <w:t>pera</w:t>
            </w:r>
            <w:r w:rsidRPr="00091600">
              <w:rPr>
                <w:rFonts w:ascii="Roboto Light" w:hAnsi="Roboto Light"/>
                <w:spacing w:val="-1"/>
                <w:lang w:val="en-AU"/>
              </w:rPr>
              <w:t>t</w:t>
            </w:r>
            <w:r w:rsidRPr="00091600">
              <w:rPr>
                <w:rFonts w:ascii="Roboto Light" w:hAnsi="Roboto Light"/>
                <w:spacing w:val="1"/>
                <w:lang w:val="en-AU"/>
              </w:rPr>
              <w:t>i</w:t>
            </w:r>
            <w:r w:rsidRPr="00091600">
              <w:rPr>
                <w:rFonts w:ascii="Roboto Light" w:hAnsi="Roboto Light"/>
                <w:spacing w:val="-2"/>
                <w:lang w:val="en-AU"/>
              </w:rPr>
              <w:t>o</w:t>
            </w:r>
            <w:r w:rsidRPr="00091600">
              <w:rPr>
                <w:rFonts w:ascii="Roboto Light" w:hAnsi="Roboto Light"/>
                <w:lang w:val="en-AU"/>
              </w:rPr>
              <w:t>n</w:t>
            </w:r>
            <w:r w:rsidRPr="00091600">
              <w:rPr>
                <w:rFonts w:ascii="Roboto Light" w:hAnsi="Roboto Light"/>
                <w:spacing w:val="-2"/>
                <w:lang w:val="en-AU"/>
              </w:rPr>
              <w:t>a</w:t>
            </w:r>
            <w:r w:rsidRPr="00091600">
              <w:rPr>
                <w:rFonts w:ascii="Roboto Light" w:hAnsi="Roboto Light"/>
                <w:spacing w:val="1"/>
                <w:lang w:val="en-AU"/>
              </w:rPr>
              <w:t>li</w:t>
            </w:r>
            <w:r w:rsidRPr="00091600">
              <w:rPr>
                <w:rFonts w:ascii="Roboto Light" w:hAnsi="Roboto Light"/>
                <w:spacing w:val="-2"/>
                <w:lang w:val="en-AU"/>
              </w:rPr>
              <w:t>s</w:t>
            </w:r>
            <w:r w:rsidRPr="00091600">
              <w:rPr>
                <w:rFonts w:ascii="Roboto Light" w:hAnsi="Roboto Light"/>
                <w:lang w:val="en-AU"/>
              </w:rPr>
              <w:t>ed</w:t>
            </w:r>
            <w:r w:rsidRPr="00091600">
              <w:rPr>
                <w:rFonts w:ascii="Roboto Light" w:hAnsi="Roboto Light"/>
                <w:spacing w:val="1"/>
                <w:lang w:val="en-AU"/>
              </w:rPr>
              <w:t>:</w:t>
            </w:r>
          </w:p>
          <w:p w:rsidR="000F4B57" w:rsidRPr="00091600" w:rsidRDefault="000F4B57" w:rsidP="00013D3C">
            <w:pPr>
              <w:pStyle w:val="Boxtext"/>
              <w:numPr>
                <w:ilvl w:val="0"/>
                <w:numId w:val="47"/>
              </w:numPr>
              <w:rPr>
                <w:rFonts w:ascii="Roboto Light" w:hAnsi="Roboto Light"/>
                <w:spacing w:val="3"/>
                <w:lang w:val="en-AU"/>
              </w:rPr>
            </w:pPr>
            <w:r w:rsidRPr="00091600">
              <w:rPr>
                <w:rFonts w:ascii="Roboto Light" w:hAnsi="Roboto Light"/>
                <w:spacing w:val="-1"/>
                <w:lang w:val="en-AU"/>
              </w:rPr>
              <w:t>tr</w:t>
            </w:r>
            <w:r w:rsidRPr="00091600">
              <w:rPr>
                <w:rFonts w:ascii="Roboto Light" w:hAnsi="Roboto Light"/>
                <w:lang w:val="en-AU"/>
              </w:rPr>
              <w:t>a</w:t>
            </w:r>
            <w:r w:rsidRPr="00091600">
              <w:rPr>
                <w:rFonts w:ascii="Roboto Light" w:hAnsi="Roboto Light"/>
                <w:spacing w:val="1"/>
                <w:lang w:val="en-AU"/>
              </w:rPr>
              <w:t>i</w:t>
            </w:r>
            <w:r w:rsidRPr="00091600">
              <w:rPr>
                <w:rFonts w:ascii="Roboto Light" w:hAnsi="Roboto Light"/>
                <w:spacing w:val="-2"/>
                <w:lang w:val="en-AU"/>
              </w:rPr>
              <w:t>n</w:t>
            </w:r>
            <w:r w:rsidRPr="00091600">
              <w:rPr>
                <w:rFonts w:ascii="Roboto Light" w:hAnsi="Roboto Light"/>
                <w:spacing w:val="1"/>
                <w:lang w:val="en-AU"/>
              </w:rPr>
              <w:t>i</w:t>
            </w:r>
            <w:r w:rsidRPr="00091600">
              <w:rPr>
                <w:rFonts w:ascii="Roboto Light" w:hAnsi="Roboto Light"/>
                <w:lang w:val="en-AU"/>
              </w:rPr>
              <w:t>ng</w:t>
            </w:r>
            <w:r w:rsidRPr="00091600">
              <w:rPr>
                <w:rFonts w:ascii="Roboto Light" w:hAnsi="Roboto Light"/>
                <w:spacing w:val="1"/>
                <w:lang w:val="en-AU"/>
              </w:rPr>
              <w:t xml:space="preserve"> </w:t>
            </w:r>
            <w:r w:rsidRPr="00091600">
              <w:rPr>
                <w:rFonts w:ascii="Roboto Light" w:hAnsi="Roboto Light"/>
                <w:spacing w:val="-1"/>
                <w:lang w:val="en-AU"/>
              </w:rPr>
              <w:t>r</w:t>
            </w:r>
            <w:r w:rsidRPr="00091600">
              <w:rPr>
                <w:rFonts w:ascii="Roboto Light" w:hAnsi="Roboto Light"/>
                <w:spacing w:val="-2"/>
                <w:lang w:val="en-AU"/>
              </w:rPr>
              <w:t>e</w:t>
            </w:r>
            <w:r w:rsidRPr="00091600">
              <w:rPr>
                <w:rFonts w:ascii="Roboto Light" w:hAnsi="Roboto Light"/>
                <w:spacing w:val="1"/>
                <w:lang w:val="en-AU"/>
              </w:rPr>
              <w:t>m</w:t>
            </w:r>
            <w:r w:rsidRPr="00091600">
              <w:rPr>
                <w:rFonts w:ascii="Roboto Light" w:hAnsi="Roboto Light"/>
                <w:spacing w:val="-2"/>
                <w:lang w:val="en-AU"/>
              </w:rPr>
              <w:t>a</w:t>
            </w:r>
            <w:r w:rsidRPr="00091600">
              <w:rPr>
                <w:rFonts w:ascii="Roboto Light" w:hAnsi="Roboto Light"/>
                <w:spacing w:val="1"/>
                <w:lang w:val="en-AU"/>
              </w:rPr>
              <w:t>i</w:t>
            </w:r>
            <w:r w:rsidRPr="00091600">
              <w:rPr>
                <w:rFonts w:ascii="Roboto Light" w:hAnsi="Roboto Light"/>
                <w:spacing w:val="-2"/>
                <w:lang w:val="en-AU"/>
              </w:rPr>
              <w:t>n</w:t>
            </w:r>
            <w:r w:rsidRPr="00091600">
              <w:rPr>
                <w:rFonts w:ascii="Roboto Light" w:hAnsi="Roboto Light"/>
                <w:lang w:val="en-AU"/>
              </w:rPr>
              <w:t>s</w:t>
            </w:r>
            <w:r w:rsidRPr="00091600">
              <w:rPr>
                <w:rFonts w:ascii="Roboto Light" w:hAnsi="Roboto Light"/>
                <w:spacing w:val="3"/>
                <w:lang w:val="en-AU"/>
              </w:rPr>
              <w:t xml:space="preserve"> </w:t>
            </w:r>
            <w:r w:rsidRPr="00091600">
              <w:rPr>
                <w:rFonts w:ascii="Roboto Light" w:hAnsi="Roboto Light"/>
                <w:spacing w:val="-1"/>
                <w:lang w:val="en-AU"/>
              </w:rPr>
              <w:t>t</w:t>
            </w:r>
            <w:r w:rsidRPr="00091600">
              <w:rPr>
                <w:rFonts w:ascii="Roboto Light" w:hAnsi="Roboto Light"/>
                <w:lang w:val="en-AU"/>
              </w:rPr>
              <w:t>he</w:t>
            </w:r>
            <w:r w:rsidRPr="00091600">
              <w:rPr>
                <w:rFonts w:ascii="Roboto Light" w:hAnsi="Roboto Light"/>
                <w:spacing w:val="1"/>
                <w:lang w:val="en-AU"/>
              </w:rPr>
              <w:t xml:space="preserve"> </w:t>
            </w:r>
            <w:r w:rsidRPr="00091600">
              <w:rPr>
                <w:rFonts w:ascii="Roboto Light" w:hAnsi="Roboto Light"/>
                <w:lang w:val="en-AU"/>
              </w:rPr>
              <w:t>d</w:t>
            </w:r>
            <w:r w:rsidRPr="00091600">
              <w:rPr>
                <w:rFonts w:ascii="Roboto Light" w:hAnsi="Roboto Light"/>
                <w:spacing w:val="-2"/>
                <w:lang w:val="en-AU"/>
              </w:rPr>
              <w:t>e</w:t>
            </w:r>
            <w:r w:rsidRPr="00091600">
              <w:rPr>
                <w:rFonts w:ascii="Roboto Light" w:hAnsi="Roboto Light"/>
                <w:spacing w:val="1"/>
                <w:lang w:val="en-AU"/>
              </w:rPr>
              <w:t>f</w:t>
            </w:r>
            <w:r w:rsidRPr="00091600">
              <w:rPr>
                <w:rFonts w:ascii="Roboto Light" w:hAnsi="Roboto Light"/>
                <w:lang w:val="en-AU"/>
              </w:rPr>
              <w:t>a</w:t>
            </w:r>
            <w:r w:rsidRPr="00091600">
              <w:rPr>
                <w:rFonts w:ascii="Roboto Light" w:hAnsi="Roboto Light"/>
                <w:spacing w:val="-2"/>
                <w:lang w:val="en-AU"/>
              </w:rPr>
              <w:t>u</w:t>
            </w:r>
            <w:r w:rsidRPr="00091600">
              <w:rPr>
                <w:rFonts w:ascii="Roboto Light" w:hAnsi="Roboto Light"/>
                <w:spacing w:val="1"/>
                <w:lang w:val="en-AU"/>
              </w:rPr>
              <w:t>l</w:t>
            </w:r>
            <w:r w:rsidRPr="00091600">
              <w:rPr>
                <w:rFonts w:ascii="Roboto Light" w:hAnsi="Roboto Light"/>
                <w:lang w:val="en-AU"/>
              </w:rPr>
              <w:t>t</w:t>
            </w:r>
            <w:r w:rsidRPr="00091600">
              <w:rPr>
                <w:rFonts w:ascii="Roboto Light" w:hAnsi="Roboto Light"/>
                <w:spacing w:val="2"/>
                <w:lang w:val="en-AU"/>
              </w:rPr>
              <w:t xml:space="preserve"> </w:t>
            </w:r>
            <w:r w:rsidRPr="00091600">
              <w:rPr>
                <w:rFonts w:ascii="Roboto Light" w:hAnsi="Roboto Light"/>
                <w:spacing w:val="-1"/>
                <w:lang w:val="en-AU"/>
              </w:rPr>
              <w:t>t</w:t>
            </w:r>
            <w:r w:rsidRPr="00091600">
              <w:rPr>
                <w:rFonts w:ascii="Roboto Light" w:hAnsi="Roboto Light"/>
                <w:lang w:val="en-AU"/>
              </w:rPr>
              <w:t>o</w:t>
            </w:r>
            <w:r w:rsidRPr="00091600">
              <w:rPr>
                <w:rFonts w:ascii="Roboto Light" w:hAnsi="Roboto Light"/>
                <w:spacing w:val="-2"/>
                <w:lang w:val="en-AU"/>
              </w:rPr>
              <w:t>o</w:t>
            </w:r>
            <w:r w:rsidRPr="00091600">
              <w:rPr>
                <w:rFonts w:ascii="Roboto Light" w:hAnsi="Roboto Light"/>
                <w:lang w:val="en-AU"/>
              </w:rPr>
              <w:t>l</w:t>
            </w:r>
            <w:r w:rsidRPr="00091600">
              <w:rPr>
                <w:rFonts w:ascii="Roboto Light" w:hAnsi="Roboto Light"/>
                <w:spacing w:val="2"/>
                <w:lang w:val="en-AU"/>
              </w:rPr>
              <w:t xml:space="preserve"> </w:t>
            </w:r>
            <w:r w:rsidRPr="00091600">
              <w:rPr>
                <w:rFonts w:ascii="Roboto Light" w:hAnsi="Roboto Light"/>
                <w:lang w:val="en-AU"/>
              </w:rPr>
              <w:t>of</w:t>
            </w:r>
            <w:r w:rsidRPr="00091600">
              <w:rPr>
                <w:rFonts w:ascii="Roboto Light" w:hAnsi="Roboto Light"/>
                <w:spacing w:val="3"/>
                <w:lang w:val="en-AU"/>
              </w:rPr>
              <w:t xml:space="preserve"> </w:t>
            </w:r>
            <w:r w:rsidRPr="00091600">
              <w:rPr>
                <w:rFonts w:ascii="Roboto Light" w:hAnsi="Roboto Light"/>
                <w:lang w:val="en-AU"/>
              </w:rPr>
              <w:t>ca</w:t>
            </w:r>
            <w:r w:rsidRPr="00091600">
              <w:rPr>
                <w:rFonts w:ascii="Roboto Light" w:hAnsi="Roboto Light"/>
                <w:spacing w:val="-2"/>
                <w:lang w:val="en-AU"/>
              </w:rPr>
              <w:t>p</w:t>
            </w:r>
            <w:r w:rsidRPr="00091600">
              <w:rPr>
                <w:rFonts w:ascii="Roboto Light" w:hAnsi="Roboto Light"/>
                <w:lang w:val="en-AU"/>
              </w:rPr>
              <w:t>a</w:t>
            </w:r>
            <w:r w:rsidRPr="00091600">
              <w:rPr>
                <w:rFonts w:ascii="Roboto Light" w:hAnsi="Roboto Light"/>
                <w:spacing w:val="-2"/>
                <w:lang w:val="en-AU"/>
              </w:rPr>
              <w:t>c</w:t>
            </w:r>
            <w:r w:rsidRPr="00091600">
              <w:rPr>
                <w:rFonts w:ascii="Roboto Light" w:hAnsi="Roboto Light"/>
                <w:spacing w:val="1"/>
                <w:lang w:val="en-AU"/>
              </w:rPr>
              <w:t>i</w:t>
            </w:r>
            <w:r w:rsidRPr="00091600">
              <w:rPr>
                <w:rFonts w:ascii="Roboto Light" w:hAnsi="Roboto Light"/>
                <w:spacing w:val="-1"/>
                <w:lang w:val="en-AU"/>
              </w:rPr>
              <w:t>t</w:t>
            </w:r>
            <w:r w:rsidRPr="00091600">
              <w:rPr>
                <w:rFonts w:ascii="Roboto Light" w:hAnsi="Roboto Light"/>
                <w:lang w:val="en-AU"/>
              </w:rPr>
              <w:t>y</w:t>
            </w:r>
            <w:r w:rsidRPr="00091600">
              <w:rPr>
                <w:rFonts w:ascii="Roboto Light" w:hAnsi="Roboto Light"/>
                <w:spacing w:val="1"/>
                <w:lang w:val="en-AU"/>
              </w:rPr>
              <w:t xml:space="preserve"> </w:t>
            </w:r>
            <w:r w:rsidR="002D5CC2">
              <w:rPr>
                <w:rFonts w:ascii="Roboto Light" w:hAnsi="Roboto Light"/>
                <w:lang w:val="en-AU"/>
              </w:rPr>
              <w:t>development. I</w:t>
            </w:r>
            <w:r w:rsidRPr="00091600">
              <w:rPr>
                <w:rFonts w:ascii="Roboto Light" w:hAnsi="Roboto Light"/>
                <w:lang w:val="en-AU"/>
              </w:rPr>
              <w:t>t is tangible and quantifiable, but change often does not simply result from new knowledge or more resources;</w:t>
            </w:r>
            <w:r w:rsidRPr="00091600">
              <w:rPr>
                <w:rFonts w:ascii="Roboto Light" w:hAnsi="Roboto Light"/>
                <w:spacing w:val="3"/>
                <w:lang w:val="en-AU"/>
              </w:rPr>
              <w:t xml:space="preserve"> </w:t>
            </w:r>
          </w:p>
          <w:p w:rsidR="000F4B57" w:rsidRPr="00091600" w:rsidRDefault="000F4B57" w:rsidP="00013D3C">
            <w:pPr>
              <w:pStyle w:val="Boxtext"/>
              <w:numPr>
                <w:ilvl w:val="0"/>
                <w:numId w:val="47"/>
              </w:numPr>
              <w:rPr>
                <w:rFonts w:ascii="Roboto Light" w:hAnsi="Roboto Light"/>
                <w:spacing w:val="2"/>
                <w:lang w:val="en-AU"/>
              </w:rPr>
            </w:pPr>
            <w:r w:rsidRPr="00091600">
              <w:rPr>
                <w:rFonts w:ascii="Roboto Light" w:hAnsi="Roboto Light"/>
                <w:spacing w:val="-2"/>
                <w:lang w:val="en-AU"/>
              </w:rPr>
              <w:t>c</w:t>
            </w:r>
            <w:r w:rsidRPr="00091600">
              <w:rPr>
                <w:rFonts w:ascii="Roboto Light" w:hAnsi="Roboto Light"/>
                <w:lang w:val="en-AU"/>
              </w:rPr>
              <w:t>ap</w:t>
            </w:r>
            <w:r w:rsidRPr="00091600">
              <w:rPr>
                <w:rFonts w:ascii="Roboto Light" w:hAnsi="Roboto Light"/>
                <w:spacing w:val="-2"/>
                <w:lang w:val="en-AU"/>
              </w:rPr>
              <w:t>a</w:t>
            </w:r>
            <w:r w:rsidRPr="00091600">
              <w:rPr>
                <w:rFonts w:ascii="Roboto Light" w:hAnsi="Roboto Light"/>
                <w:lang w:val="en-AU"/>
              </w:rPr>
              <w:t>c</w:t>
            </w:r>
            <w:r w:rsidRPr="00091600">
              <w:rPr>
                <w:rFonts w:ascii="Roboto Light" w:hAnsi="Roboto Light"/>
                <w:spacing w:val="1"/>
                <w:lang w:val="en-AU"/>
              </w:rPr>
              <w:t>i</w:t>
            </w:r>
            <w:r w:rsidRPr="00091600">
              <w:rPr>
                <w:rFonts w:ascii="Roboto Light" w:hAnsi="Roboto Light"/>
                <w:spacing w:val="-1"/>
                <w:lang w:val="en-AU"/>
              </w:rPr>
              <w:t>t</w:t>
            </w:r>
            <w:r w:rsidRPr="00091600">
              <w:rPr>
                <w:rFonts w:ascii="Roboto Light" w:hAnsi="Roboto Light"/>
                <w:lang w:val="en-AU"/>
              </w:rPr>
              <w:t xml:space="preserve">y development </w:t>
            </w:r>
            <w:r w:rsidRPr="00091600">
              <w:rPr>
                <w:rFonts w:ascii="Roboto Light" w:hAnsi="Roboto Light"/>
                <w:spacing w:val="-1"/>
                <w:lang w:val="en-AU"/>
              </w:rPr>
              <w:t>i</w:t>
            </w:r>
            <w:r w:rsidRPr="00091600">
              <w:rPr>
                <w:rFonts w:ascii="Roboto Light" w:hAnsi="Roboto Light"/>
                <w:lang w:val="en-AU"/>
              </w:rPr>
              <w:t>s o</w:t>
            </w:r>
            <w:r w:rsidRPr="00091600">
              <w:rPr>
                <w:rFonts w:ascii="Roboto Light" w:hAnsi="Roboto Light"/>
                <w:spacing w:val="1"/>
                <w:lang w:val="en-AU"/>
              </w:rPr>
              <w:t>f</w:t>
            </w:r>
            <w:r w:rsidRPr="00091600">
              <w:rPr>
                <w:rFonts w:ascii="Roboto Light" w:hAnsi="Roboto Light"/>
                <w:spacing w:val="-1"/>
                <w:lang w:val="en-AU"/>
              </w:rPr>
              <w:t>t</w:t>
            </w:r>
            <w:r w:rsidRPr="00091600">
              <w:rPr>
                <w:rFonts w:ascii="Roboto Light" w:hAnsi="Roboto Light"/>
                <w:lang w:val="en-AU"/>
              </w:rPr>
              <w:t>en</w:t>
            </w:r>
            <w:r w:rsidRPr="00091600">
              <w:rPr>
                <w:rFonts w:ascii="Roboto Light" w:hAnsi="Roboto Light"/>
                <w:spacing w:val="52"/>
                <w:lang w:val="en-AU"/>
              </w:rPr>
              <w:t xml:space="preserve"> </w:t>
            </w:r>
            <w:r w:rsidRPr="00091600">
              <w:rPr>
                <w:rFonts w:ascii="Roboto Light" w:hAnsi="Roboto Light"/>
                <w:spacing w:val="-1"/>
                <w:lang w:val="en-AU"/>
              </w:rPr>
              <w:t>tr</w:t>
            </w:r>
            <w:r w:rsidRPr="00091600">
              <w:rPr>
                <w:rFonts w:ascii="Roboto Light" w:hAnsi="Roboto Light"/>
                <w:lang w:val="en-AU"/>
              </w:rPr>
              <w:t>ea</w:t>
            </w:r>
            <w:r w:rsidRPr="00091600">
              <w:rPr>
                <w:rFonts w:ascii="Roboto Light" w:hAnsi="Roboto Light"/>
                <w:spacing w:val="-1"/>
                <w:lang w:val="en-AU"/>
              </w:rPr>
              <w:t>t</w:t>
            </w:r>
            <w:r w:rsidRPr="00091600">
              <w:rPr>
                <w:rFonts w:ascii="Roboto Light" w:hAnsi="Roboto Light"/>
                <w:lang w:val="en-AU"/>
              </w:rPr>
              <w:t>ed</w:t>
            </w:r>
            <w:r w:rsidRPr="00091600">
              <w:rPr>
                <w:rFonts w:ascii="Roboto Light" w:hAnsi="Roboto Light"/>
                <w:spacing w:val="52"/>
                <w:lang w:val="en-AU"/>
              </w:rPr>
              <w:t xml:space="preserve"> </w:t>
            </w:r>
            <w:r w:rsidRPr="00091600">
              <w:rPr>
                <w:rFonts w:ascii="Roboto Light" w:hAnsi="Roboto Light"/>
                <w:lang w:val="en-AU"/>
              </w:rPr>
              <w:t>as</w:t>
            </w:r>
            <w:r w:rsidRPr="00091600">
              <w:rPr>
                <w:rFonts w:ascii="Roboto Light" w:hAnsi="Roboto Light"/>
                <w:spacing w:val="52"/>
                <w:lang w:val="en-AU"/>
              </w:rPr>
              <w:t xml:space="preserve"> </w:t>
            </w:r>
            <w:r w:rsidRPr="00091600">
              <w:rPr>
                <w:rFonts w:ascii="Roboto Light" w:hAnsi="Roboto Light"/>
                <w:lang w:val="en-AU"/>
              </w:rPr>
              <w:t>a</w:t>
            </w:r>
            <w:r w:rsidRPr="00091600">
              <w:rPr>
                <w:rFonts w:ascii="Roboto Light" w:hAnsi="Roboto Light"/>
                <w:spacing w:val="54"/>
                <w:lang w:val="en-AU"/>
              </w:rPr>
              <w:t xml:space="preserve"> </w:t>
            </w:r>
            <w:r w:rsidRPr="00091600">
              <w:rPr>
                <w:rFonts w:ascii="Roboto Light" w:hAnsi="Roboto Light"/>
                <w:spacing w:val="-1"/>
                <w:lang w:val="en-AU"/>
              </w:rPr>
              <w:t>t</w:t>
            </w:r>
            <w:r w:rsidRPr="00091600">
              <w:rPr>
                <w:rFonts w:ascii="Roboto Light" w:hAnsi="Roboto Light"/>
                <w:spacing w:val="-2"/>
                <w:lang w:val="en-AU"/>
              </w:rPr>
              <w:t>e</w:t>
            </w:r>
            <w:r w:rsidRPr="00091600">
              <w:rPr>
                <w:rFonts w:ascii="Roboto Light" w:hAnsi="Roboto Light"/>
                <w:lang w:val="en-AU"/>
              </w:rPr>
              <w:t>ch</w:t>
            </w:r>
            <w:r w:rsidRPr="00091600">
              <w:rPr>
                <w:rFonts w:ascii="Roboto Light" w:hAnsi="Roboto Light"/>
                <w:spacing w:val="-2"/>
                <w:lang w:val="en-AU"/>
              </w:rPr>
              <w:t>n</w:t>
            </w:r>
            <w:r w:rsidRPr="00091600">
              <w:rPr>
                <w:rFonts w:ascii="Roboto Light" w:hAnsi="Roboto Light"/>
                <w:spacing w:val="1"/>
                <w:lang w:val="en-AU"/>
              </w:rPr>
              <w:t>i</w:t>
            </w:r>
            <w:r w:rsidRPr="00091600">
              <w:rPr>
                <w:rFonts w:ascii="Roboto Light" w:hAnsi="Roboto Light"/>
                <w:lang w:val="en-AU"/>
              </w:rPr>
              <w:t>c</w:t>
            </w:r>
            <w:r w:rsidRPr="00091600">
              <w:rPr>
                <w:rFonts w:ascii="Roboto Light" w:hAnsi="Roboto Light"/>
                <w:spacing w:val="-2"/>
                <w:lang w:val="en-AU"/>
              </w:rPr>
              <w:t>a</w:t>
            </w:r>
            <w:r w:rsidRPr="00091600">
              <w:rPr>
                <w:rFonts w:ascii="Roboto Light" w:hAnsi="Roboto Light"/>
                <w:lang w:val="en-AU"/>
              </w:rPr>
              <w:t>l</w:t>
            </w:r>
            <w:r w:rsidRPr="00091600">
              <w:rPr>
                <w:rFonts w:ascii="Roboto Light" w:hAnsi="Roboto Light"/>
                <w:spacing w:val="55"/>
                <w:lang w:val="en-AU"/>
              </w:rPr>
              <w:t xml:space="preserve"> </w:t>
            </w:r>
            <w:r w:rsidRPr="00091600">
              <w:rPr>
                <w:rFonts w:ascii="Roboto Light" w:hAnsi="Roboto Light"/>
                <w:lang w:val="en-AU"/>
              </w:rPr>
              <w:t>p</w:t>
            </w:r>
            <w:r w:rsidRPr="00091600">
              <w:rPr>
                <w:rFonts w:ascii="Roboto Light" w:hAnsi="Roboto Light"/>
                <w:spacing w:val="-3"/>
                <w:lang w:val="en-AU"/>
              </w:rPr>
              <w:t>r</w:t>
            </w:r>
            <w:r w:rsidRPr="00091600">
              <w:rPr>
                <w:rFonts w:ascii="Roboto Light" w:hAnsi="Roboto Light"/>
                <w:lang w:val="en-AU"/>
              </w:rPr>
              <w:t>oce</w:t>
            </w:r>
            <w:r w:rsidRPr="00091600">
              <w:rPr>
                <w:rFonts w:ascii="Roboto Light" w:hAnsi="Roboto Light"/>
                <w:spacing w:val="-2"/>
                <w:lang w:val="en-AU"/>
              </w:rPr>
              <w:t>s</w:t>
            </w:r>
            <w:r w:rsidRPr="00091600">
              <w:rPr>
                <w:rFonts w:ascii="Roboto Light" w:hAnsi="Roboto Light"/>
                <w:lang w:val="en-AU"/>
              </w:rPr>
              <w:t xml:space="preserve">s, whereas capacity depends on how power is distributed in society and elite behaviour. As a result, practitioners target technical issues and fail to support the political drivers of change; </w:t>
            </w:r>
          </w:p>
          <w:p w:rsidR="000F4B57" w:rsidRPr="00091600" w:rsidRDefault="000F4B57" w:rsidP="00013D3C">
            <w:pPr>
              <w:pStyle w:val="Boxtext"/>
              <w:numPr>
                <w:ilvl w:val="0"/>
                <w:numId w:val="47"/>
              </w:numPr>
              <w:rPr>
                <w:rFonts w:ascii="Roboto Light" w:hAnsi="Roboto Light"/>
                <w:spacing w:val="13"/>
                <w:lang w:val="en-AU"/>
              </w:rPr>
            </w:pPr>
            <w:r w:rsidRPr="00091600">
              <w:rPr>
                <w:rFonts w:ascii="Roboto Light" w:hAnsi="Roboto Light"/>
                <w:spacing w:val="-2"/>
                <w:lang w:val="en-AU"/>
              </w:rPr>
              <w:t>c</w:t>
            </w:r>
            <w:r w:rsidRPr="00091600">
              <w:rPr>
                <w:rFonts w:ascii="Roboto Light" w:hAnsi="Roboto Light"/>
                <w:lang w:val="en-AU"/>
              </w:rPr>
              <w:t>ap</w:t>
            </w:r>
            <w:r w:rsidRPr="00091600">
              <w:rPr>
                <w:rFonts w:ascii="Roboto Light" w:hAnsi="Roboto Light"/>
                <w:spacing w:val="-2"/>
                <w:lang w:val="en-AU"/>
              </w:rPr>
              <w:t>a</w:t>
            </w:r>
            <w:r w:rsidRPr="00091600">
              <w:rPr>
                <w:rFonts w:ascii="Roboto Light" w:hAnsi="Roboto Light"/>
                <w:lang w:val="en-AU"/>
              </w:rPr>
              <w:t>c</w:t>
            </w:r>
            <w:r w:rsidRPr="00091600">
              <w:rPr>
                <w:rFonts w:ascii="Roboto Light" w:hAnsi="Roboto Light"/>
                <w:spacing w:val="1"/>
                <w:lang w:val="en-AU"/>
              </w:rPr>
              <w:t>i</w:t>
            </w:r>
            <w:r w:rsidRPr="00091600">
              <w:rPr>
                <w:rFonts w:ascii="Roboto Light" w:hAnsi="Roboto Light"/>
                <w:spacing w:val="-1"/>
                <w:lang w:val="en-AU"/>
              </w:rPr>
              <w:t>t</w:t>
            </w:r>
            <w:r w:rsidRPr="00091600">
              <w:rPr>
                <w:rFonts w:ascii="Roboto Light" w:hAnsi="Roboto Light"/>
                <w:lang w:val="en-AU"/>
              </w:rPr>
              <w:t>y development</w:t>
            </w:r>
            <w:r w:rsidRPr="00091600">
              <w:rPr>
                <w:rFonts w:ascii="Roboto Light" w:hAnsi="Roboto Light"/>
                <w:spacing w:val="3"/>
                <w:lang w:val="en-AU"/>
              </w:rPr>
              <w:t xml:space="preserve"> </w:t>
            </w:r>
            <w:r w:rsidRPr="00091600">
              <w:rPr>
                <w:rFonts w:ascii="Roboto Light" w:hAnsi="Roboto Light"/>
                <w:lang w:val="en-AU"/>
              </w:rPr>
              <w:t>ac</w:t>
            </w:r>
            <w:r w:rsidRPr="00091600">
              <w:rPr>
                <w:rFonts w:ascii="Roboto Light" w:hAnsi="Roboto Light"/>
                <w:spacing w:val="-3"/>
                <w:lang w:val="en-AU"/>
              </w:rPr>
              <w:t>t</w:t>
            </w:r>
            <w:r w:rsidRPr="00091600">
              <w:rPr>
                <w:rFonts w:ascii="Roboto Light" w:hAnsi="Roboto Light"/>
                <w:spacing w:val="1"/>
                <w:lang w:val="en-AU"/>
              </w:rPr>
              <w:t>i</w:t>
            </w:r>
            <w:r w:rsidRPr="00091600">
              <w:rPr>
                <w:rFonts w:ascii="Roboto Light" w:hAnsi="Roboto Light"/>
                <w:spacing w:val="-2"/>
                <w:lang w:val="en-AU"/>
              </w:rPr>
              <w:t>v</w:t>
            </w:r>
            <w:r w:rsidRPr="00091600">
              <w:rPr>
                <w:rFonts w:ascii="Roboto Light" w:hAnsi="Roboto Light"/>
                <w:spacing w:val="1"/>
                <w:lang w:val="en-AU"/>
              </w:rPr>
              <w:t>i</w:t>
            </w:r>
            <w:r w:rsidRPr="00091600">
              <w:rPr>
                <w:rFonts w:ascii="Roboto Light" w:hAnsi="Roboto Light"/>
                <w:spacing w:val="-1"/>
                <w:lang w:val="en-AU"/>
              </w:rPr>
              <w:t>t</w:t>
            </w:r>
            <w:r w:rsidRPr="00091600">
              <w:rPr>
                <w:rFonts w:ascii="Roboto Light" w:hAnsi="Roboto Light"/>
                <w:spacing w:val="1"/>
                <w:lang w:val="en-AU"/>
              </w:rPr>
              <w:t>i</w:t>
            </w:r>
            <w:r w:rsidRPr="00091600">
              <w:rPr>
                <w:rFonts w:ascii="Roboto Light" w:hAnsi="Roboto Light"/>
                <w:lang w:val="en-AU"/>
              </w:rPr>
              <w:t>es</w:t>
            </w:r>
            <w:r w:rsidRPr="00091600">
              <w:rPr>
                <w:rFonts w:ascii="Roboto Light" w:hAnsi="Roboto Light"/>
                <w:spacing w:val="1"/>
                <w:lang w:val="en-AU"/>
              </w:rPr>
              <w:t xml:space="preserve"> f</w:t>
            </w:r>
            <w:r w:rsidRPr="00091600">
              <w:rPr>
                <w:rFonts w:ascii="Roboto Light" w:hAnsi="Roboto Light"/>
                <w:spacing w:val="-1"/>
                <w:lang w:val="en-AU"/>
              </w:rPr>
              <w:t>r</w:t>
            </w:r>
            <w:r w:rsidRPr="00091600">
              <w:rPr>
                <w:rFonts w:ascii="Roboto Light" w:hAnsi="Roboto Light"/>
                <w:lang w:val="en-AU"/>
              </w:rPr>
              <w:t>e</w:t>
            </w:r>
            <w:r w:rsidRPr="00091600">
              <w:rPr>
                <w:rFonts w:ascii="Roboto Light" w:hAnsi="Roboto Light"/>
                <w:spacing w:val="-2"/>
                <w:lang w:val="en-AU"/>
              </w:rPr>
              <w:t>q</w:t>
            </w:r>
            <w:r w:rsidRPr="00091600">
              <w:rPr>
                <w:rFonts w:ascii="Roboto Light" w:hAnsi="Roboto Light"/>
                <w:lang w:val="en-AU"/>
              </w:rPr>
              <w:t>uen</w:t>
            </w:r>
            <w:r w:rsidRPr="00091600">
              <w:rPr>
                <w:rFonts w:ascii="Roboto Light" w:hAnsi="Roboto Light"/>
                <w:spacing w:val="-3"/>
                <w:lang w:val="en-AU"/>
              </w:rPr>
              <w:t>t</w:t>
            </w:r>
            <w:r w:rsidRPr="00091600">
              <w:rPr>
                <w:rFonts w:ascii="Roboto Light" w:hAnsi="Roboto Light"/>
                <w:spacing w:val="1"/>
                <w:lang w:val="en-AU"/>
              </w:rPr>
              <w:t>l</w:t>
            </w:r>
            <w:r w:rsidRPr="00091600">
              <w:rPr>
                <w:rFonts w:ascii="Roboto Light" w:hAnsi="Roboto Light"/>
                <w:lang w:val="en-AU"/>
              </w:rPr>
              <w:t xml:space="preserve">y </w:t>
            </w:r>
            <w:r w:rsidRPr="00091600">
              <w:rPr>
                <w:rFonts w:ascii="Roboto Light" w:hAnsi="Roboto Light"/>
                <w:spacing w:val="-1"/>
                <w:lang w:val="en-AU"/>
              </w:rPr>
              <w:t>t</w:t>
            </w:r>
            <w:r w:rsidRPr="00091600">
              <w:rPr>
                <w:rFonts w:ascii="Roboto Light" w:hAnsi="Roboto Light"/>
                <w:lang w:val="en-AU"/>
              </w:rPr>
              <w:t>arget</w:t>
            </w:r>
            <w:r w:rsidRPr="00091600">
              <w:rPr>
                <w:rFonts w:ascii="Roboto Light" w:hAnsi="Roboto Light"/>
                <w:spacing w:val="2"/>
                <w:lang w:val="en-AU"/>
              </w:rPr>
              <w:t xml:space="preserve"> </w:t>
            </w:r>
            <w:r w:rsidRPr="00091600">
              <w:rPr>
                <w:rFonts w:ascii="Roboto Light" w:hAnsi="Roboto Light"/>
                <w:spacing w:val="1"/>
                <w:lang w:val="en-AU"/>
              </w:rPr>
              <w:t>f</w:t>
            </w:r>
            <w:r w:rsidRPr="00091600">
              <w:rPr>
                <w:rFonts w:ascii="Roboto Light" w:hAnsi="Roboto Light"/>
                <w:lang w:val="en-AU"/>
              </w:rPr>
              <w:t>o</w:t>
            </w:r>
            <w:r w:rsidRPr="00091600">
              <w:rPr>
                <w:rFonts w:ascii="Roboto Light" w:hAnsi="Roboto Light"/>
                <w:spacing w:val="-3"/>
                <w:lang w:val="en-AU"/>
              </w:rPr>
              <w:t>r</w:t>
            </w:r>
            <w:r w:rsidRPr="00091600">
              <w:rPr>
                <w:rFonts w:ascii="Roboto Light" w:hAnsi="Roboto Light"/>
                <w:spacing w:val="-1"/>
                <w:lang w:val="en-AU"/>
              </w:rPr>
              <w:t>m</w:t>
            </w:r>
            <w:r w:rsidRPr="00091600">
              <w:rPr>
                <w:rFonts w:ascii="Roboto Light" w:hAnsi="Roboto Light"/>
                <w:lang w:val="en-AU"/>
              </w:rPr>
              <w:t>al</w:t>
            </w:r>
            <w:r w:rsidRPr="00091600">
              <w:rPr>
                <w:rFonts w:ascii="Roboto Light" w:hAnsi="Roboto Light"/>
                <w:spacing w:val="2"/>
                <w:lang w:val="en-AU"/>
              </w:rPr>
              <w:t xml:space="preserve"> organisations (particularly </w:t>
            </w:r>
            <w:r w:rsidRPr="00091600">
              <w:rPr>
                <w:rFonts w:ascii="Roboto Light" w:hAnsi="Roboto Light"/>
                <w:lang w:val="en-AU"/>
              </w:rPr>
              <w:t>go</w:t>
            </w:r>
            <w:r w:rsidRPr="00091600">
              <w:rPr>
                <w:rFonts w:ascii="Roboto Light" w:hAnsi="Roboto Light"/>
                <w:spacing w:val="-2"/>
                <w:lang w:val="en-AU"/>
              </w:rPr>
              <w:t>v</w:t>
            </w:r>
            <w:r w:rsidRPr="00091600">
              <w:rPr>
                <w:rFonts w:ascii="Roboto Light" w:hAnsi="Roboto Light"/>
                <w:lang w:val="en-AU"/>
              </w:rPr>
              <w:t>er</w:t>
            </w:r>
            <w:r w:rsidRPr="00091600">
              <w:rPr>
                <w:rFonts w:ascii="Roboto Light" w:hAnsi="Roboto Light"/>
                <w:spacing w:val="-3"/>
                <w:lang w:val="en-AU"/>
              </w:rPr>
              <w:t>n</w:t>
            </w:r>
            <w:r w:rsidRPr="00091600">
              <w:rPr>
                <w:rFonts w:ascii="Roboto Light" w:hAnsi="Roboto Light"/>
                <w:spacing w:val="1"/>
                <w:lang w:val="en-AU"/>
              </w:rPr>
              <w:t>m</w:t>
            </w:r>
            <w:r w:rsidRPr="00091600">
              <w:rPr>
                <w:rFonts w:ascii="Roboto Light" w:hAnsi="Roboto Light"/>
                <w:lang w:val="en-AU"/>
              </w:rPr>
              <w:t>ent officials) and</w:t>
            </w:r>
            <w:r w:rsidRPr="00091600">
              <w:rPr>
                <w:rFonts w:ascii="Roboto Light" w:hAnsi="Roboto Light"/>
                <w:spacing w:val="3"/>
                <w:lang w:val="en-AU"/>
              </w:rPr>
              <w:t xml:space="preserve"> </w:t>
            </w:r>
            <w:r w:rsidRPr="00091600">
              <w:rPr>
                <w:rFonts w:ascii="Roboto Light" w:hAnsi="Roboto Light"/>
                <w:lang w:val="en-AU"/>
              </w:rPr>
              <w:t>o</w:t>
            </w:r>
            <w:r w:rsidRPr="00091600">
              <w:rPr>
                <w:rFonts w:ascii="Roboto Light" w:hAnsi="Roboto Light"/>
                <w:spacing w:val="-2"/>
                <w:lang w:val="en-AU"/>
              </w:rPr>
              <w:t>v</w:t>
            </w:r>
            <w:r w:rsidRPr="00091600">
              <w:rPr>
                <w:rFonts w:ascii="Roboto Light" w:hAnsi="Roboto Light"/>
                <w:lang w:val="en-AU"/>
              </w:rPr>
              <w:t>er</w:t>
            </w:r>
            <w:r w:rsidRPr="00091600">
              <w:rPr>
                <w:rFonts w:ascii="Roboto Light" w:hAnsi="Roboto Light"/>
                <w:spacing w:val="-2"/>
                <w:lang w:val="en-AU"/>
              </w:rPr>
              <w:t>l</w:t>
            </w:r>
            <w:r w:rsidRPr="00091600">
              <w:rPr>
                <w:rFonts w:ascii="Roboto Light" w:hAnsi="Roboto Light"/>
                <w:lang w:val="en-AU"/>
              </w:rPr>
              <w:t>o</w:t>
            </w:r>
            <w:r w:rsidRPr="00091600">
              <w:rPr>
                <w:rFonts w:ascii="Roboto Light" w:hAnsi="Roboto Light"/>
                <w:spacing w:val="-2"/>
                <w:lang w:val="en-AU"/>
              </w:rPr>
              <w:t>o</w:t>
            </w:r>
            <w:r w:rsidRPr="00091600">
              <w:rPr>
                <w:rFonts w:ascii="Roboto Light" w:hAnsi="Roboto Light"/>
                <w:lang w:val="en-AU"/>
              </w:rPr>
              <w:t>k</w:t>
            </w:r>
            <w:r w:rsidRPr="00091600">
              <w:rPr>
                <w:rFonts w:ascii="Roboto Light" w:hAnsi="Roboto Light"/>
                <w:spacing w:val="3"/>
                <w:lang w:val="en-AU"/>
              </w:rPr>
              <w:t xml:space="preserve"> </w:t>
            </w:r>
            <w:r w:rsidRPr="00091600">
              <w:rPr>
                <w:rFonts w:ascii="Roboto Light" w:hAnsi="Roboto Light"/>
                <w:lang w:val="en-AU"/>
              </w:rPr>
              <w:t>o</w:t>
            </w:r>
            <w:r w:rsidRPr="00091600">
              <w:rPr>
                <w:rFonts w:ascii="Roboto Light" w:hAnsi="Roboto Light"/>
                <w:spacing w:val="-1"/>
                <w:lang w:val="en-AU"/>
              </w:rPr>
              <w:t>t</w:t>
            </w:r>
            <w:r w:rsidRPr="00091600">
              <w:rPr>
                <w:rFonts w:ascii="Roboto Light" w:hAnsi="Roboto Light"/>
                <w:lang w:val="en-AU"/>
              </w:rPr>
              <w:t>her alternative capacities (such as churches, chiefs, or elders) and how people use services in practice;</w:t>
            </w:r>
            <w:r w:rsidRPr="00091600">
              <w:rPr>
                <w:rFonts w:ascii="Roboto Light" w:hAnsi="Roboto Light"/>
                <w:spacing w:val="13"/>
                <w:lang w:val="en-AU"/>
              </w:rPr>
              <w:t xml:space="preserve"> </w:t>
            </w:r>
            <w:r w:rsidRPr="00091600">
              <w:rPr>
                <w:rFonts w:ascii="Roboto Light" w:hAnsi="Roboto Light"/>
                <w:spacing w:val="-2"/>
                <w:lang w:val="en-AU"/>
              </w:rPr>
              <w:t>a</w:t>
            </w:r>
            <w:r w:rsidRPr="00091600">
              <w:rPr>
                <w:rFonts w:ascii="Roboto Light" w:hAnsi="Roboto Light"/>
                <w:lang w:val="en-AU"/>
              </w:rPr>
              <w:t>nd</w:t>
            </w:r>
          </w:p>
          <w:p w:rsidR="000F4B57" w:rsidRPr="00091600" w:rsidRDefault="000F4B57" w:rsidP="00013D3C">
            <w:pPr>
              <w:pStyle w:val="Boxtext"/>
              <w:numPr>
                <w:ilvl w:val="0"/>
                <w:numId w:val="47"/>
              </w:numPr>
              <w:rPr>
                <w:rFonts w:ascii="Roboto Light" w:hAnsi="Roboto Light"/>
                <w:spacing w:val="13"/>
                <w:lang w:val="en-AU"/>
              </w:rPr>
            </w:pPr>
            <w:r w:rsidRPr="00091600">
              <w:rPr>
                <w:rFonts w:ascii="Roboto Light" w:hAnsi="Roboto Light"/>
                <w:lang w:val="en-AU"/>
              </w:rPr>
              <w:t>c</w:t>
            </w:r>
            <w:r w:rsidRPr="00091600">
              <w:rPr>
                <w:rFonts w:ascii="Roboto Light" w:hAnsi="Roboto Light"/>
                <w:spacing w:val="-2"/>
                <w:lang w:val="en-AU"/>
              </w:rPr>
              <w:t>a</w:t>
            </w:r>
            <w:r w:rsidRPr="00091600">
              <w:rPr>
                <w:rFonts w:ascii="Roboto Light" w:hAnsi="Roboto Light"/>
                <w:lang w:val="en-AU"/>
              </w:rPr>
              <w:t>pa</w:t>
            </w:r>
            <w:r w:rsidRPr="00091600">
              <w:rPr>
                <w:rFonts w:ascii="Roboto Light" w:hAnsi="Roboto Light"/>
                <w:spacing w:val="-2"/>
                <w:lang w:val="en-AU"/>
              </w:rPr>
              <w:t>c</w:t>
            </w:r>
            <w:r w:rsidRPr="00091600">
              <w:rPr>
                <w:rFonts w:ascii="Roboto Light" w:hAnsi="Roboto Light"/>
                <w:spacing w:val="1"/>
                <w:lang w:val="en-AU"/>
              </w:rPr>
              <w:t>i</w:t>
            </w:r>
            <w:r w:rsidRPr="00091600">
              <w:rPr>
                <w:rFonts w:ascii="Roboto Light" w:hAnsi="Roboto Light"/>
                <w:spacing w:val="-1"/>
                <w:lang w:val="en-AU"/>
              </w:rPr>
              <w:t>t</w:t>
            </w:r>
            <w:r w:rsidRPr="00091600">
              <w:rPr>
                <w:rFonts w:ascii="Roboto Light" w:hAnsi="Roboto Light"/>
                <w:lang w:val="en-AU"/>
              </w:rPr>
              <w:t>y</w:t>
            </w:r>
            <w:r w:rsidRPr="00091600">
              <w:rPr>
                <w:rFonts w:ascii="Roboto Light" w:hAnsi="Roboto Light"/>
                <w:spacing w:val="11"/>
                <w:lang w:val="en-AU"/>
              </w:rPr>
              <w:t xml:space="preserve"> </w:t>
            </w:r>
            <w:r w:rsidRPr="00091600">
              <w:rPr>
                <w:rFonts w:ascii="Roboto Light" w:hAnsi="Roboto Light"/>
                <w:lang w:val="en-AU"/>
              </w:rPr>
              <w:t>development</w:t>
            </w:r>
            <w:r w:rsidRPr="00091600">
              <w:rPr>
                <w:rFonts w:ascii="Roboto Light" w:hAnsi="Roboto Light"/>
                <w:spacing w:val="14"/>
                <w:lang w:val="en-AU"/>
              </w:rPr>
              <w:t xml:space="preserve"> </w:t>
            </w:r>
            <w:r w:rsidRPr="00091600">
              <w:rPr>
                <w:rFonts w:ascii="Roboto Light" w:hAnsi="Roboto Light"/>
                <w:spacing w:val="-1"/>
                <w:lang w:val="en-AU"/>
              </w:rPr>
              <w:t>t</w:t>
            </w:r>
            <w:r w:rsidRPr="00091600">
              <w:rPr>
                <w:rFonts w:ascii="Roboto Light" w:hAnsi="Roboto Light"/>
                <w:lang w:val="en-AU"/>
              </w:rPr>
              <w:t>ends</w:t>
            </w:r>
            <w:r w:rsidRPr="00091600">
              <w:rPr>
                <w:rFonts w:ascii="Roboto Light" w:hAnsi="Roboto Light"/>
                <w:spacing w:val="14"/>
                <w:lang w:val="en-AU"/>
              </w:rPr>
              <w:t xml:space="preserve"> </w:t>
            </w:r>
            <w:r w:rsidRPr="00091600">
              <w:rPr>
                <w:rFonts w:ascii="Roboto Light" w:hAnsi="Roboto Light"/>
                <w:spacing w:val="-1"/>
                <w:lang w:val="en-AU"/>
              </w:rPr>
              <w:t>t</w:t>
            </w:r>
            <w:r w:rsidRPr="00091600">
              <w:rPr>
                <w:rFonts w:ascii="Roboto Light" w:hAnsi="Roboto Light"/>
                <w:lang w:val="en-AU"/>
              </w:rPr>
              <w:t>o</w:t>
            </w:r>
            <w:r w:rsidRPr="00091600">
              <w:rPr>
                <w:rFonts w:ascii="Roboto Light" w:hAnsi="Roboto Light"/>
                <w:spacing w:val="11"/>
                <w:lang w:val="en-AU"/>
              </w:rPr>
              <w:t xml:space="preserve"> </w:t>
            </w:r>
            <w:r w:rsidRPr="00091600">
              <w:rPr>
                <w:rFonts w:ascii="Roboto Light" w:hAnsi="Roboto Light"/>
                <w:spacing w:val="-1"/>
                <w:lang w:val="en-AU"/>
              </w:rPr>
              <w:t>f</w:t>
            </w:r>
            <w:r w:rsidRPr="00091600">
              <w:rPr>
                <w:rFonts w:ascii="Roboto Light" w:hAnsi="Roboto Light"/>
                <w:lang w:val="en-AU"/>
              </w:rPr>
              <w:t>ocus</w:t>
            </w:r>
            <w:r w:rsidRPr="00091600">
              <w:rPr>
                <w:rFonts w:ascii="Roboto Light" w:hAnsi="Roboto Light"/>
                <w:spacing w:val="12"/>
                <w:lang w:val="en-AU"/>
              </w:rPr>
              <w:t xml:space="preserve"> </w:t>
            </w:r>
            <w:r w:rsidRPr="00091600">
              <w:rPr>
                <w:rFonts w:ascii="Roboto Light" w:hAnsi="Roboto Light"/>
                <w:lang w:val="en-AU"/>
              </w:rPr>
              <w:t xml:space="preserve">on </w:t>
            </w:r>
            <w:r w:rsidRPr="00091600">
              <w:rPr>
                <w:rFonts w:ascii="Roboto Light" w:hAnsi="Roboto Light"/>
                <w:spacing w:val="1"/>
                <w:lang w:val="en-AU"/>
              </w:rPr>
              <w:t>i</w:t>
            </w:r>
            <w:r w:rsidRPr="00091600">
              <w:rPr>
                <w:rFonts w:ascii="Roboto Light" w:hAnsi="Roboto Light"/>
                <w:lang w:val="en-AU"/>
              </w:rPr>
              <w:t>n</w:t>
            </w:r>
            <w:r w:rsidRPr="00091600">
              <w:rPr>
                <w:rFonts w:ascii="Roboto Light" w:hAnsi="Roboto Light"/>
                <w:spacing w:val="-2"/>
                <w:lang w:val="en-AU"/>
              </w:rPr>
              <w:t>d</w:t>
            </w:r>
            <w:r w:rsidRPr="00091600">
              <w:rPr>
                <w:rFonts w:ascii="Roboto Light" w:hAnsi="Roboto Light"/>
                <w:spacing w:val="1"/>
                <w:lang w:val="en-AU"/>
              </w:rPr>
              <w:t>i</w:t>
            </w:r>
            <w:r w:rsidRPr="00091600">
              <w:rPr>
                <w:rFonts w:ascii="Roboto Light" w:hAnsi="Roboto Light"/>
                <w:spacing w:val="-2"/>
                <w:lang w:val="en-AU"/>
              </w:rPr>
              <w:t>v</w:t>
            </w:r>
            <w:r w:rsidRPr="00091600">
              <w:rPr>
                <w:rFonts w:ascii="Roboto Light" w:hAnsi="Roboto Light"/>
                <w:spacing w:val="1"/>
                <w:lang w:val="en-AU"/>
              </w:rPr>
              <w:t>i</w:t>
            </w:r>
            <w:r w:rsidRPr="00091600">
              <w:rPr>
                <w:rFonts w:ascii="Roboto Light" w:hAnsi="Roboto Light"/>
                <w:lang w:val="en-AU"/>
              </w:rPr>
              <w:t>d</w:t>
            </w:r>
            <w:r w:rsidRPr="00091600">
              <w:rPr>
                <w:rFonts w:ascii="Roboto Light" w:hAnsi="Roboto Light"/>
                <w:spacing w:val="-2"/>
                <w:lang w:val="en-AU"/>
              </w:rPr>
              <w:t>u</w:t>
            </w:r>
            <w:r w:rsidRPr="00091600">
              <w:rPr>
                <w:rFonts w:ascii="Roboto Light" w:hAnsi="Roboto Light"/>
                <w:lang w:val="en-AU"/>
              </w:rPr>
              <w:t>a</w:t>
            </w:r>
            <w:r w:rsidRPr="00091600">
              <w:rPr>
                <w:rFonts w:ascii="Roboto Light" w:hAnsi="Roboto Light"/>
                <w:spacing w:val="1"/>
                <w:lang w:val="en-AU"/>
              </w:rPr>
              <w:t>l</w:t>
            </w:r>
            <w:r w:rsidRPr="00091600">
              <w:rPr>
                <w:rFonts w:ascii="Roboto Light" w:hAnsi="Roboto Light"/>
                <w:lang w:val="en-AU"/>
              </w:rPr>
              <w:t xml:space="preserve">s </w:t>
            </w:r>
            <w:r w:rsidRPr="00091600">
              <w:rPr>
                <w:rFonts w:ascii="Roboto Light" w:hAnsi="Roboto Light"/>
                <w:spacing w:val="-2"/>
                <w:lang w:val="en-AU"/>
              </w:rPr>
              <w:t>a</w:t>
            </w:r>
            <w:r w:rsidRPr="00091600">
              <w:rPr>
                <w:rFonts w:ascii="Roboto Light" w:hAnsi="Roboto Light"/>
                <w:lang w:val="en-AU"/>
              </w:rPr>
              <w:t>nd or</w:t>
            </w:r>
            <w:r w:rsidRPr="00091600">
              <w:rPr>
                <w:rFonts w:ascii="Roboto Light" w:hAnsi="Roboto Light"/>
                <w:spacing w:val="-3"/>
                <w:lang w:val="en-AU"/>
              </w:rPr>
              <w:t>g</w:t>
            </w:r>
            <w:r w:rsidRPr="00091600">
              <w:rPr>
                <w:rFonts w:ascii="Roboto Light" w:hAnsi="Roboto Light"/>
                <w:lang w:val="en-AU"/>
              </w:rPr>
              <w:t>a</w:t>
            </w:r>
            <w:r w:rsidRPr="00091600">
              <w:rPr>
                <w:rFonts w:ascii="Roboto Light" w:hAnsi="Roboto Light"/>
                <w:spacing w:val="-2"/>
                <w:lang w:val="en-AU"/>
              </w:rPr>
              <w:t>n</w:t>
            </w:r>
            <w:r w:rsidRPr="00091600">
              <w:rPr>
                <w:rFonts w:ascii="Roboto Light" w:hAnsi="Roboto Light"/>
                <w:spacing w:val="1"/>
                <w:lang w:val="en-AU"/>
              </w:rPr>
              <w:t>i</w:t>
            </w:r>
            <w:r w:rsidRPr="00091600">
              <w:rPr>
                <w:rFonts w:ascii="Roboto Light" w:hAnsi="Roboto Light"/>
                <w:lang w:val="en-AU"/>
              </w:rPr>
              <w:t>sa</w:t>
            </w:r>
            <w:r w:rsidRPr="00091600">
              <w:rPr>
                <w:rFonts w:ascii="Roboto Light" w:hAnsi="Roboto Light"/>
                <w:spacing w:val="-1"/>
                <w:lang w:val="en-AU"/>
              </w:rPr>
              <w:t>ti</w:t>
            </w:r>
            <w:r w:rsidRPr="00091600">
              <w:rPr>
                <w:rFonts w:ascii="Roboto Light" w:hAnsi="Roboto Light"/>
                <w:lang w:val="en-AU"/>
              </w:rPr>
              <w:t xml:space="preserve">ons </w:t>
            </w:r>
            <w:r w:rsidRPr="00091600">
              <w:rPr>
                <w:rFonts w:ascii="Roboto Light" w:hAnsi="Roboto Light"/>
                <w:spacing w:val="-1"/>
                <w:lang w:val="en-AU"/>
              </w:rPr>
              <w:t>r</w:t>
            </w:r>
            <w:r w:rsidRPr="00091600">
              <w:rPr>
                <w:rFonts w:ascii="Roboto Light" w:hAnsi="Roboto Light"/>
                <w:lang w:val="en-AU"/>
              </w:rPr>
              <w:t>a</w:t>
            </w:r>
            <w:r w:rsidRPr="00091600">
              <w:rPr>
                <w:rFonts w:ascii="Roboto Light" w:hAnsi="Roboto Light"/>
                <w:spacing w:val="-1"/>
                <w:lang w:val="en-AU"/>
              </w:rPr>
              <w:t>t</w:t>
            </w:r>
            <w:r w:rsidRPr="00091600">
              <w:rPr>
                <w:rFonts w:ascii="Roboto Light" w:hAnsi="Roboto Light"/>
                <w:lang w:val="en-AU"/>
              </w:rPr>
              <w:t>her</w:t>
            </w:r>
            <w:r w:rsidRPr="00091600">
              <w:rPr>
                <w:rFonts w:ascii="Roboto Light" w:hAnsi="Roboto Light"/>
                <w:spacing w:val="-1"/>
                <w:lang w:val="en-AU"/>
              </w:rPr>
              <w:t xml:space="preserve"> t</w:t>
            </w:r>
            <w:r w:rsidRPr="00091600">
              <w:rPr>
                <w:rFonts w:ascii="Roboto Light" w:hAnsi="Roboto Light"/>
                <w:lang w:val="en-AU"/>
              </w:rPr>
              <w:t xml:space="preserve">han </w:t>
            </w:r>
            <w:r w:rsidRPr="00091600">
              <w:rPr>
                <w:rFonts w:ascii="Roboto Light" w:hAnsi="Roboto Light"/>
                <w:spacing w:val="-2"/>
                <w:lang w:val="en-AU"/>
              </w:rPr>
              <w:t>ta</w:t>
            </w:r>
            <w:r w:rsidRPr="00091600">
              <w:rPr>
                <w:rFonts w:ascii="Roboto Light" w:hAnsi="Roboto Light"/>
                <w:lang w:val="en-AU"/>
              </w:rPr>
              <w:t>k</w:t>
            </w:r>
            <w:r w:rsidRPr="00091600">
              <w:rPr>
                <w:rFonts w:ascii="Roboto Light" w:hAnsi="Roboto Light"/>
                <w:spacing w:val="1"/>
                <w:lang w:val="en-AU"/>
              </w:rPr>
              <w:t>i</w:t>
            </w:r>
            <w:r w:rsidRPr="00091600">
              <w:rPr>
                <w:rFonts w:ascii="Roboto Light" w:hAnsi="Roboto Light"/>
                <w:spacing w:val="-2"/>
                <w:lang w:val="en-AU"/>
              </w:rPr>
              <w:t>n</w:t>
            </w:r>
            <w:r w:rsidRPr="00091600">
              <w:rPr>
                <w:rFonts w:ascii="Roboto Light" w:hAnsi="Roboto Light"/>
                <w:lang w:val="en-AU"/>
              </w:rPr>
              <w:t xml:space="preserve">g a </w:t>
            </w:r>
            <w:r w:rsidRPr="00091600">
              <w:rPr>
                <w:rFonts w:ascii="Roboto Light" w:hAnsi="Roboto Light"/>
                <w:spacing w:val="-1"/>
                <w:lang w:val="en-AU"/>
              </w:rPr>
              <w:t>‘</w:t>
            </w:r>
            <w:r w:rsidRPr="00091600">
              <w:rPr>
                <w:rFonts w:ascii="Roboto Light" w:hAnsi="Roboto Light"/>
                <w:lang w:val="en-AU"/>
              </w:rPr>
              <w:t>s</w:t>
            </w:r>
            <w:r w:rsidRPr="00091600">
              <w:rPr>
                <w:rFonts w:ascii="Roboto Light" w:hAnsi="Roboto Light"/>
                <w:spacing w:val="-2"/>
                <w:lang w:val="en-AU"/>
              </w:rPr>
              <w:t>y</w:t>
            </w:r>
            <w:r w:rsidRPr="00091600">
              <w:rPr>
                <w:rFonts w:ascii="Roboto Light" w:hAnsi="Roboto Light"/>
                <w:lang w:val="en-AU"/>
              </w:rPr>
              <w:t>s</w:t>
            </w:r>
            <w:r w:rsidRPr="00091600">
              <w:rPr>
                <w:rFonts w:ascii="Roboto Light" w:hAnsi="Roboto Light"/>
                <w:spacing w:val="-1"/>
                <w:lang w:val="en-AU"/>
              </w:rPr>
              <w:t>t</w:t>
            </w:r>
            <w:r w:rsidRPr="00091600">
              <w:rPr>
                <w:rFonts w:ascii="Roboto Light" w:hAnsi="Roboto Light"/>
                <w:lang w:val="en-AU"/>
              </w:rPr>
              <w:t>e</w:t>
            </w:r>
            <w:r w:rsidRPr="00091600">
              <w:rPr>
                <w:rFonts w:ascii="Roboto Light" w:hAnsi="Roboto Light"/>
                <w:spacing w:val="2"/>
                <w:lang w:val="en-AU"/>
              </w:rPr>
              <w:t>m</w:t>
            </w:r>
            <w:r w:rsidRPr="00091600">
              <w:rPr>
                <w:rFonts w:ascii="Roboto Light" w:hAnsi="Roboto Light"/>
                <w:spacing w:val="1"/>
                <w:lang w:val="en-AU"/>
              </w:rPr>
              <w:t>i</w:t>
            </w:r>
            <w:r w:rsidRPr="00091600">
              <w:rPr>
                <w:rFonts w:ascii="Roboto Light" w:hAnsi="Roboto Light"/>
                <w:lang w:val="en-AU"/>
              </w:rPr>
              <w:t>c’</w:t>
            </w:r>
            <w:r w:rsidRPr="00091600">
              <w:rPr>
                <w:rFonts w:ascii="Roboto Light" w:hAnsi="Roboto Light"/>
                <w:spacing w:val="-1"/>
                <w:lang w:val="en-AU"/>
              </w:rPr>
              <w:t xml:space="preserve"> </w:t>
            </w:r>
            <w:r w:rsidRPr="00091600">
              <w:rPr>
                <w:rFonts w:ascii="Roboto Light" w:hAnsi="Roboto Light"/>
                <w:spacing w:val="-2"/>
                <w:lang w:val="en-AU"/>
              </w:rPr>
              <w:t>a</w:t>
            </w:r>
            <w:r w:rsidRPr="00091600">
              <w:rPr>
                <w:rFonts w:ascii="Roboto Light" w:hAnsi="Roboto Light"/>
                <w:lang w:val="en-AU"/>
              </w:rPr>
              <w:t>ppro</w:t>
            </w:r>
            <w:r w:rsidRPr="00091600">
              <w:rPr>
                <w:rFonts w:ascii="Roboto Light" w:hAnsi="Roboto Light"/>
                <w:spacing w:val="-3"/>
                <w:lang w:val="en-AU"/>
              </w:rPr>
              <w:t>a</w:t>
            </w:r>
            <w:r w:rsidRPr="00091600">
              <w:rPr>
                <w:rFonts w:ascii="Roboto Light" w:hAnsi="Roboto Light"/>
                <w:lang w:val="en-AU"/>
              </w:rPr>
              <w:t>ch</w:t>
            </w:r>
            <w:r w:rsidR="002D5CC2">
              <w:rPr>
                <w:rFonts w:ascii="Roboto Light" w:hAnsi="Roboto Light"/>
                <w:lang w:val="en-AU"/>
              </w:rPr>
              <w:t>. I</w:t>
            </w:r>
            <w:r w:rsidRPr="00091600">
              <w:rPr>
                <w:rFonts w:ascii="Roboto Light" w:hAnsi="Roboto Light"/>
                <w:lang w:val="en-AU"/>
              </w:rPr>
              <w:t>nstead it should focus on both the hardware (e.g. formal procedures) and software (e.g. social relations) to incentivise change.</w:t>
            </w:r>
          </w:p>
          <w:p w:rsidR="000F4B57" w:rsidRPr="00091600" w:rsidRDefault="000F4B57" w:rsidP="00013D3C">
            <w:pPr>
              <w:pStyle w:val="Boxtext"/>
              <w:rPr>
                <w:rFonts w:ascii="Roboto Light" w:hAnsi="Roboto Light"/>
                <w:lang w:val="en-AU"/>
              </w:rPr>
            </w:pPr>
            <w:r w:rsidRPr="00091600">
              <w:rPr>
                <w:rFonts w:ascii="Roboto Light" w:hAnsi="Roboto Light"/>
                <w:lang w:val="en-AU"/>
              </w:rPr>
              <w:t xml:space="preserve">This finding can be applied to the Precinct’s objective of training ethical leaders. Academic evidence shows that training in ethics and codes of conduct (such as the LCF in PNG) do not address corruption on their own. A combination of individual integrity (e.g. an honest person, doing the right thing); institutions of integrity (e.g. legal rules, codes of conduct, social norms); and the integrity of institutions (e.g. institutions that are fit for purpose, promoting development objectives) are needed to prevent misconduct and corruption in the public sector. Precinct partners should consider whether and how they could work across all these levels. </w:t>
            </w:r>
          </w:p>
          <w:p w:rsidR="000F4B57" w:rsidRPr="00CF1ACC" w:rsidRDefault="000F4B57" w:rsidP="00013D3C">
            <w:pPr>
              <w:pStyle w:val="BodyText"/>
              <w:spacing w:after="120"/>
              <w:rPr>
                <w:rFonts w:ascii="Roboto" w:hAnsi="Roboto"/>
                <w:sz w:val="18"/>
                <w:lang w:val="en-AU"/>
              </w:rPr>
            </w:pPr>
            <w:r w:rsidRPr="00CF1ACC">
              <w:rPr>
                <w:rFonts w:ascii="Roboto" w:hAnsi="Roboto"/>
                <w:sz w:val="18"/>
                <w:lang w:val="en-AU"/>
              </w:rPr>
              <w:t>Sources</w:t>
            </w:r>
          </w:p>
          <w:p w:rsidR="000F4B57" w:rsidRPr="00091600" w:rsidRDefault="000F4B57" w:rsidP="00013D3C">
            <w:pPr>
              <w:pStyle w:val="Boxtext"/>
              <w:rPr>
                <w:rFonts w:ascii="Roboto Light" w:hAnsi="Roboto Light"/>
                <w:sz w:val="18"/>
                <w:lang w:val="en-AU"/>
              </w:rPr>
            </w:pPr>
            <w:r w:rsidRPr="00091600">
              <w:rPr>
                <w:rFonts w:ascii="Roboto Light" w:hAnsi="Roboto Light"/>
                <w:sz w:val="18"/>
                <w:lang w:val="en-AU"/>
              </w:rPr>
              <w:t>I. Amundsen (2009) ‘Introduction to public sector ethics’, in I. Amundsen and V.P. de Andrade (eds.) Public sector ethics: Compendium for teaching at the Catholic University of Angola (pp. 5–45), Chr. Michelsen Institute, Bergen, Norway.</w:t>
            </w:r>
          </w:p>
          <w:p w:rsidR="000F4B57" w:rsidRPr="00091600" w:rsidRDefault="000F4B57" w:rsidP="00013D3C">
            <w:pPr>
              <w:pStyle w:val="Boxtext"/>
              <w:rPr>
                <w:rFonts w:ascii="Roboto Light" w:hAnsi="Roboto Light"/>
                <w:sz w:val="18"/>
                <w:lang w:val="en-AU"/>
              </w:rPr>
            </w:pPr>
            <w:r w:rsidRPr="00091600">
              <w:rPr>
                <w:rFonts w:ascii="Roboto Light" w:hAnsi="Roboto Light"/>
                <w:sz w:val="18"/>
                <w:lang w:val="en-AU"/>
              </w:rPr>
              <w:t>L. Denney and R. Mallett, with M.S. Benson (2017) Service delivery and state capacity: Findings from the Secure Livelihoods Research Consortium, Secure Livelihoods Research Consortium, London.</w:t>
            </w:r>
          </w:p>
          <w:p w:rsidR="000F4B57" w:rsidRPr="00091600" w:rsidRDefault="000F4B57" w:rsidP="00013D3C">
            <w:pPr>
              <w:pStyle w:val="Boxtext"/>
              <w:rPr>
                <w:rFonts w:ascii="Roboto Light" w:hAnsi="Roboto Light"/>
                <w:sz w:val="18"/>
                <w:lang w:val="en-AU"/>
              </w:rPr>
            </w:pPr>
            <w:r w:rsidRPr="00091600">
              <w:rPr>
                <w:rFonts w:ascii="Roboto Light" w:hAnsi="Roboto Light"/>
                <w:sz w:val="18"/>
                <w:lang w:val="en-AU"/>
              </w:rPr>
              <w:t>I. Garcia-Sanchez, L. Rodriguez-Dominguez, and I. Gallego-Alvarez (2011) ‘Effectiveness of ethics codes in the public sphere: Are they useful in controlling corruption?’, International Journal of Public Administration 34, pp. 190–95.</w:t>
            </w:r>
          </w:p>
          <w:p w:rsidR="000F4B57" w:rsidRPr="00091600" w:rsidRDefault="000F4B57" w:rsidP="00013D3C">
            <w:pPr>
              <w:pStyle w:val="Boxtext"/>
              <w:rPr>
                <w:rFonts w:ascii="Roboto Light" w:hAnsi="Roboto Light"/>
                <w:sz w:val="22"/>
                <w:lang w:val="en-AU"/>
              </w:rPr>
            </w:pPr>
            <w:r w:rsidRPr="00091600">
              <w:rPr>
                <w:rFonts w:ascii="Roboto Light" w:hAnsi="Roboto Light"/>
                <w:sz w:val="18"/>
                <w:lang w:val="en-AU"/>
              </w:rPr>
              <w:t xml:space="preserve">E. Grebe and M. Woermann (2011) </w:t>
            </w:r>
            <w:r w:rsidRPr="00091600">
              <w:rPr>
                <w:rFonts w:ascii="Roboto Light" w:hAnsi="Roboto Light"/>
                <w:iCs/>
                <w:sz w:val="18"/>
                <w:lang w:val="en-AU"/>
              </w:rPr>
              <w:t>Institutions of Integrity and the Integrity of Institutions: Integrity and ethics in the politics of developmental leadership</w:t>
            </w:r>
            <w:r w:rsidRPr="00091600">
              <w:rPr>
                <w:rFonts w:ascii="Roboto Light" w:hAnsi="Roboto Light"/>
                <w:sz w:val="18"/>
                <w:lang w:val="en-AU"/>
              </w:rPr>
              <w:t>, Developmental Leadership Program.</w:t>
            </w:r>
          </w:p>
        </w:tc>
      </w:tr>
    </w:tbl>
    <w:p w:rsidR="000F4B57" w:rsidRPr="00091600" w:rsidRDefault="000F4B57" w:rsidP="000F4B57">
      <w:pPr>
        <w:pStyle w:val="BodyText"/>
        <w:rPr>
          <w:lang w:val="en-AU"/>
        </w:rPr>
      </w:pPr>
    </w:p>
    <w:p w:rsidR="000F4B57" w:rsidRPr="00091600" w:rsidRDefault="000F4B57" w:rsidP="000F4B57">
      <w:pPr>
        <w:pStyle w:val="BodyText"/>
        <w:rPr>
          <w:lang w:val="en-AU"/>
        </w:rPr>
      </w:pPr>
      <w:r w:rsidRPr="001422B3">
        <w:rPr>
          <w:rFonts w:ascii="Roboto" w:hAnsi="Roboto"/>
          <w:b/>
          <w:lang w:val="en-AU"/>
        </w:rPr>
        <w:t>Supporting leaders in their workplaces</w:t>
      </w:r>
      <w:r w:rsidRPr="006A2786">
        <w:rPr>
          <w:rFonts w:ascii="Roboto" w:hAnsi="Roboto"/>
          <w:lang w:val="en-AU"/>
        </w:rPr>
        <w:t>:</w:t>
      </w:r>
      <w:r w:rsidRPr="00091600">
        <w:rPr>
          <w:lang w:val="en-AU"/>
        </w:rPr>
        <w:t xml:space="preserve"> </w:t>
      </w:r>
      <w:r w:rsidR="00B03833" w:rsidRPr="00091600">
        <w:rPr>
          <w:lang w:val="en-AU"/>
        </w:rPr>
        <w:t>a</w:t>
      </w:r>
      <w:r w:rsidR="007329BA" w:rsidRPr="00091600">
        <w:rPr>
          <w:lang w:val="en-AU"/>
        </w:rPr>
        <w:t>t</w:t>
      </w:r>
      <w:r w:rsidRPr="00091600">
        <w:rPr>
          <w:lang w:val="en-AU"/>
        </w:rPr>
        <w:t xml:space="preserve"> the individual level, Precinct participants need to have the appropriate support to apply the leadership skills gained through Precinct activities. The academic evidence shows that ‘selection and post-training activities seem as important as the training itself’.</w:t>
      </w:r>
      <w:r w:rsidRPr="00091600">
        <w:rPr>
          <w:rStyle w:val="FootnoteReference"/>
          <w:lang w:val="en-AU"/>
        </w:rPr>
        <w:footnoteReference w:id="44"/>
      </w:r>
      <w:r w:rsidRPr="00091600">
        <w:rPr>
          <w:lang w:val="en-AU"/>
        </w:rPr>
        <w:t xml:space="preserve"> Students need to put leadership skills into practice to hone these skills in a safe environment, allowing them to test different leadership styles and assess their effectiveness.</w:t>
      </w:r>
      <w:r w:rsidRPr="00091600">
        <w:rPr>
          <w:rStyle w:val="FootnoteReference"/>
          <w:lang w:val="en-AU"/>
        </w:rPr>
        <w:footnoteReference w:id="45"/>
      </w:r>
      <w:r w:rsidRPr="00091600">
        <w:rPr>
          <w:lang w:val="en-AU"/>
        </w:rPr>
        <w:t xml:space="preserve"> Our interviewees</w:t>
      </w:r>
      <w:r w:rsidR="007329BA" w:rsidRPr="00091600">
        <w:rPr>
          <w:lang w:val="en-AU"/>
        </w:rPr>
        <w:t xml:space="preserve"> – </w:t>
      </w:r>
      <w:r w:rsidRPr="00091600">
        <w:rPr>
          <w:lang w:val="en-AU"/>
        </w:rPr>
        <w:t>from course participants to Board members</w:t>
      </w:r>
      <w:r w:rsidR="007329BA" w:rsidRPr="00091600">
        <w:rPr>
          <w:lang w:val="en-AU"/>
        </w:rPr>
        <w:t xml:space="preserve"> – </w:t>
      </w:r>
      <w:r w:rsidRPr="00091600">
        <w:rPr>
          <w:lang w:val="en-AU"/>
        </w:rPr>
        <w:t xml:space="preserve">all </w:t>
      </w:r>
      <w:r w:rsidR="00CB7AC4" w:rsidRPr="00091600">
        <w:rPr>
          <w:lang w:val="en-AU"/>
        </w:rPr>
        <w:t>expect</w:t>
      </w:r>
      <w:r w:rsidRPr="00091600">
        <w:rPr>
          <w:lang w:val="en-AU"/>
        </w:rPr>
        <w:t xml:space="preserve"> the program to </w:t>
      </w:r>
      <w:r w:rsidR="00C719C1" w:rsidRPr="00091600">
        <w:rPr>
          <w:lang w:val="en-AU"/>
        </w:rPr>
        <w:t>pay more attention to</w:t>
      </w:r>
      <w:r w:rsidRPr="00091600">
        <w:rPr>
          <w:lang w:val="en-AU"/>
        </w:rPr>
        <w:t xml:space="preserve"> what happened after a participant finished the training. We were given numerous examples of good practice:</w:t>
      </w:r>
    </w:p>
    <w:p w:rsidR="000F4B57" w:rsidRPr="00091600" w:rsidRDefault="00B03833" w:rsidP="000F4B57">
      <w:pPr>
        <w:pStyle w:val="ListBullet"/>
        <w:rPr>
          <w:rFonts w:ascii="Roboto Light" w:hAnsi="Roboto Light"/>
          <w:szCs w:val="22"/>
          <w:lang w:val="en-AU"/>
        </w:rPr>
      </w:pPr>
      <w:r w:rsidRPr="00091600">
        <w:rPr>
          <w:rFonts w:ascii="Roboto Light" w:hAnsi="Roboto Light"/>
          <w:szCs w:val="22"/>
          <w:lang w:val="en-AU"/>
        </w:rPr>
        <w:t>w</w:t>
      </w:r>
      <w:r w:rsidR="007329BA" w:rsidRPr="00091600">
        <w:rPr>
          <w:rFonts w:ascii="Roboto Light" w:hAnsi="Roboto Light"/>
          <w:szCs w:val="22"/>
          <w:lang w:val="en-AU"/>
        </w:rPr>
        <w:t>hen</w:t>
      </w:r>
      <w:r w:rsidR="000F4B57" w:rsidRPr="00091600">
        <w:rPr>
          <w:rFonts w:ascii="Roboto Light" w:hAnsi="Roboto Light"/>
          <w:szCs w:val="22"/>
          <w:lang w:val="en-AU"/>
        </w:rPr>
        <w:t xml:space="preserve"> they had support from their managers on return, or when managers and staff attended Precinct courses together, participants could contribute to changes in their </w:t>
      </w:r>
      <w:r w:rsidR="007329BA" w:rsidRPr="00091600">
        <w:rPr>
          <w:rFonts w:ascii="Roboto Light" w:hAnsi="Roboto Light"/>
          <w:szCs w:val="22"/>
          <w:lang w:val="en-AU"/>
        </w:rPr>
        <w:t>workplace</w:t>
      </w:r>
      <w:r w:rsidRPr="00091600">
        <w:rPr>
          <w:rFonts w:ascii="Roboto Light" w:hAnsi="Roboto Light"/>
          <w:szCs w:val="22"/>
          <w:lang w:val="en-AU"/>
        </w:rPr>
        <w:t>;</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 xml:space="preserve">participants might </w:t>
      </w:r>
      <w:r w:rsidR="00B03833" w:rsidRPr="00091600">
        <w:rPr>
          <w:rFonts w:ascii="Roboto Light" w:hAnsi="Roboto Light"/>
          <w:szCs w:val="22"/>
          <w:lang w:val="en-AU"/>
        </w:rPr>
        <w:t>o</w:t>
      </w:r>
      <w:r w:rsidR="007329BA" w:rsidRPr="00091600">
        <w:rPr>
          <w:rFonts w:ascii="Roboto Light" w:hAnsi="Roboto Light"/>
          <w:szCs w:val="22"/>
          <w:lang w:val="en-AU"/>
        </w:rPr>
        <w:t>ffer</w:t>
      </w:r>
      <w:r w:rsidRPr="00091600">
        <w:rPr>
          <w:rFonts w:ascii="Roboto Light" w:hAnsi="Roboto Light"/>
          <w:szCs w:val="22"/>
          <w:lang w:val="en-AU"/>
        </w:rPr>
        <w:t xml:space="preserve"> skills training in their workplace on returning from the course; and</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participants might set up informal networks to support one another in their workplaces.</w:t>
      </w:r>
    </w:p>
    <w:p w:rsidR="000F4B57" w:rsidRPr="00091600" w:rsidRDefault="000F4B57" w:rsidP="000F4B57">
      <w:pPr>
        <w:pStyle w:val="BodyText"/>
        <w:spacing w:before="240"/>
        <w:rPr>
          <w:lang w:val="en-AU"/>
        </w:rPr>
      </w:pPr>
      <w:r w:rsidRPr="00091600">
        <w:rPr>
          <w:lang w:val="en-AU"/>
        </w:rPr>
        <w:t>However, we also heard numerous examples where practice did not change:</w:t>
      </w:r>
    </w:p>
    <w:p w:rsidR="000F4B57" w:rsidRPr="00091600" w:rsidRDefault="00B03833" w:rsidP="000F4B57">
      <w:pPr>
        <w:pStyle w:val="ListBullet"/>
        <w:rPr>
          <w:rFonts w:ascii="Roboto Light" w:hAnsi="Roboto Light"/>
          <w:szCs w:val="22"/>
          <w:lang w:val="en-AU"/>
        </w:rPr>
      </w:pPr>
      <w:r w:rsidRPr="00091600">
        <w:rPr>
          <w:rFonts w:ascii="Roboto Light" w:hAnsi="Roboto Light"/>
          <w:szCs w:val="22"/>
          <w:lang w:val="en-AU"/>
        </w:rPr>
        <w:t>s</w:t>
      </w:r>
      <w:r w:rsidR="007329BA" w:rsidRPr="00091600">
        <w:rPr>
          <w:rFonts w:ascii="Roboto Light" w:hAnsi="Roboto Light"/>
          <w:szCs w:val="22"/>
          <w:lang w:val="en-AU"/>
        </w:rPr>
        <w:t>ome</w:t>
      </w:r>
      <w:r w:rsidR="000F4B57" w:rsidRPr="00091600">
        <w:rPr>
          <w:rFonts w:ascii="Roboto Light" w:hAnsi="Roboto Light"/>
          <w:szCs w:val="22"/>
          <w:lang w:val="en-AU"/>
        </w:rPr>
        <w:t xml:space="preserve"> Precinct course participants never returned to their jobs</w:t>
      </w:r>
      <w:r w:rsidRPr="00091600">
        <w:rPr>
          <w:rFonts w:ascii="Roboto Light" w:hAnsi="Roboto Light"/>
          <w:szCs w:val="22"/>
          <w:lang w:val="en-AU"/>
        </w:rPr>
        <w:t>;</w:t>
      </w:r>
    </w:p>
    <w:p w:rsidR="000F4B57" w:rsidRPr="00091600" w:rsidRDefault="00B03833" w:rsidP="000F4B57">
      <w:pPr>
        <w:pStyle w:val="ListBullet"/>
        <w:rPr>
          <w:rFonts w:ascii="Roboto Light" w:hAnsi="Roboto Light"/>
          <w:szCs w:val="22"/>
          <w:lang w:val="en-AU"/>
        </w:rPr>
      </w:pPr>
      <w:r w:rsidRPr="00091600">
        <w:rPr>
          <w:rFonts w:ascii="Roboto Light" w:hAnsi="Roboto Light"/>
          <w:szCs w:val="22"/>
          <w:lang w:val="en-AU"/>
        </w:rPr>
        <w:t>m</w:t>
      </w:r>
      <w:r w:rsidR="007329BA" w:rsidRPr="00091600">
        <w:rPr>
          <w:rFonts w:ascii="Roboto Light" w:hAnsi="Roboto Light"/>
          <w:szCs w:val="22"/>
          <w:lang w:val="en-AU"/>
        </w:rPr>
        <w:t>otivated</w:t>
      </w:r>
      <w:r w:rsidR="000F4B57" w:rsidRPr="00091600">
        <w:rPr>
          <w:rFonts w:ascii="Roboto Light" w:hAnsi="Roboto Light"/>
          <w:szCs w:val="22"/>
          <w:lang w:val="en-AU"/>
        </w:rPr>
        <w:t xml:space="preserve"> individuals were hampered by a lack of management support once they returned to work (e.g. their manager considered them a threat and were not willing to implement new approaches), and </w:t>
      </w:r>
      <w:r w:rsidRPr="00091600">
        <w:rPr>
          <w:rFonts w:ascii="Roboto Light" w:hAnsi="Roboto Light"/>
          <w:szCs w:val="22"/>
          <w:lang w:val="en-AU"/>
        </w:rPr>
        <w:t>w</w:t>
      </w:r>
      <w:r w:rsidR="007329BA" w:rsidRPr="00091600">
        <w:rPr>
          <w:rFonts w:ascii="Roboto Light" w:hAnsi="Roboto Light"/>
          <w:szCs w:val="22"/>
          <w:lang w:val="en-AU"/>
        </w:rPr>
        <w:t>omen</w:t>
      </w:r>
      <w:r w:rsidR="000F4B57" w:rsidRPr="00091600">
        <w:rPr>
          <w:rFonts w:ascii="Roboto Light" w:hAnsi="Roboto Light"/>
          <w:szCs w:val="22"/>
          <w:lang w:val="en-AU"/>
        </w:rPr>
        <w:t xml:space="preserve"> could be undermined by their male managers; and</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Future Leaders participants valued their practical projects, but felt support and mentoring could be further improved.</w:t>
      </w:r>
    </w:p>
    <w:p w:rsidR="000F4B57" w:rsidRPr="00091600" w:rsidRDefault="000F4B57" w:rsidP="00823A76">
      <w:pPr>
        <w:pStyle w:val="BodyText"/>
        <w:spacing w:before="240"/>
        <w:rPr>
          <w:lang w:val="en-AU"/>
        </w:rPr>
      </w:pPr>
      <w:r w:rsidRPr="001422B3">
        <w:rPr>
          <w:rFonts w:ascii="Roboto" w:hAnsi="Roboto"/>
          <w:b/>
          <w:lang w:val="en-AU"/>
        </w:rPr>
        <w:t>Enabling environment</w:t>
      </w:r>
      <w:r w:rsidR="00B03833" w:rsidRPr="006A2786">
        <w:rPr>
          <w:rFonts w:ascii="Roboto" w:hAnsi="Roboto"/>
          <w:lang w:val="en-AU"/>
        </w:rPr>
        <w:t>:</w:t>
      </w:r>
      <w:r w:rsidR="00AC710F" w:rsidRPr="00091600">
        <w:rPr>
          <w:lang w:val="en-AU"/>
        </w:rPr>
        <w:t xml:space="preserve"> </w:t>
      </w:r>
      <w:r w:rsidRPr="00091600">
        <w:rPr>
          <w:lang w:val="en-AU"/>
        </w:rPr>
        <w:t xml:space="preserve">Precinct participants work within organisations which have existing norms, values, and interests. These organisations are themselves part of a wider institutional environment, shaped for example by the </w:t>
      </w:r>
      <w:r w:rsidR="003E5ACF" w:rsidRPr="00091600">
        <w:rPr>
          <w:i/>
          <w:lang w:val="en-AU"/>
        </w:rPr>
        <w:t>wantok</w:t>
      </w:r>
      <w:r w:rsidRPr="00091600">
        <w:rPr>
          <w:lang w:val="en-AU"/>
        </w:rPr>
        <w:t xml:space="preserve"> cultural system and politicisation of the public service.</w:t>
      </w:r>
      <w:r w:rsidRPr="00091600">
        <w:rPr>
          <w:rStyle w:val="FootnoteReference"/>
          <w:lang w:val="en-AU"/>
        </w:rPr>
        <w:footnoteReference w:id="46"/>
      </w:r>
      <w:r w:rsidRPr="00091600">
        <w:rPr>
          <w:lang w:val="en-AU"/>
        </w:rPr>
        <w:t xml:space="preserve"> Public sector organisations, let alone individual public servants on their own, will not be able to overcome some of these barriers which prevent good public sector performance.</w:t>
      </w:r>
    </w:p>
    <w:p w:rsidR="000F4B57" w:rsidRPr="00091600" w:rsidRDefault="000F4B57" w:rsidP="000F4B57">
      <w:pPr>
        <w:pStyle w:val="BodyText"/>
        <w:rPr>
          <w:lang w:val="en-AU"/>
        </w:rPr>
      </w:pPr>
      <w:r w:rsidRPr="00091600">
        <w:rPr>
          <w:lang w:val="en-AU"/>
        </w:rPr>
        <w:t>A number of our interviewees agreed</w:t>
      </w:r>
      <w:r w:rsidR="00F56538" w:rsidRPr="00091600">
        <w:rPr>
          <w:lang w:val="en-AU"/>
        </w:rPr>
        <w:t xml:space="preserve"> that the wider environment was critical and that a focus on individuals was not enough</w:t>
      </w:r>
      <w:r w:rsidR="00C62CC2" w:rsidRPr="00091600">
        <w:rPr>
          <w:lang w:val="en-AU"/>
        </w:rPr>
        <w:t xml:space="preserve">. </w:t>
      </w:r>
      <w:r w:rsidRPr="00091600">
        <w:rPr>
          <w:lang w:val="en-AU"/>
        </w:rPr>
        <w:t>They ‘had a problem with the concept of ethical leadership’ as a solution for PNG’s long-term development. They felt</w:t>
      </w:r>
      <w:r w:rsidR="00034EDD" w:rsidRPr="00091600">
        <w:rPr>
          <w:lang w:val="en-AU"/>
        </w:rPr>
        <w:t xml:space="preserve"> </w:t>
      </w:r>
      <w:r w:rsidR="00F00488" w:rsidRPr="00091600">
        <w:rPr>
          <w:lang w:val="en-AU"/>
        </w:rPr>
        <w:t>‘</w:t>
      </w:r>
      <w:r w:rsidR="00B03833" w:rsidRPr="00091600">
        <w:rPr>
          <w:lang w:val="en-AU"/>
        </w:rPr>
        <w:t>p</w:t>
      </w:r>
      <w:r w:rsidR="00034EDD" w:rsidRPr="00091600">
        <w:rPr>
          <w:lang w:val="en-AU"/>
        </w:rPr>
        <w:t>eople</w:t>
      </w:r>
      <w:r w:rsidRPr="00091600">
        <w:rPr>
          <w:lang w:val="en-AU"/>
        </w:rPr>
        <w:t xml:space="preserve"> are not dishonest’ and wished the Precinct</w:t>
      </w:r>
      <w:r w:rsidR="005A3767" w:rsidRPr="00091600">
        <w:rPr>
          <w:lang w:val="en-AU"/>
        </w:rPr>
        <w:t xml:space="preserve"> </w:t>
      </w:r>
      <w:r w:rsidR="00F00488" w:rsidRPr="00091600">
        <w:rPr>
          <w:lang w:val="en-AU"/>
        </w:rPr>
        <w:t>‘</w:t>
      </w:r>
      <w:r w:rsidR="00B03833" w:rsidRPr="00091600">
        <w:rPr>
          <w:lang w:val="en-AU"/>
        </w:rPr>
        <w:t>g</w:t>
      </w:r>
      <w:r w:rsidR="005A3767" w:rsidRPr="00091600">
        <w:rPr>
          <w:lang w:val="en-AU"/>
        </w:rPr>
        <w:t>ood</w:t>
      </w:r>
      <w:r w:rsidRPr="00091600">
        <w:rPr>
          <w:lang w:val="en-AU"/>
        </w:rPr>
        <w:t xml:space="preserve"> luck teaching ethics to civil servants!’</w:t>
      </w:r>
      <w:r w:rsidR="003B266A">
        <w:rPr>
          <w:lang w:val="en-AU"/>
        </w:rPr>
        <w:t>.</w:t>
      </w:r>
      <w:r w:rsidR="00823A76" w:rsidRPr="00091600">
        <w:rPr>
          <w:lang w:val="en-AU"/>
        </w:rPr>
        <w:t xml:space="preserve"> </w:t>
      </w:r>
      <w:r w:rsidR="003B266A">
        <w:rPr>
          <w:lang w:val="en-AU"/>
        </w:rPr>
        <w:t>They felt a</w:t>
      </w:r>
      <w:r w:rsidRPr="00091600">
        <w:rPr>
          <w:lang w:val="en-AU"/>
        </w:rPr>
        <w:t>dequate incentives and accountability systems were required within the public service to promote good and honest performance</w:t>
      </w:r>
      <w:r w:rsidR="003B266A">
        <w:rPr>
          <w:lang w:val="en-AU"/>
        </w:rPr>
        <w:t xml:space="preserve">, as </w:t>
      </w:r>
      <w:r w:rsidRPr="00091600">
        <w:rPr>
          <w:lang w:val="en-AU"/>
        </w:rPr>
        <w:t>PNG’s post-colonial government institutions were not fit for purpose. Change would not come only from training linked to internal reform, but also through external pressure, from civil society or private sector demands. To achieve its goal, the Precinct therefore needs to consider which organisational and institutional factors it can influence to enable ethical and competent leadership, and ultimately to improve inclusive service delivery and economic development.</w:t>
      </w:r>
    </w:p>
    <w:p w:rsidR="000F4B57" w:rsidRPr="00091600" w:rsidRDefault="000F4B57" w:rsidP="000F4B57">
      <w:pPr>
        <w:pStyle w:val="BodyText"/>
        <w:rPr>
          <w:lang w:val="en-AU"/>
        </w:rPr>
      </w:pPr>
      <w:r w:rsidRPr="001422B3">
        <w:rPr>
          <w:rFonts w:ascii="Roboto" w:hAnsi="Roboto"/>
          <w:b/>
          <w:lang w:val="en-AU"/>
        </w:rPr>
        <w:t>Networks and coalitions</w:t>
      </w:r>
      <w:r w:rsidR="00B03833" w:rsidRPr="006A2786">
        <w:rPr>
          <w:rFonts w:ascii="Roboto" w:hAnsi="Roboto"/>
          <w:lang w:val="en-AU"/>
        </w:rPr>
        <w:t>:</w:t>
      </w:r>
      <w:r w:rsidR="007039C3" w:rsidRPr="00091600">
        <w:rPr>
          <w:lang w:val="en-AU"/>
        </w:rPr>
        <w:t xml:space="preserve"> </w:t>
      </w:r>
      <w:r w:rsidR="00B03833" w:rsidRPr="00091600">
        <w:rPr>
          <w:lang w:val="en-AU"/>
        </w:rPr>
        <w:t>t</w:t>
      </w:r>
      <w:r w:rsidR="007039C3" w:rsidRPr="00091600">
        <w:rPr>
          <w:lang w:val="en-AU"/>
        </w:rPr>
        <w:t>here</w:t>
      </w:r>
      <w:r w:rsidRPr="00091600">
        <w:rPr>
          <w:lang w:val="en-AU"/>
        </w:rPr>
        <w:t xml:space="preserve"> is a growing evidence base that developmental leadership requires collective action—motivated individuals or organisations coming together, pooling their power to achieve shared developmental goals.</w:t>
      </w:r>
      <w:r w:rsidRPr="00091600">
        <w:rPr>
          <w:rStyle w:val="FootnoteReference"/>
          <w:lang w:val="en-AU"/>
        </w:rPr>
        <w:footnoteReference w:id="47"/>
      </w:r>
      <w:r w:rsidRPr="00091600">
        <w:rPr>
          <w:lang w:val="en-AU"/>
        </w:rPr>
        <w:t xml:space="preserve"> This is not the same as organising courses or outreach events with diverse stakeholders (as the Precinct is currently doing), but instead providing resources for coalitions to form and operate around specific policy issues or practical problems.</w:t>
      </w:r>
      <w:r w:rsidRPr="00091600">
        <w:rPr>
          <w:rStyle w:val="FootnoteReference"/>
          <w:lang w:val="en-AU"/>
        </w:rPr>
        <w:footnoteReference w:id="48"/>
      </w:r>
    </w:p>
    <w:p w:rsidR="000F4B57" w:rsidRPr="00091600" w:rsidRDefault="000F4B57" w:rsidP="000F4B57">
      <w:pPr>
        <w:pStyle w:val="BodyText"/>
        <w:rPr>
          <w:lang w:val="en-AU"/>
        </w:rPr>
      </w:pPr>
      <w:r w:rsidRPr="00091600">
        <w:rPr>
          <w:lang w:val="en-AU"/>
        </w:rPr>
        <w:t xml:space="preserve">To make the most of limited Precinct resources, it would be important to target resources to facilitate coalitions most likely to contribute to the desired improvement. Otherwise, the Precinct will continue to spread itself too thin across too many sectors/groups under this component. This is not the same as providing funding for small projects by course participants. Instead, the Precinct should identify relevant coalitions and facilitate their activities in a low-profile manner. This would require a change in the Precinct’s style, accepting a higher degree of risk (i.e. that some of these investments may not succeed) and more hands-off management. </w:t>
      </w:r>
    </w:p>
    <w:p w:rsidR="000F4B57" w:rsidRPr="00091600" w:rsidRDefault="000F4B57" w:rsidP="006A2786">
      <w:pPr>
        <w:pStyle w:val="Heading4"/>
        <w:rPr>
          <w:lang w:val="en-AU"/>
        </w:rPr>
      </w:pPr>
      <w:r w:rsidRPr="006A2786">
        <w:t>Opportunities</w:t>
      </w:r>
    </w:p>
    <w:p w:rsidR="000F4B57" w:rsidRPr="00091600" w:rsidRDefault="000F4B57" w:rsidP="000F4B57">
      <w:pPr>
        <w:pStyle w:val="BodyText"/>
        <w:rPr>
          <w:lang w:val="en-AU"/>
        </w:rPr>
      </w:pPr>
      <w:r w:rsidRPr="00091600">
        <w:rPr>
          <w:lang w:val="en-AU"/>
        </w:rPr>
        <w:t>Our consultations with Precinct program beneficiaries, both in Waigani and Kokopo, confirmed the demand for additional support to complement Precinct training courses.</w:t>
      </w:r>
    </w:p>
    <w:p w:rsidR="000F4B57" w:rsidRPr="00091600" w:rsidRDefault="000F4B57" w:rsidP="000F4B57">
      <w:pPr>
        <w:pStyle w:val="BodyText"/>
        <w:rPr>
          <w:lang w:val="en-AU"/>
        </w:rPr>
      </w:pPr>
      <w:r w:rsidRPr="001422B3">
        <w:rPr>
          <w:rFonts w:ascii="Roboto" w:hAnsi="Roboto"/>
          <w:b/>
          <w:lang w:val="en-AU"/>
        </w:rPr>
        <w:t>Planning for return to work</w:t>
      </w:r>
      <w:r w:rsidR="00B03833" w:rsidRPr="006A2786">
        <w:rPr>
          <w:rFonts w:ascii="Roboto" w:hAnsi="Roboto"/>
          <w:lang w:val="en-AU"/>
        </w:rPr>
        <w:t>:</w:t>
      </w:r>
      <w:r w:rsidR="00E87EC6" w:rsidRPr="00091600">
        <w:rPr>
          <w:lang w:val="en-AU"/>
        </w:rPr>
        <w:t xml:space="preserve"> </w:t>
      </w:r>
      <w:r w:rsidR="00B03833" w:rsidRPr="00091600">
        <w:rPr>
          <w:lang w:val="en-AU"/>
        </w:rPr>
        <w:t>t</w:t>
      </w:r>
      <w:r w:rsidR="00E87EC6" w:rsidRPr="00091600">
        <w:rPr>
          <w:lang w:val="en-AU"/>
        </w:rPr>
        <w:t>his</w:t>
      </w:r>
      <w:r w:rsidRPr="00091600">
        <w:rPr>
          <w:lang w:val="en-AU"/>
        </w:rPr>
        <w:t xml:space="preserve"> would involve course participants’ managers/supervisors from the start. Managers should not only assess participants’ performance on return but also give space and authority to the beneficiaries to use their skills. Options include a compulsory presentation to beneficiaries’ teams on return so they can share their learning; ‘reintegration workshops’ after a course is completed; or sequencing the training so managers do it first, followed by their teams at lower levels. A team approach could have a greater chance of addressing specific issues within an organisation (e.g. </w:t>
      </w:r>
      <w:r w:rsidR="00E87EC6" w:rsidRPr="00091600">
        <w:rPr>
          <w:lang w:val="en-AU"/>
        </w:rPr>
        <w:t>improv</w:t>
      </w:r>
      <w:r w:rsidR="00B03833" w:rsidRPr="00091600">
        <w:rPr>
          <w:lang w:val="en-AU"/>
        </w:rPr>
        <w:t>ing</w:t>
      </w:r>
      <w:r w:rsidRPr="00091600">
        <w:rPr>
          <w:lang w:val="en-AU"/>
        </w:rPr>
        <w:t xml:space="preserve"> an aspect of policymaking or service delivery).</w:t>
      </w:r>
    </w:p>
    <w:p w:rsidR="000F4B57" w:rsidRPr="00091600" w:rsidRDefault="000F4B57" w:rsidP="000F4B57">
      <w:pPr>
        <w:pStyle w:val="BodyText"/>
        <w:rPr>
          <w:lang w:val="en-AU"/>
        </w:rPr>
      </w:pPr>
      <w:r w:rsidRPr="001422B3">
        <w:rPr>
          <w:rFonts w:ascii="Roboto" w:hAnsi="Roboto"/>
          <w:b/>
          <w:lang w:val="en-AU"/>
        </w:rPr>
        <w:t>Precinct alumni networks</w:t>
      </w:r>
      <w:r w:rsidR="00B03833" w:rsidRPr="006A2786">
        <w:rPr>
          <w:rFonts w:ascii="Roboto" w:hAnsi="Roboto"/>
          <w:lang w:val="en-AU"/>
        </w:rPr>
        <w:t>:</w:t>
      </w:r>
      <w:r w:rsidRPr="00091600">
        <w:rPr>
          <w:lang w:val="en-AU"/>
        </w:rPr>
        <w:t xml:space="preserve"> so that public servants who have participated in similar courses can continue to collaborate and motivate one another. The public servants stakeholders we interviewed did not wish for the network to be merged with existing program (such as the Australian Awards alumni network), as they felt the Precinct ethical leadership and public service agenda was distinct.</w:t>
      </w:r>
    </w:p>
    <w:p w:rsidR="000F4B57" w:rsidRPr="00091600" w:rsidRDefault="000F4B57" w:rsidP="000F4B57">
      <w:pPr>
        <w:pStyle w:val="BodyText"/>
        <w:rPr>
          <w:rFonts w:cstheme="minorHAnsi"/>
          <w:lang w:val="en-AU"/>
        </w:rPr>
      </w:pPr>
      <w:r w:rsidRPr="001422B3">
        <w:rPr>
          <w:rFonts w:ascii="Roboto" w:hAnsi="Roboto"/>
          <w:b/>
          <w:lang w:val="en-AU"/>
        </w:rPr>
        <w:t>Coaching and mentoring programs</w:t>
      </w:r>
      <w:r w:rsidRPr="006A2786">
        <w:rPr>
          <w:rFonts w:ascii="Roboto" w:hAnsi="Roboto"/>
          <w:lang w:val="en-AU"/>
        </w:rPr>
        <w:t>:</w:t>
      </w:r>
      <w:r w:rsidRPr="00091600">
        <w:rPr>
          <w:lang w:val="en-AU"/>
        </w:rPr>
        <w:t xml:space="preserve"> for individual participants to complement courses. These would help beneficiaries identify and overcome challenges in the workplace, including to address gender equity and inclusion. They are established good practice in the leadership literature. UPNG could learn </w:t>
      </w:r>
      <w:r w:rsidRPr="00091600">
        <w:rPr>
          <w:rFonts w:cstheme="minorHAnsi"/>
          <w:lang w:val="en-AU"/>
        </w:rPr>
        <w:t xml:space="preserve">from the experiences that </w:t>
      </w:r>
      <w:r w:rsidRPr="00091600">
        <w:rPr>
          <w:lang w:val="en-AU"/>
        </w:rPr>
        <w:t>have</w:t>
      </w:r>
      <w:r w:rsidRPr="00091600">
        <w:rPr>
          <w:rFonts w:cstheme="minorHAnsi"/>
          <w:lang w:val="en-AU"/>
        </w:rPr>
        <w:t xml:space="preserve"> worked elsewhere in PNG, include Divine Word University (DWU) (see </w:t>
      </w:r>
      <w:r w:rsidR="00B03833" w:rsidRPr="00091600">
        <w:rPr>
          <w:rFonts w:cstheme="minorHAnsi"/>
          <w:lang w:val="en-AU"/>
        </w:rPr>
        <w:t>E</w:t>
      </w:r>
      <w:r w:rsidR="000720DB" w:rsidRPr="00091600">
        <w:rPr>
          <w:rFonts w:cstheme="minorHAnsi"/>
          <w:lang w:val="en-AU"/>
        </w:rPr>
        <w:t>vidence</w:t>
      </w:r>
      <w:r w:rsidRPr="00091600">
        <w:rPr>
          <w:rFonts w:cstheme="minorHAnsi"/>
          <w:lang w:val="en-AU"/>
        </w:rPr>
        <w:t xml:space="preserve"> Box 3).</w:t>
      </w:r>
    </w:p>
    <w:tbl>
      <w:tblPr>
        <w:tblStyle w:val="OPMBoxstyle"/>
        <w:tblW w:w="0" w:type="auto"/>
        <w:tblLook w:val="04A0" w:firstRow="1" w:lastRow="0" w:firstColumn="1" w:lastColumn="0" w:noHBand="0" w:noVBand="1"/>
        <w:tblCaption w:val="Evidence for the Precinct to consider 3 - developmental coachin and mentoring at DWU"/>
        <w:tblDescription w:val="In coaching and mentoring relationships, the coach/mentor facilitates the learning of the coachee/mentee by using their experience and knowledge. The approach can be more or less directive, with developmental approaches based on the coach/mentor crafting questions to help improve performance (coaching) or skills for personal and career development (mentoring). Clutterbuck and Megginson (2004) coined an acronym for what mentors do: they M—Manage the relationship; E—Encourage; N—Nurture; T—Teach; O—Offer mutual respect; and R—Respond to the learner’s needs."/>
      </w:tblPr>
      <w:tblGrid>
        <w:gridCol w:w="9730"/>
      </w:tblGrid>
      <w:tr w:rsidR="001A2B13" w:rsidRPr="00091600" w:rsidTr="00CE4AA6">
        <w:trPr>
          <w:cnfStyle w:val="100000000000" w:firstRow="1" w:lastRow="0" w:firstColumn="0" w:lastColumn="0" w:oddVBand="0" w:evenVBand="0" w:oddHBand="0" w:evenHBand="0" w:firstRowFirstColumn="0" w:firstRowLastColumn="0" w:lastRowFirstColumn="0" w:lastRowLastColumn="0"/>
          <w:trHeight w:val="507"/>
          <w:tblHeader/>
        </w:trPr>
        <w:tc>
          <w:tcPr>
            <w:tcW w:w="9730" w:type="dxa"/>
          </w:tcPr>
          <w:p w:rsidR="001A2B13" w:rsidRPr="006A2786" w:rsidRDefault="001A2B13" w:rsidP="006A2786">
            <w:pPr>
              <w:pStyle w:val="Boxcaption"/>
            </w:pPr>
            <w:r w:rsidRPr="006A2786">
              <w:t xml:space="preserve">Box </w:t>
            </w:r>
            <w:r w:rsidRPr="006A2786">
              <w:fldChar w:fldCharType="begin"/>
            </w:r>
            <w:r w:rsidRPr="006A2786">
              <w:instrText xml:space="preserve"> SEQ Box \* ARABIC </w:instrText>
            </w:r>
            <w:r w:rsidRPr="006A2786">
              <w:fldChar w:fldCharType="separate"/>
            </w:r>
            <w:r w:rsidR="004964E9">
              <w:rPr>
                <w:noProof/>
              </w:rPr>
              <w:t>4</w:t>
            </w:r>
            <w:r w:rsidRPr="006A2786">
              <w:fldChar w:fldCharType="end"/>
            </w:r>
            <w:r w:rsidRPr="006A2786">
              <w:t>:</w:t>
            </w:r>
            <w:r w:rsidRPr="006A2786">
              <w:tab/>
              <w:t>Evidence for the Precinct to consider 3</w:t>
            </w:r>
            <w:r w:rsidR="001A39C5">
              <w:t xml:space="preserve"> – </w:t>
            </w:r>
            <w:r w:rsidRPr="001A39C5">
              <w:rPr>
                <w:b w:val="0"/>
              </w:rPr>
              <w:t>developmental coaching and mentoring at DWU</w:t>
            </w:r>
          </w:p>
        </w:tc>
      </w:tr>
      <w:tr w:rsidR="000F4B57" w:rsidRPr="00091600" w:rsidTr="00013D3C">
        <w:tc>
          <w:tcPr>
            <w:tcW w:w="0" w:type="dxa"/>
            <w:tcBorders>
              <w:top w:val="single" w:sz="4" w:space="0" w:color="45A7E1" w:themeColor="accent1"/>
              <w:bottom w:val="single" w:sz="4" w:space="0" w:color="45A7E1" w:themeColor="accent1"/>
            </w:tcBorders>
          </w:tcPr>
          <w:p w:rsidR="000F4B57" w:rsidRPr="00091600" w:rsidRDefault="000F4B57" w:rsidP="00013D3C">
            <w:pPr>
              <w:pStyle w:val="Boxtext"/>
              <w:rPr>
                <w:rFonts w:ascii="Roboto Light" w:hAnsi="Roboto Light"/>
              </w:rPr>
            </w:pPr>
            <w:r w:rsidRPr="00091600">
              <w:rPr>
                <w:rFonts w:ascii="Roboto Light" w:hAnsi="Roboto Light"/>
              </w:rPr>
              <w:t>In coaching and mentoring relationships, the coach/mentor facilitates the learning of the coachee/mentee by using their experience and knowledge. The approach can be more or less directive, with developmental approaches based on the coach/mentor crafting questions to help improve performance (coaching) or skills for personal and career development (mentoring). Clutterbuck and Megginson (2004) coined an acronym for what mentors do: they M—Manage the relationship; E—Encourage; N—Nurture; T—Teach; O—Offer mutual respect; and R—Respond to the learner’s needs.</w:t>
            </w:r>
          </w:p>
          <w:bookmarkStart w:id="81" w:name="_Toc536627418"/>
          <w:bookmarkStart w:id="82" w:name="_Toc536627429"/>
          <w:p w:rsidR="000F4B57" w:rsidRPr="00091600" w:rsidRDefault="00A230D7" w:rsidP="00013D3C">
            <w:pPr>
              <w:pStyle w:val="Boxtext"/>
              <w:rPr>
                <w:rFonts w:ascii="Roboto Light" w:hAnsi="Roboto Light"/>
              </w:rPr>
            </w:pPr>
            <w:r w:rsidRPr="00091600">
              <w:rPr>
                <w:rFonts w:ascii="Roboto Light" w:hAnsi="Roboto Light"/>
                <w:noProof/>
                <w:lang w:val="en-AU" w:eastAsia="en-AU"/>
              </w:rPr>
              <mc:AlternateContent>
                <mc:Choice Requires="wps">
                  <w:drawing>
                    <wp:anchor distT="0" distB="0" distL="114300" distR="114300" simplePos="0" relativeHeight="251412480" behindDoc="0" locked="0" layoutInCell="1" allowOverlap="1" wp14:anchorId="0958511A" wp14:editId="4E11D768">
                      <wp:simplePos x="0" y="0"/>
                      <wp:positionH relativeFrom="column">
                        <wp:posOffset>-46355</wp:posOffset>
                      </wp:positionH>
                      <wp:positionV relativeFrom="paragraph">
                        <wp:posOffset>126365</wp:posOffset>
                      </wp:positionV>
                      <wp:extent cx="2938145" cy="285750"/>
                      <wp:effectExtent l="0" t="0" r="14605" b="0"/>
                      <wp:wrapSquare wrapText="bothSides"/>
                      <wp:docPr id="44" name="Text Box 4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38145" cy="285750"/>
                              </a:xfrm>
                              <a:prstGeom prst="rect">
                                <a:avLst/>
                              </a:prstGeom>
                              <a:noFill/>
                              <a:ln>
                                <a:noFill/>
                              </a:ln>
                            </wps:spPr>
                            <wps:txbx>
                              <w:txbxContent>
                                <w:p w:rsidR="00166A4C" w:rsidRPr="00013D3C" w:rsidRDefault="00166A4C" w:rsidP="00013D3C">
                                  <w:pPr>
                                    <w:pStyle w:val="Caption"/>
                                    <w:jc w:val="center"/>
                                    <w:rPr>
                                      <w:noProof/>
                                      <w:sz w:val="14"/>
                                    </w:rPr>
                                  </w:pPr>
                                  <w:bookmarkStart w:id="83" w:name="_Toc1566614"/>
                                  <w:bookmarkStart w:id="84" w:name="_Toc2089251"/>
                                  <w:r w:rsidRPr="00013D3C">
                                    <w:rPr>
                                      <w:sz w:val="16"/>
                                    </w:rPr>
                                    <w:t xml:space="preserve">Figure </w:t>
                                  </w:r>
                                  <w:r>
                                    <w:rPr>
                                      <w:sz w:val="16"/>
                                    </w:rPr>
                                    <w:fldChar w:fldCharType="begin"/>
                                  </w:r>
                                  <w:r>
                                    <w:rPr>
                                      <w:sz w:val="16"/>
                                    </w:rPr>
                                    <w:instrText xml:space="preserve"> SEQ Figure \* ARABIC </w:instrText>
                                  </w:r>
                                  <w:r>
                                    <w:rPr>
                                      <w:sz w:val="16"/>
                                    </w:rPr>
                                    <w:fldChar w:fldCharType="separate"/>
                                  </w:r>
                                  <w:r>
                                    <w:rPr>
                                      <w:noProof/>
                                      <w:sz w:val="16"/>
                                    </w:rPr>
                                    <w:t>7</w:t>
                                  </w:r>
                                  <w:r>
                                    <w:rPr>
                                      <w:sz w:val="16"/>
                                    </w:rPr>
                                    <w:fldChar w:fldCharType="end"/>
                                  </w:r>
                                  <w:r>
                                    <w:rPr>
                                      <w:sz w:val="16"/>
                                    </w:rPr>
                                    <w:t xml:space="preserve">:   </w:t>
                                  </w:r>
                                  <w:r w:rsidRPr="00013D3C">
                                    <w:rPr>
                                      <w:sz w:val="16"/>
                                    </w:rPr>
                                    <w:t xml:space="preserve"> Diagram showing the link between developmental mentoring and coaching</w:t>
                                  </w:r>
                                  <w:bookmarkEnd w:id="83"/>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58511A" id="Text Box 44" o:spid="_x0000_s1030" type="#_x0000_t202" style="position:absolute;margin-left:-3.65pt;margin-top:9.95pt;width:231.35pt;height:22.5pt;z-index:25141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" filled="f" stroked="f">
                      <v:textbox inset="0,0,0,0">
                        <w:txbxContent>
                          <w:p w:rsidR="00166A4C" w:rsidRPr="00013D3C" w:rsidRDefault="00166A4C" w:rsidP="00013D3C">
                            <w:pPr>
                              <w:pStyle w:val="Caption"/>
                              <w:jc w:val="center"/>
                              <w:rPr>
                                <w:noProof/>
                                <w:sz w:val="14"/>
                              </w:rPr>
                            </w:pPr>
                            <w:bookmarkStart w:id="88" w:name="_Toc1566614"/>
                            <w:bookmarkStart w:id="89" w:name="_Toc2089251"/>
                            <w:r w:rsidRPr="00013D3C">
                              <w:rPr>
                                <w:sz w:val="16"/>
                              </w:rPr>
                              <w:t xml:space="preserve">Figure </w:t>
                            </w:r>
                            <w:r>
                              <w:rPr>
                                <w:sz w:val="16"/>
                              </w:rPr>
                              <w:fldChar w:fldCharType="begin"/>
                            </w:r>
                            <w:r>
                              <w:rPr>
                                <w:sz w:val="16"/>
                              </w:rPr>
                              <w:instrText xml:space="preserve"> SEQ Figure \* ARABIC </w:instrText>
                            </w:r>
                            <w:r>
                              <w:rPr>
                                <w:sz w:val="16"/>
                              </w:rPr>
                              <w:fldChar w:fldCharType="separate"/>
                            </w:r>
                            <w:r>
                              <w:rPr>
                                <w:noProof/>
                                <w:sz w:val="16"/>
                              </w:rPr>
                              <w:t>7</w:t>
                            </w:r>
                            <w:r>
                              <w:rPr>
                                <w:sz w:val="16"/>
                              </w:rPr>
                              <w:fldChar w:fldCharType="end"/>
                            </w:r>
                            <w:r>
                              <w:rPr>
                                <w:sz w:val="16"/>
                              </w:rPr>
                              <w:t xml:space="preserve">:   </w:t>
                            </w:r>
                            <w:r w:rsidRPr="00013D3C">
                              <w:rPr>
                                <w:sz w:val="16"/>
                              </w:rPr>
                              <w:t xml:space="preserve"> Diagram showing the link between developmental mentoring and coaching</w:t>
                            </w:r>
                            <w:bookmarkEnd w:id="88"/>
                            <w:bookmarkEnd w:id="89"/>
                          </w:p>
                        </w:txbxContent>
                      </v:textbox>
                      <w10:wrap type="square"/>
                    </v:shape>
                  </w:pict>
                </mc:Fallback>
              </mc:AlternateContent>
            </w:r>
            <w:r w:rsidR="00306193" w:rsidRPr="00091600">
              <w:rPr>
                <w:rFonts w:ascii="Roboto Light" w:hAnsi="Roboto Light"/>
                <w:noProof/>
                <w:lang w:val="en-AU" w:eastAsia="en-AU"/>
              </w:rPr>
              <w:drawing>
                <wp:anchor distT="0" distB="504190" distL="114300" distR="114300" simplePos="0" relativeHeight="251395072" behindDoc="0" locked="0" layoutInCell="1" allowOverlap="1" wp14:anchorId="4EA5D554" wp14:editId="7A1362A9">
                  <wp:simplePos x="0" y="0"/>
                  <wp:positionH relativeFrom="column">
                    <wp:posOffset>-5080</wp:posOffset>
                  </wp:positionH>
                  <wp:positionV relativeFrom="paragraph">
                    <wp:posOffset>556260</wp:posOffset>
                  </wp:positionV>
                  <wp:extent cx="2937600" cy="1951200"/>
                  <wp:effectExtent l="0" t="0" r="0" b="0"/>
                  <wp:wrapSquare wrapText="bothSides"/>
                  <wp:docPr id="40" name="Picture 40" descr="At the centre of this diagram is personal development. Sponsorship mentoring is between directive influence and career. Developmental mentoring is between career and non-directive influence. Developmental coaching is between non-directive influence and performance. Traditional coaching is between directive influence and performance. " title="Diagram showing the link between developmental mentoring and coachin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entoring no background.png"/>
                          <pic:cNvPicPr/>
                        </pic:nvPicPr>
                        <pic:blipFill>
                          <a:blip r:embed="rId28">
                            <a:extLst>
                              <a:ext uri="{28A0092B-C50C-407E-A947-70E740481C1C}">
                                <a14:useLocalDpi xmlns:a14="http://schemas.microsoft.com/office/drawing/2010/main" val="0"/>
                              </a:ext>
                            </a:extLst>
                          </a:blip>
                          <a:stretch>
                            <a:fillRect/>
                          </a:stretch>
                        </pic:blipFill>
                        <pic:spPr>
                          <a:xfrm>
                            <a:off x="0" y="0"/>
                            <a:ext cx="2937600" cy="1951200"/>
                          </a:xfrm>
                          <a:prstGeom prst="rect">
                            <a:avLst/>
                          </a:prstGeom>
                        </pic:spPr>
                      </pic:pic>
                    </a:graphicData>
                  </a:graphic>
                  <wp14:sizeRelH relativeFrom="margin">
                    <wp14:pctWidth>0</wp14:pctWidth>
                  </wp14:sizeRelH>
                  <wp14:sizeRelV relativeFrom="margin">
                    <wp14:pctHeight>0</wp14:pctHeight>
                  </wp14:sizeRelV>
                </wp:anchor>
              </w:drawing>
            </w:r>
            <w:bookmarkEnd w:id="81"/>
            <w:bookmarkEnd w:id="82"/>
            <w:r w:rsidR="00306193">
              <w:rPr>
                <w:rFonts w:ascii="Roboto Light" w:hAnsi="Roboto Light"/>
              </w:rPr>
              <w:t>Divine Word University (</w:t>
            </w:r>
            <w:r w:rsidR="000F4B57" w:rsidRPr="00091600">
              <w:rPr>
                <w:rFonts w:ascii="Roboto Light" w:hAnsi="Roboto Light"/>
              </w:rPr>
              <w:t>DWU</w:t>
            </w:r>
            <w:r w:rsidR="00306193">
              <w:rPr>
                <w:rFonts w:ascii="Roboto Light" w:hAnsi="Roboto Light"/>
              </w:rPr>
              <w:t>)</w:t>
            </w:r>
            <w:r w:rsidR="000F4B57" w:rsidRPr="00091600">
              <w:rPr>
                <w:rFonts w:ascii="Roboto Light" w:hAnsi="Roboto Light"/>
              </w:rPr>
              <w:t xml:space="preserve"> provides good examples of academic mentoring in a PNG context. An individual or team of junior staff are assigned to work alongside senior staff at professorial level. The mentor shares their expertise in any of the pillars of teaching and learning, research, or in community engagement activities. Junior staff maintain logs or records of what they have done over the semester and report the outcomes in their annual performance appraisals. DWU gives awards for Excellence in Teaching and Learning, Research, and in Community Engagement. In the Department of Mathematics and Computing Science, junior national staff are mentored by a retired American DWU Emeritus Professor of Mathematics who has helped promote a research culture. A good number of his mentees have attended international conferences where they have presented papers and had their papers published. This has motivated them to continue to research and publish in their field. </w:t>
            </w:r>
          </w:p>
          <w:p w:rsidR="000F4B57" w:rsidRPr="006552BB" w:rsidRDefault="000F4B57" w:rsidP="00013D3C">
            <w:pPr>
              <w:pStyle w:val="BodyText"/>
              <w:spacing w:before="120" w:after="120"/>
              <w:rPr>
                <w:rFonts w:ascii="Roboto" w:hAnsi="Roboto"/>
                <w:sz w:val="18"/>
                <w:lang w:val="en-AU"/>
              </w:rPr>
            </w:pPr>
            <w:r w:rsidRPr="006552BB">
              <w:rPr>
                <w:rFonts w:ascii="Roboto" w:hAnsi="Roboto"/>
                <w:sz w:val="18"/>
                <w:lang w:val="en-AU"/>
              </w:rPr>
              <w:t>Sources</w:t>
            </w:r>
          </w:p>
          <w:p w:rsidR="000F4B57" w:rsidRPr="00091600" w:rsidRDefault="000F4B57" w:rsidP="00013D3C">
            <w:pPr>
              <w:pStyle w:val="Boxtext"/>
              <w:rPr>
                <w:rFonts w:ascii="Roboto Light" w:hAnsi="Roboto Light"/>
                <w:sz w:val="18"/>
                <w:lang w:val="en-AU"/>
              </w:rPr>
            </w:pPr>
            <w:r w:rsidRPr="00091600">
              <w:rPr>
                <w:rFonts w:ascii="Roboto Light" w:hAnsi="Roboto Light"/>
                <w:sz w:val="18"/>
                <w:lang w:val="en-AU"/>
              </w:rPr>
              <w:t>D. Clutterbuck and D. Megginson (2004) Techniques for coaching and mentoring, Routledge, Abingdon.</w:t>
            </w:r>
          </w:p>
          <w:p w:rsidR="000F4B57" w:rsidRPr="00091600" w:rsidRDefault="000F4B57" w:rsidP="00013D3C">
            <w:pPr>
              <w:pStyle w:val="Boxtext"/>
              <w:rPr>
                <w:rFonts w:ascii="Roboto Light" w:hAnsi="Roboto Light"/>
                <w:sz w:val="18"/>
                <w:lang w:val="en-AU"/>
              </w:rPr>
            </w:pPr>
            <w:r w:rsidRPr="00091600">
              <w:rPr>
                <w:rFonts w:ascii="Roboto Light" w:hAnsi="Roboto Light"/>
                <w:sz w:val="18"/>
                <w:lang w:val="en-AU"/>
              </w:rPr>
              <w:t>N. Lancer, D. Clutterbuck, and D. Megginson (2016) Techniques for coaching and mentoring, 2</w:t>
            </w:r>
            <w:r w:rsidRPr="00091600">
              <w:rPr>
                <w:rFonts w:ascii="Roboto Light" w:hAnsi="Roboto Light"/>
                <w:sz w:val="18"/>
                <w:vertAlign w:val="superscript"/>
                <w:lang w:val="en-AU"/>
              </w:rPr>
              <w:t>nd</w:t>
            </w:r>
            <w:r w:rsidRPr="00091600">
              <w:rPr>
                <w:rFonts w:ascii="Roboto Light" w:hAnsi="Roboto Light"/>
                <w:sz w:val="18"/>
                <w:lang w:val="en-AU"/>
              </w:rPr>
              <w:t xml:space="preserve"> ed., Routledge, Abingdon.</w:t>
            </w:r>
          </w:p>
          <w:p w:rsidR="000F4B57" w:rsidRPr="00091600" w:rsidRDefault="000F4B57" w:rsidP="00013D3C">
            <w:pPr>
              <w:pStyle w:val="Boxtext"/>
              <w:rPr>
                <w:rFonts w:ascii="Roboto Light" w:hAnsi="Roboto Light"/>
                <w:sz w:val="22"/>
                <w:lang w:val="en-AU"/>
              </w:rPr>
            </w:pPr>
            <w:r w:rsidRPr="00091600">
              <w:rPr>
                <w:rFonts w:ascii="Roboto Light" w:hAnsi="Roboto Light"/>
                <w:sz w:val="18"/>
                <w:lang w:val="en-AU"/>
              </w:rPr>
              <w:t>R. Pask and B. Joy (2007) Mentoring-Coaching: A guide for education professionals, Open University Press</w:t>
            </w:r>
          </w:p>
        </w:tc>
      </w:tr>
    </w:tbl>
    <w:p w:rsidR="000F4B57" w:rsidRPr="00091600" w:rsidRDefault="000F4B57" w:rsidP="000F4B57">
      <w:pPr>
        <w:pStyle w:val="BodyText"/>
        <w:rPr>
          <w:lang w:val="en-AU"/>
        </w:rPr>
      </w:pPr>
    </w:p>
    <w:p w:rsidR="000F4B57" w:rsidRPr="00091600" w:rsidRDefault="000F4B57" w:rsidP="000F4B57">
      <w:pPr>
        <w:pStyle w:val="BodyText"/>
        <w:rPr>
          <w:lang w:val="en-AU"/>
        </w:rPr>
      </w:pPr>
      <w:r w:rsidRPr="001422B3">
        <w:rPr>
          <w:rFonts w:ascii="Roboto" w:hAnsi="Roboto"/>
          <w:b/>
          <w:lang w:val="en-AU"/>
        </w:rPr>
        <w:t>Additional training providers</w:t>
      </w:r>
      <w:r w:rsidR="00624AAE" w:rsidRPr="006A2786">
        <w:rPr>
          <w:rFonts w:ascii="Roboto" w:hAnsi="Roboto"/>
          <w:lang w:val="en-AU"/>
        </w:rPr>
        <w:t>:</w:t>
      </w:r>
      <w:r w:rsidR="00574E23" w:rsidRPr="00091600">
        <w:rPr>
          <w:lang w:val="en-AU"/>
        </w:rPr>
        <w:t xml:space="preserve"> </w:t>
      </w:r>
      <w:r w:rsidR="00624AAE" w:rsidRPr="00091600">
        <w:rPr>
          <w:lang w:val="en-AU"/>
        </w:rPr>
        <w:t>these</w:t>
      </w:r>
      <w:r w:rsidRPr="00091600">
        <w:rPr>
          <w:lang w:val="en-AU"/>
        </w:rPr>
        <w:t xml:space="preserve"> were mentioned in most interviews. While SBPP, PILAG, ANU, UQ, and APSC/CIT Solutions were valued, stakeholders identified a wide range of additional vocational or academic training providers which could help the Precinct deliver its goal. This included other PNG universities (such as DWU, which under another Australian-funded program delivers undergraduate and graduate degree courses to civil servants for DPM); the emerging private sector coaching and leadership industry; internal or external training program by large PNG-based firms (in the mining or shipping industry); and other accredited training providers (e.g. on project management or accountancy). Stakeholders valued partnerships with Australian academics and organisations but were also interested in opportunities to learn from further afield, from other developing or Commonwealth countries with shared challenges.</w:t>
      </w:r>
    </w:p>
    <w:p w:rsidR="000F4B57" w:rsidRPr="00091600" w:rsidRDefault="000F4B57" w:rsidP="000F4B57">
      <w:pPr>
        <w:pStyle w:val="BodyText"/>
        <w:rPr>
          <w:lang w:val="en-AU"/>
        </w:rPr>
      </w:pPr>
      <w:r w:rsidRPr="001422B3">
        <w:rPr>
          <w:rFonts w:ascii="Roboto" w:hAnsi="Roboto"/>
          <w:b/>
          <w:lang w:val="en-AU"/>
        </w:rPr>
        <w:t>Public service reform</w:t>
      </w:r>
      <w:r w:rsidRPr="006A2786">
        <w:rPr>
          <w:rFonts w:ascii="Roboto" w:hAnsi="Roboto"/>
          <w:lang w:val="en-AU"/>
        </w:rPr>
        <w:t>:</w:t>
      </w:r>
      <w:r w:rsidRPr="00091600">
        <w:rPr>
          <w:lang w:val="en-AU"/>
        </w:rPr>
        <w:t xml:space="preserve"> </w:t>
      </w:r>
      <w:r w:rsidR="00044275" w:rsidRPr="00091600">
        <w:rPr>
          <w:lang w:val="en-AU"/>
        </w:rPr>
        <w:t>t</w:t>
      </w:r>
      <w:r w:rsidR="00BE536C" w:rsidRPr="00091600">
        <w:rPr>
          <w:lang w:val="en-AU"/>
        </w:rPr>
        <w:t>he</w:t>
      </w:r>
      <w:r w:rsidRPr="00091600">
        <w:rPr>
          <w:lang w:val="en-AU"/>
        </w:rPr>
        <w:t xml:space="preserve"> Strategic Review </w:t>
      </w:r>
      <w:r w:rsidR="00CF45C5" w:rsidRPr="00091600">
        <w:rPr>
          <w:lang w:val="en-AU"/>
        </w:rPr>
        <w:t>t</w:t>
      </w:r>
      <w:r w:rsidR="00776AAF" w:rsidRPr="00091600">
        <w:rPr>
          <w:lang w:val="en-AU"/>
        </w:rPr>
        <w:t>eam</w:t>
      </w:r>
      <w:r w:rsidRPr="00091600">
        <w:rPr>
          <w:lang w:val="en-AU"/>
        </w:rPr>
        <w:t xml:space="preserve"> was asked whether there were opportunities to augment current Precinct activities to enhance the implementation of specific public sector reforms. During the team’s mission in July 2018, the Public Service Minister announced a series of measures to reduce the cost of the public service (e.g. identify ghost workers) and improve efficiencies (e.g. performance management).</w:t>
      </w:r>
    </w:p>
    <w:p w:rsidR="000F4B57" w:rsidRPr="00091600" w:rsidRDefault="000F4B57" w:rsidP="000F4B57">
      <w:pPr>
        <w:pStyle w:val="BodyText"/>
        <w:rPr>
          <w:lang w:val="en-AU"/>
        </w:rPr>
      </w:pPr>
      <w:r w:rsidRPr="00091600">
        <w:rPr>
          <w:lang w:val="en-AU"/>
        </w:rPr>
        <w:t xml:space="preserve">Our assessment is that </w:t>
      </w:r>
      <w:r w:rsidR="00E451C4">
        <w:rPr>
          <w:lang w:val="en-AU"/>
        </w:rPr>
        <w:t xml:space="preserve">a new Precinct activity to support </w:t>
      </w:r>
      <w:r w:rsidRPr="00091600">
        <w:rPr>
          <w:lang w:val="en-AU"/>
        </w:rPr>
        <w:t xml:space="preserve">a major public sector reform initiative is not a realistic prospect at present. </w:t>
      </w:r>
      <w:r w:rsidR="002919FD">
        <w:rPr>
          <w:lang w:val="en-AU"/>
        </w:rPr>
        <w:t>Precinct support for t</w:t>
      </w:r>
      <w:r w:rsidRPr="00091600">
        <w:rPr>
          <w:lang w:val="en-AU"/>
        </w:rPr>
        <w:t>argeted measures with genuine political support could make a difference (e.g.</w:t>
      </w:r>
      <w:r w:rsidRPr="00091600">
        <w:rPr>
          <w:rFonts w:cstheme="minorHAnsi"/>
          <w:lang w:val="en-AU"/>
        </w:rPr>
        <w:t xml:space="preserve"> with systems and procedures needed to incentivise good performance of trained staff to deliver specific objectives, such as specific service delivery improvements)</w:t>
      </w:r>
      <w:r w:rsidRPr="00091600">
        <w:rPr>
          <w:lang w:val="en-AU"/>
        </w:rPr>
        <w:t>. The evidence from the literature is that it can be more effective to focus on locally-defined problems in a flexible and iterative approach</w:t>
      </w:r>
      <w:r w:rsidRPr="00091600">
        <w:rPr>
          <w:rStyle w:val="FootnoteReference"/>
          <w:lang w:val="en-AU"/>
        </w:rPr>
        <w:footnoteReference w:id="49"/>
      </w:r>
      <w:r w:rsidRPr="00091600">
        <w:rPr>
          <w:lang w:val="en-AU"/>
        </w:rPr>
        <w:t xml:space="preserve"> and with reform-minded individuals in targeted organisations.</w:t>
      </w:r>
      <w:r w:rsidRPr="00091600">
        <w:rPr>
          <w:rStyle w:val="FootnoteReference"/>
          <w:lang w:val="en-AU"/>
        </w:rPr>
        <w:footnoteReference w:id="50"/>
      </w:r>
      <w:r w:rsidRPr="00091600">
        <w:rPr>
          <w:lang w:val="en-AU"/>
        </w:rPr>
        <w:t xml:space="preserve"> A more rigorous political economy analysis of incentives in the public sector would be able to identify where change is most likely to succeed in which part of the public sector or decentralised levels in different regions. The Precinct should stand ready to support the introduction of new systems and accountability </w:t>
      </w:r>
      <w:r w:rsidR="00776AAF" w:rsidRPr="00091600">
        <w:rPr>
          <w:lang w:val="en-AU"/>
        </w:rPr>
        <w:t>measures (as envisaged</w:t>
      </w:r>
      <w:r w:rsidR="009F04B7" w:rsidRPr="00091600">
        <w:rPr>
          <w:lang w:val="en-AU"/>
        </w:rPr>
        <w:t xml:space="preserve"> in the 2017 Abt Management </w:t>
      </w:r>
      <w:r w:rsidR="00776AAF" w:rsidRPr="00091600">
        <w:rPr>
          <w:lang w:val="en-AU"/>
        </w:rPr>
        <w:t>Service Order)</w:t>
      </w:r>
      <w:r w:rsidR="00430679" w:rsidRPr="00091600">
        <w:rPr>
          <w:lang w:val="en-AU"/>
        </w:rPr>
        <w:t>, and</w:t>
      </w:r>
      <w:r w:rsidRPr="00091600">
        <w:rPr>
          <w:lang w:val="en-AU"/>
        </w:rPr>
        <w:t xml:space="preserve"> not consider this beyond its mandate. This could also be managed from another part of the Governance Partnership and/or complement APSC’s collaboration with DPM.</w:t>
      </w:r>
    </w:p>
    <w:p w:rsidR="000F4B57" w:rsidRPr="00091600" w:rsidRDefault="000F4B57" w:rsidP="006A2786">
      <w:pPr>
        <w:pStyle w:val="Recommendationthing"/>
      </w:pPr>
      <w:r w:rsidRPr="00091600">
        <w:t>Pathways recommendations</w:t>
      </w:r>
    </w:p>
    <w:p w:rsidR="000F4B57" w:rsidRPr="00091600" w:rsidRDefault="00B70C80">
      <w:pPr>
        <w:pStyle w:val="BodyText"/>
        <w:rPr>
          <w:lang w:val="en-AU"/>
        </w:rPr>
      </w:pPr>
      <w:r w:rsidRPr="00091600">
        <w:rPr>
          <w:rStyle w:val="RecommendationthingChar"/>
          <w:rFonts w:ascii="Roboto Light" w:hAnsi="Roboto Light"/>
          <w:color w:val="45A7E1" w:themeColor="accent1"/>
        </w:rPr>
        <w:sym w:font="Wingdings" w:char="F06E"/>
      </w:r>
      <w:r w:rsidRPr="00091600">
        <w:rPr>
          <w:rStyle w:val="RecommendationthingChar"/>
          <w:rFonts w:ascii="Roboto Light" w:hAnsi="Roboto Light"/>
          <w:color w:val="45A7E1" w:themeColor="accent1"/>
        </w:rPr>
        <w:t xml:space="preserve"> </w:t>
      </w:r>
      <w:r w:rsidR="000F4B57" w:rsidRPr="006A2786">
        <w:rPr>
          <w:rStyle w:val="RecommendationthingChar"/>
          <w:rFonts w:ascii="Poppins ExtraBold" w:hAnsi="Poppins ExtraBold" w:cs="Poppins ExtraBold"/>
        </w:rPr>
        <w:t>R8</w:t>
      </w:r>
      <w:r w:rsidR="000F4B57" w:rsidRPr="006A2786">
        <w:rPr>
          <w:rFonts w:ascii="Poppins ExtraBold" w:hAnsi="Poppins ExtraBold" w:cs="Poppins ExtraBold"/>
          <w:lang w:val="en-AU"/>
        </w:rPr>
        <w:t xml:space="preserve"> </w:t>
      </w:r>
      <w:r w:rsidR="000F4B57" w:rsidRPr="00091600">
        <w:rPr>
          <w:lang w:val="en-AU"/>
        </w:rPr>
        <w:t xml:space="preserve">(to DPM, PILAG, and DFAT/AHC): </w:t>
      </w:r>
      <w:r w:rsidR="00454F04" w:rsidRPr="00091600">
        <w:rPr>
          <w:lang w:val="en-AU"/>
        </w:rPr>
        <w:t>d</w:t>
      </w:r>
      <w:r w:rsidR="00D346FD" w:rsidRPr="00091600">
        <w:rPr>
          <w:lang w:val="en-AU"/>
        </w:rPr>
        <w:t>esign</w:t>
      </w:r>
      <w:r w:rsidR="000F4B57" w:rsidRPr="00091600">
        <w:rPr>
          <w:lang w:val="en-AU"/>
        </w:rPr>
        <w:t xml:space="preserve"> and fund the range of activities essential to complement individual training so that Precinct courses and events participants (from the public sector, the private sector, or civil society) are supported once they return to their workplaces: involve managers from the start, and implement already planned alumni networks, as well as coaching and mentoring schemes (by</w:t>
      </w:r>
      <w:r w:rsidR="00D1102B" w:rsidRPr="00091600">
        <w:rPr>
          <w:lang w:val="en-AU"/>
        </w:rPr>
        <w:t xml:space="preserve"> </w:t>
      </w:r>
      <w:r w:rsidR="000F4B57" w:rsidRPr="00091600">
        <w:rPr>
          <w:lang w:val="en-AU"/>
        </w:rPr>
        <w:t xml:space="preserve"> June 2018).</w:t>
      </w:r>
    </w:p>
    <w:p w:rsidR="000F4B57" w:rsidRPr="00091600" w:rsidRDefault="00B70C80">
      <w:pPr>
        <w:pStyle w:val="BodyText"/>
        <w:rPr>
          <w:lang w:val="en-AU"/>
        </w:rPr>
      </w:pPr>
      <w:r w:rsidRPr="00091600">
        <w:rPr>
          <w:rStyle w:val="RecommendationthingChar"/>
          <w:rFonts w:ascii="Roboto Light" w:hAnsi="Roboto Light"/>
          <w:color w:val="45A7E1" w:themeColor="accent1"/>
        </w:rPr>
        <w:sym w:font="Wingdings" w:char="F06E"/>
      </w:r>
      <w:r w:rsidRPr="00091600">
        <w:rPr>
          <w:rStyle w:val="RecommendationthingChar"/>
          <w:rFonts w:ascii="Roboto Light" w:hAnsi="Roboto Light"/>
          <w:color w:val="45A7E1" w:themeColor="accent1"/>
        </w:rPr>
        <w:t xml:space="preserve"> </w:t>
      </w:r>
      <w:r w:rsidR="000F4B57" w:rsidRPr="006A2786">
        <w:rPr>
          <w:rStyle w:val="RecommendationthingChar"/>
          <w:rFonts w:ascii="Poppins ExtraBold" w:hAnsi="Poppins ExtraBold" w:cs="Poppins ExtraBold"/>
        </w:rPr>
        <w:t>R9</w:t>
      </w:r>
      <w:r w:rsidR="000F4B57" w:rsidRPr="00091600">
        <w:rPr>
          <w:lang w:val="en-AU"/>
        </w:rPr>
        <w:t xml:space="preserve"> (to JSC and DFAT/AHC): </w:t>
      </w:r>
      <w:r w:rsidR="00454F04" w:rsidRPr="00091600">
        <w:rPr>
          <w:lang w:val="en-AU"/>
        </w:rPr>
        <w:t>r</w:t>
      </w:r>
      <w:r w:rsidR="009F04B7" w:rsidRPr="00091600">
        <w:rPr>
          <w:lang w:val="en-AU"/>
        </w:rPr>
        <w:t>evisit</w:t>
      </w:r>
      <w:r w:rsidR="000F4B57" w:rsidRPr="00091600">
        <w:rPr>
          <w:lang w:val="en-AU"/>
        </w:rPr>
        <w:t xml:space="preserve"> the Precinct’s overall theory of change so it is better aligned with the academic evidence and lessons learned about the value of training and regarding how to build sustainable public service capacity (particularly taking into account the individual, organisational, and institutional levels) (by June 2019).</w:t>
      </w:r>
    </w:p>
    <w:p w:rsidR="000F4B57" w:rsidRPr="00091600" w:rsidRDefault="00B70C80">
      <w:pPr>
        <w:pStyle w:val="BodyText"/>
        <w:rPr>
          <w:lang w:val="en-AU"/>
        </w:rPr>
      </w:pPr>
      <w:r w:rsidRPr="00091600">
        <w:rPr>
          <w:rStyle w:val="RecommendationthingChar"/>
          <w:rFonts w:ascii="Roboto Light" w:hAnsi="Roboto Light"/>
          <w:color w:val="45A7E1" w:themeColor="accent1"/>
        </w:rPr>
        <w:sym w:font="Wingdings" w:char="F06E"/>
      </w:r>
      <w:r w:rsidRPr="00091600">
        <w:rPr>
          <w:rStyle w:val="RecommendationthingChar"/>
          <w:rFonts w:ascii="Roboto Light" w:hAnsi="Roboto Light"/>
          <w:color w:val="45A7E1" w:themeColor="accent1"/>
        </w:rPr>
        <w:t xml:space="preserve"> </w:t>
      </w:r>
      <w:r w:rsidR="000F4B57" w:rsidRPr="006A2786">
        <w:rPr>
          <w:rStyle w:val="RecommendationthingChar"/>
          <w:rFonts w:ascii="Poppins ExtraBold" w:hAnsi="Poppins ExtraBold" w:cs="Poppins ExtraBold"/>
        </w:rPr>
        <w:t>R10</w:t>
      </w:r>
      <w:r w:rsidR="000F4B57" w:rsidRPr="00091600">
        <w:rPr>
          <w:lang w:val="en-AU"/>
        </w:rPr>
        <w:t xml:space="preserve"> (</w:t>
      </w:r>
      <w:r w:rsidR="00D218D4">
        <w:rPr>
          <w:lang w:val="en-AU"/>
        </w:rPr>
        <w:t xml:space="preserve">to </w:t>
      </w:r>
      <w:r w:rsidR="000F4B57" w:rsidRPr="00091600">
        <w:rPr>
          <w:lang w:val="en-AU"/>
        </w:rPr>
        <w:t xml:space="preserve">JSC and DFAT/AHC): </w:t>
      </w:r>
      <w:r w:rsidR="00454F04" w:rsidRPr="00091600">
        <w:rPr>
          <w:lang w:val="en-AU"/>
        </w:rPr>
        <w:t>u</w:t>
      </w:r>
      <w:r w:rsidR="009F04B7" w:rsidRPr="00091600">
        <w:rPr>
          <w:lang w:val="en-AU"/>
        </w:rPr>
        <w:t>ndertake</w:t>
      </w:r>
      <w:r w:rsidR="000F4B57" w:rsidRPr="00091600">
        <w:rPr>
          <w:lang w:val="en-AU"/>
        </w:rPr>
        <w:t xml:space="preserve"> political economy analyses to</w:t>
      </w:r>
      <w:r w:rsidR="009F04B7" w:rsidRPr="00091600">
        <w:rPr>
          <w:lang w:val="en-AU"/>
        </w:rPr>
        <w:t xml:space="preserve"> </w:t>
      </w:r>
      <w:r w:rsidR="000F4B57" w:rsidRPr="00091600">
        <w:rPr>
          <w:lang w:val="en-AU"/>
        </w:rPr>
        <w:t>determine the policy areas or service delivery priorities which can benefit from Precinct support to improve public sector performance and integrity. On that basis, identify coalitions or targeted reform initiatives that are amenable to Precinct support</w:t>
      </w:r>
      <w:r w:rsidR="00454F04" w:rsidRPr="00091600">
        <w:rPr>
          <w:lang w:val="en-AU"/>
        </w:rPr>
        <w:t>,</w:t>
      </w:r>
      <w:r w:rsidR="000F4B57" w:rsidRPr="00091600">
        <w:rPr>
          <w:lang w:val="en-AU"/>
        </w:rPr>
        <w:t xml:space="preserve"> testing approaches, learning regularly,</w:t>
      </w:r>
      <w:r w:rsidR="00454F04" w:rsidRPr="00091600">
        <w:rPr>
          <w:lang w:val="en-AU"/>
        </w:rPr>
        <w:t xml:space="preserve"> and</w:t>
      </w:r>
      <w:r w:rsidR="00D218D4">
        <w:rPr>
          <w:lang w:val="en-AU"/>
        </w:rPr>
        <w:t xml:space="preserve"> </w:t>
      </w:r>
      <w:r w:rsidR="000F4B57" w:rsidRPr="00091600">
        <w:rPr>
          <w:lang w:val="en-AU"/>
        </w:rPr>
        <w:t>adjusting quickly (by June 2019).</w:t>
      </w:r>
    </w:p>
    <w:p w:rsidR="000F4B57" w:rsidRPr="00091600" w:rsidRDefault="000F4B57" w:rsidP="000F4B57">
      <w:pPr>
        <w:rPr>
          <w:rFonts w:ascii="Roboto Light" w:hAnsi="Roboto Light" w:cs="Poppins"/>
          <w:b/>
          <w:bCs/>
          <w:color w:val="0B1F51"/>
          <w:kern w:val="32"/>
          <w:sz w:val="28"/>
          <w:szCs w:val="28"/>
          <w:lang w:val="en-AU"/>
        </w:rPr>
      </w:pPr>
      <w:bookmarkStart w:id="85" w:name="_Toc523866160"/>
      <w:r w:rsidRPr="00091600">
        <w:rPr>
          <w:rFonts w:ascii="Roboto Light" w:hAnsi="Roboto Light"/>
          <w:lang w:val="en-AU"/>
        </w:rPr>
        <w:br w:type="page"/>
      </w:r>
    </w:p>
    <w:p w:rsidR="000F4B57" w:rsidRPr="00091600" w:rsidRDefault="000F4B57" w:rsidP="006A2786">
      <w:pPr>
        <w:pStyle w:val="Heading2NONUM"/>
        <w:rPr>
          <w:rFonts w:eastAsiaTheme="minorHAnsi"/>
          <w:b w:val="0"/>
          <w:bCs w:val="0"/>
          <w:lang w:val="en-AU"/>
        </w:rPr>
      </w:pPr>
      <w:bookmarkStart w:id="86" w:name="_Toc536719912"/>
      <w:bookmarkStart w:id="87" w:name="_Toc2091552"/>
      <w:r w:rsidRPr="00091600">
        <w:rPr>
          <w:rFonts w:eastAsiaTheme="minorHAnsi"/>
          <w:lang w:val="en-AU"/>
        </w:rPr>
        <w:t xml:space="preserve">2.4 </w:t>
      </w:r>
      <w:r w:rsidRPr="00091600">
        <w:rPr>
          <w:rFonts w:eastAsiaTheme="minorHAnsi"/>
          <w:lang w:val="en-AU"/>
        </w:rPr>
        <w:tab/>
        <w:t xml:space="preserve">Gender and social </w:t>
      </w:r>
      <w:r w:rsidRPr="006A2786">
        <w:rPr>
          <w:rFonts w:eastAsiaTheme="minorHAnsi"/>
        </w:rPr>
        <w:t>inclusion</w:t>
      </w:r>
      <w:bookmarkEnd w:id="85"/>
      <w:bookmarkEnd w:id="86"/>
      <w:bookmarkEnd w:id="87"/>
    </w:p>
    <w:tbl>
      <w:tblPr>
        <w:tblStyle w:val="OPMBoxstyle"/>
        <w:tblW w:w="5000" w:type="pct"/>
        <w:tblLook w:val="04A0" w:firstRow="1" w:lastRow="0" w:firstColumn="1" w:lastColumn="0" w:noHBand="0" w:noVBand="1"/>
        <w:tblCaption w:val="Key Review Questions"/>
        <w:tblDescription w:val="• Understanding that Australia’s support for the PNG Government GESI Policy sits outside the Precinct, to what extent are appropriate gender equity and social inclusion considerations effectively integrated into Precinct planning and delivery?&#10;• To what extent can the Precinct support unified nation-building—in other words, one public service to service all people and counter any ‘ethnic grouping trends’?&#10;"/>
      </w:tblPr>
      <w:tblGrid>
        <w:gridCol w:w="9730"/>
      </w:tblGrid>
      <w:tr w:rsidR="001A2B13" w:rsidRPr="00091600" w:rsidTr="00CE4AA6">
        <w:trPr>
          <w:cnfStyle w:val="100000000000" w:firstRow="1" w:lastRow="0" w:firstColumn="0" w:lastColumn="0" w:oddVBand="0" w:evenVBand="0" w:oddHBand="0" w:evenHBand="0" w:firstRowFirstColumn="0" w:firstRowLastColumn="0" w:lastRowFirstColumn="0" w:lastRowLastColumn="0"/>
          <w:trHeight w:val="413"/>
          <w:tblHeader/>
        </w:trPr>
        <w:tc>
          <w:tcPr>
            <w:tcW w:w="0" w:type="pct"/>
          </w:tcPr>
          <w:p w:rsidR="001A2B13" w:rsidRPr="006A2786" w:rsidRDefault="001A2B13" w:rsidP="008E1745">
            <w:pPr>
              <w:pStyle w:val="Questions"/>
            </w:pPr>
            <w:r w:rsidRPr="006A2786">
              <w:t>Key Review Questions</w:t>
            </w:r>
          </w:p>
        </w:tc>
      </w:tr>
      <w:tr w:rsidR="000F4B57" w:rsidRPr="00091600" w:rsidTr="00C159F6">
        <w:trPr>
          <w:trHeight w:val="983"/>
        </w:trPr>
        <w:tc>
          <w:tcPr>
            <w:tcW w:w="5000" w:type="pct"/>
          </w:tcPr>
          <w:p w:rsidR="000F4B57" w:rsidRPr="00091600" w:rsidRDefault="000F4B57" w:rsidP="00013D3C">
            <w:pPr>
              <w:pStyle w:val="BodyText"/>
              <w:numPr>
                <w:ilvl w:val="0"/>
                <w:numId w:val="32"/>
              </w:numPr>
              <w:spacing w:before="120" w:after="120"/>
              <w:rPr>
                <w:sz w:val="20"/>
                <w:lang w:val="en-AU"/>
              </w:rPr>
            </w:pPr>
            <w:r w:rsidRPr="00091600">
              <w:rPr>
                <w:sz w:val="20"/>
                <w:lang w:val="en-AU"/>
              </w:rPr>
              <w:t xml:space="preserve">Understanding that Australia’s support for the </w:t>
            </w:r>
            <w:r w:rsidR="00E87298">
              <w:rPr>
                <w:sz w:val="20"/>
                <w:lang w:val="en-AU"/>
              </w:rPr>
              <w:t>PNG Government</w:t>
            </w:r>
            <w:r w:rsidRPr="00091600">
              <w:rPr>
                <w:sz w:val="20"/>
                <w:lang w:val="en-AU"/>
              </w:rPr>
              <w:t xml:space="preserve"> GESI Policy sits outside the Precinct, to what extent are appropriate gender equity and social inclusion considerations effectively integrated into Precinct planning and delivery?</w:t>
            </w:r>
          </w:p>
          <w:p w:rsidR="000F4B57" w:rsidRPr="00091600" w:rsidRDefault="000F4B57" w:rsidP="00013D3C">
            <w:pPr>
              <w:pStyle w:val="BodyText"/>
              <w:numPr>
                <w:ilvl w:val="0"/>
                <w:numId w:val="32"/>
              </w:numPr>
              <w:spacing w:before="120" w:after="120"/>
              <w:rPr>
                <w:lang w:val="en-AU"/>
              </w:rPr>
            </w:pPr>
            <w:r w:rsidRPr="00091600">
              <w:rPr>
                <w:color w:val="000000" w:themeColor="text1"/>
                <w:sz w:val="20"/>
                <w:lang w:val="en-AU"/>
              </w:rPr>
              <w:t>To what extent can the Precinct support unified nation-building—in other words, one public service to service all people and counter any ‘ethnic grouping trends’?</w:t>
            </w:r>
          </w:p>
        </w:tc>
      </w:tr>
    </w:tbl>
    <w:p w:rsidR="000F4B57" w:rsidRPr="00091600" w:rsidRDefault="000F4B57" w:rsidP="006A2786">
      <w:pPr>
        <w:pStyle w:val="Heading4"/>
        <w:rPr>
          <w:lang w:val="en-AU"/>
        </w:rPr>
      </w:pPr>
      <w:r w:rsidRPr="006A2786">
        <w:t>Intervention</w:t>
      </w:r>
      <w:r w:rsidRPr="00091600">
        <w:rPr>
          <w:lang w:val="en-AU"/>
        </w:rPr>
        <w:t xml:space="preserve"> logic</w:t>
      </w:r>
    </w:p>
    <w:p w:rsidR="000F4B57" w:rsidRPr="00091600" w:rsidRDefault="000F4B57" w:rsidP="000F4B57">
      <w:pPr>
        <w:pStyle w:val="BodyText"/>
        <w:rPr>
          <w:lang w:val="en-AU"/>
        </w:rPr>
      </w:pPr>
      <w:r w:rsidRPr="00091600">
        <w:rPr>
          <w:lang w:val="en-AU"/>
        </w:rPr>
        <w:t xml:space="preserve">Gender and social inclusion are policy imperatives that are evident in both Australian and PNG government policies. This element of the Precinct program is based on the </w:t>
      </w:r>
      <w:r w:rsidR="00E87298">
        <w:rPr>
          <w:lang w:val="en-AU"/>
        </w:rPr>
        <w:t>PNG Government</w:t>
      </w:r>
      <w:r w:rsidR="005C1AD3" w:rsidRPr="0056062C">
        <w:rPr>
          <w:lang w:val="en-AU"/>
        </w:rPr>
        <w:t xml:space="preserve"> </w:t>
      </w:r>
      <w:r w:rsidR="005C1AD3">
        <w:rPr>
          <w:lang w:val="en-AU"/>
        </w:rPr>
        <w:t xml:space="preserve">National Public Service </w:t>
      </w:r>
      <w:r w:rsidR="005C1AD3" w:rsidRPr="0056062C">
        <w:rPr>
          <w:lang w:val="en-AU"/>
        </w:rPr>
        <w:t>G</w:t>
      </w:r>
      <w:r w:rsidR="005C1AD3">
        <w:rPr>
          <w:lang w:val="en-AU"/>
        </w:rPr>
        <w:t xml:space="preserve">ender </w:t>
      </w:r>
      <w:r w:rsidR="005C1AD3" w:rsidRPr="0056062C">
        <w:rPr>
          <w:lang w:val="en-AU"/>
        </w:rPr>
        <w:t>E</w:t>
      </w:r>
      <w:r w:rsidR="005C1AD3">
        <w:rPr>
          <w:lang w:val="en-AU"/>
        </w:rPr>
        <w:t xml:space="preserve">quity and </w:t>
      </w:r>
      <w:r w:rsidR="005C1AD3" w:rsidRPr="0056062C">
        <w:rPr>
          <w:lang w:val="en-AU"/>
        </w:rPr>
        <w:t>S</w:t>
      </w:r>
      <w:r w:rsidR="005C1AD3">
        <w:rPr>
          <w:lang w:val="en-AU"/>
        </w:rPr>
        <w:t xml:space="preserve">ocial </w:t>
      </w:r>
      <w:r w:rsidR="005C1AD3" w:rsidRPr="0056062C">
        <w:rPr>
          <w:lang w:val="en-AU"/>
        </w:rPr>
        <w:t>I</w:t>
      </w:r>
      <w:r w:rsidR="005C1AD3">
        <w:rPr>
          <w:lang w:val="en-AU"/>
        </w:rPr>
        <w:t>nclusion</w:t>
      </w:r>
      <w:r w:rsidR="005C1AD3" w:rsidRPr="0056062C">
        <w:rPr>
          <w:lang w:val="en-AU"/>
        </w:rPr>
        <w:t xml:space="preserve"> Policy</w:t>
      </w:r>
      <w:r w:rsidR="005C1AD3">
        <w:rPr>
          <w:lang w:val="en-AU"/>
        </w:rPr>
        <w:t xml:space="preserve"> (GESI Policy)</w:t>
      </w:r>
      <w:r w:rsidRPr="00091600">
        <w:rPr>
          <w:lang w:val="en-AU"/>
        </w:rPr>
        <w:t xml:space="preserve">. Within the </w:t>
      </w:r>
      <w:r w:rsidR="009359D4">
        <w:rPr>
          <w:lang w:val="en-AU"/>
        </w:rPr>
        <w:t>Australian</w:t>
      </w:r>
      <w:r w:rsidR="009359D4" w:rsidRPr="00091600">
        <w:rPr>
          <w:lang w:val="en-AU"/>
        </w:rPr>
        <w:t xml:space="preserve"> </w:t>
      </w:r>
      <w:r w:rsidRPr="00091600">
        <w:rPr>
          <w:lang w:val="en-AU"/>
        </w:rPr>
        <w:t xml:space="preserve">aid program, these concepts are covered in three core documents: the </w:t>
      </w:r>
      <w:r w:rsidRPr="00091600">
        <w:rPr>
          <w:i/>
          <w:lang w:val="en-AU"/>
        </w:rPr>
        <w:t>Gender Equality and Women’s Empowerment Strategy 2016</w:t>
      </w:r>
      <w:r w:rsidRPr="00091600">
        <w:rPr>
          <w:lang w:val="en-AU"/>
        </w:rPr>
        <w:t>;</w:t>
      </w:r>
      <w:r w:rsidRPr="00091600">
        <w:rPr>
          <w:rStyle w:val="FootnoteReference"/>
          <w:lang w:val="en-AU"/>
        </w:rPr>
        <w:footnoteReference w:id="51"/>
      </w:r>
      <w:r w:rsidRPr="00091600">
        <w:rPr>
          <w:lang w:val="en-AU"/>
        </w:rPr>
        <w:t xml:space="preserve"> the </w:t>
      </w:r>
      <w:r w:rsidRPr="00091600">
        <w:rPr>
          <w:i/>
          <w:lang w:val="en-AU"/>
        </w:rPr>
        <w:t>Disability Action Strategy 2017–20</w:t>
      </w:r>
      <w:r w:rsidR="00672756" w:rsidRPr="00091600">
        <w:rPr>
          <w:i/>
          <w:lang w:val="en-AU"/>
        </w:rPr>
        <w:t>20</w:t>
      </w:r>
      <w:r w:rsidRPr="00091600">
        <w:rPr>
          <w:lang w:val="en-AU"/>
        </w:rPr>
        <w:t>;</w:t>
      </w:r>
      <w:r w:rsidRPr="00091600">
        <w:rPr>
          <w:rStyle w:val="FootnoteReference"/>
          <w:lang w:val="en-AU"/>
        </w:rPr>
        <w:footnoteReference w:id="52"/>
      </w:r>
      <w:r w:rsidRPr="00091600">
        <w:rPr>
          <w:lang w:val="en-AU"/>
        </w:rPr>
        <w:t xml:space="preserve"> and the </w:t>
      </w:r>
      <w:r w:rsidRPr="00091600">
        <w:rPr>
          <w:i/>
          <w:lang w:val="en-AU"/>
        </w:rPr>
        <w:t>DFAT</w:t>
      </w:r>
      <w:r w:rsidRPr="00091600">
        <w:rPr>
          <w:lang w:val="en-AU"/>
        </w:rPr>
        <w:t xml:space="preserve"> </w:t>
      </w:r>
      <w:r w:rsidRPr="00091600">
        <w:rPr>
          <w:i/>
          <w:lang w:val="en-AU"/>
        </w:rPr>
        <w:t>Indigenous People’s Strategy 2015–</w:t>
      </w:r>
      <w:r w:rsidR="00672756" w:rsidRPr="00091600">
        <w:rPr>
          <w:i/>
          <w:lang w:val="en-AU"/>
        </w:rPr>
        <w:t>19</w:t>
      </w:r>
      <w:r w:rsidRPr="00091600">
        <w:rPr>
          <w:lang w:val="en-AU"/>
        </w:rPr>
        <w:t>.</w:t>
      </w:r>
      <w:r w:rsidRPr="00091600">
        <w:rPr>
          <w:rStyle w:val="FootnoteReference"/>
          <w:lang w:val="en-AU"/>
        </w:rPr>
        <w:footnoteReference w:id="53"/>
      </w:r>
      <w:r w:rsidRPr="00091600">
        <w:rPr>
          <w:lang w:val="en-AU"/>
        </w:rPr>
        <w:t xml:space="preserve"> The PSLR Partnership covers the Precinct as well as working with DPM on the implementation of the PNG GESI Policy, at both national and sub-national levels.</w:t>
      </w:r>
    </w:p>
    <w:p w:rsidR="000F4B57" w:rsidRPr="00091600" w:rsidRDefault="000F4B57" w:rsidP="000F4B57">
      <w:pPr>
        <w:pStyle w:val="BodyText"/>
        <w:rPr>
          <w:lang w:val="en-AU"/>
        </w:rPr>
      </w:pPr>
      <w:r w:rsidRPr="00091600">
        <w:rPr>
          <w:lang w:val="en-AU"/>
        </w:rPr>
        <w:t>The 2016 Design Update makes the following commitments on gender and inclusion:</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‘Principles of gender equality are embedded across Precinct initiatives, including striving for parity in men and women in course developers, presenters and participants.</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The progression of female academics into leadership positions should be tracked and reported against.</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Participation of women in courses, scholarships or awards should be managed to ensure equality of opportunity for women academic and administrative staff.</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 xml:space="preserve">Gender-based violence is also a key issue to address, part of a broader strategy to improve the work environment and reduce the risk some women face when seeking to achieve in their professional </w:t>
      </w:r>
      <w:r w:rsidR="00672756" w:rsidRPr="00091600">
        <w:rPr>
          <w:rFonts w:ascii="Roboto Light" w:hAnsi="Roboto Light"/>
          <w:szCs w:val="22"/>
          <w:lang w:val="en-AU"/>
        </w:rPr>
        <w:t>life</w:t>
      </w:r>
      <w:r w:rsidRPr="00091600">
        <w:rPr>
          <w:rFonts w:ascii="Roboto Light" w:hAnsi="Roboto Light"/>
          <w:szCs w:val="22"/>
          <w:lang w:val="en-AU"/>
        </w:rPr>
        <w:t>.’</w:t>
      </w:r>
    </w:p>
    <w:p w:rsidR="000F4B57" w:rsidRPr="00091600" w:rsidRDefault="000F4B57" w:rsidP="000F4B57">
      <w:pPr>
        <w:pStyle w:val="BodyText"/>
        <w:spacing w:before="240"/>
        <w:rPr>
          <w:lang w:val="en-AU"/>
        </w:rPr>
      </w:pPr>
      <w:r w:rsidRPr="00091600">
        <w:rPr>
          <w:lang w:val="en-AU"/>
        </w:rPr>
        <w:t>It also notes the importance of ‘</w:t>
      </w:r>
      <w:r w:rsidR="008F2E24" w:rsidRPr="00091600">
        <w:rPr>
          <w:lang w:val="en-AU"/>
        </w:rPr>
        <w:t>a</w:t>
      </w:r>
      <w:r w:rsidR="00672756" w:rsidRPr="00091600">
        <w:rPr>
          <w:lang w:val="en-AU"/>
        </w:rPr>
        <w:t>ddressing</w:t>
      </w:r>
      <w:r w:rsidRPr="00091600">
        <w:rPr>
          <w:lang w:val="en-AU"/>
        </w:rPr>
        <w:t xml:space="preserve"> significant barriers that exist through remoteness and through various forms of </w:t>
      </w:r>
      <w:r w:rsidR="00672756" w:rsidRPr="00091600">
        <w:rPr>
          <w:lang w:val="en-AU"/>
        </w:rPr>
        <w:t>disability</w:t>
      </w:r>
      <w:r w:rsidR="00C77665" w:rsidRPr="00091600">
        <w:rPr>
          <w:lang w:val="en-AU"/>
        </w:rPr>
        <w:t>’</w:t>
      </w:r>
      <w:r w:rsidRPr="00091600">
        <w:rPr>
          <w:lang w:val="en-AU"/>
        </w:rPr>
        <w:t>. However, inclusion is largely absent or inconsistently mentioned in all Precinct design documentation. Likewise, the 2016 results framework includes separate gender equality targets for both SBPP and PILAG projects, with no mention of inclusion. The second of four Governance Partnership key results areas for Abt PNG, the Precinct Managing Contractor, is that ‘Governance programs effectively address gender critical issues’, again excluding ‘inclusion’.</w:t>
      </w:r>
    </w:p>
    <w:p w:rsidR="000F4B57" w:rsidRPr="00091600" w:rsidRDefault="000F4B57" w:rsidP="006A2786">
      <w:pPr>
        <w:pStyle w:val="Heading4"/>
        <w:rPr>
          <w:lang w:val="en-AU"/>
        </w:rPr>
      </w:pPr>
      <w:r w:rsidRPr="006A2786">
        <w:t>Achievements</w:t>
      </w:r>
    </w:p>
    <w:p w:rsidR="000F4B57" w:rsidRPr="00091600" w:rsidRDefault="000F4B57" w:rsidP="000F4B57">
      <w:pPr>
        <w:pStyle w:val="BodyText"/>
        <w:rPr>
          <w:lang w:val="en-AU"/>
        </w:rPr>
      </w:pPr>
      <w:r w:rsidRPr="001422B3">
        <w:rPr>
          <w:rFonts w:ascii="Roboto" w:hAnsi="Roboto"/>
          <w:b/>
          <w:lang w:val="en-AU"/>
        </w:rPr>
        <w:t>Creating a dialogue around gender equity</w:t>
      </w:r>
      <w:r w:rsidR="008F2E24" w:rsidRPr="006A2786">
        <w:rPr>
          <w:rFonts w:ascii="Roboto" w:hAnsi="Roboto"/>
          <w:lang w:val="en-AU"/>
        </w:rPr>
        <w:t>:</w:t>
      </w:r>
      <w:r w:rsidR="00672756" w:rsidRPr="00091600">
        <w:rPr>
          <w:lang w:val="en-AU"/>
        </w:rPr>
        <w:t xml:space="preserve"> </w:t>
      </w:r>
      <w:r w:rsidR="008F2E24" w:rsidRPr="00091600">
        <w:rPr>
          <w:lang w:val="en-AU"/>
        </w:rPr>
        <w:t>t</w:t>
      </w:r>
      <w:r w:rsidR="00672756" w:rsidRPr="00091600">
        <w:rPr>
          <w:lang w:val="en-AU"/>
        </w:rPr>
        <w:t>he</w:t>
      </w:r>
      <w:r w:rsidRPr="00091600">
        <w:rPr>
          <w:lang w:val="en-AU"/>
        </w:rPr>
        <w:t xml:space="preserve"> Precinct has contributed to a national public dialogue about gender equity by hosting a number of lectures and facilitated discussions</w:t>
      </w:r>
      <w:r w:rsidR="00B24F2C">
        <w:rPr>
          <w:lang w:val="en-AU"/>
        </w:rPr>
        <w:t>. T</w:t>
      </w:r>
      <w:r w:rsidRPr="00091600">
        <w:rPr>
          <w:lang w:val="en-AU"/>
        </w:rPr>
        <w:t xml:space="preserve">hese include the visits of Dr Sharman Stone, Australian Ambassador for Women and Girls, and of Ms Rosie Batty, Australian of the Year 2015, as a campaigner for family violence prevention. Some interviewees noted increased awareness had led to some actions. For example, Dr Michelle Rooney’s presentation about </w:t>
      </w:r>
      <w:r w:rsidR="005B2316" w:rsidRPr="00091600">
        <w:rPr>
          <w:lang w:val="en-AU"/>
        </w:rPr>
        <w:t xml:space="preserve">gender-based violence </w:t>
      </w:r>
      <w:r w:rsidRPr="00091600">
        <w:rPr>
          <w:lang w:val="en-AU"/>
        </w:rPr>
        <w:t xml:space="preserve">and sexual harassment at the PNG Update 2018 stimulated debate and led to a verbal commitment from the UPNG Vice-Chancellor to act on these issues during his </w:t>
      </w:r>
      <w:r w:rsidR="008F2E24" w:rsidRPr="00091600">
        <w:rPr>
          <w:lang w:val="en-AU"/>
        </w:rPr>
        <w:t>s</w:t>
      </w:r>
      <w:r w:rsidR="000926C7" w:rsidRPr="00091600">
        <w:rPr>
          <w:lang w:val="en-AU"/>
        </w:rPr>
        <w:t>ummation</w:t>
      </w:r>
      <w:r w:rsidRPr="00091600">
        <w:rPr>
          <w:lang w:val="en-AU"/>
        </w:rPr>
        <w:t>.</w:t>
      </w:r>
    </w:p>
    <w:p w:rsidR="000F4B57" w:rsidRPr="00091600" w:rsidRDefault="000F4B57" w:rsidP="000F4B57">
      <w:pPr>
        <w:pStyle w:val="BodyText"/>
        <w:rPr>
          <w:lang w:val="en-AU"/>
        </w:rPr>
      </w:pPr>
      <w:r w:rsidRPr="001422B3">
        <w:rPr>
          <w:rFonts w:ascii="Roboto" w:hAnsi="Roboto"/>
          <w:b/>
          <w:lang w:val="en-AU"/>
        </w:rPr>
        <w:t>Baseline data on GESI awareness in the Precinct</w:t>
      </w:r>
      <w:r w:rsidR="008F2E24" w:rsidRPr="006A2786">
        <w:rPr>
          <w:rFonts w:ascii="Roboto" w:hAnsi="Roboto"/>
          <w:lang w:val="en-AU"/>
        </w:rPr>
        <w:t>:</w:t>
      </w:r>
      <w:r w:rsidR="00672756" w:rsidRPr="00091600">
        <w:rPr>
          <w:lang w:val="en-AU"/>
        </w:rPr>
        <w:t xml:space="preserve"> Abt PNG’s </w:t>
      </w:r>
      <w:r w:rsidR="008F2E24" w:rsidRPr="00091600">
        <w:rPr>
          <w:lang w:val="en-AU"/>
        </w:rPr>
        <w:t>b</w:t>
      </w:r>
      <w:r w:rsidR="00672756" w:rsidRPr="00091600">
        <w:rPr>
          <w:lang w:val="en-AU"/>
        </w:rPr>
        <w:t xml:space="preserve">aseline </w:t>
      </w:r>
      <w:r w:rsidR="008F2E24" w:rsidRPr="00091600">
        <w:rPr>
          <w:lang w:val="en-AU"/>
        </w:rPr>
        <w:t>s</w:t>
      </w:r>
      <w:r w:rsidR="00672756" w:rsidRPr="00091600">
        <w:rPr>
          <w:lang w:val="en-AU"/>
        </w:rPr>
        <w:t>urvey</w:t>
      </w:r>
      <w:r w:rsidRPr="00091600">
        <w:rPr>
          <w:lang w:val="en-AU"/>
        </w:rPr>
        <w:t xml:space="preserve"> of students and staff within the Precinct is a fine piece of work. It covers their awareness around GESI,</w:t>
      </w:r>
      <w:r w:rsidR="00F771C1">
        <w:rPr>
          <w:lang w:val="en-AU"/>
        </w:rPr>
        <w:t xml:space="preserve"> gender-based violence</w:t>
      </w:r>
      <w:r w:rsidRPr="00091600">
        <w:rPr>
          <w:lang w:val="en-AU"/>
        </w:rPr>
        <w:t xml:space="preserve">, sexual harassment, institutional policies, availability of services, and willingness to access services. It provides a comprehensive platform to monitor changes to awareness and access across the Precinct program, particularly given the commitment of the UPNG </w:t>
      </w:r>
      <w:r w:rsidR="00126578" w:rsidRPr="00091600">
        <w:rPr>
          <w:lang w:val="en-AU"/>
        </w:rPr>
        <w:t>Vice-</w:t>
      </w:r>
      <w:r w:rsidR="00672756" w:rsidRPr="00091600">
        <w:rPr>
          <w:lang w:val="en-AU"/>
        </w:rPr>
        <w:t>Chancellor</w:t>
      </w:r>
      <w:r w:rsidRPr="00091600">
        <w:rPr>
          <w:lang w:val="en-AU"/>
        </w:rPr>
        <w:t>.</w:t>
      </w:r>
    </w:p>
    <w:p w:rsidR="000F4B57" w:rsidRPr="00091600" w:rsidRDefault="000F4B57" w:rsidP="000F4B57">
      <w:pPr>
        <w:pStyle w:val="BodyText"/>
        <w:rPr>
          <w:lang w:val="en-AU"/>
        </w:rPr>
      </w:pPr>
      <w:r w:rsidRPr="001422B3">
        <w:rPr>
          <w:rFonts w:ascii="Roboto" w:hAnsi="Roboto"/>
          <w:b/>
          <w:lang w:val="en-AU"/>
        </w:rPr>
        <w:t>Mapping GESI in Precinct Partnership</w:t>
      </w:r>
      <w:r w:rsidR="008F2E24" w:rsidRPr="006A2786">
        <w:rPr>
          <w:rFonts w:ascii="Roboto" w:hAnsi="Roboto"/>
          <w:lang w:val="en-AU"/>
        </w:rPr>
        <w:t>:</w:t>
      </w:r>
      <w:r w:rsidR="00672756" w:rsidRPr="00091600">
        <w:rPr>
          <w:lang w:val="en-AU"/>
        </w:rPr>
        <w:t xml:space="preserve"> </w:t>
      </w:r>
      <w:r w:rsidR="008F2E24" w:rsidRPr="00091600">
        <w:rPr>
          <w:lang w:val="en-AU"/>
        </w:rPr>
        <w:t>t</w:t>
      </w:r>
      <w:r w:rsidR="00672756" w:rsidRPr="00091600">
        <w:rPr>
          <w:lang w:val="en-AU"/>
        </w:rPr>
        <w:t>he Abt PNG</w:t>
      </w:r>
      <w:r w:rsidRPr="00091600">
        <w:rPr>
          <w:lang w:val="en-AU"/>
        </w:rPr>
        <w:t xml:space="preserve"> ‘GESI Stocktake’ is a benchmarking exercise</w:t>
      </w:r>
      <w:r w:rsidR="00672756" w:rsidRPr="00091600">
        <w:rPr>
          <w:lang w:val="en-AU"/>
        </w:rPr>
        <w:t xml:space="preserve"> </w:t>
      </w:r>
      <w:r w:rsidRPr="00091600">
        <w:rPr>
          <w:lang w:val="en-AU"/>
        </w:rPr>
        <w:t xml:space="preserve"> giving a detailed account of efforts and progress across the Abt PNG portfolio of Governance Partnerships, including PSLR. Abt PNG and AHC staff reported that the </w:t>
      </w:r>
      <w:r w:rsidR="008F2E24" w:rsidRPr="00091600">
        <w:rPr>
          <w:lang w:val="en-AU"/>
        </w:rPr>
        <w:t>s</w:t>
      </w:r>
      <w:r w:rsidR="00672756" w:rsidRPr="00091600">
        <w:rPr>
          <w:lang w:val="en-AU"/>
        </w:rPr>
        <w:t>tocktake</w:t>
      </w:r>
      <w:r w:rsidRPr="00091600">
        <w:rPr>
          <w:lang w:val="en-AU"/>
        </w:rPr>
        <w:t xml:space="preserve"> stimulated greater interest and understanding of the core nature of GESI in Governance Partnership-wide programming, which they viewed as necessary.</w:t>
      </w:r>
    </w:p>
    <w:p w:rsidR="000F4B57" w:rsidRPr="00091600" w:rsidRDefault="000F4B57" w:rsidP="006A2786">
      <w:pPr>
        <w:pStyle w:val="Heading4"/>
        <w:rPr>
          <w:lang w:val="en-AU"/>
        </w:rPr>
      </w:pPr>
      <w:r w:rsidRPr="006A2786">
        <w:t>Strengths</w:t>
      </w:r>
    </w:p>
    <w:p w:rsidR="000F4B57" w:rsidRPr="00091600" w:rsidRDefault="000F4B57" w:rsidP="000F4B57">
      <w:pPr>
        <w:pStyle w:val="BodyText"/>
        <w:rPr>
          <w:color w:val="000000" w:themeColor="text1"/>
          <w:lang w:val="en-AU"/>
        </w:rPr>
      </w:pPr>
      <w:r w:rsidRPr="001422B3">
        <w:rPr>
          <w:rFonts w:ascii="Roboto" w:hAnsi="Roboto"/>
          <w:b/>
          <w:lang w:val="en-AU"/>
        </w:rPr>
        <w:t>Parity in training of DPM-nominated staff</w:t>
      </w:r>
      <w:r w:rsidR="008F2E24" w:rsidRPr="006A2786">
        <w:rPr>
          <w:rFonts w:ascii="Roboto" w:hAnsi="Roboto"/>
          <w:lang w:val="en-AU"/>
        </w:rPr>
        <w:t>:</w:t>
      </w:r>
      <w:r w:rsidR="00672756" w:rsidRPr="00091600">
        <w:rPr>
          <w:lang w:val="en-AU"/>
        </w:rPr>
        <w:t xml:space="preserve"> </w:t>
      </w:r>
      <w:r w:rsidR="008F2E24" w:rsidRPr="00091600">
        <w:rPr>
          <w:lang w:val="en-AU"/>
        </w:rPr>
        <w:t>q</w:t>
      </w:r>
      <w:r w:rsidR="00672756" w:rsidRPr="00091600">
        <w:rPr>
          <w:lang w:val="en-AU"/>
        </w:rPr>
        <w:t>uotas</w:t>
      </w:r>
      <w:r w:rsidRPr="00091600">
        <w:rPr>
          <w:lang w:val="en-AU"/>
        </w:rPr>
        <w:t xml:space="preserve">, though often controversial, are the fastest way to ensure greater balance in access to training opportunities in ‘non-transformed’ workplaces. The Precinct’s parity quota has maintained high levels of </w:t>
      </w:r>
      <w:r w:rsidRPr="00091600">
        <w:rPr>
          <w:color w:val="000000" w:themeColor="text1"/>
          <w:lang w:val="en-AU"/>
        </w:rPr>
        <w:t>equity in access to training for women within the public service. DPM requires equal numbers of female and male nominees for courses; as a result, up to May 2018, Precinct Leadership Program Short Courses were attended by 538 women and 476 men, and the Future Leadership Program was attended by 38 women and 30 men.</w:t>
      </w:r>
      <w:r w:rsidRPr="00091600">
        <w:rPr>
          <w:rStyle w:val="FootnoteReference"/>
          <w:color w:val="000000" w:themeColor="text1"/>
          <w:lang w:val="en-AU"/>
        </w:rPr>
        <w:footnoteReference w:id="54"/>
      </w:r>
      <w:r w:rsidRPr="00091600">
        <w:rPr>
          <w:color w:val="000000" w:themeColor="text1"/>
          <w:lang w:val="en-AU"/>
        </w:rPr>
        <w:t xml:space="preserve"> </w:t>
      </w:r>
    </w:p>
    <w:p w:rsidR="000F4B57" w:rsidRPr="00091600" w:rsidRDefault="000F4B57" w:rsidP="000F4B57">
      <w:pPr>
        <w:pStyle w:val="BodyText"/>
        <w:rPr>
          <w:color w:val="000000" w:themeColor="text1"/>
          <w:lang w:val="en-AU"/>
        </w:rPr>
      </w:pPr>
      <w:r w:rsidRPr="00091600">
        <w:rPr>
          <w:color w:val="000000" w:themeColor="text1"/>
          <w:lang w:val="en-AU"/>
        </w:rPr>
        <w:t xml:space="preserve">This commitment requires constant attention and is being challenged by the Precinct’s extension to sub-national levels. Overall, </w:t>
      </w:r>
      <w:r w:rsidRPr="00091600">
        <w:rPr>
          <w:rFonts w:cstheme="majorHAnsi"/>
          <w:color w:val="000000" w:themeColor="text1"/>
          <w:lang w:val="en-AU"/>
        </w:rPr>
        <w:t xml:space="preserve">751 women and 906 men have participated in vocational and academic courses up to May 2018. While more women than men participated in 2016, this ratio has since reversed, and more men benefited in 2017 and in the first part of 2018 (see Figure </w:t>
      </w:r>
      <w:r w:rsidR="004A4095" w:rsidRPr="00091600">
        <w:rPr>
          <w:rFonts w:cstheme="majorHAnsi"/>
          <w:color w:val="000000" w:themeColor="text1"/>
          <w:lang w:val="en-AU"/>
        </w:rPr>
        <w:t>8</w:t>
      </w:r>
      <w:r w:rsidRPr="00091600">
        <w:rPr>
          <w:rFonts w:cstheme="majorHAnsi"/>
          <w:color w:val="000000" w:themeColor="text1"/>
          <w:lang w:val="en-AU"/>
        </w:rPr>
        <w:t>)</w:t>
      </w:r>
      <w:r w:rsidRPr="00091600">
        <w:rPr>
          <w:color w:val="000000" w:themeColor="text1"/>
          <w:lang w:val="en-AU"/>
        </w:rPr>
        <w:t>.</w:t>
      </w:r>
      <w:r w:rsidRPr="00091600">
        <w:rPr>
          <w:rStyle w:val="FootnoteReference"/>
          <w:color w:val="000000" w:themeColor="text1"/>
          <w:lang w:val="en-AU"/>
        </w:rPr>
        <w:footnoteReference w:id="55"/>
      </w:r>
    </w:p>
    <w:p w:rsidR="004A4095" w:rsidRPr="00091600" w:rsidRDefault="004A4095" w:rsidP="005975B5">
      <w:pPr>
        <w:pStyle w:val="Caption"/>
        <w:rPr>
          <w:rFonts w:ascii="Roboto Light" w:eastAsiaTheme="minorHAnsi" w:hAnsi="Roboto Light"/>
          <w:lang w:val="en-AU"/>
        </w:rPr>
      </w:pPr>
    </w:p>
    <w:p w:rsidR="000F4B57" w:rsidRPr="00091600" w:rsidRDefault="00B40805" w:rsidP="006A2786">
      <w:pPr>
        <w:pStyle w:val="Boxcaption"/>
        <w:rPr>
          <w:lang w:val="en-AU"/>
        </w:rPr>
      </w:pPr>
      <w:bookmarkStart w:id="88" w:name="_Toc536627419"/>
      <w:bookmarkStart w:id="89" w:name="_Toc536627430"/>
      <w:bookmarkStart w:id="90" w:name="_Toc2089252"/>
      <w:r w:rsidRPr="00091600">
        <w:rPr>
          <w:noProof/>
          <w:lang w:val="en-AU" w:eastAsia="en-AU"/>
        </w:rPr>
        <w:drawing>
          <wp:anchor distT="0" distB="0" distL="114300" distR="114300" simplePos="0" relativeHeight="251365376" behindDoc="0" locked="0" layoutInCell="1" allowOverlap="1" wp14:anchorId="2BB02ADF" wp14:editId="4397C59A">
            <wp:simplePos x="0" y="0"/>
            <wp:positionH relativeFrom="margin">
              <wp:posOffset>1444625</wp:posOffset>
            </wp:positionH>
            <wp:positionV relativeFrom="paragraph">
              <wp:posOffset>357505</wp:posOffset>
            </wp:positionV>
            <wp:extent cx="3291840" cy="2496820"/>
            <wp:effectExtent l="0" t="0" r="3810" b="0"/>
            <wp:wrapTopAndBottom/>
            <wp:docPr id="13" name="Picture 13" descr="This bar graph shows that there is generally more male participation with the exception of 2016." title="Gender distribution in Precinct vocational and academic course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91840" cy="2496820"/>
                    </a:xfrm>
                    <a:prstGeom prst="rect">
                      <a:avLst/>
                    </a:prstGeom>
                  </pic:spPr>
                </pic:pic>
              </a:graphicData>
            </a:graphic>
            <wp14:sizeRelH relativeFrom="margin">
              <wp14:pctWidth>0</wp14:pctWidth>
            </wp14:sizeRelH>
            <wp14:sizeRelV relativeFrom="margin">
              <wp14:pctHeight>0</wp14:pctHeight>
            </wp14:sizeRelV>
          </wp:anchor>
        </w:drawing>
      </w:r>
      <w:r w:rsidR="000F4B57" w:rsidRPr="00091600">
        <w:rPr>
          <w:lang w:val="en-AU"/>
        </w:rPr>
        <w:t xml:space="preserve">Figure </w:t>
      </w:r>
      <w:r w:rsidR="001C457F">
        <w:rPr>
          <w:lang w:val="en-AU"/>
        </w:rPr>
        <w:fldChar w:fldCharType="begin"/>
      </w:r>
      <w:r w:rsidR="001C457F">
        <w:rPr>
          <w:lang w:val="en-AU"/>
        </w:rPr>
        <w:instrText xml:space="preserve"> SEQ Figure \* ARABIC </w:instrText>
      </w:r>
      <w:r w:rsidR="001C457F">
        <w:rPr>
          <w:lang w:val="en-AU"/>
        </w:rPr>
        <w:fldChar w:fldCharType="separate"/>
      </w:r>
      <w:r w:rsidR="004964E9">
        <w:rPr>
          <w:noProof/>
          <w:lang w:val="en-AU"/>
        </w:rPr>
        <w:t>8</w:t>
      </w:r>
      <w:r w:rsidR="001C457F">
        <w:rPr>
          <w:lang w:val="en-AU"/>
        </w:rPr>
        <w:fldChar w:fldCharType="end"/>
      </w:r>
      <w:r w:rsidR="000F4B57" w:rsidRPr="00091600">
        <w:rPr>
          <w:rFonts w:eastAsiaTheme="minorHAnsi"/>
          <w:lang w:val="en-AU"/>
        </w:rPr>
        <w:t xml:space="preserve">: </w:t>
      </w:r>
      <w:r w:rsidR="000F4B57" w:rsidRPr="00091600">
        <w:rPr>
          <w:rFonts w:eastAsiaTheme="minorHAnsi"/>
          <w:lang w:val="en-AU"/>
        </w:rPr>
        <w:tab/>
        <w:t>Gender distribution in Precinct vocational and academic courses (2015 to May 2018)</w:t>
      </w:r>
      <w:bookmarkEnd w:id="88"/>
      <w:bookmarkEnd w:id="89"/>
      <w:bookmarkEnd w:id="90"/>
    </w:p>
    <w:p w:rsidR="00B40805" w:rsidRPr="00091600" w:rsidRDefault="00B40805" w:rsidP="000F4B57">
      <w:pPr>
        <w:pStyle w:val="BodyText"/>
        <w:rPr>
          <w:noProof/>
        </w:rPr>
      </w:pPr>
    </w:p>
    <w:p w:rsidR="000F4B57" w:rsidRPr="00091600" w:rsidRDefault="000F4B57" w:rsidP="000F4B57">
      <w:pPr>
        <w:pStyle w:val="BodyText"/>
        <w:rPr>
          <w:lang w:val="en-AU"/>
        </w:rPr>
      </w:pPr>
      <w:r w:rsidRPr="00690D22">
        <w:rPr>
          <w:rFonts w:ascii="Roboto" w:hAnsi="Roboto"/>
          <w:b/>
          <w:lang w:val="en-AU"/>
        </w:rPr>
        <w:t>GESI Policy embedded in all training</w:t>
      </w:r>
      <w:r w:rsidR="008F2E24" w:rsidRPr="00690D22">
        <w:rPr>
          <w:rFonts w:ascii="Roboto" w:hAnsi="Roboto"/>
          <w:lang w:val="en-AU"/>
        </w:rPr>
        <w:t>:</w:t>
      </w:r>
      <w:r w:rsidR="00672756" w:rsidRPr="00091600">
        <w:rPr>
          <w:lang w:val="en-AU"/>
        </w:rPr>
        <w:t xml:space="preserve"> </w:t>
      </w:r>
      <w:r w:rsidR="008F2E24" w:rsidRPr="00091600">
        <w:rPr>
          <w:lang w:val="en-AU"/>
        </w:rPr>
        <w:t>t</w:t>
      </w:r>
      <w:r w:rsidR="00672756" w:rsidRPr="00091600">
        <w:rPr>
          <w:lang w:val="en-AU"/>
        </w:rPr>
        <w:t>he</w:t>
      </w:r>
      <w:r w:rsidRPr="00091600">
        <w:rPr>
          <w:lang w:val="en-AU"/>
        </w:rPr>
        <w:t xml:space="preserve"> integration of the GESI Policy into both short and long courses has resulted in high levels of recognition and understanding of the GESI Policy and Toolkit across all Precinct education providers, in particular UQ courses for public servants.</w:t>
      </w:r>
      <w:r w:rsidRPr="00091600">
        <w:rPr>
          <w:rStyle w:val="FootnoteReference"/>
          <w:lang w:val="en-AU"/>
        </w:rPr>
        <w:footnoteReference w:id="56"/>
      </w:r>
      <w:r w:rsidRPr="00091600">
        <w:rPr>
          <w:lang w:val="en-AU"/>
        </w:rPr>
        <w:t xml:space="preserve"> The Future Leaders Program is particularly strong. It conducts a half-day workshop specifically on GESI implementation, which both national and sub-national public servants reported valuing highly in </w:t>
      </w:r>
      <w:r w:rsidR="00672756" w:rsidRPr="00091600">
        <w:rPr>
          <w:lang w:val="en-AU"/>
        </w:rPr>
        <w:t>interview</w:t>
      </w:r>
      <w:r w:rsidR="003E52C4" w:rsidRPr="00091600">
        <w:rPr>
          <w:lang w:val="en-AU"/>
        </w:rPr>
        <w:t>s</w:t>
      </w:r>
      <w:r w:rsidR="00672756" w:rsidRPr="00091600">
        <w:rPr>
          <w:lang w:val="en-AU"/>
        </w:rPr>
        <w:t>.</w:t>
      </w:r>
      <w:r w:rsidRPr="00091600">
        <w:rPr>
          <w:lang w:val="en-AU"/>
        </w:rPr>
        <w:t xml:space="preserve"> In addition, the Inclusive Strategic Leadership Short Course focuses on three themes: strategic thinking, planning, and leading; government strategy and planning frameworks; and gender, inclusion, and participatory planning. The course is well attended and highly rated in imparting practical gender and inclusion processes by public service learners. These two courses represented under 12% of Precinct vocational and academic course participants until May 2018.</w:t>
      </w:r>
      <w:r w:rsidRPr="00091600">
        <w:rPr>
          <w:rStyle w:val="FootnoteReference"/>
          <w:lang w:val="en-AU"/>
        </w:rPr>
        <w:footnoteReference w:id="57"/>
      </w:r>
    </w:p>
    <w:p w:rsidR="000F4B57" w:rsidRPr="00091600" w:rsidRDefault="000F4B57" w:rsidP="000F4B57">
      <w:pPr>
        <w:pStyle w:val="BodyText"/>
        <w:rPr>
          <w:lang w:val="en-AU"/>
        </w:rPr>
      </w:pPr>
      <w:r w:rsidRPr="00091600">
        <w:rPr>
          <w:lang w:val="en-AU"/>
        </w:rPr>
        <w:t>SBPP students also cited high recognition levels of the GESI Policy in their courses, though naturally as undergraduates the purpose of their education is not the application of the GESI Policy. General gender mainstreaming in ANU-led SBPP education programs is less consistent and deserves further investigation.</w:t>
      </w:r>
    </w:p>
    <w:p w:rsidR="000F4B57" w:rsidRPr="00091600" w:rsidRDefault="000F4B57" w:rsidP="006A2786">
      <w:pPr>
        <w:pStyle w:val="Heading4"/>
      </w:pPr>
      <w:r w:rsidRPr="006A2786">
        <w:t>Challenges</w:t>
      </w:r>
    </w:p>
    <w:p w:rsidR="000F4B57" w:rsidRPr="00091600" w:rsidRDefault="000F4B57" w:rsidP="000F4B57">
      <w:pPr>
        <w:pStyle w:val="BodyText"/>
        <w:rPr>
          <w:lang w:val="en-AU"/>
        </w:rPr>
      </w:pPr>
      <w:r w:rsidRPr="001422B3">
        <w:rPr>
          <w:rFonts w:ascii="Roboto" w:hAnsi="Roboto"/>
          <w:b/>
          <w:lang w:val="en-AU"/>
        </w:rPr>
        <w:t>Narrow understanding of</w:t>
      </w:r>
      <w:r w:rsidR="00EB766E">
        <w:rPr>
          <w:rFonts w:ascii="Roboto" w:hAnsi="Roboto"/>
          <w:b/>
          <w:lang w:val="en-AU"/>
        </w:rPr>
        <w:t xml:space="preserve">, and </w:t>
      </w:r>
      <w:r w:rsidRPr="001422B3">
        <w:rPr>
          <w:rFonts w:ascii="Roboto" w:hAnsi="Roboto"/>
          <w:b/>
          <w:lang w:val="en-AU"/>
        </w:rPr>
        <w:t xml:space="preserve">weak approaches to, </w:t>
      </w:r>
      <w:r w:rsidR="008A62B8" w:rsidRPr="001422B3">
        <w:rPr>
          <w:rFonts w:ascii="Roboto" w:hAnsi="Roboto"/>
          <w:b/>
          <w:lang w:val="en-AU"/>
        </w:rPr>
        <w:t xml:space="preserve">gender equity </w:t>
      </w:r>
      <w:r w:rsidR="00672756" w:rsidRPr="001422B3">
        <w:rPr>
          <w:rFonts w:ascii="Roboto" w:hAnsi="Roboto"/>
          <w:b/>
          <w:lang w:val="en-AU"/>
        </w:rPr>
        <w:t xml:space="preserve">and </w:t>
      </w:r>
      <w:r w:rsidR="008A62B8" w:rsidRPr="001422B3">
        <w:rPr>
          <w:rFonts w:ascii="Roboto" w:hAnsi="Roboto"/>
          <w:b/>
          <w:lang w:val="en-AU"/>
        </w:rPr>
        <w:t>social inclusion</w:t>
      </w:r>
      <w:r w:rsidR="007800F8" w:rsidRPr="006A2786">
        <w:rPr>
          <w:rFonts w:ascii="Roboto" w:hAnsi="Roboto"/>
          <w:lang w:val="en-AU"/>
        </w:rPr>
        <w:t>:</w:t>
      </w:r>
      <w:r w:rsidR="00672756" w:rsidRPr="006A2786">
        <w:rPr>
          <w:rFonts w:ascii="Roboto" w:hAnsi="Roboto"/>
          <w:lang w:val="en-AU"/>
        </w:rPr>
        <w:t xml:space="preserve"> </w:t>
      </w:r>
      <w:r w:rsidR="007800F8" w:rsidRPr="00091600">
        <w:rPr>
          <w:lang w:val="en-AU"/>
        </w:rPr>
        <w:t>t</w:t>
      </w:r>
      <w:r w:rsidRPr="00091600">
        <w:rPr>
          <w:lang w:val="en-AU"/>
        </w:rPr>
        <w:t>his is a common issue in international development. Gender is often referred to as a proxy term for women, with little understanding of the interaction and imbalance between roles for men and women. Inclusion is even less well understood, often taken to mean consideration of women, girls, and persons with a disability. In the design of the Precinct, this has translated into:</w:t>
      </w:r>
    </w:p>
    <w:p w:rsidR="000F4B57" w:rsidRPr="00091600" w:rsidRDefault="003E5ACF" w:rsidP="000F4B57">
      <w:pPr>
        <w:pStyle w:val="ListBullet"/>
        <w:rPr>
          <w:rFonts w:ascii="Roboto Light" w:hAnsi="Roboto Light"/>
          <w:szCs w:val="22"/>
          <w:lang w:val="en-AU"/>
        </w:rPr>
      </w:pPr>
      <w:r w:rsidRPr="00091600">
        <w:rPr>
          <w:rFonts w:ascii="Roboto Light" w:hAnsi="Roboto Light"/>
          <w:szCs w:val="22"/>
          <w:lang w:val="en-AU"/>
        </w:rPr>
        <w:t>i</w:t>
      </w:r>
      <w:r w:rsidR="00672756" w:rsidRPr="00091600">
        <w:rPr>
          <w:rFonts w:ascii="Roboto Light" w:hAnsi="Roboto Light"/>
          <w:szCs w:val="22"/>
          <w:lang w:val="en-AU"/>
        </w:rPr>
        <w:t>nconsistent</w:t>
      </w:r>
      <w:r w:rsidR="000F4B57" w:rsidRPr="00091600">
        <w:rPr>
          <w:rFonts w:ascii="Roboto Light" w:hAnsi="Roboto Light"/>
          <w:szCs w:val="22"/>
          <w:lang w:val="en-AU"/>
        </w:rPr>
        <w:t xml:space="preserve"> usage of the language around women, gender, and inclusion in leadership and </w:t>
      </w:r>
      <w:r w:rsidR="00CF45C5" w:rsidRPr="00091600">
        <w:rPr>
          <w:rFonts w:ascii="Roboto Light" w:hAnsi="Roboto Light"/>
          <w:szCs w:val="22"/>
          <w:lang w:val="en-AU"/>
        </w:rPr>
        <w:t>decision</w:t>
      </w:r>
      <w:r w:rsidR="000F4B57" w:rsidRPr="00091600">
        <w:rPr>
          <w:rFonts w:ascii="Roboto Light" w:hAnsi="Roboto Light"/>
          <w:szCs w:val="22"/>
          <w:lang w:val="en-AU"/>
        </w:rPr>
        <w:t xml:space="preserve"> making</w:t>
      </w:r>
      <w:r w:rsidRPr="00091600">
        <w:rPr>
          <w:rFonts w:ascii="Roboto Light" w:hAnsi="Roboto Light"/>
          <w:szCs w:val="22"/>
          <w:lang w:val="en-AU"/>
        </w:rPr>
        <w:t>;</w:t>
      </w:r>
    </w:p>
    <w:p w:rsidR="000F4B57" w:rsidRPr="00091600" w:rsidRDefault="003E5ACF" w:rsidP="000F4B57">
      <w:pPr>
        <w:pStyle w:val="ListBullet"/>
        <w:rPr>
          <w:rFonts w:ascii="Roboto Light" w:hAnsi="Roboto Light"/>
          <w:szCs w:val="22"/>
          <w:lang w:val="en-AU"/>
        </w:rPr>
      </w:pPr>
      <w:r w:rsidRPr="00091600">
        <w:rPr>
          <w:rFonts w:ascii="Roboto Light" w:hAnsi="Roboto Light"/>
          <w:szCs w:val="22"/>
          <w:lang w:val="en-AU"/>
        </w:rPr>
        <w:t>i</w:t>
      </w:r>
      <w:r w:rsidR="00672756" w:rsidRPr="00091600">
        <w:rPr>
          <w:rFonts w:ascii="Roboto Light" w:hAnsi="Roboto Light"/>
          <w:szCs w:val="22"/>
          <w:lang w:val="en-AU"/>
        </w:rPr>
        <w:t>nsufficient</w:t>
      </w:r>
      <w:r w:rsidR="000F4B57" w:rsidRPr="00091600">
        <w:rPr>
          <w:rFonts w:ascii="Roboto Light" w:hAnsi="Roboto Light"/>
          <w:szCs w:val="22"/>
          <w:lang w:val="en-AU"/>
        </w:rPr>
        <w:t xml:space="preserve"> attention being paid, not only to disability, but also to other forms of exclusion of people who are marginalised because of other social differences (age, ethnicity, religion, sexual orientation, etc.) from leadership and </w:t>
      </w:r>
      <w:r w:rsidR="00CF45C5" w:rsidRPr="00091600">
        <w:rPr>
          <w:rFonts w:ascii="Roboto Light" w:hAnsi="Roboto Light"/>
          <w:szCs w:val="22"/>
          <w:lang w:val="en-AU"/>
        </w:rPr>
        <w:t>decision</w:t>
      </w:r>
      <w:r w:rsidR="000F4B57" w:rsidRPr="00091600">
        <w:rPr>
          <w:rFonts w:ascii="Roboto Light" w:hAnsi="Roboto Light"/>
          <w:szCs w:val="22"/>
          <w:lang w:val="en-AU"/>
        </w:rPr>
        <w:t xml:space="preserve"> making</w:t>
      </w:r>
      <w:r w:rsidRPr="00091600">
        <w:rPr>
          <w:rFonts w:ascii="Roboto Light" w:hAnsi="Roboto Light"/>
          <w:szCs w:val="22"/>
          <w:lang w:val="en-AU"/>
        </w:rPr>
        <w:t>;</w:t>
      </w:r>
    </w:p>
    <w:p w:rsidR="000F4B57" w:rsidRPr="00091600" w:rsidRDefault="003E5ACF" w:rsidP="000F4B57">
      <w:pPr>
        <w:pStyle w:val="ListBullet"/>
        <w:rPr>
          <w:rFonts w:ascii="Roboto Light" w:hAnsi="Roboto Light"/>
          <w:szCs w:val="22"/>
          <w:lang w:val="en-AU"/>
        </w:rPr>
      </w:pPr>
      <w:r w:rsidRPr="00091600">
        <w:rPr>
          <w:rFonts w:ascii="Roboto Light" w:hAnsi="Roboto Light"/>
          <w:szCs w:val="22"/>
          <w:lang w:val="en-AU"/>
        </w:rPr>
        <w:t>t</w:t>
      </w:r>
      <w:r w:rsidR="00672756" w:rsidRPr="00091600">
        <w:rPr>
          <w:rFonts w:ascii="Roboto Light" w:hAnsi="Roboto Light"/>
          <w:szCs w:val="22"/>
          <w:lang w:val="en-AU"/>
        </w:rPr>
        <w:t>he</w:t>
      </w:r>
      <w:r w:rsidR="000F4B57" w:rsidRPr="00091600">
        <w:rPr>
          <w:rFonts w:ascii="Roboto Light" w:hAnsi="Roboto Light"/>
          <w:szCs w:val="22"/>
          <w:lang w:val="en-AU"/>
        </w:rPr>
        <w:t xml:space="preserve"> use of </w:t>
      </w:r>
      <w:r w:rsidRPr="00091600">
        <w:rPr>
          <w:rFonts w:ascii="Roboto Light" w:hAnsi="Roboto Light"/>
          <w:i/>
          <w:szCs w:val="22"/>
          <w:lang w:val="en-AU"/>
        </w:rPr>
        <w:t>wantok</w:t>
      </w:r>
      <w:r w:rsidR="000F4B57" w:rsidRPr="00091600">
        <w:rPr>
          <w:rFonts w:ascii="Roboto Light" w:hAnsi="Roboto Light"/>
          <w:szCs w:val="22"/>
          <w:lang w:val="en-AU"/>
        </w:rPr>
        <w:t xml:space="preserve"> as a means of exclusion, and an important issue in the PNG public service, is not mentioned in the design, and ethnicity as a concept is mentioned only </w:t>
      </w:r>
      <w:r w:rsidR="00672756" w:rsidRPr="00091600">
        <w:rPr>
          <w:rFonts w:ascii="Roboto Light" w:hAnsi="Roboto Light"/>
          <w:szCs w:val="22"/>
          <w:lang w:val="en-AU"/>
        </w:rPr>
        <w:t>onc</w:t>
      </w:r>
      <w:r w:rsidRPr="00091600">
        <w:rPr>
          <w:rFonts w:ascii="Roboto Light" w:hAnsi="Roboto Light"/>
          <w:szCs w:val="22"/>
          <w:lang w:val="en-AU"/>
        </w:rPr>
        <w:t>e;</w:t>
      </w:r>
      <w:r w:rsidR="000F4B57" w:rsidRPr="00091600">
        <w:rPr>
          <w:rStyle w:val="FootnoteReference"/>
          <w:rFonts w:ascii="Roboto Light" w:hAnsi="Roboto Light"/>
          <w:szCs w:val="22"/>
          <w:lang w:val="en-AU"/>
        </w:rPr>
        <w:footnoteReference w:id="58"/>
      </w:r>
    </w:p>
    <w:p w:rsidR="000F4B57" w:rsidRPr="00091600" w:rsidRDefault="00D757AE" w:rsidP="000F4B57">
      <w:pPr>
        <w:pStyle w:val="ListBullet"/>
        <w:rPr>
          <w:rFonts w:ascii="Roboto Light" w:hAnsi="Roboto Light"/>
          <w:szCs w:val="22"/>
          <w:lang w:val="en-AU"/>
        </w:rPr>
      </w:pPr>
      <w:r w:rsidRPr="00091600">
        <w:rPr>
          <w:rFonts w:ascii="Roboto Light" w:hAnsi="Roboto Light"/>
          <w:szCs w:val="22"/>
          <w:lang w:val="en-AU"/>
        </w:rPr>
        <w:t>g</w:t>
      </w:r>
      <w:r w:rsidR="00672756" w:rsidRPr="00091600">
        <w:rPr>
          <w:rFonts w:ascii="Roboto Light" w:hAnsi="Roboto Light"/>
          <w:szCs w:val="22"/>
          <w:lang w:val="en-AU"/>
        </w:rPr>
        <w:t xml:space="preserve">ender equity and social inclusion </w:t>
      </w:r>
      <w:r w:rsidR="000F4B57" w:rsidRPr="00091600">
        <w:rPr>
          <w:rFonts w:ascii="Roboto Light" w:hAnsi="Roboto Light"/>
          <w:szCs w:val="22"/>
          <w:lang w:val="en-AU"/>
        </w:rPr>
        <w:t>being treated as an ‘add-on’ rather than as a core business (e.g. as separate rather than mainstreamed and inclusive indicators in the Precinct results framework</w:t>
      </w:r>
      <w:r w:rsidR="00672756" w:rsidRPr="00091600">
        <w:rPr>
          <w:rFonts w:ascii="Roboto Light" w:hAnsi="Roboto Light"/>
          <w:szCs w:val="22"/>
          <w:lang w:val="en-AU"/>
        </w:rPr>
        <w:t>)</w:t>
      </w:r>
      <w:r w:rsidR="003E5ACF" w:rsidRPr="00091600">
        <w:rPr>
          <w:rFonts w:ascii="Roboto Light" w:hAnsi="Roboto Light"/>
          <w:szCs w:val="22"/>
          <w:lang w:val="en-AU"/>
        </w:rPr>
        <w:t>;</w:t>
      </w:r>
    </w:p>
    <w:p w:rsidR="000F4B57" w:rsidRPr="00091600" w:rsidRDefault="003E5ACF" w:rsidP="000F4B57">
      <w:pPr>
        <w:pStyle w:val="ListBullet"/>
        <w:rPr>
          <w:rFonts w:ascii="Roboto Light" w:hAnsi="Roboto Light"/>
          <w:szCs w:val="22"/>
          <w:lang w:val="en-AU"/>
        </w:rPr>
      </w:pPr>
      <w:r w:rsidRPr="00091600">
        <w:rPr>
          <w:rFonts w:ascii="Roboto Light" w:hAnsi="Roboto Light"/>
          <w:szCs w:val="22"/>
          <w:lang w:val="en-AU"/>
        </w:rPr>
        <w:t>s</w:t>
      </w:r>
      <w:r w:rsidR="00672756" w:rsidRPr="00091600">
        <w:rPr>
          <w:rFonts w:ascii="Roboto Light" w:hAnsi="Roboto Light"/>
          <w:szCs w:val="22"/>
          <w:lang w:val="en-AU"/>
        </w:rPr>
        <w:t>upport</w:t>
      </w:r>
      <w:r w:rsidR="000F4B57" w:rsidRPr="00091600">
        <w:rPr>
          <w:rFonts w:ascii="Roboto Light" w:hAnsi="Roboto Light"/>
          <w:szCs w:val="22"/>
          <w:lang w:val="en-AU"/>
        </w:rPr>
        <w:t xml:space="preserve"> for activities that support ‘advancement’ (access to knowledge, skills, training, etc.) such as equal participation in courses. The Precinct provides insufficient attention to ‘empowerment’, the societal and workplace transformation towards acceptance of the right for those people to occupy non-traditional gender and social roles</w:t>
      </w:r>
      <w:r w:rsidRPr="00091600">
        <w:rPr>
          <w:rFonts w:ascii="Roboto Light" w:hAnsi="Roboto Light"/>
          <w:szCs w:val="22"/>
          <w:lang w:val="en-AU"/>
        </w:rPr>
        <w:t>;</w:t>
      </w:r>
      <w:r w:rsidR="000F4B57" w:rsidRPr="00091600">
        <w:rPr>
          <w:rStyle w:val="FootnoteReference"/>
          <w:rFonts w:ascii="Roboto Light" w:hAnsi="Roboto Light"/>
          <w:szCs w:val="22"/>
          <w:lang w:val="en-AU"/>
        </w:rPr>
        <w:footnoteReference w:id="59"/>
      </w:r>
      <w:r w:rsidR="000F4B57" w:rsidRPr="00091600">
        <w:rPr>
          <w:rFonts w:ascii="Roboto Light" w:hAnsi="Roboto Light"/>
          <w:szCs w:val="22"/>
          <w:lang w:val="en-AU"/>
        </w:rPr>
        <w:t xml:space="preserve"> and</w:t>
      </w:r>
    </w:p>
    <w:p w:rsidR="000F4B57" w:rsidRPr="00091600" w:rsidRDefault="003E5ACF" w:rsidP="000F4B57">
      <w:pPr>
        <w:pStyle w:val="ListBullet"/>
        <w:rPr>
          <w:rFonts w:ascii="Roboto Light" w:hAnsi="Roboto Light"/>
          <w:szCs w:val="22"/>
          <w:lang w:val="en-AU"/>
        </w:rPr>
      </w:pPr>
      <w:r w:rsidRPr="00091600">
        <w:rPr>
          <w:rFonts w:ascii="Roboto Light" w:hAnsi="Roboto Light"/>
          <w:szCs w:val="22"/>
          <w:lang w:val="en-AU"/>
        </w:rPr>
        <w:t>o</w:t>
      </w:r>
      <w:r w:rsidR="00672756" w:rsidRPr="00091600">
        <w:rPr>
          <w:rFonts w:ascii="Roboto Light" w:hAnsi="Roboto Light"/>
          <w:szCs w:val="22"/>
          <w:lang w:val="en-AU"/>
        </w:rPr>
        <w:t>veruse</w:t>
      </w:r>
      <w:r w:rsidR="000F4B57" w:rsidRPr="00091600">
        <w:rPr>
          <w:rFonts w:ascii="Roboto Light" w:hAnsi="Roboto Light"/>
          <w:szCs w:val="22"/>
          <w:lang w:val="en-AU"/>
        </w:rPr>
        <w:t xml:space="preserve"> of the term ‘transformation’, with few tangible activities that would achieve the transformation necessary for full inclusion and empowerment.</w:t>
      </w:r>
    </w:p>
    <w:p w:rsidR="000F4B57" w:rsidRPr="00091600" w:rsidRDefault="000F4B57" w:rsidP="000F4B57">
      <w:pPr>
        <w:pStyle w:val="BodyText"/>
        <w:spacing w:before="120"/>
        <w:rPr>
          <w:lang w:val="en-AU"/>
        </w:rPr>
      </w:pPr>
      <w:r w:rsidRPr="001422B3">
        <w:rPr>
          <w:rFonts w:ascii="Roboto" w:hAnsi="Roboto"/>
          <w:b/>
          <w:lang w:val="en-AU"/>
        </w:rPr>
        <w:t>Inadequate Precinct design</w:t>
      </w:r>
      <w:r w:rsidR="003E5ACF" w:rsidRPr="006A2786">
        <w:rPr>
          <w:rFonts w:ascii="Roboto" w:hAnsi="Roboto"/>
          <w:lang w:val="en-AU"/>
        </w:rPr>
        <w:t>:</w:t>
      </w:r>
      <w:r w:rsidR="00672756" w:rsidRPr="00091600">
        <w:rPr>
          <w:lang w:val="en-AU"/>
        </w:rPr>
        <w:t xml:space="preserve"> </w:t>
      </w:r>
      <w:r w:rsidR="003E5ACF" w:rsidRPr="00091600">
        <w:rPr>
          <w:lang w:val="en-AU"/>
        </w:rPr>
        <w:t>t</w:t>
      </w:r>
      <w:r w:rsidR="00672756" w:rsidRPr="00091600">
        <w:rPr>
          <w:lang w:val="en-AU"/>
        </w:rPr>
        <w:t>he</w:t>
      </w:r>
      <w:r w:rsidRPr="00091600">
        <w:rPr>
          <w:lang w:val="en-AU"/>
        </w:rPr>
        <w:t xml:space="preserve"> program is not directly tackling the factors which prevent women and other people traditionally marginalised from leadership and </w:t>
      </w:r>
      <w:r w:rsidR="00DB5DD0">
        <w:rPr>
          <w:lang w:val="en-AU"/>
        </w:rPr>
        <w:t>decision</w:t>
      </w:r>
      <w:r w:rsidRPr="00091600">
        <w:rPr>
          <w:lang w:val="en-AU"/>
        </w:rPr>
        <w:t xml:space="preserve"> making roles in PNG’s diverse public service workplaces. The </w:t>
      </w:r>
      <w:r w:rsidR="003E5ACF" w:rsidRPr="00091600">
        <w:rPr>
          <w:i/>
          <w:lang w:val="en-AU"/>
        </w:rPr>
        <w:t>wantok</w:t>
      </w:r>
      <w:r w:rsidRPr="00091600">
        <w:rPr>
          <w:lang w:val="en-AU"/>
        </w:rPr>
        <w:t xml:space="preserve"> system was noted by informants as a major barrier to inclusion. A surprising enabler almost universally mentioned in interviews was the unifying nature of Christian ethics as a means to overcome exclusion and </w:t>
      </w:r>
      <w:r w:rsidR="003E5ACF" w:rsidRPr="00091600">
        <w:rPr>
          <w:i/>
          <w:lang w:val="en-AU"/>
        </w:rPr>
        <w:t>wantok</w:t>
      </w:r>
      <w:r w:rsidR="00672756" w:rsidRPr="00091600">
        <w:rPr>
          <w:lang w:val="en-AU"/>
        </w:rPr>
        <w:t>.</w:t>
      </w:r>
      <w:r w:rsidRPr="00091600">
        <w:rPr>
          <w:lang w:val="en-AU"/>
        </w:rPr>
        <w:t xml:space="preserve"> These social factors were not mentioned in design documents. Identifying these barriers to</w:t>
      </w:r>
      <w:r w:rsidR="003D6D68">
        <w:rPr>
          <w:lang w:val="en-AU"/>
        </w:rPr>
        <w:t xml:space="preserve">, </w:t>
      </w:r>
      <w:r w:rsidRPr="00091600">
        <w:rPr>
          <w:lang w:val="en-AU"/>
        </w:rPr>
        <w:t>and enablers of</w:t>
      </w:r>
      <w:r w:rsidR="00B14C45" w:rsidRPr="00091600">
        <w:rPr>
          <w:lang w:val="en-AU"/>
        </w:rPr>
        <w:t>,</w:t>
      </w:r>
      <w:r w:rsidR="00672756" w:rsidRPr="00091600">
        <w:rPr>
          <w:lang w:val="en-AU"/>
        </w:rPr>
        <w:t xml:space="preserve"> </w:t>
      </w:r>
      <w:r w:rsidRPr="00091600">
        <w:rPr>
          <w:lang w:val="en-AU"/>
        </w:rPr>
        <w:t xml:space="preserve">genuine transformative change at the middle and senior management levels is necessary to create an enabling environment for sustainable inclusion of women and other groups marginalised from </w:t>
      </w:r>
      <w:r w:rsidR="00DB5DD0">
        <w:rPr>
          <w:lang w:val="en-AU"/>
        </w:rPr>
        <w:t>decision</w:t>
      </w:r>
      <w:r w:rsidRPr="00091600">
        <w:rPr>
          <w:lang w:val="en-AU"/>
        </w:rPr>
        <w:t xml:space="preserve"> making and leadership. Precinct activities would then promote the enablers </w:t>
      </w:r>
      <w:r w:rsidR="00672756" w:rsidRPr="00091600">
        <w:rPr>
          <w:lang w:val="en-AU"/>
        </w:rPr>
        <w:t>whil</w:t>
      </w:r>
      <w:r w:rsidR="00780A6F" w:rsidRPr="00091600">
        <w:rPr>
          <w:lang w:val="en-AU"/>
        </w:rPr>
        <w:t>e</w:t>
      </w:r>
      <w:r w:rsidRPr="00091600">
        <w:rPr>
          <w:lang w:val="en-AU"/>
        </w:rPr>
        <w:t xml:space="preserve"> deconstructing the barriers to that transformative change, such as through specific measures, for example targeting </w:t>
      </w:r>
      <w:r w:rsidR="0081334D" w:rsidRPr="00091600">
        <w:rPr>
          <w:lang w:val="en-AU"/>
        </w:rPr>
        <w:t xml:space="preserve">gender-based violence </w:t>
      </w:r>
      <w:r w:rsidRPr="00091600">
        <w:rPr>
          <w:lang w:val="en-AU"/>
        </w:rPr>
        <w:t>in the workplace. This finding is based on a wide evidence base and lessons learned from other programs.</w:t>
      </w:r>
      <w:r w:rsidRPr="00091600">
        <w:rPr>
          <w:rStyle w:val="FootnoteReference"/>
          <w:lang w:val="en-AU"/>
        </w:rPr>
        <w:footnoteReference w:id="60"/>
      </w:r>
    </w:p>
    <w:p w:rsidR="000F4B57" w:rsidRPr="00091600" w:rsidRDefault="000F4B57" w:rsidP="000F4B57">
      <w:pPr>
        <w:pStyle w:val="BodyText"/>
        <w:rPr>
          <w:lang w:val="en-AU"/>
        </w:rPr>
      </w:pPr>
      <w:r w:rsidRPr="00091600">
        <w:rPr>
          <w:lang w:val="en-AU"/>
        </w:rPr>
        <w:t xml:space="preserve">A gender and socially inclusive context analysis is needed, both for the Precinct as a whole and for most of its training packages (with the exception of the two courses mentioned above). Appropriate MEL strategies based on this analysis would ensure that activities are achieving their intended outputs and outcomes and can be adjusted as needed, while making sure that this work is ‘doing no harm’. This would demonstrate genuine commitment to GESI, consistently integrated through all elements of programming, budgeting and monitoring and evaluation, </w:t>
      </w:r>
      <w:r w:rsidR="00A63ABD" w:rsidRPr="00091600">
        <w:rPr>
          <w:lang w:val="en-AU"/>
        </w:rPr>
        <w:t xml:space="preserve">rather than </w:t>
      </w:r>
      <w:r w:rsidR="00672756" w:rsidRPr="00091600">
        <w:rPr>
          <w:lang w:val="en-AU"/>
        </w:rPr>
        <w:t>‘compliance’ monitoring at</w:t>
      </w:r>
      <w:r w:rsidR="00A63ABD" w:rsidRPr="00091600">
        <w:rPr>
          <w:lang w:val="en-AU"/>
        </w:rPr>
        <w:t xml:space="preserve"> reporting </w:t>
      </w:r>
      <w:r w:rsidR="00672756" w:rsidRPr="00091600">
        <w:rPr>
          <w:lang w:val="en-AU"/>
        </w:rPr>
        <w:t>time through Aid Quality Checks</w:t>
      </w:r>
      <w:r w:rsidR="00413FE2" w:rsidRPr="00091600">
        <w:rPr>
          <w:lang w:val="en-AU"/>
        </w:rPr>
        <w:t xml:space="preserve">. </w:t>
      </w:r>
      <w:r w:rsidRPr="00091600">
        <w:rPr>
          <w:lang w:val="en-AU"/>
        </w:rPr>
        <w:t>At present, the Precinct program and DPM do not generate enough data to ascertain how GESI training is influencing the public service and contributing to a change in practices</w:t>
      </w:r>
      <w:r w:rsidR="00413FE2" w:rsidRPr="00091600">
        <w:rPr>
          <w:lang w:val="en-AU"/>
        </w:rPr>
        <w:t>.</w:t>
      </w:r>
    </w:p>
    <w:p w:rsidR="000F4B57" w:rsidRPr="00091600" w:rsidRDefault="000F4B57" w:rsidP="000F4B57">
      <w:pPr>
        <w:pStyle w:val="BodyText"/>
        <w:rPr>
          <w:lang w:val="en-AU"/>
        </w:rPr>
      </w:pPr>
      <w:r w:rsidRPr="001422B3">
        <w:rPr>
          <w:rFonts w:ascii="Roboto" w:hAnsi="Roboto"/>
          <w:b/>
          <w:lang w:val="en-AU"/>
        </w:rPr>
        <w:t>Incomplete implementation of the National GESI Policy</w:t>
      </w:r>
      <w:r w:rsidR="003E5ACF" w:rsidRPr="006A2786">
        <w:rPr>
          <w:rFonts w:ascii="Roboto" w:hAnsi="Roboto"/>
          <w:lang w:val="en-AU"/>
        </w:rPr>
        <w:t>:</w:t>
      </w:r>
      <w:r w:rsidR="00672756" w:rsidRPr="00091600">
        <w:rPr>
          <w:lang w:val="en-AU"/>
        </w:rPr>
        <w:t xml:space="preserve"> </w:t>
      </w:r>
      <w:r w:rsidR="003E5ACF" w:rsidRPr="00091600">
        <w:rPr>
          <w:lang w:val="en-AU"/>
        </w:rPr>
        <w:t>d</w:t>
      </w:r>
      <w:r w:rsidR="00672756" w:rsidRPr="00091600">
        <w:rPr>
          <w:lang w:val="en-AU"/>
        </w:rPr>
        <w:t>espite</w:t>
      </w:r>
      <w:r w:rsidRPr="00091600">
        <w:rPr>
          <w:lang w:val="en-AU"/>
        </w:rPr>
        <w:t xml:space="preserve"> a comprehensive GESI Policy, its implementation is incomplete, both at the national and sub-national levels. GESI Helpdesks only function in a handful of departments and </w:t>
      </w:r>
      <w:r w:rsidR="009F5553" w:rsidRPr="00091600">
        <w:rPr>
          <w:lang w:val="en-AU"/>
        </w:rPr>
        <w:t>p</w:t>
      </w:r>
      <w:r w:rsidR="00672756" w:rsidRPr="00091600">
        <w:rPr>
          <w:lang w:val="en-AU"/>
        </w:rPr>
        <w:t xml:space="preserve">rovincial </w:t>
      </w:r>
      <w:r w:rsidR="009F5553" w:rsidRPr="00091600">
        <w:rPr>
          <w:lang w:val="en-AU"/>
        </w:rPr>
        <w:t>o</w:t>
      </w:r>
      <w:r w:rsidR="00672756" w:rsidRPr="00091600">
        <w:rPr>
          <w:lang w:val="en-AU"/>
        </w:rPr>
        <w:t>ffices</w:t>
      </w:r>
      <w:r w:rsidRPr="00091600">
        <w:rPr>
          <w:lang w:val="en-AU"/>
        </w:rPr>
        <w:t xml:space="preserve"> (the numbers are unreported by DPM). Reporting mechanisms are also insufficient: the accompanying GESI MEL </w:t>
      </w:r>
      <w:r w:rsidR="003E5ACF" w:rsidRPr="00091600">
        <w:rPr>
          <w:lang w:val="en-AU"/>
        </w:rPr>
        <w:t>p</w:t>
      </w:r>
      <w:r w:rsidR="00195138" w:rsidRPr="00091600">
        <w:rPr>
          <w:lang w:val="en-AU"/>
        </w:rPr>
        <w:t>lan</w:t>
      </w:r>
      <w:r w:rsidRPr="00091600">
        <w:rPr>
          <w:lang w:val="en-AU"/>
        </w:rPr>
        <w:t xml:space="preserve"> has not been implemented, and the planned GESI database is inactive. Staff key performance indicators are only now being discussed. Data on the impact of the recruitment elements of the policy are therefore not available. Yet, concrete progress is required to achieve the Precinct goal of a new generation of both women and men leaders; the long-term outcome of ‘increased in number of women represented in leadership and </w:t>
      </w:r>
      <w:r w:rsidR="00DB5DD0">
        <w:rPr>
          <w:lang w:val="en-AU"/>
        </w:rPr>
        <w:t>decision</w:t>
      </w:r>
      <w:r w:rsidRPr="00091600">
        <w:rPr>
          <w:lang w:val="en-AU"/>
        </w:rPr>
        <w:t xml:space="preserve"> making roles of the PNG public service’; and the 2016 Update commitments to equality of opportunity for female academics and staff.</w:t>
      </w:r>
    </w:p>
    <w:tbl>
      <w:tblPr>
        <w:tblStyle w:val="OPMBoxstyle"/>
        <w:tblW w:w="0" w:type="auto"/>
        <w:tblLook w:val="04A0" w:firstRow="1" w:lastRow="0" w:firstColumn="1" w:lastColumn="0" w:noHBand="0" w:noVBand="1"/>
        <w:tblCaption w:val="Precinct lessons learned 2 - gender empowerment requires more than parity and awareness raising in program activities"/>
        <w:tblDescription w:val="Despite an ambitious government-owned GESI Policy, Precinct implementation is not focusing on some of its commitments towards more women in senior decision making positions in the public service or academia. Equal access to training activities provides advancement and awareness-raising. Empowerment, however, requires both ‘advancement’ of skills for individuals, along with interventions that will ‘transform’ the PNG public service workplace culture."/>
      </w:tblPr>
      <w:tblGrid>
        <w:gridCol w:w="9730"/>
      </w:tblGrid>
      <w:tr w:rsidR="004C6EE6" w:rsidRPr="00091600" w:rsidTr="00CE4AA6">
        <w:trPr>
          <w:cnfStyle w:val="100000000000" w:firstRow="1" w:lastRow="0" w:firstColumn="0" w:lastColumn="0" w:oddVBand="0" w:evenVBand="0" w:oddHBand="0" w:evenHBand="0" w:firstRowFirstColumn="0" w:firstRowLastColumn="0" w:lastRowFirstColumn="0" w:lastRowLastColumn="0"/>
          <w:trHeight w:val="507"/>
          <w:tblHeader/>
        </w:trPr>
        <w:tc>
          <w:tcPr>
            <w:tcW w:w="9730" w:type="dxa"/>
          </w:tcPr>
          <w:p w:rsidR="004C6EE6" w:rsidRPr="006A2786" w:rsidRDefault="004C6EE6" w:rsidP="006A2786">
            <w:pPr>
              <w:pStyle w:val="Boxcaption"/>
            </w:pPr>
            <w:r w:rsidRPr="006A2786">
              <w:t xml:space="preserve">Box </w:t>
            </w:r>
            <w:r w:rsidRPr="006A2786">
              <w:fldChar w:fldCharType="begin"/>
            </w:r>
            <w:r w:rsidRPr="006A2786">
              <w:instrText xml:space="preserve"> SEQ Box \* ARABIC </w:instrText>
            </w:r>
            <w:r w:rsidRPr="006A2786">
              <w:fldChar w:fldCharType="separate"/>
            </w:r>
            <w:r w:rsidR="004964E9">
              <w:rPr>
                <w:noProof/>
              </w:rPr>
              <w:t>5</w:t>
            </w:r>
            <w:r w:rsidRPr="006A2786">
              <w:fldChar w:fldCharType="end"/>
            </w:r>
            <w:r w:rsidRPr="006A2786">
              <w:t>:</w:t>
            </w:r>
            <w:r w:rsidRPr="006A2786">
              <w:tab/>
              <w:t>Precinct lessons learned 2</w:t>
            </w:r>
            <w:r w:rsidR="00690D22">
              <w:t xml:space="preserve"> –</w:t>
            </w:r>
            <w:r w:rsidRPr="006A2786">
              <w:t xml:space="preserve"> </w:t>
            </w:r>
            <w:r w:rsidRPr="00347111">
              <w:rPr>
                <w:b w:val="0"/>
              </w:rPr>
              <w:t>gender empowerment requires more than parity and awareness-raising in program activities</w:t>
            </w:r>
          </w:p>
        </w:tc>
      </w:tr>
      <w:tr w:rsidR="000F4B57" w:rsidRPr="00091600" w:rsidTr="004C6EE6">
        <w:tc>
          <w:tcPr>
            <w:tcW w:w="9730" w:type="dxa"/>
          </w:tcPr>
          <w:p w:rsidR="000F4B57" w:rsidRPr="00091600" w:rsidRDefault="000F4B57">
            <w:pPr>
              <w:pStyle w:val="Boxtext"/>
              <w:rPr>
                <w:rFonts w:ascii="Roboto Light" w:hAnsi="Roboto Light"/>
                <w:sz w:val="22"/>
              </w:rPr>
            </w:pPr>
            <w:r w:rsidRPr="00091600">
              <w:rPr>
                <w:rFonts w:ascii="Roboto Light" w:hAnsi="Roboto Light"/>
              </w:rPr>
              <w:t>Despite an ambitious government-owned GESI Policy, Precinct implementation is not focusing on some of its commitments towards more women in senior decision making positions in the public service or academia. Equal access to training activities provides advancement and awareness-raising. Empowerment, however, requires both ‘advancement’ of skills for individuals, along with interventions that will ‘transform’ the PNG public service workplace culture.</w:t>
            </w:r>
          </w:p>
        </w:tc>
      </w:tr>
    </w:tbl>
    <w:p w:rsidR="000F4B57" w:rsidRPr="00091600" w:rsidRDefault="000F4B57" w:rsidP="006A2786">
      <w:pPr>
        <w:pStyle w:val="Heading4"/>
        <w:rPr>
          <w:lang w:val="en-AU"/>
        </w:rPr>
      </w:pPr>
      <w:r w:rsidRPr="006A2786">
        <w:t>Opportunities</w:t>
      </w:r>
    </w:p>
    <w:p w:rsidR="000F4B57" w:rsidRPr="00091600" w:rsidRDefault="000F4B57" w:rsidP="000F4B57">
      <w:pPr>
        <w:pStyle w:val="BodyText"/>
        <w:rPr>
          <w:lang w:val="en-AU"/>
        </w:rPr>
      </w:pPr>
      <w:r w:rsidRPr="001422B3">
        <w:rPr>
          <w:rFonts w:ascii="Roboto" w:hAnsi="Roboto"/>
          <w:b/>
          <w:lang w:val="en-AU"/>
        </w:rPr>
        <w:t>GESI commitment</w:t>
      </w:r>
      <w:r w:rsidR="003E5ACF" w:rsidRPr="006A2786">
        <w:rPr>
          <w:rFonts w:ascii="Roboto" w:hAnsi="Roboto"/>
          <w:lang w:val="en-AU"/>
        </w:rPr>
        <w:t>:</w:t>
      </w:r>
      <w:r w:rsidR="00F66616" w:rsidRPr="00091600">
        <w:rPr>
          <w:lang w:val="en-AU"/>
        </w:rPr>
        <w:t xml:space="preserve"> </w:t>
      </w:r>
      <w:r w:rsidR="003E5ACF" w:rsidRPr="00091600">
        <w:rPr>
          <w:lang w:val="en-AU"/>
        </w:rPr>
        <w:t>t</w:t>
      </w:r>
      <w:r w:rsidR="00F66616" w:rsidRPr="00091600">
        <w:rPr>
          <w:lang w:val="en-AU"/>
        </w:rPr>
        <w:t>he</w:t>
      </w:r>
      <w:r w:rsidRPr="00091600">
        <w:rPr>
          <w:lang w:val="en-AU"/>
        </w:rPr>
        <w:t xml:space="preserve"> Strategic Review </w:t>
      </w:r>
      <w:r w:rsidR="00CF45C5" w:rsidRPr="00091600">
        <w:rPr>
          <w:lang w:val="en-AU"/>
        </w:rPr>
        <w:t>t</w:t>
      </w:r>
      <w:r w:rsidR="00672756" w:rsidRPr="00091600">
        <w:rPr>
          <w:lang w:val="en-AU"/>
        </w:rPr>
        <w:t>eam</w:t>
      </w:r>
      <w:r w:rsidRPr="00091600">
        <w:rPr>
          <w:lang w:val="en-AU"/>
        </w:rPr>
        <w:t xml:space="preserve"> was impressed by the high level of commitment to gender equity and social inclusion in leadership and </w:t>
      </w:r>
      <w:r w:rsidR="00DB5DD0">
        <w:rPr>
          <w:lang w:val="en-AU"/>
        </w:rPr>
        <w:t>decision</w:t>
      </w:r>
      <w:r w:rsidRPr="00091600">
        <w:rPr>
          <w:lang w:val="en-AU"/>
        </w:rPr>
        <w:t xml:space="preserve"> making demonstrated by public service learners who participated in Precinct training activities. Interviews also indicated an improvement over the past year in senior Abt PNG staff and AHC senior staff commitment to gender and social inclusion. It is highly likely that one of the barriers to effective GESI Policy implementation is the lack of awareness of GESI principles by male senior managers and human resources managers within all departments at the national and sub-national levels. Though not part of the Precinct program, AHC should support the </w:t>
      </w:r>
      <w:r w:rsidR="008A51B3" w:rsidRPr="00091600">
        <w:rPr>
          <w:lang w:val="en-AU"/>
        </w:rPr>
        <w:t>scal</w:t>
      </w:r>
      <w:r w:rsidR="003E5ACF" w:rsidRPr="00091600">
        <w:rPr>
          <w:lang w:val="en-AU"/>
        </w:rPr>
        <w:t>ing</w:t>
      </w:r>
      <w:r w:rsidRPr="00091600">
        <w:rPr>
          <w:lang w:val="en-AU"/>
        </w:rPr>
        <w:t xml:space="preserve"> up of ‘Male Advocates’ training to capitalise on this and transform public service workplaces. A mapping of the GESI content of all Precinct courses would also help improve mainstreaming.</w:t>
      </w:r>
    </w:p>
    <w:p w:rsidR="000F4B57" w:rsidRPr="00091600" w:rsidRDefault="000F4B57" w:rsidP="000F4B57">
      <w:pPr>
        <w:pStyle w:val="BodyText"/>
        <w:rPr>
          <w:lang w:val="en-AU"/>
        </w:rPr>
      </w:pPr>
      <w:r w:rsidRPr="001422B3">
        <w:rPr>
          <w:rFonts w:ascii="Roboto" w:hAnsi="Roboto"/>
          <w:b/>
          <w:lang w:val="en-AU"/>
        </w:rPr>
        <w:t xml:space="preserve">Commitment to ethical values-based leadership over </w:t>
      </w:r>
      <w:r w:rsidR="003E5ACF" w:rsidRPr="001422B3">
        <w:rPr>
          <w:rFonts w:ascii="Roboto" w:hAnsi="Roboto"/>
          <w:b/>
          <w:i/>
          <w:lang w:val="en-AU"/>
        </w:rPr>
        <w:t>wantok</w:t>
      </w:r>
      <w:r w:rsidR="003E5ACF" w:rsidRPr="006A2786">
        <w:rPr>
          <w:rFonts w:ascii="Roboto" w:hAnsi="Roboto"/>
          <w:lang w:val="en-AU"/>
        </w:rPr>
        <w:t>:</w:t>
      </w:r>
      <w:r w:rsidR="00672756" w:rsidRPr="00091600">
        <w:rPr>
          <w:lang w:val="en-AU"/>
        </w:rPr>
        <w:t xml:space="preserve"> </w:t>
      </w:r>
      <w:r w:rsidR="003E5ACF" w:rsidRPr="00091600">
        <w:rPr>
          <w:lang w:val="en-AU"/>
        </w:rPr>
        <w:t>e</w:t>
      </w:r>
      <w:r w:rsidR="00672756" w:rsidRPr="00091600">
        <w:rPr>
          <w:lang w:val="en-AU"/>
        </w:rPr>
        <w:t>qually</w:t>
      </w:r>
      <w:r w:rsidRPr="00091600">
        <w:rPr>
          <w:lang w:val="en-AU"/>
        </w:rPr>
        <w:t xml:space="preserve"> impressive, and somewhat surprising, was the commitment to a unified identity for the benefit of all PNG people. </w:t>
      </w:r>
      <w:r w:rsidR="003E5ACF" w:rsidRPr="00091600">
        <w:rPr>
          <w:i/>
          <w:lang w:val="en-AU"/>
        </w:rPr>
        <w:t>Wantok</w:t>
      </w:r>
      <w:r w:rsidRPr="00091600">
        <w:rPr>
          <w:lang w:val="en-AU"/>
        </w:rPr>
        <w:t xml:space="preserve"> can lead to ethnicity-based selection and favouritism through the social pressure to give priority to members of your own ethnic group.</w:t>
      </w:r>
      <w:r w:rsidRPr="00091600">
        <w:rPr>
          <w:rStyle w:val="FootnoteReference"/>
          <w:lang w:val="en-AU"/>
        </w:rPr>
        <w:footnoteReference w:id="61"/>
      </w:r>
      <w:r w:rsidRPr="00091600">
        <w:rPr>
          <w:lang w:val="en-AU"/>
        </w:rPr>
        <w:t xml:space="preserve"> Though we discussed the problems and benefits of regionalism and the </w:t>
      </w:r>
      <w:r w:rsidR="003E5ACF" w:rsidRPr="00091600">
        <w:rPr>
          <w:i/>
          <w:lang w:val="en-AU"/>
        </w:rPr>
        <w:t>wantok</w:t>
      </w:r>
      <w:r w:rsidRPr="00091600">
        <w:rPr>
          <w:lang w:val="en-AU"/>
        </w:rPr>
        <w:t xml:space="preserve"> system, overwhelmingly, informants wanted to go beyond </w:t>
      </w:r>
      <w:r w:rsidR="003E5ACF" w:rsidRPr="00091600">
        <w:rPr>
          <w:i/>
          <w:lang w:val="en-AU"/>
        </w:rPr>
        <w:t>wantok</w:t>
      </w:r>
      <w:r w:rsidRPr="00091600">
        <w:rPr>
          <w:lang w:val="en-AU"/>
        </w:rPr>
        <w:t xml:space="preserve"> to ensure merit-based, ethical leadership derived from unifying Christian values. A unified national identity that rejects the privileging of ethnicity is a great enabler of diverse social roles for those normally marginalised from leadership. It modifies the social pressure those choosing to assume new social roles may experience from their own family and community.</w:t>
      </w:r>
    </w:p>
    <w:p w:rsidR="000F4B57" w:rsidRPr="00091600" w:rsidRDefault="000F4B57" w:rsidP="000F4B57">
      <w:pPr>
        <w:pStyle w:val="BodyText"/>
        <w:rPr>
          <w:lang w:val="en-AU"/>
        </w:rPr>
      </w:pPr>
      <w:r w:rsidRPr="001422B3">
        <w:rPr>
          <w:rFonts w:ascii="Roboto" w:hAnsi="Roboto"/>
          <w:b/>
          <w:lang w:val="en-AU"/>
        </w:rPr>
        <w:t>GESI Policy process evaluation</w:t>
      </w:r>
      <w:r w:rsidR="003E5ACF" w:rsidRPr="006A2786">
        <w:rPr>
          <w:rFonts w:ascii="Roboto" w:hAnsi="Roboto"/>
          <w:lang w:val="en-AU"/>
        </w:rPr>
        <w:t>:</w:t>
      </w:r>
      <w:r w:rsidR="00672756" w:rsidRPr="00091600">
        <w:rPr>
          <w:lang w:val="en-AU"/>
        </w:rPr>
        <w:t xml:space="preserve"> </w:t>
      </w:r>
      <w:r w:rsidR="003E5ACF" w:rsidRPr="00091600">
        <w:rPr>
          <w:lang w:val="en-AU"/>
        </w:rPr>
        <w:t>e</w:t>
      </w:r>
      <w:r w:rsidR="00672756" w:rsidRPr="00091600">
        <w:rPr>
          <w:lang w:val="en-AU"/>
        </w:rPr>
        <w:t>mbedded</w:t>
      </w:r>
      <w:r w:rsidRPr="00091600">
        <w:rPr>
          <w:lang w:val="en-AU"/>
        </w:rPr>
        <w:t xml:space="preserve"> in the GESI Policy is the need for a mid-term evaluation of the implementation process. Our </w:t>
      </w:r>
      <w:r w:rsidR="00340BCC" w:rsidRPr="00091600">
        <w:rPr>
          <w:lang w:val="en-AU"/>
        </w:rPr>
        <w:t>r</w:t>
      </w:r>
      <w:r w:rsidR="00672756" w:rsidRPr="00091600">
        <w:rPr>
          <w:lang w:val="en-AU"/>
        </w:rPr>
        <w:t>eview</w:t>
      </w:r>
      <w:r w:rsidRPr="00091600">
        <w:rPr>
          <w:lang w:val="en-AU"/>
        </w:rPr>
        <w:t xml:space="preserve"> identified high-level political will and grassroots support for a workshop with stakeholders from national, provincial, and district levels engaged in the implementation of the </w:t>
      </w:r>
      <w:r w:rsidR="00340BCC" w:rsidRPr="00091600">
        <w:rPr>
          <w:lang w:val="en-AU"/>
        </w:rPr>
        <w:t>p</w:t>
      </w:r>
      <w:r w:rsidR="00672756" w:rsidRPr="00091600">
        <w:rPr>
          <w:lang w:val="en-AU"/>
        </w:rPr>
        <w:t>olicy</w:t>
      </w:r>
      <w:r w:rsidRPr="00091600">
        <w:rPr>
          <w:lang w:val="en-AU"/>
        </w:rPr>
        <w:t>. This would provide the perfect opportunity</w:t>
      </w:r>
      <w:r w:rsidR="00672756" w:rsidRPr="00091600">
        <w:rPr>
          <w:lang w:val="en-AU"/>
        </w:rPr>
        <w:t xml:space="preserve"> </w:t>
      </w:r>
      <w:r w:rsidRPr="00091600">
        <w:rPr>
          <w:lang w:val="en-AU"/>
        </w:rPr>
        <w:t xml:space="preserve">for gathering lessons learned on successes and challenges to implementation; performing a context analysis of implementation barriers and enablers; and </w:t>
      </w:r>
      <w:r w:rsidR="00672756" w:rsidRPr="00091600">
        <w:rPr>
          <w:lang w:val="en-AU"/>
        </w:rPr>
        <w:t>com</w:t>
      </w:r>
      <w:r w:rsidR="00340BCC" w:rsidRPr="00091600">
        <w:rPr>
          <w:lang w:val="en-AU"/>
        </w:rPr>
        <w:t>ing</w:t>
      </w:r>
      <w:r w:rsidRPr="00091600">
        <w:rPr>
          <w:lang w:val="en-AU"/>
        </w:rPr>
        <w:t xml:space="preserve"> up with strategies for improving the GESI Policy and its Toolkit. A similar process for the LCF would be valuable to achieve genuine inclusion in that document and more closely align these two core DPM policies.</w:t>
      </w:r>
    </w:p>
    <w:p w:rsidR="000F4B57" w:rsidRPr="00091600" w:rsidRDefault="000F4B57" w:rsidP="00B21A52">
      <w:pPr>
        <w:pStyle w:val="Recommendationthing"/>
        <w:keepNext/>
        <w:keepLines/>
      </w:pPr>
      <w:r w:rsidRPr="00091600">
        <w:t xml:space="preserve">GESI </w:t>
      </w:r>
      <w:r w:rsidRPr="006A2786">
        <w:t>recommendations</w:t>
      </w:r>
    </w:p>
    <w:p w:rsidR="000F4B57" w:rsidRPr="00091600" w:rsidRDefault="009207B2" w:rsidP="00B21A52">
      <w:pPr>
        <w:pStyle w:val="BodyText"/>
        <w:keepNext/>
        <w:keepLines/>
        <w:rPr>
          <w:lang w:val="en-AU"/>
        </w:rPr>
      </w:pPr>
      <w:r w:rsidRPr="00091600">
        <w:rPr>
          <w:rStyle w:val="RecommendationthingChar"/>
          <w:rFonts w:ascii="Roboto Light" w:hAnsi="Roboto Light"/>
          <w:color w:val="45A7E1" w:themeColor="accent1"/>
        </w:rPr>
        <w:sym w:font="Wingdings" w:char="F06E"/>
      </w:r>
      <w:r w:rsidRPr="00091600">
        <w:rPr>
          <w:rStyle w:val="RecommendationthingChar"/>
          <w:rFonts w:ascii="Roboto Light" w:hAnsi="Roboto Light"/>
          <w:color w:val="45A7E1" w:themeColor="accent1"/>
        </w:rPr>
        <w:t xml:space="preserve"> </w:t>
      </w:r>
      <w:r w:rsidR="000F4B57" w:rsidRPr="006A2786">
        <w:rPr>
          <w:rStyle w:val="RecommendationthingChar"/>
          <w:rFonts w:ascii="Poppins ExtraBold" w:hAnsi="Poppins ExtraBold" w:cs="Poppins ExtraBold"/>
        </w:rPr>
        <w:t>R11</w:t>
      </w:r>
      <w:r w:rsidR="000F4B57" w:rsidRPr="00091600">
        <w:rPr>
          <w:lang w:val="en-AU"/>
        </w:rPr>
        <w:t xml:space="preserve"> (to DPM </w:t>
      </w:r>
      <w:r w:rsidR="00B14C45" w:rsidRPr="00091600">
        <w:rPr>
          <w:lang w:val="en-AU"/>
        </w:rPr>
        <w:t>with</w:t>
      </w:r>
      <w:r w:rsidR="00340BCC" w:rsidRPr="00091600">
        <w:rPr>
          <w:lang w:val="en-AU"/>
        </w:rPr>
        <w:t xml:space="preserve"> </w:t>
      </w:r>
      <w:r w:rsidR="000F4B57" w:rsidRPr="00091600">
        <w:rPr>
          <w:lang w:val="en-AU"/>
        </w:rPr>
        <w:t xml:space="preserve">DFAT/AHC support): </w:t>
      </w:r>
      <w:r w:rsidR="00340BCC" w:rsidRPr="00091600">
        <w:rPr>
          <w:lang w:val="en-AU"/>
        </w:rPr>
        <w:t>o</w:t>
      </w:r>
      <w:r w:rsidR="00524F04" w:rsidRPr="00091600">
        <w:rPr>
          <w:lang w:val="en-AU"/>
        </w:rPr>
        <w:t>rganise</w:t>
      </w:r>
      <w:r w:rsidR="000F4B57" w:rsidRPr="00091600">
        <w:rPr>
          <w:lang w:val="en-AU"/>
        </w:rPr>
        <w:t xml:space="preserve"> a workshop on GESI Policy implementation to review progress (by December 2018) and adjust strategies within the Precinct (by June 2019). Stakeholders may include all DPM and provincial staff engaged in National GESI Policy Implementation,</w:t>
      </w:r>
      <w:r w:rsidR="00EB766E">
        <w:rPr>
          <w:lang w:val="en-AU"/>
        </w:rPr>
        <w:t xml:space="preserve"> civil society </w:t>
      </w:r>
      <w:r w:rsidR="00EB766E" w:rsidRPr="00EB766E">
        <w:rPr>
          <w:lang w:val="en-AU"/>
        </w:rPr>
        <w:t>organisations</w:t>
      </w:r>
      <w:r w:rsidR="000F4B57" w:rsidRPr="00EB766E">
        <w:rPr>
          <w:lang w:val="en-AU"/>
        </w:rPr>
        <w:t>, male</w:t>
      </w:r>
      <w:r w:rsidR="000F4B57" w:rsidRPr="00091600">
        <w:rPr>
          <w:lang w:val="en-AU"/>
        </w:rPr>
        <w:t xml:space="preserve"> and female political leaders, and any other participants DPM deem appropriate.</w:t>
      </w:r>
    </w:p>
    <w:p w:rsidR="000F4B57" w:rsidRPr="00091600" w:rsidRDefault="009207B2">
      <w:pPr>
        <w:pStyle w:val="BodyText"/>
        <w:rPr>
          <w:lang w:val="en-AU"/>
        </w:rPr>
      </w:pPr>
      <w:r w:rsidRPr="00091600">
        <w:rPr>
          <w:rStyle w:val="RecommendationthingChar"/>
          <w:rFonts w:ascii="Roboto Light" w:hAnsi="Roboto Light"/>
          <w:color w:val="45A7E1" w:themeColor="accent1"/>
        </w:rPr>
        <w:sym w:font="Wingdings" w:char="F06E"/>
      </w:r>
      <w:r w:rsidRPr="00091600">
        <w:rPr>
          <w:rStyle w:val="RecommendationthingChar"/>
          <w:rFonts w:ascii="Roboto Light" w:hAnsi="Roboto Light"/>
          <w:color w:val="45A7E1" w:themeColor="accent1"/>
        </w:rPr>
        <w:t xml:space="preserve"> </w:t>
      </w:r>
      <w:r w:rsidR="000F4B57" w:rsidRPr="006A2786">
        <w:rPr>
          <w:rStyle w:val="RecommendationthingChar"/>
          <w:rFonts w:ascii="Poppins ExtraBold" w:hAnsi="Poppins ExtraBold" w:cs="Poppins ExtraBold"/>
        </w:rPr>
        <w:t>R12</w:t>
      </w:r>
      <w:r w:rsidR="000F4B57" w:rsidRPr="00091600">
        <w:rPr>
          <w:lang w:val="en-AU"/>
        </w:rPr>
        <w:t xml:space="preserve"> (to DPM, DHERST, and other PNG government departments): </w:t>
      </w:r>
      <w:r w:rsidR="00340BCC" w:rsidRPr="00091600">
        <w:rPr>
          <w:lang w:val="en-AU"/>
        </w:rPr>
        <w:t>s</w:t>
      </w:r>
      <w:r w:rsidR="00524F04" w:rsidRPr="00091600">
        <w:rPr>
          <w:lang w:val="en-AU"/>
        </w:rPr>
        <w:t>trengthen</w:t>
      </w:r>
      <w:r w:rsidR="000F4B57" w:rsidRPr="00091600">
        <w:rPr>
          <w:lang w:val="en-AU"/>
        </w:rPr>
        <w:t xml:space="preserve"> the LCF to be more inclusive in its language through a </w:t>
      </w:r>
      <w:r w:rsidR="00E87298">
        <w:rPr>
          <w:lang w:val="en-AU"/>
        </w:rPr>
        <w:t>PNG Government</w:t>
      </w:r>
      <w:r w:rsidR="000F4B57" w:rsidRPr="00091600">
        <w:rPr>
          <w:lang w:val="en-AU"/>
        </w:rPr>
        <w:t>-led process (by June 2019).</w:t>
      </w:r>
    </w:p>
    <w:p w:rsidR="000F4B57" w:rsidRPr="00091600" w:rsidRDefault="009207B2">
      <w:pPr>
        <w:pStyle w:val="BodyText"/>
        <w:rPr>
          <w:lang w:val="en-AU"/>
        </w:rPr>
      </w:pPr>
      <w:r w:rsidRPr="00091600">
        <w:rPr>
          <w:rStyle w:val="RecommendationthingChar"/>
          <w:rFonts w:ascii="Roboto Light" w:hAnsi="Roboto Light"/>
          <w:color w:val="45A7E1" w:themeColor="accent1"/>
        </w:rPr>
        <w:sym w:font="Wingdings" w:char="F06E"/>
      </w:r>
      <w:r w:rsidRPr="00091600">
        <w:rPr>
          <w:rStyle w:val="RecommendationthingChar"/>
          <w:rFonts w:ascii="Roboto Light" w:hAnsi="Roboto Light"/>
          <w:color w:val="45A7E1" w:themeColor="accent1"/>
        </w:rPr>
        <w:t xml:space="preserve"> </w:t>
      </w:r>
      <w:r w:rsidR="000F4B57" w:rsidRPr="006A2786">
        <w:rPr>
          <w:rStyle w:val="RecommendationthingChar"/>
          <w:rFonts w:ascii="Poppins ExtraBold" w:hAnsi="Poppins ExtraBold" w:cs="Poppins ExtraBold"/>
        </w:rPr>
        <w:t>R13</w:t>
      </w:r>
      <w:r w:rsidR="000F4B57" w:rsidRPr="00091600">
        <w:rPr>
          <w:lang w:val="en-AU"/>
        </w:rPr>
        <w:t xml:space="preserve"> (to JSC and DFAT/AHC): </w:t>
      </w:r>
      <w:r w:rsidR="00340BCC" w:rsidRPr="00091600">
        <w:rPr>
          <w:lang w:val="en-AU"/>
        </w:rPr>
        <w:t>s</w:t>
      </w:r>
      <w:r w:rsidR="00524F04" w:rsidRPr="00091600">
        <w:rPr>
          <w:lang w:val="en-AU"/>
        </w:rPr>
        <w:t>trengthen</w:t>
      </w:r>
      <w:r w:rsidR="000F4B57" w:rsidRPr="00091600">
        <w:rPr>
          <w:lang w:val="en-AU"/>
        </w:rPr>
        <w:t xml:space="preserve"> the Precinct design through the conduct of a whole-of-Precinct gender and socially inclusive context analysis with all stakeholders to reveal the barriers and enablers of genuine transformative change within the national public service, as well as the provincial and district levels, including inclusion of persons with disability and based on ethnicity. Use it to update the overall Precinct strategy, outcomes, outputs, and activities, realigning budgeting and MEL for GESI (by June 2019).</w:t>
      </w:r>
    </w:p>
    <w:p w:rsidR="000F4B57" w:rsidRPr="00091600" w:rsidRDefault="000F4B57" w:rsidP="006A2786">
      <w:pPr>
        <w:pStyle w:val="Heading1NONUM"/>
        <w:rPr>
          <w:rFonts w:eastAsiaTheme="minorHAnsi"/>
          <w:lang w:val="en-AU"/>
        </w:rPr>
      </w:pPr>
      <w:bookmarkStart w:id="91" w:name="_Toc536719913"/>
      <w:bookmarkStart w:id="92" w:name="_Toc2091553"/>
      <w:bookmarkStart w:id="93" w:name="_Toc523866162"/>
      <w:r w:rsidRPr="00091600">
        <w:rPr>
          <w:rFonts w:eastAsiaTheme="minorHAnsi"/>
          <w:lang w:val="en-AU"/>
        </w:rPr>
        <w:t xml:space="preserve">3. Precinct </w:t>
      </w:r>
      <w:r w:rsidRPr="006A2786">
        <w:rPr>
          <w:rFonts w:eastAsiaTheme="minorHAnsi"/>
        </w:rPr>
        <w:t>level</w:t>
      </w:r>
      <w:bookmarkEnd w:id="91"/>
      <w:bookmarkEnd w:id="92"/>
    </w:p>
    <w:p w:rsidR="000F4B57" w:rsidRPr="00091600" w:rsidRDefault="000F4B57" w:rsidP="000F4B57">
      <w:pPr>
        <w:pStyle w:val="BodyText"/>
        <w:rPr>
          <w:lang w:val="en-AU"/>
        </w:rPr>
      </w:pPr>
      <w:r w:rsidRPr="00091600">
        <w:rPr>
          <w:lang w:val="en-AU"/>
        </w:rPr>
        <w:t xml:space="preserve">This </w:t>
      </w:r>
      <w:r w:rsidR="00340BCC" w:rsidRPr="00091600">
        <w:rPr>
          <w:lang w:val="en-AU"/>
        </w:rPr>
        <w:t>c</w:t>
      </w:r>
      <w:r w:rsidR="00442FA6" w:rsidRPr="00091600">
        <w:rPr>
          <w:lang w:val="en-AU"/>
        </w:rPr>
        <w:t>hapter</w:t>
      </w:r>
      <w:r w:rsidRPr="00091600">
        <w:rPr>
          <w:lang w:val="en-AU"/>
        </w:rPr>
        <w:t xml:space="preserve"> analyses the Precinct at a program level (rather than at a component level). It is structured around the program-wide questions set out in the </w:t>
      </w:r>
      <w:r w:rsidR="00340BCC" w:rsidRPr="00091600">
        <w:rPr>
          <w:lang w:val="en-AU"/>
        </w:rPr>
        <w:t>r</w:t>
      </w:r>
      <w:r w:rsidR="00442FA6" w:rsidRPr="00091600">
        <w:rPr>
          <w:lang w:val="en-AU"/>
        </w:rPr>
        <w:t>eview’s</w:t>
      </w:r>
      <w:r w:rsidRPr="00091600">
        <w:rPr>
          <w:lang w:val="en-AU"/>
        </w:rPr>
        <w:t xml:space="preserve"> Terms of Reference</w:t>
      </w:r>
      <w:r w:rsidR="004F5007" w:rsidRPr="00091600">
        <w:rPr>
          <w:lang w:val="en-AU"/>
        </w:rPr>
        <w:t xml:space="preserve">, </w:t>
      </w:r>
      <w:r w:rsidRPr="00091600">
        <w:rPr>
          <w:lang w:val="en-AU"/>
        </w:rPr>
        <w:t xml:space="preserve">particularly effectiveness and relevance. The </w:t>
      </w:r>
      <w:r w:rsidR="00CF45C5" w:rsidRPr="00091600">
        <w:rPr>
          <w:lang w:val="en-AU"/>
        </w:rPr>
        <w:t>review</w:t>
      </w:r>
      <w:r w:rsidRPr="00091600">
        <w:rPr>
          <w:lang w:val="en-AU"/>
        </w:rPr>
        <w:t xml:space="preserve"> team also identified important issues related to efficiency and sustainability which were not explicitly included in the Terms of Reference, but which are fundamental to strengthening the Precinct.</w:t>
      </w:r>
    </w:p>
    <w:p w:rsidR="000F4B57" w:rsidRPr="00091600" w:rsidRDefault="000F4B57" w:rsidP="006A2786">
      <w:pPr>
        <w:pStyle w:val="Heading2NONUM"/>
        <w:rPr>
          <w:lang w:val="en-AU"/>
        </w:rPr>
      </w:pPr>
      <w:bookmarkStart w:id="94" w:name="_Toc536719914"/>
      <w:bookmarkStart w:id="95" w:name="_Toc2091554"/>
      <w:bookmarkEnd w:id="93"/>
      <w:r w:rsidRPr="00091600">
        <w:rPr>
          <w:lang w:val="en-AU"/>
        </w:rPr>
        <w:t xml:space="preserve">3.1 </w:t>
      </w:r>
      <w:r w:rsidRPr="00091600">
        <w:rPr>
          <w:lang w:val="en-AU"/>
        </w:rPr>
        <w:tab/>
        <w:t xml:space="preserve">Strategic </w:t>
      </w:r>
      <w:r w:rsidRPr="006A2786">
        <w:t>management</w:t>
      </w:r>
      <w:bookmarkEnd w:id="94"/>
      <w:bookmarkEnd w:id="95"/>
    </w:p>
    <w:tbl>
      <w:tblPr>
        <w:tblStyle w:val="OPMBoxstyle"/>
        <w:tblW w:w="5000" w:type="pct"/>
        <w:tblLook w:val="04A0" w:firstRow="1" w:lastRow="0" w:firstColumn="1" w:lastColumn="0" w:noHBand="0" w:noVBand="1"/>
        <w:tblCaption w:val="Key Review Questions"/>
        <w:tblDescription w:val="• Recognising that the approach for the Precinct has been a ‘rolling’ design resulting in the MEL system (i.e. the Performance Assessment Framework; theory of change; outcome statements; assumptions; data collection methods; and approach to inquiry) evolving as the partnership developed, how can the system be strengthened moving forward? &#10;• Is the Precinct effectively aligned with other relevant PNG and Australian investments? Are there opportunities for further alignment with Australian investments?"/>
      </w:tblPr>
      <w:tblGrid>
        <w:gridCol w:w="9730"/>
      </w:tblGrid>
      <w:tr w:rsidR="004C6EE6" w:rsidRPr="00091600" w:rsidTr="00CE4AA6">
        <w:trPr>
          <w:cnfStyle w:val="100000000000" w:firstRow="1" w:lastRow="0" w:firstColumn="0" w:lastColumn="0" w:oddVBand="0" w:evenVBand="0" w:oddHBand="0" w:evenHBand="0" w:firstRowFirstColumn="0" w:firstRowLastColumn="0" w:lastRowFirstColumn="0" w:lastRowLastColumn="0"/>
          <w:tblHeader/>
        </w:trPr>
        <w:tc>
          <w:tcPr>
            <w:tcW w:w="5000" w:type="pct"/>
          </w:tcPr>
          <w:p w:rsidR="004C6EE6" w:rsidRPr="006A2786" w:rsidRDefault="004C6EE6" w:rsidP="008E1745">
            <w:pPr>
              <w:pStyle w:val="Questions"/>
            </w:pPr>
            <w:r w:rsidRPr="006A2786">
              <w:t>Key Review Questions</w:t>
            </w:r>
          </w:p>
        </w:tc>
      </w:tr>
      <w:tr w:rsidR="000F4B57" w:rsidRPr="00091600" w:rsidTr="00C159F6">
        <w:tc>
          <w:tcPr>
            <w:tcW w:w="5000" w:type="pct"/>
          </w:tcPr>
          <w:p w:rsidR="000F4B57" w:rsidRPr="00091600" w:rsidRDefault="000F4B57" w:rsidP="00013D3C">
            <w:pPr>
              <w:pStyle w:val="BodyText"/>
              <w:numPr>
                <w:ilvl w:val="0"/>
                <w:numId w:val="33"/>
              </w:numPr>
              <w:spacing w:before="120" w:after="120"/>
              <w:rPr>
                <w:sz w:val="20"/>
                <w:lang w:val="en-AU"/>
              </w:rPr>
            </w:pPr>
            <w:r w:rsidRPr="00091600">
              <w:rPr>
                <w:sz w:val="20"/>
                <w:lang w:val="en-AU"/>
              </w:rPr>
              <w:t xml:space="preserve">Recognising that the approach for the Precinct has been a ‘rolling’ design resulting in </w:t>
            </w:r>
            <w:r w:rsidRPr="00091600" w:rsidDel="009D48E6">
              <w:rPr>
                <w:sz w:val="20"/>
                <w:lang w:val="en-AU"/>
              </w:rPr>
              <w:t xml:space="preserve">the </w:t>
            </w:r>
            <w:r w:rsidRPr="00091600">
              <w:rPr>
                <w:sz w:val="20"/>
                <w:lang w:val="en-AU"/>
              </w:rPr>
              <w:t>MEL s</w:t>
            </w:r>
            <w:r w:rsidRPr="00091600" w:rsidDel="009D48E6">
              <w:rPr>
                <w:sz w:val="20"/>
                <w:lang w:val="en-AU"/>
              </w:rPr>
              <w:t xml:space="preserve">ystem </w:t>
            </w:r>
            <w:r w:rsidRPr="00091600">
              <w:rPr>
                <w:sz w:val="20"/>
                <w:lang w:val="en-AU"/>
              </w:rPr>
              <w:t>(</w:t>
            </w:r>
            <w:r w:rsidRPr="00091600" w:rsidDel="009D48E6">
              <w:rPr>
                <w:sz w:val="20"/>
                <w:lang w:val="en-AU"/>
              </w:rPr>
              <w:t>i.e.</w:t>
            </w:r>
            <w:r w:rsidRPr="00091600">
              <w:rPr>
                <w:sz w:val="20"/>
                <w:lang w:val="en-AU"/>
              </w:rPr>
              <w:t xml:space="preserve"> the Performance Assessment Framework;</w:t>
            </w:r>
            <w:r w:rsidRPr="00091600" w:rsidDel="009D48E6">
              <w:rPr>
                <w:sz w:val="20"/>
                <w:lang w:val="en-AU"/>
              </w:rPr>
              <w:t xml:space="preserve"> theory of change</w:t>
            </w:r>
            <w:r w:rsidRPr="00091600">
              <w:rPr>
                <w:sz w:val="20"/>
                <w:lang w:val="en-AU"/>
              </w:rPr>
              <w:t>;</w:t>
            </w:r>
            <w:r w:rsidRPr="00091600" w:rsidDel="009D48E6">
              <w:rPr>
                <w:sz w:val="20"/>
                <w:lang w:val="en-AU"/>
              </w:rPr>
              <w:t xml:space="preserve"> outcome statements</w:t>
            </w:r>
            <w:r w:rsidRPr="00091600">
              <w:rPr>
                <w:sz w:val="20"/>
                <w:lang w:val="en-AU"/>
              </w:rPr>
              <w:t>;</w:t>
            </w:r>
            <w:r w:rsidRPr="00091600" w:rsidDel="009D48E6">
              <w:rPr>
                <w:sz w:val="20"/>
                <w:lang w:val="en-AU"/>
              </w:rPr>
              <w:t xml:space="preserve"> assumptions</w:t>
            </w:r>
            <w:r w:rsidRPr="00091600">
              <w:rPr>
                <w:sz w:val="20"/>
                <w:lang w:val="en-AU"/>
              </w:rPr>
              <w:t>;</w:t>
            </w:r>
            <w:r w:rsidRPr="00091600" w:rsidDel="009D48E6">
              <w:rPr>
                <w:sz w:val="20"/>
                <w:lang w:val="en-AU"/>
              </w:rPr>
              <w:t xml:space="preserve"> data collection methods</w:t>
            </w:r>
            <w:r w:rsidRPr="00091600">
              <w:rPr>
                <w:sz w:val="20"/>
                <w:lang w:val="en-AU"/>
              </w:rPr>
              <w:t>;</w:t>
            </w:r>
            <w:r w:rsidRPr="00091600" w:rsidDel="009D48E6">
              <w:rPr>
                <w:sz w:val="20"/>
                <w:lang w:val="en-AU"/>
              </w:rPr>
              <w:t xml:space="preserve"> and approach to inquiry</w:t>
            </w:r>
            <w:r w:rsidRPr="00091600">
              <w:rPr>
                <w:sz w:val="20"/>
                <w:lang w:val="en-AU"/>
              </w:rPr>
              <w:t>)</w:t>
            </w:r>
            <w:r w:rsidRPr="00091600" w:rsidDel="009D48E6">
              <w:rPr>
                <w:sz w:val="20"/>
                <w:lang w:val="en-AU"/>
              </w:rPr>
              <w:t xml:space="preserve"> </w:t>
            </w:r>
            <w:r w:rsidRPr="00091600">
              <w:rPr>
                <w:sz w:val="20"/>
                <w:lang w:val="en-AU"/>
              </w:rPr>
              <w:t>evolving as the partnership developed, how can the</w:t>
            </w:r>
            <w:r w:rsidRPr="00091600" w:rsidDel="009D48E6">
              <w:rPr>
                <w:sz w:val="20"/>
                <w:lang w:val="en-AU"/>
              </w:rPr>
              <w:t xml:space="preserve"> </w:t>
            </w:r>
            <w:r w:rsidRPr="00091600">
              <w:rPr>
                <w:sz w:val="20"/>
                <w:lang w:val="en-AU"/>
              </w:rPr>
              <w:t xml:space="preserve">system be strengthened moving forward? </w:t>
            </w:r>
          </w:p>
          <w:p w:rsidR="000F4B57" w:rsidRPr="00091600" w:rsidRDefault="000F4B57" w:rsidP="00013D3C">
            <w:pPr>
              <w:pStyle w:val="BodyText"/>
              <w:numPr>
                <w:ilvl w:val="0"/>
                <w:numId w:val="33"/>
              </w:numPr>
              <w:spacing w:before="120" w:after="120"/>
              <w:rPr>
                <w:lang w:val="en-AU"/>
              </w:rPr>
            </w:pPr>
            <w:r w:rsidRPr="00091600">
              <w:rPr>
                <w:sz w:val="20"/>
                <w:lang w:val="en-AU"/>
              </w:rPr>
              <w:t>Is the Precinct effectively aligned with other relevant PNG and Australian investments? Are there opportunities for further alignment with Australian investments?</w:t>
            </w:r>
          </w:p>
        </w:tc>
      </w:tr>
    </w:tbl>
    <w:p w:rsidR="000F4B57" w:rsidRPr="00091600" w:rsidRDefault="000F4B57" w:rsidP="000F4B57">
      <w:pPr>
        <w:pStyle w:val="BodyText"/>
        <w:spacing w:before="240"/>
        <w:rPr>
          <w:lang w:val="en-AU"/>
        </w:rPr>
      </w:pPr>
      <w:r w:rsidRPr="00091600">
        <w:rPr>
          <w:lang w:val="en-AU"/>
        </w:rPr>
        <w:t>‘</w:t>
      </w:r>
      <w:r w:rsidRPr="00B21A52">
        <w:rPr>
          <w:rFonts w:ascii="Roboto" w:hAnsi="Roboto"/>
          <w:b/>
          <w:lang w:val="en-AU"/>
        </w:rPr>
        <w:t>Rolling’ design</w:t>
      </w:r>
      <w:r w:rsidR="00340BCC" w:rsidRPr="00B21A52">
        <w:rPr>
          <w:rFonts w:ascii="Roboto" w:hAnsi="Roboto"/>
          <w:b/>
          <w:lang w:val="en-AU"/>
        </w:rPr>
        <w:t>:</w:t>
      </w:r>
      <w:r w:rsidR="00442FA6" w:rsidRPr="00091600">
        <w:rPr>
          <w:lang w:val="en-AU"/>
        </w:rPr>
        <w:t xml:space="preserve"> </w:t>
      </w:r>
      <w:r w:rsidR="00340BCC" w:rsidRPr="00091600">
        <w:rPr>
          <w:lang w:val="en-AU"/>
        </w:rPr>
        <w:t>t</w:t>
      </w:r>
      <w:r w:rsidR="00442FA6" w:rsidRPr="00091600">
        <w:rPr>
          <w:lang w:val="en-AU"/>
        </w:rPr>
        <w:t>he</w:t>
      </w:r>
      <w:r w:rsidRPr="00091600">
        <w:rPr>
          <w:lang w:val="en-AU"/>
        </w:rPr>
        <w:t xml:space="preserve"> Precinct design anticipated that the program would need to be updated frequently, to adjust to changes in the context or to respond to new knowledge. It includes flexibility and opportunism as two key principles.</w:t>
      </w:r>
      <w:r w:rsidRPr="00091600">
        <w:rPr>
          <w:rStyle w:val="FootnoteReference"/>
          <w:lang w:val="en-AU"/>
        </w:rPr>
        <w:footnoteReference w:id="62"/>
      </w:r>
      <w:r w:rsidRPr="00091600">
        <w:rPr>
          <w:lang w:val="en-AU"/>
        </w:rPr>
        <w:t xml:space="preserve"> Activity plans and budgets are approved on an annual basis. However, in practice, the </w:t>
      </w:r>
      <w:r w:rsidR="00CF45C5" w:rsidRPr="00091600">
        <w:rPr>
          <w:lang w:val="en-AU"/>
        </w:rPr>
        <w:t>review</w:t>
      </w:r>
      <w:r w:rsidRPr="00091600">
        <w:rPr>
          <w:lang w:val="en-AU"/>
        </w:rPr>
        <w:t xml:space="preserve"> team has found that the Precinct has not been as flexible as it could have been in terms of regularly updating its strategy and MEL system. </w:t>
      </w:r>
      <w:r w:rsidR="00F81631">
        <w:rPr>
          <w:lang w:val="en-AU"/>
        </w:rPr>
        <w:t>At the time of the review mission, t</w:t>
      </w:r>
      <w:r w:rsidRPr="00091600">
        <w:rPr>
          <w:lang w:val="en-AU"/>
        </w:rPr>
        <w:t xml:space="preserve">he last fully approved updated </w:t>
      </w:r>
      <w:r w:rsidR="009F5553" w:rsidRPr="00091600">
        <w:rPr>
          <w:lang w:val="en-AU"/>
        </w:rPr>
        <w:t>design</w:t>
      </w:r>
      <w:r w:rsidRPr="00091600">
        <w:rPr>
          <w:lang w:val="en-AU"/>
        </w:rPr>
        <w:t xml:space="preserve"> was more than two and a half years ago (January 2016). There </w:t>
      </w:r>
      <w:r w:rsidR="00F81631">
        <w:rPr>
          <w:lang w:val="en-AU"/>
        </w:rPr>
        <w:t>wa</w:t>
      </w:r>
      <w:r w:rsidRPr="00091600">
        <w:rPr>
          <w:lang w:val="en-AU"/>
        </w:rPr>
        <w:t>s no recently approved integrated MEL framework beyond the separate SBPP and PILAG results frameworks.</w:t>
      </w:r>
      <w:r w:rsidRPr="00091600">
        <w:rPr>
          <w:rStyle w:val="FootnoteReference"/>
          <w:lang w:val="en-AU"/>
        </w:rPr>
        <w:footnoteReference w:id="63"/>
      </w:r>
      <w:r w:rsidRPr="00091600">
        <w:rPr>
          <w:lang w:val="en-AU"/>
        </w:rPr>
        <w:t xml:space="preserve"> However, at this mid-point in the program, it is essential for the Precinct </w:t>
      </w:r>
      <w:r w:rsidR="004B65AF" w:rsidRPr="00091600">
        <w:rPr>
          <w:lang w:val="en-AU"/>
        </w:rPr>
        <w:t>B</w:t>
      </w:r>
      <w:r w:rsidR="009B51EE" w:rsidRPr="00091600">
        <w:rPr>
          <w:lang w:val="en-AU"/>
        </w:rPr>
        <w:t>oard</w:t>
      </w:r>
      <w:r w:rsidRPr="00091600">
        <w:rPr>
          <w:lang w:val="en-AU"/>
        </w:rPr>
        <w:t xml:space="preserve"> and </w:t>
      </w:r>
      <w:r w:rsidR="005610FA" w:rsidRPr="00091600">
        <w:rPr>
          <w:lang w:val="en-AU"/>
        </w:rPr>
        <w:t>JSC</w:t>
      </w:r>
      <w:r w:rsidRPr="00091600">
        <w:rPr>
          <w:lang w:val="en-AU"/>
        </w:rPr>
        <w:t xml:space="preserve"> to review the Precinct goal and strategy as we explain below.</w:t>
      </w:r>
    </w:p>
    <w:p w:rsidR="000F4B57" w:rsidRPr="00091600" w:rsidRDefault="000F4B57" w:rsidP="000F4B57">
      <w:pPr>
        <w:pStyle w:val="BodyText"/>
        <w:rPr>
          <w:lang w:val="en-AU"/>
        </w:rPr>
      </w:pPr>
      <w:r w:rsidRPr="00B21A52">
        <w:rPr>
          <w:rFonts w:ascii="Roboto" w:hAnsi="Roboto"/>
          <w:b/>
          <w:lang w:val="en-AU"/>
        </w:rPr>
        <w:t>Clarity of objectives</w:t>
      </w:r>
      <w:r w:rsidR="00340BCC" w:rsidRPr="00B21A52">
        <w:rPr>
          <w:rFonts w:ascii="Roboto" w:hAnsi="Roboto"/>
          <w:b/>
          <w:lang w:val="en-AU"/>
        </w:rPr>
        <w:t>:</w:t>
      </w:r>
      <w:r w:rsidR="00442FA6" w:rsidRPr="00091600">
        <w:rPr>
          <w:lang w:val="en-AU"/>
        </w:rPr>
        <w:t xml:space="preserve"> </w:t>
      </w:r>
      <w:r w:rsidR="00340BCC" w:rsidRPr="00091600">
        <w:rPr>
          <w:lang w:val="en-AU"/>
        </w:rPr>
        <w:t>t</w:t>
      </w:r>
      <w:r w:rsidR="00442FA6" w:rsidRPr="00091600">
        <w:rPr>
          <w:lang w:val="en-AU"/>
        </w:rPr>
        <w:t>hrough</w:t>
      </w:r>
      <w:r w:rsidRPr="00091600">
        <w:rPr>
          <w:lang w:val="en-AU"/>
        </w:rPr>
        <w:t xml:space="preserve"> our interviews, we found that the Precinct </w:t>
      </w:r>
      <w:r w:rsidR="00442FA6" w:rsidRPr="00091600">
        <w:rPr>
          <w:lang w:val="en-AU"/>
        </w:rPr>
        <w:t>mean</w:t>
      </w:r>
      <w:r w:rsidR="00340BCC" w:rsidRPr="00091600">
        <w:rPr>
          <w:lang w:val="en-AU"/>
        </w:rPr>
        <w:t>t</w:t>
      </w:r>
      <w:r w:rsidRPr="00091600">
        <w:rPr>
          <w:lang w:val="en-AU"/>
        </w:rPr>
        <w:t xml:space="preserve"> different things to its wide range of stakeholders. It is seen as a physical space for learning; as a symbol of the PNG–Australia partnership; and as a commitment to building leadership skills in the public sector or (more broadly) across PNG’s public, private, and civil society sectors. Ethical leadership is understood to mean either anti-corruption initiatives (e.g. which could include the introduction of e-government or other public service reforms) or general management competencies (e.g. public financial management). The program is in practice targeting gender equity rather than a broader empowerment and social inclusion agenda.</w:t>
      </w:r>
    </w:p>
    <w:p w:rsidR="000F4B57" w:rsidRPr="004D65EA" w:rsidRDefault="000F4B57" w:rsidP="000F4B57">
      <w:pPr>
        <w:pStyle w:val="BodyText"/>
        <w:rPr>
          <w:lang w:val="en-AU"/>
        </w:rPr>
      </w:pPr>
      <w:r w:rsidRPr="00B21A52">
        <w:rPr>
          <w:rFonts w:ascii="Roboto" w:hAnsi="Roboto"/>
          <w:b/>
          <w:lang w:val="en-AU"/>
        </w:rPr>
        <w:t>The Precinct partners urgently need to review, test, and clarify its main overarching goal</w:t>
      </w:r>
      <w:r w:rsidRPr="00091600">
        <w:rPr>
          <w:lang w:val="en-AU"/>
        </w:rPr>
        <w:t xml:space="preserve"> and amend it if needed, to ensure that they are implementing the right strategy to achieve it. At present its goal includes both means (training a new generation of leaders) and results (service delivery). We recommend that the Precinct </w:t>
      </w:r>
      <w:r w:rsidR="00442FA6" w:rsidRPr="00091600">
        <w:rPr>
          <w:lang w:val="en-AU"/>
        </w:rPr>
        <w:t>refocus</w:t>
      </w:r>
      <w:r w:rsidRPr="00091600">
        <w:rPr>
          <w:lang w:val="en-AU"/>
        </w:rPr>
        <w:t xml:space="preserve"> on an ultimate goal which will benefit the PNG population, such as the last part of the current goal: ‘the delivery of equitable and inclusive government services to all citizens of the country’. Within this, it should target realistic changes in line with </w:t>
      </w:r>
      <w:r w:rsidR="00E87298">
        <w:rPr>
          <w:lang w:val="en-AU"/>
        </w:rPr>
        <w:t>PNG Government</w:t>
      </w:r>
      <w:r w:rsidRPr="00091600">
        <w:rPr>
          <w:lang w:val="en-AU"/>
        </w:rPr>
        <w:t xml:space="preserve"> </w:t>
      </w:r>
      <w:r w:rsidRPr="004D65EA">
        <w:rPr>
          <w:lang w:val="en-AU"/>
        </w:rPr>
        <w:t>priorities and the willingness to reform within parts of the public service. The Precinct can then devise the most appropriate evidence-based and coherent strategy towards this updated goal.</w:t>
      </w:r>
    </w:p>
    <w:p w:rsidR="000F4B57" w:rsidRPr="00091600" w:rsidRDefault="000F4B57" w:rsidP="000F4B57">
      <w:pPr>
        <w:pStyle w:val="BodyText"/>
        <w:rPr>
          <w:lang w:val="en-AU"/>
        </w:rPr>
      </w:pPr>
      <w:r w:rsidRPr="00B21A52">
        <w:rPr>
          <w:rFonts w:ascii="Roboto" w:hAnsi="Roboto"/>
          <w:b/>
          <w:lang w:val="en-AU"/>
        </w:rPr>
        <w:t>Theory of change and assumptions</w:t>
      </w:r>
      <w:r w:rsidR="00340BCC" w:rsidRPr="00B21A52">
        <w:rPr>
          <w:rFonts w:ascii="Roboto" w:hAnsi="Roboto"/>
          <w:b/>
          <w:lang w:val="en-AU"/>
        </w:rPr>
        <w:t>:</w:t>
      </w:r>
      <w:r w:rsidR="00442FA6" w:rsidRPr="004D65EA">
        <w:rPr>
          <w:lang w:val="en-AU"/>
        </w:rPr>
        <w:t xml:space="preserve"> </w:t>
      </w:r>
      <w:r w:rsidR="00340BCC" w:rsidRPr="004D65EA">
        <w:rPr>
          <w:lang w:val="en-AU"/>
        </w:rPr>
        <w:t>t</w:t>
      </w:r>
      <w:r w:rsidR="00442FA6" w:rsidRPr="004D65EA">
        <w:rPr>
          <w:lang w:val="en-AU"/>
        </w:rPr>
        <w:t>he</w:t>
      </w:r>
      <w:r w:rsidRPr="004D65EA">
        <w:rPr>
          <w:lang w:val="en-AU"/>
        </w:rPr>
        <w:t xml:space="preserve"> Precinct theory of change makes a number of assumptions which are not consistent with international evidence and practice, in particular that training is sufficient to achieve the program goal (see analysis in </w:t>
      </w:r>
      <w:r w:rsidR="00340BCC" w:rsidRPr="004D65EA">
        <w:rPr>
          <w:lang w:val="en-AU"/>
        </w:rPr>
        <w:t>S</w:t>
      </w:r>
      <w:r w:rsidR="00442FA6" w:rsidRPr="004D65EA">
        <w:rPr>
          <w:lang w:val="en-AU"/>
        </w:rPr>
        <w:t>ection</w:t>
      </w:r>
      <w:r w:rsidRPr="004D65EA">
        <w:rPr>
          <w:lang w:val="en-AU"/>
        </w:rPr>
        <w:t xml:space="preserve"> 2.3). In addition, the three separate strategies for change (long-term through SBPP; medium-term through PILAG; and complementarities through pathways) are not sufficient to achieve improved</w:t>
      </w:r>
      <w:r w:rsidRPr="00091600">
        <w:rPr>
          <w:lang w:val="en-AU"/>
        </w:rPr>
        <w:t xml:space="preserve"> and inclusive service delivery. The gaps must be identified through a thorough inclusive contextual analysis to inform a strengthened theory of change.</w:t>
      </w:r>
    </w:p>
    <w:p w:rsidR="000F4B57" w:rsidRPr="00091600" w:rsidRDefault="000F4B57" w:rsidP="000F4B57">
      <w:pPr>
        <w:pStyle w:val="BodyText"/>
        <w:rPr>
          <w:lang w:val="en-AU"/>
        </w:rPr>
      </w:pPr>
      <w:r w:rsidRPr="00091600">
        <w:rPr>
          <w:lang w:val="en-AU"/>
        </w:rPr>
        <w:t xml:space="preserve">An updated theory of change for the Precinct, based </w:t>
      </w:r>
      <w:r w:rsidR="00D403F3" w:rsidRPr="00091600">
        <w:rPr>
          <w:lang w:val="en-AU"/>
        </w:rPr>
        <w:t>on</w:t>
      </w:r>
      <w:r w:rsidRPr="00091600">
        <w:rPr>
          <w:lang w:val="en-AU"/>
        </w:rPr>
        <w:t xml:space="preserve"> over four years of experience, should be able to clarify what are the most relevant and realistic goals and outcomes in the current PNG context. It should draw on an inclusive contextual analysis based on </w:t>
      </w:r>
      <w:r w:rsidRPr="00091600">
        <w:rPr>
          <w:rFonts w:cstheme="minorHAnsi"/>
          <w:lang w:val="en-AU"/>
        </w:rPr>
        <w:t>consultations with PNG stakeholders, in government and beyond, on the program goal and level of ambition, so that the program is suited to its current environment.</w:t>
      </w:r>
      <w:r w:rsidRPr="00091600">
        <w:rPr>
          <w:lang w:val="en-AU"/>
        </w:rPr>
        <w:t xml:space="preserve"> Qualitative evaluation through the proposed ‘strategy testing’ methodology should then be used at regular intervals to test if assumptions are holding and how the program could be </w:t>
      </w:r>
      <w:r w:rsidR="00442FA6" w:rsidRPr="00091600">
        <w:rPr>
          <w:lang w:val="en-AU"/>
        </w:rPr>
        <w:t>readjusted</w:t>
      </w:r>
      <w:r w:rsidRPr="00091600">
        <w:rPr>
          <w:lang w:val="en-AU"/>
        </w:rPr>
        <w:t xml:space="preserve"> as part of its ‘rolling’ or adaptive approach. The revised strategy should then translate into selection of partners, annual plans, budgets, and MEL system. This process of design strengthening could take up to June 2019 to be completed and approved by both governments for a stronger program to start in </w:t>
      </w:r>
      <w:r w:rsidRPr="00B21A52">
        <w:rPr>
          <w:lang w:val="en-AU"/>
        </w:rPr>
        <w:t>fiscal year 2019</w:t>
      </w:r>
      <w:r w:rsidR="00340BCC" w:rsidRPr="00B21A52">
        <w:rPr>
          <w:lang w:val="en-AU"/>
        </w:rPr>
        <w:t>/</w:t>
      </w:r>
      <w:r w:rsidR="00442FA6" w:rsidRPr="00B21A52">
        <w:rPr>
          <w:lang w:val="en-AU"/>
        </w:rPr>
        <w:t>20</w:t>
      </w:r>
      <w:r w:rsidRPr="00B21A52">
        <w:rPr>
          <w:lang w:val="en-AU"/>
        </w:rPr>
        <w:t>.</w:t>
      </w:r>
    </w:p>
    <w:p w:rsidR="000F4B57" w:rsidRPr="00091600" w:rsidRDefault="009207B2" w:rsidP="000F4B57">
      <w:pPr>
        <w:pStyle w:val="BodyText"/>
        <w:rPr>
          <w:lang w:val="en-AU"/>
        </w:rPr>
      </w:pPr>
      <w:r w:rsidRPr="00091600">
        <w:rPr>
          <w:rStyle w:val="RecommendationthingChar"/>
          <w:rFonts w:ascii="Roboto Light" w:hAnsi="Roboto Light"/>
          <w:color w:val="45A7E1" w:themeColor="accent1"/>
        </w:rPr>
        <w:sym w:font="Wingdings" w:char="F06E"/>
      </w:r>
      <w:r w:rsidRPr="00091600">
        <w:rPr>
          <w:rStyle w:val="RecommendationthingChar"/>
          <w:rFonts w:ascii="Roboto Light" w:hAnsi="Roboto Light"/>
          <w:color w:val="45A7E1" w:themeColor="accent1"/>
        </w:rPr>
        <w:t xml:space="preserve"> </w:t>
      </w:r>
      <w:r w:rsidR="000F4B57" w:rsidRPr="006A2786">
        <w:rPr>
          <w:rStyle w:val="RecommendationthingChar"/>
          <w:rFonts w:ascii="Poppins ExtraBold" w:hAnsi="Poppins ExtraBold" w:cs="Poppins ExtraBold"/>
        </w:rPr>
        <w:t>R14</w:t>
      </w:r>
      <w:r w:rsidR="000F4B57" w:rsidRPr="00091600">
        <w:rPr>
          <w:lang w:val="en-AU"/>
        </w:rPr>
        <w:t xml:space="preserve"> (to JSC and DFAT/AHC): </w:t>
      </w:r>
      <w:r w:rsidR="00340BCC" w:rsidRPr="00091600">
        <w:rPr>
          <w:lang w:val="en-AU"/>
        </w:rPr>
        <w:t>u</w:t>
      </w:r>
      <w:r w:rsidR="00442FA6" w:rsidRPr="00091600">
        <w:rPr>
          <w:lang w:val="en-AU"/>
        </w:rPr>
        <w:t>ndertake</w:t>
      </w:r>
      <w:r w:rsidR="000F4B57" w:rsidRPr="00091600">
        <w:rPr>
          <w:lang w:val="en-AU"/>
        </w:rPr>
        <w:t xml:space="preserve"> a process of Precinct ‘design strengthening’ to make sure the program is fit for purpose with a coherent strategy (completed by June 2019):</w:t>
      </w:r>
    </w:p>
    <w:p w:rsidR="000F4B57" w:rsidRPr="00091600" w:rsidRDefault="00340BCC" w:rsidP="000F4B57">
      <w:pPr>
        <w:pStyle w:val="ListBullet"/>
        <w:rPr>
          <w:rFonts w:ascii="Roboto Light" w:hAnsi="Roboto Light"/>
          <w:szCs w:val="22"/>
          <w:lang w:val="en-AU"/>
        </w:rPr>
      </w:pPr>
      <w:r w:rsidRPr="00091600">
        <w:rPr>
          <w:rFonts w:ascii="Roboto Light" w:hAnsi="Roboto Light"/>
          <w:szCs w:val="22"/>
          <w:lang w:val="en-AU"/>
        </w:rPr>
        <w:t>u</w:t>
      </w:r>
      <w:r w:rsidR="00442FA6" w:rsidRPr="00091600">
        <w:rPr>
          <w:rFonts w:ascii="Roboto Light" w:hAnsi="Roboto Light"/>
          <w:szCs w:val="22"/>
          <w:lang w:val="en-AU"/>
        </w:rPr>
        <w:t>pdate</w:t>
      </w:r>
      <w:r w:rsidR="000F4B57" w:rsidRPr="00091600">
        <w:rPr>
          <w:rFonts w:ascii="Roboto Light" w:hAnsi="Roboto Light"/>
          <w:szCs w:val="22"/>
          <w:lang w:val="en-AU"/>
        </w:rPr>
        <w:t xml:space="preserve"> the Precinct strategy, starting with the ultimate Precinct goal</w:t>
      </w:r>
      <w:r w:rsidR="00442FA6" w:rsidRPr="00091600">
        <w:rPr>
          <w:rFonts w:ascii="Roboto Light" w:hAnsi="Roboto Light"/>
          <w:szCs w:val="22"/>
          <w:lang w:val="en-AU"/>
        </w:rPr>
        <w:t xml:space="preserve"> </w:t>
      </w:r>
      <w:r w:rsidR="000F4B57" w:rsidRPr="00091600">
        <w:rPr>
          <w:rFonts w:ascii="Roboto Light" w:hAnsi="Roboto Light"/>
          <w:szCs w:val="22"/>
          <w:lang w:val="en-AU"/>
        </w:rPr>
        <w:t>(or an adaptation defined by the partners) of how to improve the ‘delivery of equitable and inclusive government services to all citizens of the country’, rather than with a focus on leadership training</w:t>
      </w:r>
      <w:r w:rsidRPr="00091600">
        <w:rPr>
          <w:rFonts w:ascii="Roboto Light" w:hAnsi="Roboto Light"/>
          <w:szCs w:val="22"/>
          <w:lang w:val="en-AU"/>
        </w:rPr>
        <w:t>;</w:t>
      </w:r>
    </w:p>
    <w:p w:rsidR="000F4B57" w:rsidRPr="00091600" w:rsidRDefault="00340BCC" w:rsidP="000F4B57">
      <w:pPr>
        <w:pStyle w:val="ListBullet"/>
        <w:rPr>
          <w:rFonts w:ascii="Roboto Light" w:hAnsi="Roboto Light"/>
          <w:szCs w:val="22"/>
          <w:lang w:val="en-AU"/>
        </w:rPr>
      </w:pPr>
      <w:r w:rsidRPr="00091600">
        <w:rPr>
          <w:rFonts w:ascii="Roboto Light" w:hAnsi="Roboto Light"/>
          <w:szCs w:val="22"/>
          <w:lang w:val="en-AU"/>
        </w:rPr>
        <w:t>u</w:t>
      </w:r>
      <w:r w:rsidR="00442FA6" w:rsidRPr="00091600">
        <w:rPr>
          <w:rFonts w:ascii="Roboto Light" w:hAnsi="Roboto Light"/>
          <w:szCs w:val="22"/>
          <w:lang w:val="en-AU"/>
        </w:rPr>
        <w:t>ndertake</w:t>
      </w:r>
      <w:r w:rsidR="000F4B57" w:rsidRPr="00091600">
        <w:rPr>
          <w:rFonts w:ascii="Roboto Light" w:hAnsi="Roboto Light"/>
          <w:szCs w:val="22"/>
          <w:lang w:val="en-AU"/>
        </w:rPr>
        <w:t xml:space="preserve"> an updated inclusive context analysis and consultations with PNG stakeholders</w:t>
      </w:r>
      <w:r w:rsidRPr="00091600">
        <w:rPr>
          <w:rFonts w:ascii="Roboto Light" w:hAnsi="Roboto Light"/>
          <w:szCs w:val="22"/>
          <w:lang w:val="en-AU"/>
        </w:rPr>
        <w:t>;</w:t>
      </w:r>
    </w:p>
    <w:p w:rsidR="000F4B57" w:rsidRPr="00091600" w:rsidRDefault="00340BCC" w:rsidP="000F4B57">
      <w:pPr>
        <w:pStyle w:val="ListBullet"/>
        <w:rPr>
          <w:rFonts w:ascii="Roboto Light" w:hAnsi="Roboto Light"/>
          <w:szCs w:val="22"/>
          <w:lang w:val="en-AU"/>
        </w:rPr>
      </w:pPr>
      <w:r w:rsidRPr="00091600">
        <w:rPr>
          <w:rFonts w:ascii="Roboto Light" w:hAnsi="Roboto Light"/>
          <w:szCs w:val="22"/>
          <w:lang w:val="en-AU"/>
        </w:rPr>
        <w:t>o</w:t>
      </w:r>
      <w:r w:rsidR="00442FA6" w:rsidRPr="00091600">
        <w:rPr>
          <w:rFonts w:ascii="Roboto Light" w:hAnsi="Roboto Light"/>
          <w:szCs w:val="22"/>
          <w:lang w:val="en-AU"/>
        </w:rPr>
        <w:t>n</w:t>
      </w:r>
      <w:r w:rsidR="000F4B57" w:rsidRPr="00091600">
        <w:rPr>
          <w:rFonts w:ascii="Roboto Light" w:hAnsi="Roboto Light"/>
          <w:szCs w:val="22"/>
          <w:lang w:val="en-AU"/>
        </w:rPr>
        <w:t xml:space="preserve"> the basis of the above, update the program goal, outcomes, theory of change, and assumptions, drawing on lessons learned from this and similar programs; and</w:t>
      </w:r>
    </w:p>
    <w:p w:rsidR="000F4B57" w:rsidRPr="00091600" w:rsidRDefault="00340BCC" w:rsidP="000F4B57">
      <w:pPr>
        <w:pStyle w:val="ListBullet"/>
        <w:rPr>
          <w:rFonts w:ascii="Roboto Light" w:hAnsi="Roboto Light"/>
          <w:szCs w:val="22"/>
          <w:lang w:val="en-AU"/>
        </w:rPr>
      </w:pPr>
      <w:r w:rsidRPr="00091600">
        <w:rPr>
          <w:rFonts w:ascii="Roboto Light" w:hAnsi="Roboto Light"/>
          <w:szCs w:val="22"/>
          <w:lang w:val="en-AU"/>
        </w:rPr>
        <w:t>a</w:t>
      </w:r>
      <w:r w:rsidR="00442FA6" w:rsidRPr="00091600">
        <w:rPr>
          <w:rFonts w:ascii="Roboto Light" w:hAnsi="Roboto Light"/>
          <w:szCs w:val="22"/>
          <w:lang w:val="en-AU"/>
        </w:rPr>
        <w:t>pprove</w:t>
      </w:r>
      <w:r w:rsidR="000F4B57" w:rsidRPr="00091600">
        <w:rPr>
          <w:rFonts w:ascii="Roboto Light" w:hAnsi="Roboto Light"/>
          <w:szCs w:val="22"/>
          <w:lang w:val="en-AU"/>
        </w:rPr>
        <w:t xml:space="preserve"> an </w:t>
      </w:r>
      <w:r w:rsidR="009F5553" w:rsidRPr="00091600">
        <w:rPr>
          <w:rFonts w:ascii="Roboto Light" w:hAnsi="Roboto Light"/>
          <w:szCs w:val="22"/>
          <w:lang w:val="en-AU"/>
        </w:rPr>
        <w:t>U</w:t>
      </w:r>
      <w:r w:rsidR="00442FA6" w:rsidRPr="00091600">
        <w:rPr>
          <w:rFonts w:ascii="Roboto Light" w:hAnsi="Roboto Light"/>
          <w:szCs w:val="22"/>
          <w:lang w:val="en-AU"/>
        </w:rPr>
        <w:t>pdated</w:t>
      </w:r>
      <w:r w:rsidR="000F4B57" w:rsidRPr="00091600">
        <w:rPr>
          <w:rFonts w:ascii="Roboto Light" w:hAnsi="Roboto Light"/>
          <w:szCs w:val="22"/>
          <w:lang w:val="en-AU"/>
        </w:rPr>
        <w:t xml:space="preserve"> Design and Implementation Brief.</w:t>
      </w:r>
    </w:p>
    <w:p w:rsidR="000F4B57" w:rsidRPr="00091600" w:rsidRDefault="00442FA6" w:rsidP="000F4B57">
      <w:pPr>
        <w:pStyle w:val="BodyText"/>
        <w:spacing w:before="240"/>
        <w:rPr>
          <w:lang w:val="en-AU"/>
        </w:rPr>
      </w:pPr>
      <w:r w:rsidRPr="00B21A52">
        <w:rPr>
          <w:rFonts w:ascii="Roboto" w:hAnsi="Roboto"/>
          <w:b/>
          <w:lang w:val="en-AU"/>
        </w:rPr>
        <w:t>Monitoring, Evaluation and Learning</w:t>
      </w:r>
      <w:r w:rsidR="007D3034" w:rsidRPr="00B21A52">
        <w:rPr>
          <w:rFonts w:ascii="Roboto" w:hAnsi="Roboto"/>
          <w:b/>
          <w:lang w:val="en-AU"/>
        </w:rPr>
        <w:t>:</w:t>
      </w:r>
      <w:r w:rsidRPr="00091600">
        <w:rPr>
          <w:lang w:val="en-AU"/>
        </w:rPr>
        <w:t xml:space="preserve"> </w:t>
      </w:r>
      <w:r w:rsidR="00340BCC" w:rsidRPr="00091600">
        <w:rPr>
          <w:lang w:val="en-AU"/>
        </w:rPr>
        <w:t>t</w:t>
      </w:r>
      <w:r w:rsidRPr="00091600">
        <w:rPr>
          <w:lang w:val="en-AU"/>
        </w:rPr>
        <w:t>he</w:t>
      </w:r>
      <w:r w:rsidR="000F4B57" w:rsidRPr="00091600">
        <w:rPr>
          <w:lang w:val="en-AU"/>
        </w:rPr>
        <w:t xml:space="preserve"> current Precinct MEL framework is incomplete and not fully funded. MEL activities operate at a ‘compliance’ level to track activities and output indicators (e.g. number of course participants). It does not track ‘early signs of practice change by the intended beneficiaries in their organisations’ which this </w:t>
      </w:r>
      <w:r w:rsidR="009F5553" w:rsidRPr="00091600">
        <w:rPr>
          <w:lang w:val="en-AU"/>
        </w:rPr>
        <w:t>r</w:t>
      </w:r>
      <w:r w:rsidRPr="00091600">
        <w:rPr>
          <w:lang w:val="en-AU"/>
        </w:rPr>
        <w:t>eview</w:t>
      </w:r>
      <w:r w:rsidR="000F4B57" w:rsidRPr="00091600">
        <w:rPr>
          <w:lang w:val="en-AU"/>
        </w:rPr>
        <w:t xml:space="preserve"> has been commissioned to assess. PSLR urgently needs to generate qualitative data that can help track behaviour change progress towards such program outcomes and identify opportunities for program improvements. Tracer studies of UPNG, PILAG, and UQ course participants will be particularly important.</w:t>
      </w:r>
    </w:p>
    <w:p w:rsidR="000F4B57" w:rsidRPr="00091600" w:rsidRDefault="000F4B57" w:rsidP="000F4B57">
      <w:pPr>
        <w:pStyle w:val="BodyText"/>
        <w:rPr>
          <w:lang w:val="en-AU"/>
        </w:rPr>
      </w:pPr>
      <w:r w:rsidRPr="00B21A52">
        <w:rPr>
          <w:rFonts w:ascii="Roboto" w:hAnsi="Roboto"/>
          <w:b/>
          <w:lang w:val="en-AU"/>
        </w:rPr>
        <w:t>Permanent learning and feedback loops within PNG organisations</w:t>
      </w:r>
      <w:r w:rsidR="00EA5680" w:rsidRPr="00B21A52">
        <w:rPr>
          <w:rFonts w:ascii="Roboto" w:hAnsi="Roboto"/>
          <w:b/>
          <w:lang w:val="en-AU"/>
        </w:rPr>
        <w:t>:</w:t>
      </w:r>
      <w:r w:rsidR="00442FA6" w:rsidRPr="00091600">
        <w:rPr>
          <w:lang w:val="en-AU"/>
        </w:rPr>
        <w:t xml:space="preserve"> </w:t>
      </w:r>
      <w:r w:rsidR="00EA5680" w:rsidRPr="00091600">
        <w:rPr>
          <w:lang w:val="en-AU"/>
        </w:rPr>
        <w:t>t</w:t>
      </w:r>
      <w:r w:rsidR="00442FA6" w:rsidRPr="00091600">
        <w:rPr>
          <w:lang w:val="en-AU"/>
        </w:rPr>
        <w:t>he</w:t>
      </w:r>
      <w:r w:rsidRPr="00091600">
        <w:rPr>
          <w:lang w:val="en-AU"/>
        </w:rPr>
        <w:t xml:space="preserve"> program would also benefit from feedback loops that permanently strengthen its design. It is not enough to have surveys; information needs to be processed to be useful. In the long run the aim would be for Precinct organisations themselves to understand if and how training programs affect individuals (SBPP students recruitment and career; public </w:t>
      </w:r>
      <w:r w:rsidR="005D42DC" w:rsidRPr="00091600">
        <w:rPr>
          <w:lang w:val="en-AU"/>
        </w:rPr>
        <w:t>servants’</w:t>
      </w:r>
      <w:r w:rsidRPr="00091600">
        <w:rPr>
          <w:lang w:val="en-AU"/>
        </w:rPr>
        <w:t xml:space="preserve"> salaries, promotions, performance; tracking women and marginalised groups), and also how they benefit the organisations where they work. For example, the performance evaluation of public service participants should match or be incorporated as part of their Performance Appraisal Assessment required by law. Assessment of SBPP courses and students should be done by SBPP itself.</w:t>
      </w:r>
    </w:p>
    <w:p w:rsidR="000F4B57" w:rsidRPr="00091600" w:rsidRDefault="009207B2" w:rsidP="000F4B57">
      <w:pPr>
        <w:pStyle w:val="BodyText"/>
        <w:rPr>
          <w:lang w:val="en-AU"/>
        </w:rPr>
      </w:pPr>
      <w:r w:rsidRPr="00091600">
        <w:rPr>
          <w:rStyle w:val="RecommendationthingChar"/>
          <w:rFonts w:ascii="Roboto Light" w:hAnsi="Roboto Light"/>
          <w:color w:val="45A7E1" w:themeColor="accent1"/>
        </w:rPr>
        <w:sym w:font="Wingdings" w:char="F06E"/>
      </w:r>
      <w:r w:rsidRPr="00091600">
        <w:rPr>
          <w:rStyle w:val="RecommendationthingChar"/>
          <w:rFonts w:ascii="Roboto Light" w:hAnsi="Roboto Light"/>
          <w:color w:val="45A7E1" w:themeColor="accent1"/>
        </w:rPr>
        <w:t xml:space="preserve"> </w:t>
      </w:r>
      <w:r w:rsidR="000F4B57" w:rsidRPr="00600D18">
        <w:rPr>
          <w:rStyle w:val="RecommendationthingChar"/>
          <w:rFonts w:ascii="Poppins ExtraBold" w:hAnsi="Poppins ExtraBold" w:cs="Poppins ExtraBold"/>
          <w:b w:val="0"/>
        </w:rPr>
        <w:t>R15</w:t>
      </w:r>
      <w:r w:rsidR="000F4B57" w:rsidRPr="00091600">
        <w:rPr>
          <w:lang w:val="en-AU"/>
        </w:rPr>
        <w:t xml:space="preserve"> (to JSC and DFAT/AHC): </w:t>
      </w:r>
      <w:r w:rsidR="00EA5680" w:rsidRPr="00091600">
        <w:rPr>
          <w:lang w:val="en-AU"/>
        </w:rPr>
        <w:t>a</w:t>
      </w:r>
      <w:r w:rsidR="00442FA6" w:rsidRPr="00091600">
        <w:rPr>
          <w:lang w:val="en-AU"/>
        </w:rPr>
        <w:t>pprove</w:t>
      </w:r>
      <w:r w:rsidR="000F4B57" w:rsidRPr="00091600">
        <w:rPr>
          <w:lang w:val="en-AU"/>
        </w:rPr>
        <w:t xml:space="preserve"> the current MEL framework proposal and tracer studies to complement quantitative measurements (immediate). Use qualitative MEL information to adjust the program as part of the design strengthening and then over time, including through ‘strategy testing’ workshops with all stakeholders (by June 2019).</w:t>
      </w:r>
    </w:p>
    <w:p w:rsidR="000F4B57" w:rsidRPr="00091600" w:rsidRDefault="000F4B57" w:rsidP="000F4B57">
      <w:pPr>
        <w:pStyle w:val="BodyText"/>
        <w:rPr>
          <w:lang w:val="en-AU"/>
        </w:rPr>
      </w:pPr>
      <w:r w:rsidRPr="00B21A52">
        <w:rPr>
          <w:rFonts w:ascii="Roboto" w:hAnsi="Roboto"/>
          <w:b/>
          <w:lang w:val="en-AU"/>
        </w:rPr>
        <w:t>Precinct ways of working:</w:t>
      </w:r>
      <w:r w:rsidRPr="00091600">
        <w:rPr>
          <w:lang w:val="en-AU"/>
        </w:rPr>
        <w:t xml:space="preserve"> </w:t>
      </w:r>
      <w:r w:rsidR="00EA5680" w:rsidRPr="00091600">
        <w:rPr>
          <w:lang w:val="en-AU"/>
        </w:rPr>
        <w:t>t</w:t>
      </w:r>
      <w:r w:rsidR="00442FA6" w:rsidRPr="00091600">
        <w:rPr>
          <w:lang w:val="en-AU"/>
        </w:rPr>
        <w:t>he</w:t>
      </w:r>
      <w:r w:rsidRPr="00091600">
        <w:rPr>
          <w:lang w:val="en-AU"/>
        </w:rPr>
        <w:t xml:space="preserve"> QTAG 2018 annual review provides an in-depth examination of the PNG Governance Partnership, including PSLR. It makes recommendations to improve management arrangements, which are not repeated here.</w:t>
      </w:r>
      <w:r w:rsidRPr="00091600">
        <w:rPr>
          <w:rStyle w:val="FootnoteReference"/>
          <w:rFonts w:cstheme="minorHAnsi"/>
          <w:lang w:val="en-AU"/>
        </w:rPr>
        <w:footnoteReference w:id="64"/>
      </w:r>
    </w:p>
    <w:p w:rsidR="000F4B57" w:rsidRPr="00091600" w:rsidRDefault="000F4B57" w:rsidP="000F4B57">
      <w:pPr>
        <w:pStyle w:val="BodyText"/>
        <w:rPr>
          <w:lang w:val="en-AU"/>
        </w:rPr>
      </w:pPr>
      <w:r w:rsidRPr="00091600">
        <w:rPr>
          <w:lang w:val="en-AU"/>
        </w:rPr>
        <w:t xml:space="preserve">The Precinct Strategic Review </w:t>
      </w:r>
      <w:r w:rsidR="00CF45C5" w:rsidRPr="00091600">
        <w:rPr>
          <w:lang w:val="en-AU"/>
        </w:rPr>
        <w:t>t</w:t>
      </w:r>
      <w:r w:rsidR="00442FA6" w:rsidRPr="00091600">
        <w:rPr>
          <w:lang w:val="en-AU"/>
        </w:rPr>
        <w:t>eam</w:t>
      </w:r>
      <w:r w:rsidRPr="00091600">
        <w:rPr>
          <w:lang w:val="en-AU"/>
        </w:rPr>
        <w:t xml:space="preserve"> interviewed PNG and Australian members of the Precinct </w:t>
      </w:r>
      <w:r w:rsidR="00AB5A13" w:rsidRPr="00091600">
        <w:rPr>
          <w:lang w:val="en-AU"/>
        </w:rPr>
        <w:t>JSC</w:t>
      </w:r>
      <w:r w:rsidRPr="00091600">
        <w:rPr>
          <w:lang w:val="en-AU"/>
        </w:rPr>
        <w:t xml:space="preserve"> and</w:t>
      </w:r>
      <w:r w:rsidR="00442FA6" w:rsidRPr="00091600">
        <w:rPr>
          <w:lang w:val="en-AU"/>
        </w:rPr>
        <w:t xml:space="preserve"> </w:t>
      </w:r>
      <w:r w:rsidRPr="00091600">
        <w:rPr>
          <w:lang w:val="en-AU"/>
        </w:rPr>
        <w:t xml:space="preserve">Board, Abt PNG, and Australian implementation partners. Our assessment is that roles, responsibilities, and ways of working do not seem to be consistently agreed </w:t>
      </w:r>
      <w:r w:rsidR="004D7B87" w:rsidRPr="00091600">
        <w:rPr>
          <w:lang w:val="en-AU"/>
        </w:rPr>
        <w:t>on</w:t>
      </w:r>
      <w:r w:rsidRPr="00091600">
        <w:rPr>
          <w:lang w:val="en-AU"/>
        </w:rPr>
        <w:t xml:space="preserve"> or respected. In particular, improving trust and a clear division of labour among Australian partners of the Precinct will improve overall performance. For example, program under-spending or under-staffing, additional requests for activities, or delays in approving proposals have knock-on effects for program delivery.</w:t>
      </w:r>
    </w:p>
    <w:p w:rsidR="000F4B57" w:rsidRPr="00091600" w:rsidRDefault="009207B2">
      <w:pPr>
        <w:pStyle w:val="BodyText"/>
        <w:rPr>
          <w:lang w:val="en-AU"/>
        </w:rPr>
      </w:pPr>
      <w:r w:rsidRPr="00091600">
        <w:rPr>
          <w:rStyle w:val="RecommendationthingChar"/>
          <w:rFonts w:ascii="Roboto Light" w:hAnsi="Roboto Light"/>
          <w:color w:val="45A7E1" w:themeColor="accent1"/>
        </w:rPr>
        <w:sym w:font="Wingdings" w:char="F06E"/>
      </w:r>
      <w:r w:rsidRPr="00091600">
        <w:rPr>
          <w:rStyle w:val="RecommendationthingChar"/>
          <w:rFonts w:ascii="Roboto Light" w:hAnsi="Roboto Light"/>
          <w:color w:val="45A7E1" w:themeColor="accent1"/>
        </w:rPr>
        <w:t xml:space="preserve"> </w:t>
      </w:r>
      <w:r w:rsidR="000F4B57" w:rsidRPr="006A2786">
        <w:rPr>
          <w:rStyle w:val="RecommendationthingChar"/>
          <w:rFonts w:ascii="Poppins ExtraBold" w:hAnsi="Poppins ExtraBold" w:cs="Poppins ExtraBold"/>
        </w:rPr>
        <w:t>R16</w:t>
      </w:r>
      <w:r w:rsidR="000F4B57" w:rsidRPr="00091600">
        <w:rPr>
          <w:lang w:val="en-AU"/>
        </w:rPr>
        <w:t xml:space="preserve"> (to AHC and Abt): </w:t>
      </w:r>
      <w:r w:rsidR="00EA5680" w:rsidRPr="00091600">
        <w:rPr>
          <w:lang w:val="en-AU"/>
        </w:rPr>
        <w:t>i</w:t>
      </w:r>
      <w:r w:rsidR="00442FA6" w:rsidRPr="00091600">
        <w:rPr>
          <w:lang w:val="en-AU"/>
        </w:rPr>
        <w:t>mplement</w:t>
      </w:r>
      <w:r w:rsidR="000F4B57" w:rsidRPr="00091600">
        <w:rPr>
          <w:lang w:val="en-AU"/>
        </w:rPr>
        <w:t xml:space="preserve"> QTAG recommendations to improve Precinct and PSLR management and delivery. In particular, improve understanding of roles, responsibilities, and ways of working across Precinct management and implementers (immediate).</w:t>
      </w:r>
    </w:p>
    <w:p w:rsidR="000F4B57" w:rsidRPr="00091600" w:rsidRDefault="000F4B57" w:rsidP="000F4B57">
      <w:pPr>
        <w:pStyle w:val="BodyText"/>
        <w:rPr>
          <w:lang w:val="en-AU"/>
        </w:rPr>
      </w:pPr>
      <w:r w:rsidRPr="00B21A52">
        <w:rPr>
          <w:rFonts w:ascii="Roboto" w:hAnsi="Roboto"/>
          <w:b/>
          <w:lang w:val="en-AU"/>
        </w:rPr>
        <w:t>Complementarities with Australian investments</w:t>
      </w:r>
      <w:r w:rsidR="00EA5680" w:rsidRPr="00B21A52">
        <w:rPr>
          <w:rFonts w:ascii="Roboto" w:hAnsi="Roboto"/>
          <w:b/>
          <w:lang w:val="en-AU"/>
        </w:rPr>
        <w:t>:</w:t>
      </w:r>
      <w:r w:rsidR="00442FA6" w:rsidRPr="00091600">
        <w:rPr>
          <w:lang w:val="en-AU"/>
        </w:rPr>
        <w:t xml:space="preserve"> </w:t>
      </w:r>
      <w:r w:rsidR="00EA5680" w:rsidRPr="00091600">
        <w:rPr>
          <w:lang w:val="en-AU"/>
        </w:rPr>
        <w:t>t</w:t>
      </w:r>
      <w:r w:rsidR="00442FA6" w:rsidRPr="00091600">
        <w:rPr>
          <w:lang w:val="en-AU"/>
        </w:rPr>
        <w:t>he</w:t>
      </w:r>
      <w:r w:rsidRPr="00091600">
        <w:rPr>
          <w:lang w:val="en-AU"/>
        </w:rPr>
        <w:t xml:space="preserve"> team has found potential synergies between the Precinct and other Australian programs that have not yet been harnessed. Day-to-day responsibilities for each of the teams means they are often working in silos, undermining the possible gains of working together. The </w:t>
      </w:r>
      <w:r w:rsidR="00CF45C5" w:rsidRPr="00091600">
        <w:rPr>
          <w:lang w:val="en-AU"/>
        </w:rPr>
        <w:t>review</w:t>
      </w:r>
      <w:r w:rsidRPr="00091600">
        <w:rPr>
          <w:lang w:val="en-AU"/>
        </w:rPr>
        <w:t xml:space="preserve"> team analysed the current DFAT PNG programs and found significant interactions between some of them. Details are at </w:t>
      </w:r>
      <w:r w:rsidRPr="00091600">
        <w:rPr>
          <w:lang w:val="en-AU"/>
        </w:rPr>
        <w:fldChar w:fldCharType="begin"/>
      </w:r>
      <w:r w:rsidRPr="00091600">
        <w:rPr>
          <w:lang w:val="en-AU"/>
        </w:rPr>
        <w:instrText xml:space="preserve"> REF _Ref524707965 \r \h  \* MERGEFORMAT </w:instrText>
      </w:r>
      <w:r w:rsidRPr="00091600">
        <w:rPr>
          <w:lang w:val="en-AU"/>
        </w:rPr>
      </w:r>
      <w:r w:rsidRPr="00091600">
        <w:rPr>
          <w:lang w:val="en-AU"/>
        </w:rPr>
        <w:fldChar w:fldCharType="separate"/>
      </w:r>
      <w:r w:rsidR="004964E9">
        <w:rPr>
          <w:lang w:val="en-AU"/>
        </w:rPr>
        <w:t>Annex F</w:t>
      </w:r>
      <w:r w:rsidRPr="00091600">
        <w:rPr>
          <w:lang w:val="en-AU"/>
        </w:rPr>
        <w:fldChar w:fldCharType="end"/>
      </w:r>
      <w:r w:rsidRPr="00091600">
        <w:rPr>
          <w:lang w:val="en-AU"/>
        </w:rPr>
        <w:t>.</w:t>
      </w:r>
    </w:p>
    <w:p w:rsidR="000F4B57" w:rsidRPr="00091600" w:rsidRDefault="009207B2">
      <w:pPr>
        <w:pStyle w:val="BodyText"/>
        <w:rPr>
          <w:rFonts w:cstheme="minorHAnsi"/>
          <w:lang w:val="en-AU"/>
        </w:rPr>
      </w:pPr>
      <w:r w:rsidRPr="00091600">
        <w:rPr>
          <w:rStyle w:val="RecommendationthingChar"/>
          <w:rFonts w:ascii="Roboto Light" w:hAnsi="Roboto Light"/>
          <w:color w:val="45A7E1" w:themeColor="accent1"/>
        </w:rPr>
        <w:sym w:font="Wingdings" w:char="F06E"/>
      </w:r>
      <w:r w:rsidRPr="00091600">
        <w:rPr>
          <w:rStyle w:val="RecommendationthingChar"/>
          <w:rFonts w:ascii="Roboto Light" w:hAnsi="Roboto Light"/>
          <w:color w:val="45A7E1" w:themeColor="accent1"/>
        </w:rPr>
        <w:t xml:space="preserve"> </w:t>
      </w:r>
      <w:r w:rsidR="000F4B57" w:rsidRPr="006A2786">
        <w:rPr>
          <w:rStyle w:val="RecommendationthingChar"/>
          <w:rFonts w:ascii="Poppins ExtraBold" w:hAnsi="Poppins ExtraBold" w:cs="Poppins ExtraBold"/>
        </w:rPr>
        <w:t>R17</w:t>
      </w:r>
      <w:r w:rsidR="000F4B57" w:rsidRPr="006A2786">
        <w:rPr>
          <w:rFonts w:ascii="Poppins ExtraBold" w:hAnsi="Poppins ExtraBold" w:cs="Poppins ExtraBold"/>
          <w:lang w:val="en-AU"/>
        </w:rPr>
        <w:t xml:space="preserve"> </w:t>
      </w:r>
      <w:r w:rsidR="000F4B57" w:rsidRPr="00091600">
        <w:rPr>
          <w:rFonts w:cstheme="minorHAnsi"/>
          <w:lang w:val="en-AU"/>
        </w:rPr>
        <w:t xml:space="preserve">(to AHC): </w:t>
      </w:r>
      <w:r w:rsidR="00EA5680" w:rsidRPr="00091600">
        <w:rPr>
          <w:rFonts w:cstheme="minorHAnsi"/>
          <w:lang w:val="en-AU"/>
        </w:rPr>
        <w:t>p</w:t>
      </w:r>
      <w:r w:rsidR="00442FA6" w:rsidRPr="00091600">
        <w:rPr>
          <w:rFonts w:cstheme="minorHAnsi"/>
          <w:lang w:val="en-AU"/>
        </w:rPr>
        <w:t>repare</w:t>
      </w:r>
      <w:r w:rsidR="000F4B57" w:rsidRPr="00091600">
        <w:rPr>
          <w:rFonts w:cstheme="minorHAnsi"/>
          <w:lang w:val="en-AU"/>
        </w:rPr>
        <w:t xml:space="preserve"> a plan and allocate responsibilities within AHC to improve Precinct collaboration with other Australian programs, in particular with</w:t>
      </w:r>
      <w:r w:rsidR="007D3034" w:rsidRPr="00091600">
        <w:rPr>
          <w:rFonts w:cstheme="minorHAnsi"/>
          <w:lang w:val="en-AU"/>
        </w:rPr>
        <w:t>:</w:t>
      </w:r>
      <w:r w:rsidR="000F4B57" w:rsidRPr="00091600">
        <w:rPr>
          <w:rFonts w:cstheme="minorHAnsi"/>
          <w:lang w:val="en-AU"/>
        </w:rPr>
        <w:t xml:space="preserve"> the Australian Awards Program and its PNG Australia Alumni Association; with the </w:t>
      </w:r>
      <w:r w:rsidR="000F4B57" w:rsidRPr="00091600">
        <w:rPr>
          <w:lang w:val="en-AU"/>
        </w:rPr>
        <w:t>Decentralisation and Citizens Participation program</w:t>
      </w:r>
      <w:r w:rsidR="000F4B57" w:rsidRPr="00091600">
        <w:rPr>
          <w:rFonts w:cstheme="minorHAnsi"/>
          <w:lang w:val="en-AU"/>
        </w:rPr>
        <w:t>; with the Institutional Partnership Program; and with AHC support for higher education (by December 2018).</w:t>
      </w:r>
    </w:p>
    <w:p w:rsidR="000F4B57" w:rsidRPr="00091600" w:rsidRDefault="000F4B57" w:rsidP="006A2786">
      <w:pPr>
        <w:pStyle w:val="Heading2NONUM"/>
        <w:rPr>
          <w:lang w:val="en-AU"/>
        </w:rPr>
      </w:pPr>
      <w:bookmarkStart w:id="96" w:name="_Toc536719915"/>
      <w:bookmarkStart w:id="97" w:name="_Toc2091555"/>
      <w:r w:rsidRPr="00091600">
        <w:rPr>
          <w:lang w:val="en-AU"/>
        </w:rPr>
        <w:t xml:space="preserve">3.2 </w:t>
      </w:r>
      <w:r w:rsidRPr="00091600">
        <w:rPr>
          <w:lang w:val="en-AU"/>
        </w:rPr>
        <w:tab/>
      </w:r>
      <w:r w:rsidRPr="006A2786">
        <w:t>Ownership</w:t>
      </w:r>
      <w:bookmarkEnd w:id="96"/>
      <w:bookmarkEnd w:id="97"/>
    </w:p>
    <w:tbl>
      <w:tblPr>
        <w:tblStyle w:val="OPMBoxstyle"/>
        <w:tblW w:w="5000" w:type="pct"/>
        <w:tblLook w:val="04A0" w:firstRow="1" w:lastRow="0" w:firstColumn="1" w:lastColumn="0" w:noHBand="0" w:noVBand="1"/>
        <w:tblCaption w:val="Key Review Questions"/>
        <w:tblDescription w:val="• To what extent has there been bureaucratic and political support for the Precinct within PNG?&#10;• To what extent have achievements been effectively communicated to priority audiences?&#10;• How can the Precinct support a whole-of-government approach to strengthening ethical leadership?&#10;• To what extent is the governance structure fit for purpose? If not, what are the options for enhancing it?"/>
      </w:tblPr>
      <w:tblGrid>
        <w:gridCol w:w="9730"/>
      </w:tblGrid>
      <w:tr w:rsidR="004C6EE6" w:rsidRPr="00091600" w:rsidTr="00CE4AA6">
        <w:trPr>
          <w:cnfStyle w:val="100000000000" w:firstRow="1" w:lastRow="0" w:firstColumn="0" w:lastColumn="0" w:oddVBand="0" w:evenVBand="0" w:oddHBand="0" w:evenHBand="0" w:firstRowFirstColumn="0" w:firstRowLastColumn="0" w:lastRowFirstColumn="0" w:lastRowLastColumn="0"/>
          <w:trHeight w:val="339"/>
          <w:tblHeader/>
        </w:trPr>
        <w:tc>
          <w:tcPr>
            <w:tcW w:w="0" w:type="pct"/>
          </w:tcPr>
          <w:p w:rsidR="004C6EE6" w:rsidRPr="006A2786" w:rsidRDefault="004C6EE6" w:rsidP="008E1745">
            <w:pPr>
              <w:pStyle w:val="Questions"/>
            </w:pPr>
            <w:r w:rsidRPr="006A2786">
              <w:t>Key Review Questions</w:t>
            </w:r>
          </w:p>
        </w:tc>
      </w:tr>
      <w:tr w:rsidR="000F4B57" w:rsidRPr="00091600" w:rsidTr="00C159F6">
        <w:trPr>
          <w:trHeight w:val="1189"/>
        </w:trPr>
        <w:tc>
          <w:tcPr>
            <w:tcW w:w="5000" w:type="pct"/>
          </w:tcPr>
          <w:p w:rsidR="000F4B57" w:rsidRPr="00091600" w:rsidRDefault="000F4B57" w:rsidP="005A667D">
            <w:pPr>
              <w:pStyle w:val="BodyText"/>
              <w:numPr>
                <w:ilvl w:val="0"/>
                <w:numId w:val="53"/>
              </w:numPr>
              <w:spacing w:before="120" w:after="120"/>
              <w:rPr>
                <w:rFonts w:cstheme="majorBidi"/>
                <w:color w:val="14567E" w:themeColor="accent1" w:themeShade="7F"/>
                <w:sz w:val="20"/>
                <w:szCs w:val="20"/>
                <w:lang w:val="en-AU"/>
              </w:rPr>
            </w:pPr>
            <w:r w:rsidRPr="00091600">
              <w:rPr>
                <w:sz w:val="20"/>
                <w:szCs w:val="20"/>
                <w:lang w:val="en-AU"/>
              </w:rPr>
              <w:t>To what extent has there been bureaucratic and political support for the Precinct within PNG?</w:t>
            </w:r>
          </w:p>
          <w:p w:rsidR="000F4B57" w:rsidRPr="00091600" w:rsidRDefault="000F4B57" w:rsidP="005A667D">
            <w:pPr>
              <w:pStyle w:val="BodyText"/>
              <w:numPr>
                <w:ilvl w:val="0"/>
                <w:numId w:val="53"/>
              </w:numPr>
              <w:spacing w:before="120" w:after="120"/>
              <w:rPr>
                <w:rStyle w:val="Heading3Char"/>
                <w:rFonts w:ascii="Roboto Light" w:hAnsi="Roboto Light"/>
                <w:b w:val="0"/>
                <w:sz w:val="20"/>
                <w:lang w:val="en-AU"/>
              </w:rPr>
            </w:pPr>
            <w:r w:rsidRPr="00091600">
              <w:rPr>
                <w:sz w:val="20"/>
                <w:szCs w:val="20"/>
                <w:lang w:val="en-AU"/>
              </w:rPr>
              <w:t>To what extent have achievements been effectively communicated to priority audiences?</w:t>
            </w:r>
          </w:p>
          <w:p w:rsidR="000F4B57" w:rsidRPr="00091600" w:rsidRDefault="000F4B57" w:rsidP="005A667D">
            <w:pPr>
              <w:pStyle w:val="BodyText"/>
              <w:numPr>
                <w:ilvl w:val="0"/>
                <w:numId w:val="53"/>
              </w:numPr>
              <w:spacing w:before="120" w:after="120"/>
              <w:rPr>
                <w:sz w:val="20"/>
                <w:szCs w:val="20"/>
                <w:lang w:val="en-AU"/>
              </w:rPr>
            </w:pPr>
            <w:r w:rsidRPr="00091600">
              <w:rPr>
                <w:sz w:val="20"/>
                <w:szCs w:val="20"/>
                <w:lang w:val="en-AU"/>
              </w:rPr>
              <w:t>How can the Precinct support a whole-of-government approach to strengthening ethical leadership?</w:t>
            </w:r>
          </w:p>
          <w:p w:rsidR="000F4B57" w:rsidRPr="00091600" w:rsidRDefault="000F4B57" w:rsidP="005A667D">
            <w:pPr>
              <w:pStyle w:val="BodyText"/>
              <w:numPr>
                <w:ilvl w:val="0"/>
                <w:numId w:val="53"/>
              </w:numPr>
              <w:spacing w:before="120" w:after="120"/>
              <w:rPr>
                <w:rStyle w:val="Heading3Char"/>
                <w:rFonts w:ascii="Roboto Light" w:eastAsiaTheme="minorHAnsi" w:hAnsi="Roboto Light"/>
                <w:b w:val="0"/>
                <w:sz w:val="22"/>
                <w:lang w:val="en-AU"/>
              </w:rPr>
            </w:pPr>
            <w:r w:rsidRPr="00091600">
              <w:rPr>
                <w:sz w:val="20"/>
                <w:szCs w:val="20"/>
                <w:lang w:val="en-AU"/>
              </w:rPr>
              <w:t>To what extent is the governance structure fit for purpose? If not, what are the options for enhancing it?</w:t>
            </w:r>
          </w:p>
        </w:tc>
      </w:tr>
    </w:tbl>
    <w:p w:rsidR="000F4B57" w:rsidRPr="00091600" w:rsidRDefault="000F4B57" w:rsidP="000F4B57">
      <w:pPr>
        <w:pStyle w:val="BodyText"/>
        <w:spacing w:before="240"/>
        <w:rPr>
          <w:lang w:val="en-AU"/>
        </w:rPr>
      </w:pPr>
      <w:r w:rsidRPr="00B21A52">
        <w:rPr>
          <w:rFonts w:ascii="Roboto" w:hAnsi="Roboto"/>
          <w:b/>
          <w:lang w:val="en-AU"/>
        </w:rPr>
        <w:t>Political support:</w:t>
      </w:r>
      <w:r w:rsidRPr="00091600">
        <w:rPr>
          <w:lang w:val="en-AU"/>
        </w:rPr>
        <w:t xml:space="preserve"> </w:t>
      </w:r>
      <w:r w:rsidR="00EA5680" w:rsidRPr="00091600">
        <w:rPr>
          <w:lang w:val="en-AU"/>
        </w:rPr>
        <w:t>t</w:t>
      </w:r>
      <w:r w:rsidR="00442FA6" w:rsidRPr="00091600">
        <w:rPr>
          <w:lang w:val="en-AU"/>
        </w:rPr>
        <w:t>he</w:t>
      </w:r>
      <w:r w:rsidRPr="00091600">
        <w:rPr>
          <w:lang w:val="en-AU"/>
        </w:rPr>
        <w:t xml:space="preserve"> Precinct benefits from high-level political and senior bureaucratic support within the PNG and Australian governments. The PNG Minister of Public Service told the </w:t>
      </w:r>
      <w:r w:rsidR="00CF45C5" w:rsidRPr="00091600">
        <w:rPr>
          <w:lang w:val="en-AU"/>
        </w:rPr>
        <w:t>review</w:t>
      </w:r>
      <w:r w:rsidRPr="00091600">
        <w:rPr>
          <w:lang w:val="en-AU"/>
        </w:rPr>
        <w:t xml:space="preserve"> team the Precinct was ‘a very important program for the government’ and would help public servants better manage government resources. </w:t>
      </w:r>
    </w:p>
    <w:p w:rsidR="000F4B57" w:rsidRPr="00091600" w:rsidRDefault="000F4B57" w:rsidP="000F4B57">
      <w:pPr>
        <w:pStyle w:val="BodyText"/>
        <w:spacing w:before="240"/>
        <w:rPr>
          <w:lang w:val="en-AU"/>
        </w:rPr>
      </w:pPr>
      <w:r w:rsidRPr="00091600">
        <w:rPr>
          <w:lang w:val="en-AU"/>
        </w:rPr>
        <w:t xml:space="preserve">The DHERST Secretary considered that ‘the Precinct is one of the best Australian programs; both planning and execution were done in a short period of time’. The former DPM Secretary was a significant force behind the program. </w:t>
      </w:r>
      <w:r w:rsidR="00E87298">
        <w:rPr>
          <w:lang w:val="en-AU"/>
        </w:rPr>
        <w:t>The PNG Government</w:t>
      </w:r>
      <w:r w:rsidRPr="00091600">
        <w:rPr>
          <w:lang w:val="en-AU"/>
        </w:rPr>
        <w:t xml:space="preserve"> has shown its commitment through in-kind contributions, such as ensuring that salaries continue to be paid for public servants attending Precinct courses and authorising staff to move positions on return to apply their skills (including to the private sector, as this is seen as still benefiting the PNG workforce as a whole and influencing broader change in leadership quality). This strong PNG ownership inspires the Precinct third lesson learned (see box).</w:t>
      </w:r>
    </w:p>
    <w:p w:rsidR="000F4B57" w:rsidRPr="00091600" w:rsidRDefault="000F4B57" w:rsidP="000F4B57">
      <w:pPr>
        <w:pStyle w:val="BodyText"/>
        <w:rPr>
          <w:lang w:val="en-AU"/>
        </w:rPr>
      </w:pPr>
      <w:r w:rsidRPr="00091600">
        <w:rPr>
          <w:lang w:val="en-AU"/>
        </w:rPr>
        <w:t>On the Australian side of the partnership, the former Foreign Minister was particularly committed to its success and instrumental in its design. The Australian High Commissioner follows the program closely and is a member of its Board. This political support is visible in terms of the enduring Australian financial and staff commitment to the program for more than four years, symbolised by the new UPNG and PILAG buildings.</w:t>
      </w:r>
    </w:p>
    <w:tbl>
      <w:tblPr>
        <w:tblStyle w:val="OPMBoxstyle"/>
        <w:tblW w:w="0" w:type="auto"/>
        <w:tblLook w:val="04A0" w:firstRow="1" w:lastRow="0" w:firstColumn="1" w:lastColumn="0" w:noHBand="0" w:noVBand="1"/>
        <w:tblCaption w:val="Precinct lessons learned 3 - program ownership is increased by supporting national priorities validated through consultations"/>
        <w:tblDescription w:val="The Precinct program is aligned with the long-term vision of the PNG Government. It uses two core government documents—the LCF and the GESI Policy—to frame its activities. They were the outcome of lengthy consultative policy processes across PNG, beyond the public sector, and therefore give the Precinct a deeper country ownership (rather than just government ownership). Precinct participants, whether through SBPP or PILAG, had a clear vision of what ethical leadership meant in a PNG context, highlighting the importance of collective (rather than individual) leadership and Christian values as a unifying factor."/>
      </w:tblPr>
      <w:tblGrid>
        <w:gridCol w:w="9730"/>
      </w:tblGrid>
      <w:tr w:rsidR="00DA1803" w:rsidRPr="00091600" w:rsidTr="004F0042">
        <w:trPr>
          <w:cnfStyle w:val="100000000000" w:firstRow="1" w:lastRow="0" w:firstColumn="0" w:lastColumn="0" w:oddVBand="0" w:evenVBand="0" w:oddHBand="0" w:evenHBand="0" w:firstRowFirstColumn="0" w:firstRowLastColumn="0" w:lastRowFirstColumn="0" w:lastRowLastColumn="0"/>
          <w:trHeight w:val="507"/>
          <w:tblHeader/>
        </w:trPr>
        <w:tc>
          <w:tcPr>
            <w:tcW w:w="9730" w:type="dxa"/>
          </w:tcPr>
          <w:p w:rsidR="00DA1803" w:rsidRPr="006A2786" w:rsidRDefault="00DA1803" w:rsidP="006A2786">
            <w:pPr>
              <w:pStyle w:val="Boxcaption"/>
            </w:pPr>
            <w:r w:rsidRPr="006A2786">
              <w:t xml:space="preserve">Box </w:t>
            </w:r>
            <w:r w:rsidRPr="006A2786">
              <w:fldChar w:fldCharType="begin"/>
            </w:r>
            <w:r w:rsidRPr="006A2786">
              <w:instrText xml:space="preserve"> SEQ Box \* ARABIC </w:instrText>
            </w:r>
            <w:r w:rsidRPr="006A2786">
              <w:fldChar w:fldCharType="separate"/>
            </w:r>
            <w:r w:rsidR="004964E9">
              <w:rPr>
                <w:noProof/>
              </w:rPr>
              <w:t>6</w:t>
            </w:r>
            <w:r w:rsidRPr="006A2786">
              <w:fldChar w:fldCharType="end"/>
            </w:r>
            <w:r w:rsidRPr="006A2786">
              <w:t>:</w:t>
            </w:r>
            <w:r w:rsidRPr="006A2786">
              <w:tab/>
              <w:t>Precinct lessons learned 3</w:t>
            </w:r>
            <w:r w:rsidR="00B21A52">
              <w:t xml:space="preserve"> –</w:t>
            </w:r>
            <w:r w:rsidRPr="006A2786">
              <w:t xml:space="preserve"> </w:t>
            </w:r>
            <w:r w:rsidRPr="00347111">
              <w:rPr>
                <w:b w:val="0"/>
              </w:rPr>
              <w:t>program ownership is increased by supporting national priorities validated through consultations</w:t>
            </w:r>
          </w:p>
        </w:tc>
      </w:tr>
      <w:tr w:rsidR="000F4B57" w:rsidRPr="00091600" w:rsidTr="00DA1803">
        <w:tc>
          <w:tcPr>
            <w:tcW w:w="9730" w:type="dxa"/>
          </w:tcPr>
          <w:p w:rsidR="000F4B57" w:rsidRPr="00091600" w:rsidRDefault="000F4B57">
            <w:pPr>
              <w:pStyle w:val="Boxtext"/>
              <w:rPr>
                <w:rFonts w:ascii="Roboto Light" w:hAnsi="Roboto Light"/>
                <w:sz w:val="22"/>
              </w:rPr>
            </w:pPr>
            <w:r w:rsidRPr="00091600">
              <w:rPr>
                <w:rFonts w:ascii="Roboto Light" w:hAnsi="Roboto Light"/>
              </w:rPr>
              <w:t xml:space="preserve">The Precinct program is aligned with the long-term vision of </w:t>
            </w:r>
            <w:r w:rsidR="00E87298">
              <w:rPr>
                <w:rFonts w:ascii="Roboto Light" w:hAnsi="Roboto Light"/>
              </w:rPr>
              <w:t>the PNG Government</w:t>
            </w:r>
            <w:r w:rsidRPr="00091600">
              <w:rPr>
                <w:rFonts w:ascii="Roboto Light" w:hAnsi="Roboto Light"/>
              </w:rPr>
              <w:t>. It uses two core government documents—the LCF and the GESI Policy—to frame its activities. They were the outcome of lengthy consultative policy processes across PNG, beyond the public sector, and therefore give the Precinct a deeper country ownership (rather than just government ownership). Precinct participants, whether through SBPP or PILAG, had a clear vision of what ethical leadership meant in a PNG context, highlighting the importance of collective (rather than individual) leadership and Christian values as a unifying factor.</w:t>
            </w:r>
          </w:p>
        </w:tc>
      </w:tr>
    </w:tbl>
    <w:p w:rsidR="000F4B57" w:rsidRPr="00091600" w:rsidRDefault="000F4B57" w:rsidP="000F4B57">
      <w:pPr>
        <w:pStyle w:val="BodyText"/>
        <w:rPr>
          <w:lang w:val="en-AU"/>
        </w:rPr>
      </w:pPr>
    </w:p>
    <w:p w:rsidR="000F4B57" w:rsidRPr="00091600" w:rsidRDefault="000F4B57" w:rsidP="000F4B57">
      <w:pPr>
        <w:pStyle w:val="BodyText"/>
        <w:rPr>
          <w:lang w:val="en-AU"/>
        </w:rPr>
      </w:pPr>
      <w:r w:rsidRPr="00B21A52">
        <w:rPr>
          <w:rFonts w:ascii="Roboto" w:hAnsi="Roboto"/>
          <w:b/>
          <w:lang w:val="en-AU"/>
        </w:rPr>
        <w:t>Bilateral relations</w:t>
      </w:r>
      <w:r w:rsidR="009B51EE" w:rsidRPr="00B21A52">
        <w:rPr>
          <w:rFonts w:ascii="Roboto" w:hAnsi="Roboto"/>
          <w:b/>
          <w:lang w:val="en-AU"/>
        </w:rPr>
        <w:t>:</w:t>
      </w:r>
      <w:r w:rsidR="00804DC1" w:rsidRPr="00091600">
        <w:rPr>
          <w:lang w:val="en-AU"/>
        </w:rPr>
        <w:t xml:space="preserve"> </w:t>
      </w:r>
      <w:r w:rsidR="009B51EE" w:rsidRPr="00091600">
        <w:rPr>
          <w:lang w:val="en-AU"/>
        </w:rPr>
        <w:t>t</w:t>
      </w:r>
      <w:r w:rsidR="00804DC1" w:rsidRPr="00091600">
        <w:rPr>
          <w:lang w:val="en-AU"/>
        </w:rPr>
        <w:t>he</w:t>
      </w:r>
      <w:r w:rsidRPr="00091600">
        <w:rPr>
          <w:lang w:val="en-AU"/>
        </w:rPr>
        <w:t xml:space="preserve"> program is furthering public diplomacy objectives in terms of a strong PNG–Australia bilateral relationship. The Governance Partnership supports events and communication activities which publicise Precinct achievements through speeches, press articles, and its website. These contribute to Australian public diplomacy objectives. However, communication activities do not drive behaviour change towards the Precinct goal and outcomes through a ‘communications for development’ approach (though this ambition was set out in the 2016 Design Update). The Governance Partnership has established a new events team which will better support high-profile Precinct events. In addition, Australian organisations, such as ANU or APSC, have indicated a long-term commitment to their PNG counterparts which preceded and goes beyond this time-bound program.</w:t>
      </w:r>
    </w:p>
    <w:p w:rsidR="000F4B57" w:rsidRPr="00091600" w:rsidRDefault="000F4B57" w:rsidP="000F4B57">
      <w:pPr>
        <w:pStyle w:val="BodyText"/>
        <w:spacing w:before="120"/>
        <w:rPr>
          <w:rFonts w:cstheme="minorHAnsi"/>
          <w:lang w:val="en-AU"/>
        </w:rPr>
      </w:pPr>
      <w:r w:rsidRPr="00B21A52">
        <w:rPr>
          <w:rFonts w:ascii="Roboto" w:hAnsi="Roboto" w:cstheme="minorHAnsi"/>
          <w:b/>
          <w:lang w:val="en-AU"/>
        </w:rPr>
        <w:t>Move from individual to whole-of-government ownership</w:t>
      </w:r>
      <w:r w:rsidR="009B51EE" w:rsidRPr="00B21A52">
        <w:rPr>
          <w:rFonts w:ascii="Roboto" w:hAnsi="Roboto" w:cstheme="minorHAnsi"/>
          <w:b/>
          <w:lang w:val="en-AU"/>
        </w:rPr>
        <w:t>:</w:t>
      </w:r>
      <w:r w:rsidR="00442FA6" w:rsidRPr="00091600">
        <w:rPr>
          <w:rFonts w:cstheme="minorHAnsi"/>
          <w:lang w:val="en-AU"/>
        </w:rPr>
        <w:t xml:space="preserve"> </w:t>
      </w:r>
      <w:r w:rsidR="009B51EE" w:rsidRPr="00091600">
        <w:rPr>
          <w:rFonts w:cstheme="minorHAnsi"/>
          <w:lang w:val="en-AU"/>
        </w:rPr>
        <w:t>t</w:t>
      </w:r>
      <w:r w:rsidR="00442FA6" w:rsidRPr="00091600">
        <w:rPr>
          <w:rFonts w:cstheme="minorHAnsi"/>
          <w:lang w:val="en-AU"/>
        </w:rPr>
        <w:t>he</w:t>
      </w:r>
      <w:r w:rsidRPr="00091600">
        <w:rPr>
          <w:rFonts w:cstheme="minorHAnsi"/>
          <w:lang w:val="en-AU"/>
        </w:rPr>
        <w:t xml:space="preserve"> Precinct needs wide support for its ambitious program to be sustained. Like all major development projects, it needs strong institutional, political, and organisational foundations. While support from individual leaders is welcome and valued, individuals move on for many reasons. Ownership of the Precinct can be deepened to achieve a greater PNG whole-of-government relevance. For example, other government departments could be considered to join the JSC </w:t>
      </w:r>
      <w:r w:rsidR="009B51EE" w:rsidRPr="00091600">
        <w:rPr>
          <w:rFonts w:cstheme="minorHAnsi"/>
          <w:lang w:val="en-AU"/>
        </w:rPr>
        <w:t>(</w:t>
      </w:r>
      <w:r w:rsidRPr="00091600">
        <w:rPr>
          <w:rFonts w:cstheme="minorHAnsi"/>
          <w:lang w:val="en-AU"/>
        </w:rPr>
        <w:t xml:space="preserve">such as the Department of </w:t>
      </w:r>
      <w:r w:rsidR="00BF3D6B" w:rsidRPr="00091600">
        <w:rPr>
          <w:rFonts w:cstheme="minorHAnsi"/>
          <w:lang w:val="en-AU"/>
        </w:rPr>
        <w:t xml:space="preserve">National </w:t>
      </w:r>
      <w:r w:rsidRPr="00091600">
        <w:rPr>
          <w:rFonts w:cstheme="minorHAnsi"/>
          <w:lang w:val="en-AU"/>
        </w:rPr>
        <w:t>Planning and Monitoring</w:t>
      </w:r>
      <w:r w:rsidR="009B51EE" w:rsidRPr="00091600">
        <w:rPr>
          <w:rFonts w:cstheme="minorHAnsi"/>
          <w:lang w:val="en-AU"/>
        </w:rPr>
        <w:t>)</w:t>
      </w:r>
      <w:r w:rsidRPr="00091600">
        <w:rPr>
          <w:rFonts w:cstheme="minorHAnsi"/>
          <w:lang w:val="en-AU"/>
        </w:rPr>
        <w:t xml:space="preserve"> to ensure the Precinct is aligned with </w:t>
      </w:r>
      <w:r w:rsidR="00E87298">
        <w:rPr>
          <w:rFonts w:cstheme="minorHAnsi"/>
          <w:lang w:val="en-AU"/>
        </w:rPr>
        <w:t>PNG Government</w:t>
      </w:r>
      <w:r w:rsidRPr="00091600">
        <w:rPr>
          <w:rFonts w:cstheme="minorHAnsi"/>
          <w:lang w:val="en-AU"/>
        </w:rPr>
        <w:t xml:space="preserve"> policies and plans. The difference between Board and JSC membership could also be revised to better reflect protocol, so that senior level </w:t>
      </w:r>
      <w:r w:rsidR="00DB5DD0">
        <w:rPr>
          <w:rFonts w:cstheme="minorHAnsi"/>
          <w:lang w:val="en-AU"/>
        </w:rPr>
        <w:t>decision</w:t>
      </w:r>
      <w:r w:rsidRPr="00091600">
        <w:rPr>
          <w:rFonts w:cstheme="minorHAnsi"/>
          <w:lang w:val="en-AU"/>
        </w:rPr>
        <w:t xml:space="preserve"> makers meet with their peers (e.g. the </w:t>
      </w:r>
      <w:r w:rsidR="00E87298">
        <w:rPr>
          <w:rFonts w:cstheme="minorHAnsi"/>
          <w:lang w:val="en-AU"/>
        </w:rPr>
        <w:t>PNG Government</w:t>
      </w:r>
      <w:r w:rsidRPr="00091600">
        <w:rPr>
          <w:rFonts w:cstheme="minorHAnsi"/>
          <w:lang w:val="en-AU"/>
        </w:rPr>
        <w:t xml:space="preserve"> Secretaries and UPNG </w:t>
      </w:r>
      <w:r w:rsidR="00ED0A93" w:rsidRPr="00091600">
        <w:rPr>
          <w:rFonts w:cstheme="minorHAnsi"/>
          <w:lang w:val="en-AU"/>
        </w:rPr>
        <w:t>Vice-Chancellor</w:t>
      </w:r>
      <w:r w:rsidR="00442FA6" w:rsidRPr="00091600">
        <w:rPr>
          <w:rFonts w:cstheme="minorHAnsi"/>
          <w:lang w:val="en-AU"/>
        </w:rPr>
        <w:t xml:space="preserve"> </w:t>
      </w:r>
      <w:r w:rsidRPr="00091600">
        <w:rPr>
          <w:rFonts w:cstheme="minorHAnsi"/>
          <w:lang w:val="en-AU"/>
        </w:rPr>
        <w:t xml:space="preserve">could sit alongside external members on the Board, but not on </w:t>
      </w:r>
      <w:r w:rsidR="00442FA6" w:rsidRPr="00091600">
        <w:rPr>
          <w:rFonts w:cstheme="minorHAnsi"/>
          <w:lang w:val="en-AU"/>
        </w:rPr>
        <w:t>the</w:t>
      </w:r>
      <w:r w:rsidR="00ED0A93" w:rsidRPr="00091600">
        <w:rPr>
          <w:rFonts w:cstheme="minorHAnsi"/>
          <w:lang w:val="en-AU"/>
        </w:rPr>
        <w:t xml:space="preserve"> </w:t>
      </w:r>
      <w:r w:rsidR="004B65AF" w:rsidRPr="00091600">
        <w:rPr>
          <w:rFonts w:cstheme="minorHAnsi"/>
          <w:lang w:val="en-AU"/>
        </w:rPr>
        <w:t>JSC</w:t>
      </w:r>
      <w:r w:rsidRPr="00091600">
        <w:rPr>
          <w:rFonts w:cstheme="minorHAnsi"/>
          <w:lang w:val="en-AU"/>
        </w:rPr>
        <w:t xml:space="preserve">). </w:t>
      </w:r>
    </w:p>
    <w:p w:rsidR="000F4B57" w:rsidRPr="00091600" w:rsidRDefault="000F4B57" w:rsidP="000F4B57">
      <w:pPr>
        <w:pStyle w:val="BodyText"/>
        <w:spacing w:before="120"/>
        <w:rPr>
          <w:rFonts w:cstheme="minorHAnsi"/>
          <w:lang w:val="en-AU"/>
        </w:rPr>
      </w:pPr>
      <w:r w:rsidRPr="00091600">
        <w:rPr>
          <w:rFonts w:cstheme="minorHAnsi"/>
          <w:lang w:val="en-AU"/>
        </w:rPr>
        <w:t xml:space="preserve">Relocating the Precinct Secretariat team from the Governance Partnership to DPM (as mentioned by several stakeholders) would be a positive move that would increase </w:t>
      </w:r>
      <w:r w:rsidR="00E87298">
        <w:rPr>
          <w:rFonts w:cstheme="minorHAnsi"/>
          <w:lang w:val="en-AU"/>
        </w:rPr>
        <w:t>PNG Government</w:t>
      </w:r>
      <w:r w:rsidRPr="00091600">
        <w:rPr>
          <w:rFonts w:cstheme="minorHAnsi"/>
          <w:lang w:val="en-AU"/>
        </w:rPr>
        <w:t xml:space="preserve"> ownership (e.g. over the agenda-setting for </w:t>
      </w:r>
      <w:r w:rsidR="00AB5A13" w:rsidRPr="00091600">
        <w:rPr>
          <w:rFonts w:cstheme="minorHAnsi"/>
          <w:lang w:val="en-AU"/>
        </w:rPr>
        <w:t>JSC</w:t>
      </w:r>
      <w:r w:rsidRPr="00091600">
        <w:rPr>
          <w:rFonts w:cstheme="minorHAnsi"/>
          <w:lang w:val="en-AU"/>
        </w:rPr>
        <w:t xml:space="preserve"> meetings and monitoring of program activities). </w:t>
      </w:r>
    </w:p>
    <w:p w:rsidR="005F74B0" w:rsidRPr="00091600" w:rsidRDefault="000F4B57" w:rsidP="000F4B57">
      <w:pPr>
        <w:pStyle w:val="BodyText"/>
        <w:rPr>
          <w:lang w:val="en-AU"/>
        </w:rPr>
      </w:pPr>
      <w:r w:rsidRPr="00B21A52">
        <w:rPr>
          <w:rFonts w:ascii="Roboto" w:hAnsi="Roboto"/>
          <w:b/>
          <w:lang w:val="en-AU"/>
        </w:rPr>
        <w:t>Make better use of Board members</w:t>
      </w:r>
      <w:r w:rsidR="009B51EE" w:rsidRPr="00B21A52">
        <w:rPr>
          <w:rFonts w:ascii="Roboto" w:hAnsi="Roboto"/>
          <w:b/>
          <w:lang w:val="en-AU"/>
        </w:rPr>
        <w:t>:</w:t>
      </w:r>
      <w:r w:rsidR="00442FA6" w:rsidRPr="00091600">
        <w:rPr>
          <w:lang w:val="en-AU"/>
        </w:rPr>
        <w:t xml:space="preserve"> </w:t>
      </w:r>
      <w:r w:rsidR="009B51EE" w:rsidRPr="00091600">
        <w:rPr>
          <w:lang w:val="en-AU"/>
        </w:rPr>
        <w:t>s</w:t>
      </w:r>
      <w:r w:rsidR="00442FA6" w:rsidRPr="00091600">
        <w:rPr>
          <w:lang w:val="en-AU"/>
        </w:rPr>
        <w:t>enior</w:t>
      </w:r>
      <w:r w:rsidRPr="00091600">
        <w:rPr>
          <w:lang w:val="en-AU"/>
        </w:rPr>
        <w:t xml:space="preserve"> level Board members are very supportive of the program. They are exceptional individuals from PNG and Australia who have significant experience and insights. They have already identified many of the issues raised in this review. </w:t>
      </w:r>
      <w:r w:rsidR="00442FA6" w:rsidRPr="00091600">
        <w:rPr>
          <w:lang w:val="en-AU"/>
        </w:rPr>
        <w:t xml:space="preserve">However, interviews showed </w:t>
      </w:r>
      <w:r w:rsidRPr="00091600">
        <w:rPr>
          <w:lang w:val="en-AU"/>
        </w:rPr>
        <w:t xml:space="preserve">they are not </w:t>
      </w:r>
      <w:r w:rsidR="00442FA6" w:rsidRPr="00091600">
        <w:rPr>
          <w:lang w:val="en-AU"/>
        </w:rPr>
        <w:t>feeling</w:t>
      </w:r>
      <w:r w:rsidR="00FD5E87" w:rsidRPr="00091600">
        <w:rPr>
          <w:lang w:val="en-AU"/>
        </w:rPr>
        <w:t xml:space="preserve"> </w:t>
      </w:r>
      <w:r w:rsidRPr="00091600">
        <w:rPr>
          <w:lang w:val="en-AU"/>
        </w:rPr>
        <w:t>fully utilised</w:t>
      </w:r>
      <w:r w:rsidR="00442FA6" w:rsidRPr="00091600">
        <w:rPr>
          <w:lang w:val="en-AU"/>
        </w:rPr>
        <w:t xml:space="preserve"> and expect</w:t>
      </w:r>
      <w:r w:rsidR="00E4250D" w:rsidRPr="00091600">
        <w:rPr>
          <w:lang w:val="en-AU"/>
        </w:rPr>
        <w:t xml:space="preserve"> more </w:t>
      </w:r>
      <w:r w:rsidR="00442FA6" w:rsidRPr="00091600">
        <w:rPr>
          <w:lang w:val="en-AU"/>
        </w:rPr>
        <w:t xml:space="preserve">than </w:t>
      </w:r>
      <w:r w:rsidR="00AA6332" w:rsidRPr="00091600">
        <w:rPr>
          <w:lang w:val="en-AU"/>
        </w:rPr>
        <w:t>‘</w:t>
      </w:r>
      <w:r w:rsidR="00442FA6" w:rsidRPr="00091600">
        <w:rPr>
          <w:lang w:val="en-AU"/>
        </w:rPr>
        <w:t>show and tell</w:t>
      </w:r>
      <w:r w:rsidR="00AA6332" w:rsidRPr="00091600">
        <w:rPr>
          <w:lang w:val="en-AU"/>
        </w:rPr>
        <w:t>’</w:t>
      </w:r>
      <w:r w:rsidR="00E4250D" w:rsidRPr="00091600">
        <w:rPr>
          <w:lang w:val="en-AU"/>
        </w:rPr>
        <w:t xml:space="preserve"> </w:t>
      </w:r>
      <w:r w:rsidRPr="00091600">
        <w:rPr>
          <w:lang w:val="en-AU"/>
        </w:rPr>
        <w:t>presentations</w:t>
      </w:r>
      <w:r w:rsidR="00442FA6" w:rsidRPr="00091600">
        <w:rPr>
          <w:lang w:val="en-AU"/>
        </w:rPr>
        <w:t>. They want</w:t>
      </w:r>
      <w:r w:rsidR="00FD5E87" w:rsidRPr="00091600">
        <w:rPr>
          <w:lang w:val="en-AU"/>
        </w:rPr>
        <w:t xml:space="preserve"> to </w:t>
      </w:r>
      <w:r w:rsidR="00442FA6" w:rsidRPr="00091600">
        <w:rPr>
          <w:lang w:val="en-AU"/>
        </w:rPr>
        <w:t>shape</w:t>
      </w:r>
      <w:r w:rsidRPr="00091600">
        <w:rPr>
          <w:lang w:val="en-AU"/>
        </w:rPr>
        <w:t xml:space="preserve"> the strategic direction and </w:t>
      </w:r>
      <w:r w:rsidR="00442FA6" w:rsidRPr="00091600">
        <w:rPr>
          <w:lang w:val="en-AU"/>
        </w:rPr>
        <w:t>help</w:t>
      </w:r>
      <w:r w:rsidRPr="00091600">
        <w:rPr>
          <w:lang w:val="en-AU"/>
        </w:rPr>
        <w:t xml:space="preserve"> address operational challenges. There are several options, such as longer and more frequent Board meetings; more interactions </w:t>
      </w:r>
      <w:r w:rsidRPr="00F14AD5">
        <w:rPr>
          <w:lang w:val="en-AU"/>
        </w:rPr>
        <w:t xml:space="preserve">with the JSC (through joint meetings); or even a restructuring of the composition and roles between an </w:t>
      </w:r>
      <w:r w:rsidR="009B51EE" w:rsidRPr="00F14AD5">
        <w:rPr>
          <w:lang w:val="en-AU"/>
        </w:rPr>
        <w:t>e</w:t>
      </w:r>
      <w:r w:rsidR="00442FA6" w:rsidRPr="00F14AD5">
        <w:rPr>
          <w:lang w:val="en-AU"/>
        </w:rPr>
        <w:t xml:space="preserve">xecutive </w:t>
      </w:r>
      <w:r w:rsidR="009B51EE" w:rsidRPr="00F14AD5">
        <w:rPr>
          <w:lang w:val="en-AU"/>
        </w:rPr>
        <w:t>b</w:t>
      </w:r>
      <w:r w:rsidR="00442FA6" w:rsidRPr="00F14AD5">
        <w:rPr>
          <w:lang w:val="en-AU"/>
        </w:rPr>
        <w:t>oard</w:t>
      </w:r>
      <w:r w:rsidRPr="00F14AD5">
        <w:rPr>
          <w:lang w:val="en-AU"/>
        </w:rPr>
        <w:t xml:space="preserve"> (strategic decisions) and the </w:t>
      </w:r>
      <w:r w:rsidR="005610FA" w:rsidRPr="00F14AD5">
        <w:rPr>
          <w:lang w:val="en-AU"/>
        </w:rPr>
        <w:t>JSC</w:t>
      </w:r>
      <w:r w:rsidR="00442FA6" w:rsidRPr="00F14AD5">
        <w:rPr>
          <w:lang w:val="en-AU"/>
        </w:rPr>
        <w:t xml:space="preserve"> </w:t>
      </w:r>
      <w:r w:rsidRPr="00F14AD5">
        <w:rPr>
          <w:lang w:val="en-AU"/>
        </w:rPr>
        <w:t>(operational).</w:t>
      </w:r>
      <w:r w:rsidRPr="00091600">
        <w:rPr>
          <w:lang w:val="en-AU"/>
        </w:rPr>
        <w:t xml:space="preserve"> </w:t>
      </w:r>
    </w:p>
    <w:p w:rsidR="000F4B57" w:rsidRPr="00091600" w:rsidRDefault="000F4B57" w:rsidP="000F4B57">
      <w:pPr>
        <w:pStyle w:val="BodyText"/>
        <w:rPr>
          <w:lang w:val="en-AU"/>
        </w:rPr>
      </w:pPr>
      <w:r w:rsidRPr="00091600">
        <w:rPr>
          <w:rFonts w:cstheme="minorHAnsi"/>
          <w:lang w:val="en-AU"/>
        </w:rPr>
        <w:t xml:space="preserve">These suggestions to broaden ownership are also consistent with the evidence base on how externally-funded programs can support locally-led change through developmental coalitions, a number of which have been funded by DFAT in the Pacific (see </w:t>
      </w:r>
      <w:r w:rsidR="00AB5A13" w:rsidRPr="00091600">
        <w:rPr>
          <w:rFonts w:cstheme="minorHAnsi"/>
          <w:lang w:val="en-AU"/>
        </w:rPr>
        <w:t>E</w:t>
      </w:r>
      <w:r w:rsidR="00FB2F38" w:rsidRPr="00091600">
        <w:rPr>
          <w:rFonts w:cstheme="minorHAnsi"/>
          <w:lang w:val="en-AU"/>
        </w:rPr>
        <w:t xml:space="preserve">vidence </w:t>
      </w:r>
      <w:r w:rsidR="00AB5A13" w:rsidRPr="00091600">
        <w:rPr>
          <w:rFonts w:cstheme="minorHAnsi"/>
          <w:lang w:val="en-AU"/>
        </w:rPr>
        <w:t>B</w:t>
      </w:r>
      <w:r w:rsidR="00FB2F38" w:rsidRPr="00091600">
        <w:rPr>
          <w:rFonts w:cstheme="minorHAnsi"/>
          <w:lang w:val="en-AU"/>
        </w:rPr>
        <w:t>ox</w:t>
      </w:r>
      <w:r w:rsidRPr="00091600">
        <w:rPr>
          <w:rFonts w:cstheme="minorHAnsi"/>
          <w:lang w:val="en-AU"/>
        </w:rPr>
        <w:t xml:space="preserve"> 3). </w:t>
      </w:r>
    </w:p>
    <w:p w:rsidR="000F4B57" w:rsidRPr="00091600" w:rsidRDefault="000F4B57" w:rsidP="006A2786">
      <w:pPr>
        <w:pStyle w:val="Recommendationthing"/>
      </w:pPr>
      <w:r w:rsidRPr="006A2786">
        <w:t>Recommendations</w:t>
      </w:r>
    </w:p>
    <w:p w:rsidR="000F4B57" w:rsidRPr="00091600" w:rsidRDefault="009207B2" w:rsidP="000F4B57">
      <w:pPr>
        <w:pStyle w:val="BodyText"/>
        <w:rPr>
          <w:lang w:val="en-AU"/>
        </w:rPr>
      </w:pPr>
      <w:r w:rsidRPr="00091600">
        <w:rPr>
          <w:rStyle w:val="RecommendationthingChar"/>
          <w:rFonts w:ascii="Roboto Light" w:hAnsi="Roboto Light"/>
          <w:color w:val="45A7E1" w:themeColor="accent1"/>
        </w:rPr>
        <w:sym w:font="Wingdings" w:char="F06E"/>
      </w:r>
      <w:r w:rsidRPr="00091600">
        <w:rPr>
          <w:rStyle w:val="RecommendationthingChar"/>
          <w:rFonts w:ascii="Roboto Light" w:hAnsi="Roboto Light"/>
          <w:color w:val="45A7E1" w:themeColor="accent1"/>
        </w:rPr>
        <w:t xml:space="preserve"> </w:t>
      </w:r>
      <w:r w:rsidR="000F4B57" w:rsidRPr="006A2786">
        <w:rPr>
          <w:rStyle w:val="RecommendationthingChar"/>
          <w:rFonts w:ascii="Poppins ExtraBold" w:hAnsi="Poppins ExtraBold" w:cs="Poppins ExtraBold"/>
        </w:rPr>
        <w:t xml:space="preserve">R18 </w:t>
      </w:r>
      <w:r w:rsidR="000F4B57" w:rsidRPr="00091600">
        <w:rPr>
          <w:lang w:val="en-AU"/>
        </w:rPr>
        <w:t xml:space="preserve">(to </w:t>
      </w:r>
      <w:r w:rsidR="009211D3" w:rsidRPr="00091600">
        <w:rPr>
          <w:lang w:val="en-AU"/>
        </w:rPr>
        <w:t xml:space="preserve">the </w:t>
      </w:r>
      <w:r w:rsidR="000F4B57" w:rsidRPr="00091600">
        <w:rPr>
          <w:lang w:val="en-AU"/>
        </w:rPr>
        <w:t xml:space="preserve">Board, </w:t>
      </w:r>
      <w:r w:rsidR="008D09C8" w:rsidRPr="00091600">
        <w:rPr>
          <w:lang w:val="en-AU"/>
        </w:rPr>
        <w:t>DPM</w:t>
      </w:r>
      <w:r w:rsidR="000F4B57" w:rsidRPr="00091600">
        <w:rPr>
          <w:lang w:val="en-AU"/>
        </w:rPr>
        <w:t xml:space="preserve">, DHERST, and DFAT/AHC): consider options to restructure the governance arrangements </w:t>
      </w:r>
      <w:r w:rsidR="002033EF">
        <w:rPr>
          <w:lang w:val="en-AU"/>
        </w:rPr>
        <w:t xml:space="preserve">to deepen PNG ownership </w:t>
      </w:r>
      <w:r w:rsidR="005761A6">
        <w:rPr>
          <w:lang w:val="en-AU"/>
        </w:rPr>
        <w:t xml:space="preserve">of the program </w:t>
      </w:r>
      <w:r w:rsidR="003F3A4F" w:rsidRPr="00091600">
        <w:rPr>
          <w:lang w:val="en-AU"/>
        </w:rPr>
        <w:t>(by June 2019)</w:t>
      </w:r>
      <w:r w:rsidR="00275249" w:rsidRPr="00091600">
        <w:rPr>
          <w:lang w:val="en-AU"/>
        </w:rPr>
        <w:t>,</w:t>
      </w:r>
      <w:r w:rsidR="003F3A4F" w:rsidRPr="00091600">
        <w:rPr>
          <w:lang w:val="en-AU"/>
        </w:rPr>
        <w:t xml:space="preserve"> including</w:t>
      </w:r>
      <w:r w:rsidR="00786047" w:rsidRPr="00091600">
        <w:rPr>
          <w:lang w:val="en-AU"/>
        </w:rPr>
        <w:t>:</w:t>
      </w:r>
    </w:p>
    <w:p w:rsidR="00442FA6" w:rsidRPr="00091600" w:rsidRDefault="003F3A4F">
      <w:pPr>
        <w:pStyle w:val="ListBullet"/>
        <w:rPr>
          <w:rFonts w:ascii="Roboto Light" w:hAnsi="Roboto Light"/>
          <w:szCs w:val="22"/>
          <w:lang w:val="en-AU"/>
        </w:rPr>
      </w:pPr>
      <w:r w:rsidRPr="00091600">
        <w:rPr>
          <w:rFonts w:ascii="Roboto Light" w:hAnsi="Roboto Light"/>
          <w:szCs w:val="22"/>
          <w:lang w:val="en-AU"/>
        </w:rPr>
        <w:t>g</w:t>
      </w:r>
      <w:r w:rsidR="00442FA6" w:rsidRPr="00091600">
        <w:rPr>
          <w:rFonts w:ascii="Roboto Light" w:hAnsi="Roboto Light"/>
          <w:szCs w:val="22"/>
          <w:lang w:val="en-AU"/>
        </w:rPr>
        <w:t>ive the Board a</w:t>
      </w:r>
      <w:r w:rsidR="000F4B57" w:rsidRPr="00091600">
        <w:rPr>
          <w:rFonts w:ascii="Roboto Light" w:hAnsi="Roboto Light"/>
          <w:lang w:val="en-AU"/>
        </w:rPr>
        <w:t xml:space="preserve"> strategic decision </w:t>
      </w:r>
      <w:r w:rsidR="00442FA6" w:rsidRPr="00091600">
        <w:rPr>
          <w:rFonts w:ascii="Roboto Light" w:hAnsi="Roboto Light"/>
          <w:szCs w:val="22"/>
          <w:lang w:val="en-AU"/>
        </w:rPr>
        <w:t>and</w:t>
      </w:r>
      <w:r w:rsidR="000F4B57" w:rsidRPr="00091600">
        <w:rPr>
          <w:rFonts w:ascii="Roboto Light" w:hAnsi="Roboto Light"/>
          <w:lang w:val="en-AU"/>
        </w:rPr>
        <w:t xml:space="preserve"> oversight </w:t>
      </w:r>
      <w:r w:rsidR="00442FA6" w:rsidRPr="00091600">
        <w:rPr>
          <w:rFonts w:ascii="Roboto Light" w:hAnsi="Roboto Light"/>
          <w:szCs w:val="22"/>
          <w:lang w:val="en-AU"/>
        </w:rPr>
        <w:t xml:space="preserve">mandate </w:t>
      </w:r>
      <w:r w:rsidR="000F4B57" w:rsidRPr="00091600">
        <w:rPr>
          <w:rFonts w:ascii="Roboto Light" w:hAnsi="Roboto Light"/>
          <w:lang w:val="en-AU"/>
        </w:rPr>
        <w:t xml:space="preserve">and </w:t>
      </w:r>
      <w:r w:rsidR="00442FA6" w:rsidRPr="00091600">
        <w:rPr>
          <w:rFonts w:ascii="Roboto Light" w:hAnsi="Roboto Light"/>
          <w:szCs w:val="22"/>
          <w:lang w:val="en-AU"/>
        </w:rPr>
        <w:t xml:space="preserve">include </w:t>
      </w:r>
      <w:r w:rsidRPr="00091600">
        <w:rPr>
          <w:rFonts w:ascii="Roboto Light" w:hAnsi="Roboto Light"/>
          <w:szCs w:val="22"/>
          <w:lang w:val="en-AU"/>
        </w:rPr>
        <w:t>JSC</w:t>
      </w:r>
      <w:r w:rsidR="00B406FB" w:rsidRPr="00091600">
        <w:rPr>
          <w:rFonts w:ascii="Roboto Light" w:hAnsi="Roboto Light"/>
          <w:szCs w:val="22"/>
          <w:lang w:val="en-AU"/>
        </w:rPr>
        <w:t xml:space="preserve"> </w:t>
      </w:r>
      <w:r w:rsidR="00442FA6" w:rsidRPr="00091600">
        <w:rPr>
          <w:rFonts w:ascii="Roboto Light" w:hAnsi="Roboto Light"/>
          <w:szCs w:val="22"/>
          <w:lang w:val="en-AU"/>
        </w:rPr>
        <w:t>senior officials (</w:t>
      </w:r>
      <w:r w:rsidR="00B406FB" w:rsidRPr="00091600">
        <w:rPr>
          <w:rFonts w:ascii="Roboto Light" w:hAnsi="Roboto Light"/>
          <w:szCs w:val="22"/>
          <w:lang w:val="en-AU"/>
        </w:rPr>
        <w:t xml:space="preserve">e.g. </w:t>
      </w:r>
      <w:r w:rsidR="00442FA6" w:rsidRPr="00091600">
        <w:rPr>
          <w:rFonts w:ascii="Roboto Light" w:hAnsi="Roboto Light"/>
          <w:szCs w:val="22"/>
          <w:lang w:val="en-AU"/>
        </w:rPr>
        <w:t>Vice</w:t>
      </w:r>
      <w:r w:rsidR="00126578" w:rsidRPr="00091600">
        <w:rPr>
          <w:rFonts w:ascii="Roboto Light" w:hAnsi="Roboto Light"/>
          <w:szCs w:val="22"/>
          <w:lang w:val="en-AU"/>
        </w:rPr>
        <w:t>-</w:t>
      </w:r>
      <w:r w:rsidR="00442FA6" w:rsidRPr="00091600">
        <w:rPr>
          <w:rFonts w:ascii="Roboto Light" w:hAnsi="Roboto Light"/>
          <w:szCs w:val="22"/>
          <w:lang w:val="en-AU"/>
        </w:rPr>
        <w:t>Chancellor) alongside existing Board members</w:t>
      </w:r>
      <w:r w:rsidRPr="00091600">
        <w:rPr>
          <w:rFonts w:ascii="Roboto Light" w:hAnsi="Roboto Light"/>
          <w:szCs w:val="22"/>
          <w:lang w:val="en-AU"/>
        </w:rPr>
        <w:t>;</w:t>
      </w:r>
    </w:p>
    <w:p w:rsidR="000F4B57" w:rsidRPr="00091600" w:rsidRDefault="003F3A4F" w:rsidP="008F7A55">
      <w:pPr>
        <w:pStyle w:val="BodyText"/>
        <w:numPr>
          <w:ilvl w:val="0"/>
          <w:numId w:val="27"/>
        </w:numPr>
        <w:spacing w:after="60"/>
        <w:ind w:left="357" w:hanging="357"/>
        <w:rPr>
          <w:lang w:val="en-AU"/>
        </w:rPr>
      </w:pPr>
      <w:r w:rsidRPr="00091600">
        <w:rPr>
          <w:lang w:val="en-AU"/>
        </w:rPr>
        <w:t>m</w:t>
      </w:r>
      <w:r w:rsidR="00442FA6" w:rsidRPr="00091600">
        <w:rPr>
          <w:lang w:val="en-AU"/>
        </w:rPr>
        <w:t xml:space="preserve">ake the </w:t>
      </w:r>
      <w:r w:rsidR="00133711">
        <w:rPr>
          <w:lang w:val="en-AU"/>
        </w:rPr>
        <w:t>JSC</w:t>
      </w:r>
      <w:r w:rsidR="00442FA6" w:rsidRPr="00091600">
        <w:rPr>
          <w:lang w:val="en-AU"/>
        </w:rPr>
        <w:t xml:space="preserve"> a more operational body, reporting</w:t>
      </w:r>
      <w:r w:rsidR="000F4B57" w:rsidRPr="00091600">
        <w:rPr>
          <w:lang w:val="en-AU"/>
        </w:rPr>
        <w:t xml:space="preserve"> to </w:t>
      </w:r>
      <w:r w:rsidR="00442FA6" w:rsidRPr="00091600">
        <w:rPr>
          <w:lang w:val="en-AU"/>
        </w:rPr>
        <w:t>the Board</w:t>
      </w:r>
      <w:r w:rsidRPr="00091600">
        <w:rPr>
          <w:lang w:val="en-AU"/>
        </w:rPr>
        <w:t>;</w:t>
      </w:r>
    </w:p>
    <w:p w:rsidR="00D34508" w:rsidRPr="00091600" w:rsidRDefault="003F3A4F">
      <w:pPr>
        <w:pStyle w:val="ListBullet"/>
        <w:rPr>
          <w:rFonts w:ascii="Roboto Light" w:hAnsi="Roboto Light"/>
          <w:szCs w:val="22"/>
          <w:lang w:val="en-AU"/>
        </w:rPr>
      </w:pPr>
      <w:r w:rsidRPr="00091600">
        <w:rPr>
          <w:rFonts w:ascii="Roboto Light" w:hAnsi="Roboto Light" w:cstheme="minorHAnsi"/>
          <w:szCs w:val="22"/>
          <w:lang w:val="en-AU"/>
        </w:rPr>
        <w:t>r</w:t>
      </w:r>
      <w:r w:rsidR="00D34508" w:rsidRPr="00091600">
        <w:rPr>
          <w:rFonts w:ascii="Roboto Light" w:hAnsi="Roboto Light" w:cstheme="minorHAnsi"/>
          <w:szCs w:val="22"/>
          <w:lang w:val="en-AU"/>
        </w:rPr>
        <w:t>elocate the Precinct Secretariat team from the Governance Partnership to DPM</w:t>
      </w:r>
      <w:r w:rsidRPr="00091600">
        <w:rPr>
          <w:rFonts w:ascii="Roboto Light" w:hAnsi="Roboto Light" w:cstheme="minorHAnsi"/>
          <w:szCs w:val="22"/>
          <w:lang w:val="en-AU"/>
        </w:rPr>
        <w:t>;</w:t>
      </w:r>
    </w:p>
    <w:p w:rsidR="000F4B57" w:rsidRPr="00091600" w:rsidRDefault="003F3A4F" w:rsidP="000F4B57">
      <w:pPr>
        <w:pStyle w:val="ListBullet"/>
        <w:rPr>
          <w:rFonts w:ascii="Roboto Light" w:hAnsi="Roboto Light"/>
          <w:szCs w:val="22"/>
          <w:lang w:val="en-AU"/>
        </w:rPr>
      </w:pPr>
      <w:r w:rsidRPr="00091600">
        <w:rPr>
          <w:rFonts w:ascii="Roboto Light" w:hAnsi="Roboto Light"/>
          <w:szCs w:val="22"/>
          <w:lang w:val="en-AU"/>
        </w:rPr>
        <w:t>i</w:t>
      </w:r>
      <w:r w:rsidR="00442FA6" w:rsidRPr="00091600">
        <w:rPr>
          <w:rFonts w:ascii="Roboto Light" w:hAnsi="Roboto Light"/>
          <w:szCs w:val="22"/>
          <w:lang w:val="en-AU"/>
        </w:rPr>
        <w:t>nclude</w:t>
      </w:r>
      <w:r w:rsidR="000F4B57" w:rsidRPr="00091600">
        <w:rPr>
          <w:rFonts w:ascii="Roboto Light" w:hAnsi="Roboto Light"/>
          <w:szCs w:val="22"/>
          <w:lang w:val="en-AU"/>
        </w:rPr>
        <w:t xml:space="preserve"> </w:t>
      </w:r>
      <w:r w:rsidR="000F4B57" w:rsidRPr="00091600">
        <w:rPr>
          <w:rFonts w:ascii="Roboto Light" w:hAnsi="Roboto Light" w:cstheme="minorHAnsi"/>
          <w:szCs w:val="22"/>
          <w:lang w:val="en-AU"/>
        </w:rPr>
        <w:t xml:space="preserve">Department for </w:t>
      </w:r>
      <w:r w:rsidR="00BF3D6B" w:rsidRPr="00091600">
        <w:rPr>
          <w:rFonts w:ascii="Roboto Light" w:hAnsi="Roboto Light" w:cstheme="minorHAnsi"/>
          <w:szCs w:val="22"/>
          <w:lang w:val="en-AU"/>
        </w:rPr>
        <w:t xml:space="preserve">National </w:t>
      </w:r>
      <w:r w:rsidR="000F4B57" w:rsidRPr="00091600">
        <w:rPr>
          <w:rFonts w:ascii="Roboto Light" w:hAnsi="Roboto Light" w:cstheme="minorHAnsi"/>
          <w:szCs w:val="22"/>
          <w:lang w:val="en-AU"/>
        </w:rPr>
        <w:t>Planning and Monitoring</w:t>
      </w:r>
      <w:r w:rsidR="000F4B57" w:rsidRPr="00091600">
        <w:rPr>
          <w:rFonts w:ascii="Roboto Light" w:hAnsi="Roboto Light"/>
          <w:szCs w:val="22"/>
          <w:lang w:val="en-AU"/>
        </w:rPr>
        <w:t xml:space="preserve"> and other </w:t>
      </w:r>
      <w:r w:rsidR="00E87298">
        <w:rPr>
          <w:rFonts w:ascii="Roboto Light" w:hAnsi="Roboto Light"/>
          <w:szCs w:val="22"/>
          <w:lang w:val="en-AU"/>
        </w:rPr>
        <w:t>PNG Government</w:t>
      </w:r>
      <w:r w:rsidR="000F4B57" w:rsidRPr="00091600">
        <w:rPr>
          <w:rFonts w:ascii="Roboto Light" w:hAnsi="Roboto Light"/>
          <w:szCs w:val="22"/>
          <w:lang w:val="en-AU"/>
        </w:rPr>
        <w:t xml:space="preserve"> departments in Precinct governance arrangements, to help align with government priorities</w:t>
      </w:r>
      <w:r w:rsidRPr="00091600">
        <w:rPr>
          <w:rFonts w:ascii="Roboto Light" w:hAnsi="Roboto Light"/>
          <w:szCs w:val="22"/>
          <w:lang w:val="en-AU"/>
        </w:rPr>
        <w:t>;</w:t>
      </w:r>
    </w:p>
    <w:p w:rsidR="000F4B57" w:rsidRPr="00091600" w:rsidRDefault="003F3A4F" w:rsidP="000F4B57">
      <w:pPr>
        <w:pStyle w:val="ListBullet"/>
        <w:rPr>
          <w:rFonts w:ascii="Roboto Light" w:hAnsi="Roboto Light"/>
          <w:szCs w:val="22"/>
          <w:lang w:val="en-AU"/>
        </w:rPr>
      </w:pPr>
      <w:r w:rsidRPr="00091600">
        <w:rPr>
          <w:rFonts w:ascii="Roboto Light" w:hAnsi="Roboto Light"/>
          <w:szCs w:val="22"/>
          <w:lang w:val="en-AU"/>
        </w:rPr>
        <w:t>e</w:t>
      </w:r>
      <w:r w:rsidR="00442FA6" w:rsidRPr="00091600">
        <w:rPr>
          <w:rFonts w:ascii="Roboto Light" w:hAnsi="Roboto Light"/>
          <w:szCs w:val="22"/>
          <w:lang w:val="en-AU"/>
        </w:rPr>
        <w:t xml:space="preserve">nsure </w:t>
      </w:r>
      <w:r w:rsidR="00133711">
        <w:rPr>
          <w:rFonts w:ascii="Roboto Light" w:hAnsi="Roboto Light"/>
          <w:szCs w:val="22"/>
          <w:lang w:val="en-AU"/>
        </w:rPr>
        <w:t>JSC</w:t>
      </w:r>
      <w:r w:rsidR="000F4B57" w:rsidRPr="00091600">
        <w:rPr>
          <w:rFonts w:ascii="Roboto Light" w:hAnsi="Roboto Light"/>
          <w:szCs w:val="22"/>
          <w:lang w:val="en-AU"/>
        </w:rPr>
        <w:t xml:space="preserve"> meetings are fully led by the three co-chairs</w:t>
      </w:r>
      <w:r w:rsidRPr="00091600">
        <w:rPr>
          <w:rFonts w:ascii="Roboto Light" w:hAnsi="Roboto Light"/>
          <w:szCs w:val="22"/>
          <w:lang w:val="en-AU"/>
        </w:rPr>
        <w:t>;</w:t>
      </w:r>
      <w:r w:rsidR="00503524">
        <w:rPr>
          <w:rFonts w:ascii="Roboto Light" w:hAnsi="Roboto Light"/>
          <w:szCs w:val="22"/>
          <w:lang w:val="en-AU"/>
        </w:rPr>
        <w:t xml:space="preserve"> and</w:t>
      </w:r>
    </w:p>
    <w:p w:rsidR="000F4B57" w:rsidRPr="00091600" w:rsidRDefault="003F3A4F" w:rsidP="000F4B57">
      <w:pPr>
        <w:pStyle w:val="ListBullet"/>
        <w:rPr>
          <w:rFonts w:ascii="Roboto Light" w:hAnsi="Roboto Light"/>
          <w:szCs w:val="22"/>
          <w:lang w:val="en-AU"/>
        </w:rPr>
      </w:pPr>
      <w:r w:rsidRPr="00091600">
        <w:rPr>
          <w:rFonts w:ascii="Roboto Light" w:hAnsi="Roboto Light"/>
          <w:szCs w:val="22"/>
          <w:lang w:val="en-AU"/>
        </w:rPr>
        <w:t>h</w:t>
      </w:r>
      <w:r w:rsidR="00442FA6" w:rsidRPr="00091600">
        <w:rPr>
          <w:rFonts w:ascii="Roboto Light" w:hAnsi="Roboto Light"/>
          <w:szCs w:val="22"/>
          <w:lang w:val="en-AU"/>
        </w:rPr>
        <w:t>old</w:t>
      </w:r>
      <w:r w:rsidR="000F4B57" w:rsidRPr="00091600">
        <w:rPr>
          <w:rFonts w:ascii="Roboto Light" w:hAnsi="Roboto Light"/>
          <w:szCs w:val="22"/>
          <w:lang w:val="en-AU"/>
        </w:rPr>
        <w:t xml:space="preserve"> more frequent Board meetings and joint meetings between the </w:t>
      </w:r>
      <w:r w:rsidR="00442FA6" w:rsidRPr="00091600">
        <w:rPr>
          <w:rFonts w:ascii="Roboto Light" w:hAnsi="Roboto Light"/>
          <w:szCs w:val="22"/>
          <w:lang w:val="en-AU"/>
        </w:rPr>
        <w:t>Board</w:t>
      </w:r>
      <w:r w:rsidR="000F4B57" w:rsidRPr="00091600">
        <w:rPr>
          <w:rFonts w:ascii="Roboto Light" w:hAnsi="Roboto Light"/>
          <w:szCs w:val="22"/>
          <w:lang w:val="en-AU"/>
        </w:rPr>
        <w:t xml:space="preserve"> and JSC</w:t>
      </w:r>
      <w:r w:rsidRPr="00091600">
        <w:rPr>
          <w:rFonts w:ascii="Roboto Light" w:hAnsi="Roboto Light"/>
          <w:szCs w:val="22"/>
          <w:lang w:val="en-AU"/>
        </w:rPr>
        <w:t>.</w:t>
      </w:r>
      <w:r w:rsidR="000F4B57" w:rsidRPr="00091600">
        <w:rPr>
          <w:rFonts w:ascii="Roboto Light" w:hAnsi="Roboto Light"/>
          <w:szCs w:val="22"/>
          <w:lang w:val="en-AU"/>
        </w:rPr>
        <w:t xml:space="preserve"> </w:t>
      </w:r>
    </w:p>
    <w:tbl>
      <w:tblPr>
        <w:tblStyle w:val="OPMBoxstyle"/>
        <w:tblW w:w="0" w:type="auto"/>
        <w:tblLook w:val="04A0" w:firstRow="1" w:lastRow="0" w:firstColumn="1" w:lastColumn="0" w:noHBand="0" w:noVBand="1"/>
        <w:tblCaption w:val="Evidence for the Precinct to consider 4 - programs that support locally-led Pacific coalitions"/>
        <w:tblDescription w:val="Programs that support developmental leadership need to successfully work with coalitions in a locally-led way. DFAT has supported a number of programs in the Pacific which have adopted this approach, and with which Precinct stakeholders could exchange experiences. &#10;An external review of the Governance for Growth (GfG) Vanuatu program identified some particularly successful characteristics. It fostered close working partnerships between the GfG team and their counterparts in Vanuatu, including through co-location. It relied on counterparts to identify reform priorities and the right approach to addressing them, but also had flexible resources waiting for a reform opportunity to open. The team developed solutions incrementally, starting with a concept and building on that with the help of its networks. The initial budget had unprogrammed components in the knowledge that it was difficult to predict which reforms will be implemented and when. Recognising that institutional reforms take time to implement, GfG was set up for an initial period of 10 years, and continued into the next phase.&#10;The 2017 independent evaluation of the third phase of the Pacific Leadership Initiative found that it had provided space for experimentation, learning, and innovation around how Australia can support developmental leadership and coalitions for change in the Pacific. It had been most effective in supporting collective action led by Pacific Island leaders and coalitions (particularly at the national and sub-national levels) in pursuit of policy and institutional changes and reforms. A 2016 study examined how it worked well with locally-led coalitions, including:&#10;• program staff strategically using their local knowledge to identify potential partners and inform ways of working. Sometimes they played a more proactive role in convening coalitions;&#10;• strategic use of local knowledge allowing the program to work on difficult issues by broaching them first through less sensitive areas of engagement;&#10;• staff working formally and informally behind the scenes, keeping a low profile and allowing local actors to lead reforms. This was important in ensuring reforms were genuinely (and seen to be) locally-led;&#10;• this was facilitated by the program’s light footprint in-country, with just a country representative, as well as by the space it provided to convene local stakeholders to develop locally feasible ideas. "/>
      </w:tblPr>
      <w:tblGrid>
        <w:gridCol w:w="9730"/>
      </w:tblGrid>
      <w:tr w:rsidR="0099379B" w:rsidRPr="00091600" w:rsidTr="004F0042">
        <w:trPr>
          <w:cnfStyle w:val="100000000000" w:firstRow="1" w:lastRow="0" w:firstColumn="0" w:lastColumn="0" w:oddVBand="0" w:evenVBand="0" w:oddHBand="0" w:evenHBand="0" w:firstRowFirstColumn="0" w:firstRowLastColumn="0" w:lastRowFirstColumn="0" w:lastRowLastColumn="0"/>
          <w:trHeight w:val="507"/>
          <w:tblHeader/>
        </w:trPr>
        <w:tc>
          <w:tcPr>
            <w:tcW w:w="9730" w:type="dxa"/>
          </w:tcPr>
          <w:p w:rsidR="0099379B" w:rsidRPr="006A2786" w:rsidRDefault="0099379B" w:rsidP="006A2786">
            <w:pPr>
              <w:pStyle w:val="Boxcaption"/>
            </w:pPr>
            <w:r w:rsidRPr="006A2786">
              <w:t xml:space="preserve">Box </w:t>
            </w:r>
            <w:r w:rsidRPr="006A2786">
              <w:fldChar w:fldCharType="begin"/>
            </w:r>
            <w:r w:rsidRPr="006A2786">
              <w:instrText xml:space="preserve"> SEQ Box \* ARABIC </w:instrText>
            </w:r>
            <w:r w:rsidRPr="006A2786">
              <w:fldChar w:fldCharType="separate"/>
            </w:r>
            <w:r w:rsidR="004964E9">
              <w:rPr>
                <w:noProof/>
              </w:rPr>
              <w:t>7</w:t>
            </w:r>
            <w:r w:rsidRPr="006A2786">
              <w:fldChar w:fldCharType="end"/>
            </w:r>
            <w:r w:rsidRPr="006A2786">
              <w:t>:</w:t>
            </w:r>
            <w:r w:rsidRPr="006A2786">
              <w:tab/>
              <w:t>Evidence for the Precinct to consider 4</w:t>
            </w:r>
            <w:r w:rsidR="00A71F97">
              <w:t xml:space="preserve"> –</w:t>
            </w:r>
            <w:r w:rsidRPr="006A2786">
              <w:t xml:space="preserve"> </w:t>
            </w:r>
            <w:r w:rsidRPr="00347111">
              <w:rPr>
                <w:b w:val="0"/>
              </w:rPr>
              <w:t>programs that support locally-led Pacific coalitions</w:t>
            </w:r>
          </w:p>
        </w:tc>
      </w:tr>
      <w:tr w:rsidR="000F4B57" w:rsidRPr="00091600" w:rsidTr="0099379B">
        <w:tc>
          <w:tcPr>
            <w:tcW w:w="9730" w:type="dxa"/>
          </w:tcPr>
          <w:p w:rsidR="000F4B57" w:rsidRPr="00091600" w:rsidRDefault="000F4B57" w:rsidP="00013D3C">
            <w:pPr>
              <w:pStyle w:val="Boxtext"/>
              <w:rPr>
                <w:rFonts w:ascii="Roboto Light" w:hAnsi="Roboto Light"/>
              </w:rPr>
            </w:pPr>
            <w:r w:rsidRPr="00091600">
              <w:rPr>
                <w:rFonts w:ascii="Roboto Light" w:hAnsi="Roboto Light"/>
              </w:rPr>
              <w:t>Programs that support developmental leadership need to successful</w:t>
            </w:r>
            <w:r w:rsidR="00382370">
              <w:rPr>
                <w:rFonts w:ascii="Roboto Light" w:hAnsi="Roboto Light"/>
              </w:rPr>
              <w:t>ly</w:t>
            </w:r>
            <w:r w:rsidRPr="00091600">
              <w:rPr>
                <w:rFonts w:ascii="Roboto Light" w:hAnsi="Roboto Light"/>
              </w:rPr>
              <w:t xml:space="preserve"> work with coalitions in a locally-led way. DFAT has supported a number of programs in the Pacific which have adopted this approach, and with which Precinct stakeholders could exchange experiences. </w:t>
            </w:r>
          </w:p>
          <w:p w:rsidR="000F4B57" w:rsidRPr="00091600" w:rsidRDefault="000F4B57" w:rsidP="00013D3C">
            <w:pPr>
              <w:pStyle w:val="Boxtext"/>
              <w:rPr>
                <w:rFonts w:ascii="Roboto Light" w:hAnsi="Roboto Light"/>
              </w:rPr>
            </w:pPr>
            <w:r w:rsidRPr="00091600">
              <w:rPr>
                <w:rFonts w:ascii="Roboto Light" w:hAnsi="Roboto Light"/>
              </w:rPr>
              <w:t xml:space="preserve">An external review of the </w:t>
            </w:r>
            <w:r w:rsidRPr="00A71F97">
              <w:rPr>
                <w:rFonts w:ascii="Roboto" w:hAnsi="Roboto"/>
                <w:b/>
              </w:rPr>
              <w:t>Governance for Growth (GfG) Vanuatu program</w:t>
            </w:r>
            <w:r w:rsidRPr="00091600">
              <w:rPr>
                <w:rFonts w:ascii="Roboto Light" w:hAnsi="Roboto Light"/>
              </w:rPr>
              <w:t xml:space="preserve"> identified some particularly successful characteristics. It fostered close working partnerships between the GfG team and their counterparts in Vanuatu, including through co-location. It relied on counterparts to identify reform priorities and the right approach to addressing them, but also had flexible resources waiting for a reform opportunity to open. The team developed solutions incrementally, starting with a concept and building on that with the help of its networks. The initial budget had unprogrammed components in the knowledge that it was difficult to predict which reforms will be implemented and when. Recognising that institutional reforms take time to implement, GfG was set up for an initial period of 10 years, and continued into the next phase.</w:t>
            </w:r>
          </w:p>
          <w:p w:rsidR="000F4B57" w:rsidRPr="00091600" w:rsidRDefault="000F4B57" w:rsidP="00013D3C">
            <w:pPr>
              <w:pStyle w:val="Boxtext"/>
              <w:rPr>
                <w:rFonts w:ascii="Roboto Light" w:hAnsi="Roboto Light"/>
              </w:rPr>
            </w:pPr>
            <w:r w:rsidRPr="00091600">
              <w:rPr>
                <w:rFonts w:ascii="Roboto Light" w:hAnsi="Roboto Light"/>
              </w:rPr>
              <w:t xml:space="preserve">The 2017 independent evaluation of the third phase of the </w:t>
            </w:r>
            <w:r w:rsidRPr="00A71F97">
              <w:rPr>
                <w:rFonts w:ascii="Roboto" w:hAnsi="Roboto"/>
                <w:b/>
              </w:rPr>
              <w:t>Pacific Leadership Initiative</w:t>
            </w:r>
            <w:r w:rsidRPr="00091600">
              <w:rPr>
                <w:rFonts w:ascii="Roboto Light" w:hAnsi="Roboto Light"/>
              </w:rPr>
              <w:t xml:space="preserve"> found that it had provided space for experimentation, learning, and innovation around how Australia can support developmental leadership and coalitions for change in the Pacific. It had been most effective in supporting collective action led by Pacific Island leaders and coalitions (particularly at the national and sub-national levels) in pursuit of policy and institutional changes and reforms. A 2016 study examined how it worked well with locally-led coalitions, including:</w:t>
            </w:r>
          </w:p>
          <w:p w:rsidR="000F4B57" w:rsidRPr="00091600" w:rsidRDefault="000F4B57" w:rsidP="00013D3C">
            <w:pPr>
              <w:pStyle w:val="Boxtext"/>
              <w:numPr>
                <w:ilvl w:val="0"/>
                <w:numId w:val="48"/>
              </w:numPr>
              <w:rPr>
                <w:rFonts w:ascii="Roboto Light" w:hAnsi="Roboto Light"/>
              </w:rPr>
            </w:pPr>
            <w:r w:rsidRPr="00091600">
              <w:rPr>
                <w:rFonts w:ascii="Roboto Light" w:hAnsi="Roboto Light"/>
              </w:rPr>
              <w:t>program staff strategically using their local knowledge to identify potential partners and inform ways of working. Sometimes they played a more proactive role in convening coalitions;</w:t>
            </w:r>
          </w:p>
          <w:p w:rsidR="000F4B57" w:rsidRPr="00091600" w:rsidRDefault="000F4B57" w:rsidP="00013D3C">
            <w:pPr>
              <w:pStyle w:val="Boxtext"/>
              <w:numPr>
                <w:ilvl w:val="0"/>
                <w:numId w:val="48"/>
              </w:numPr>
              <w:rPr>
                <w:rFonts w:ascii="Roboto Light" w:hAnsi="Roboto Light"/>
              </w:rPr>
            </w:pPr>
            <w:r w:rsidRPr="00091600">
              <w:rPr>
                <w:rFonts w:ascii="Roboto Light" w:hAnsi="Roboto Light"/>
              </w:rPr>
              <w:t>strategic use of local knowledge allowing the program to work on difficult issues by broaching them first through less sensitive areas of engagement;</w:t>
            </w:r>
          </w:p>
          <w:p w:rsidR="000F4B57" w:rsidRPr="00091600" w:rsidRDefault="000F4B57" w:rsidP="00013D3C">
            <w:pPr>
              <w:pStyle w:val="Boxtext"/>
              <w:numPr>
                <w:ilvl w:val="0"/>
                <w:numId w:val="48"/>
              </w:numPr>
              <w:rPr>
                <w:rFonts w:ascii="Roboto Light" w:hAnsi="Roboto Light"/>
              </w:rPr>
            </w:pPr>
            <w:r w:rsidRPr="00091600">
              <w:rPr>
                <w:rFonts w:ascii="Roboto Light" w:hAnsi="Roboto Light"/>
              </w:rPr>
              <w:t>staff working formally and informally behind the scenes, keeping a low profile and allowing local actors to lead reforms. This was important in ensuring reforms were genuinely (and seen to be) locally</w:t>
            </w:r>
            <w:r w:rsidR="00382370">
              <w:rPr>
                <w:rFonts w:ascii="Roboto Light" w:hAnsi="Roboto Light"/>
              </w:rPr>
              <w:t>-</w:t>
            </w:r>
            <w:r w:rsidRPr="00091600">
              <w:rPr>
                <w:rFonts w:ascii="Roboto Light" w:hAnsi="Roboto Light"/>
              </w:rPr>
              <w:t>led;</w:t>
            </w:r>
          </w:p>
          <w:p w:rsidR="000F4B57" w:rsidRPr="00091600" w:rsidRDefault="000F4B57" w:rsidP="00013D3C">
            <w:pPr>
              <w:pStyle w:val="Boxtext"/>
              <w:numPr>
                <w:ilvl w:val="0"/>
                <w:numId w:val="48"/>
              </w:numPr>
              <w:rPr>
                <w:rFonts w:ascii="Roboto Light" w:hAnsi="Roboto Light"/>
              </w:rPr>
            </w:pPr>
            <w:r w:rsidRPr="00091600">
              <w:rPr>
                <w:rFonts w:ascii="Roboto Light" w:hAnsi="Roboto Light"/>
              </w:rPr>
              <w:t xml:space="preserve">this was facilitated by the program’s light footprint in-country, with just a country representative, as well as by the space it provided to convene local stakeholders to develop locally feasible ideas. </w:t>
            </w:r>
          </w:p>
          <w:p w:rsidR="000F4B57" w:rsidRPr="006552BB" w:rsidRDefault="000F4B57" w:rsidP="00C159F6">
            <w:pPr>
              <w:pStyle w:val="BodyText"/>
              <w:rPr>
                <w:rFonts w:ascii="Roboto" w:hAnsi="Roboto"/>
                <w:sz w:val="18"/>
              </w:rPr>
            </w:pPr>
            <w:r w:rsidRPr="006552BB">
              <w:rPr>
                <w:rFonts w:ascii="Roboto" w:hAnsi="Roboto"/>
                <w:sz w:val="18"/>
              </w:rPr>
              <w:t>Sources</w:t>
            </w:r>
          </w:p>
          <w:p w:rsidR="000F4B57" w:rsidRPr="00091600" w:rsidRDefault="000F4B57" w:rsidP="00013D3C">
            <w:pPr>
              <w:pStyle w:val="Boxtext"/>
              <w:rPr>
                <w:rFonts w:ascii="Roboto Light" w:hAnsi="Roboto Light"/>
                <w:sz w:val="18"/>
              </w:rPr>
            </w:pPr>
            <w:r w:rsidRPr="00091600">
              <w:rPr>
                <w:rFonts w:ascii="Roboto Light" w:hAnsi="Roboto Light"/>
                <w:sz w:val="18"/>
              </w:rPr>
              <w:t xml:space="preserve">L. Denney and R. McLaren (2016) ‘Thinking and Working Politically to Support Developmental Leadership and Coalitions: The Pacific Leadership Program’, DLP Research Paper 41, Developmental Leadership Program, Birmingham. </w:t>
            </w:r>
          </w:p>
          <w:p w:rsidR="000F4B57" w:rsidRPr="00091600" w:rsidRDefault="000F4B57" w:rsidP="00013D3C">
            <w:pPr>
              <w:pStyle w:val="Boxtext"/>
              <w:rPr>
                <w:rFonts w:ascii="Roboto Light" w:hAnsi="Roboto Light"/>
                <w:sz w:val="18"/>
              </w:rPr>
            </w:pPr>
            <w:r w:rsidRPr="00091600">
              <w:rPr>
                <w:rFonts w:ascii="Roboto Light" w:hAnsi="Roboto Light"/>
                <w:sz w:val="18"/>
              </w:rPr>
              <w:t>S. Hadley and H. Tilley (2017) ‘Governance for growth in Vanuatu: Review of a decade of thinking and working politically’, Overseas Development Institute.</w:t>
            </w:r>
          </w:p>
          <w:p w:rsidR="000F4B57" w:rsidRPr="00091600" w:rsidRDefault="000F4B57" w:rsidP="00013D3C">
            <w:pPr>
              <w:pStyle w:val="Boxtext"/>
              <w:rPr>
                <w:rFonts w:ascii="Roboto Light" w:hAnsi="Roboto Light"/>
                <w:sz w:val="22"/>
              </w:rPr>
            </w:pPr>
            <w:r w:rsidRPr="00091600">
              <w:rPr>
                <w:rFonts w:ascii="Roboto Light" w:hAnsi="Roboto Light"/>
                <w:sz w:val="18"/>
              </w:rPr>
              <w:t>Z. Mander-Jones, B. Heather-Latu, and M. Collins (2017) ‘Independent evaluation of the Pacific leadership program (Phase 3): final report’, Strategic Development Associates.</w:t>
            </w:r>
          </w:p>
        </w:tc>
      </w:tr>
    </w:tbl>
    <w:p w:rsidR="000F4B57" w:rsidRPr="00091600" w:rsidRDefault="000F4B57" w:rsidP="000F4B57">
      <w:pPr>
        <w:rPr>
          <w:rFonts w:ascii="Roboto Light" w:hAnsi="Roboto Light"/>
          <w:szCs w:val="20"/>
          <w:lang w:val="en-AU"/>
        </w:rPr>
      </w:pPr>
    </w:p>
    <w:p w:rsidR="000F4B57" w:rsidRPr="00091600" w:rsidRDefault="000F4B57" w:rsidP="000F4B57">
      <w:pPr>
        <w:pStyle w:val="ListBullet"/>
        <w:numPr>
          <w:ilvl w:val="0"/>
          <w:numId w:val="0"/>
        </w:numPr>
        <w:rPr>
          <w:rFonts w:ascii="Roboto Light" w:hAnsi="Roboto Light"/>
          <w:lang w:val="en-AU"/>
        </w:rPr>
      </w:pPr>
    </w:p>
    <w:p w:rsidR="000F4B57" w:rsidRPr="00091600" w:rsidRDefault="000F4B57" w:rsidP="000F4B57">
      <w:pPr>
        <w:rPr>
          <w:rFonts w:ascii="Roboto Light" w:hAnsi="Roboto Light" w:cs="Poppins"/>
          <w:b/>
          <w:bCs/>
          <w:color w:val="0B1F51"/>
          <w:kern w:val="32"/>
          <w:sz w:val="28"/>
          <w:szCs w:val="28"/>
          <w:lang w:val="en-AU"/>
        </w:rPr>
      </w:pPr>
      <w:bookmarkStart w:id="98" w:name="_Toc523866163"/>
      <w:r w:rsidRPr="00091600">
        <w:rPr>
          <w:rFonts w:ascii="Roboto Light" w:hAnsi="Roboto Light"/>
          <w:lang w:val="en-AU"/>
        </w:rPr>
        <w:br w:type="page"/>
      </w:r>
    </w:p>
    <w:p w:rsidR="000F4B57" w:rsidRPr="00091600" w:rsidRDefault="000F4B57" w:rsidP="00AC711E">
      <w:pPr>
        <w:pStyle w:val="Heading2NONUM"/>
        <w:rPr>
          <w:lang w:val="en-AU"/>
        </w:rPr>
      </w:pPr>
      <w:bookmarkStart w:id="99" w:name="_Toc536719916"/>
      <w:bookmarkStart w:id="100" w:name="_Toc2091556"/>
      <w:r w:rsidRPr="00091600">
        <w:rPr>
          <w:lang w:val="en-AU"/>
        </w:rPr>
        <w:t xml:space="preserve">3.3 </w:t>
      </w:r>
      <w:r w:rsidRPr="00091600">
        <w:rPr>
          <w:lang w:val="en-AU"/>
        </w:rPr>
        <w:tab/>
        <w:t xml:space="preserve">Prioritisation </w:t>
      </w:r>
      <w:r w:rsidRPr="00AC711E">
        <w:t>and</w:t>
      </w:r>
      <w:r w:rsidRPr="00091600">
        <w:rPr>
          <w:lang w:val="en-AU"/>
        </w:rPr>
        <w:t xml:space="preserve"> value for money</w:t>
      </w:r>
      <w:bookmarkEnd w:id="99"/>
      <w:bookmarkEnd w:id="100"/>
    </w:p>
    <w:tbl>
      <w:tblPr>
        <w:tblStyle w:val="OPMBoxstyle"/>
        <w:tblW w:w="5000" w:type="pct"/>
        <w:tblLook w:val="04A0" w:firstRow="1" w:lastRow="0" w:firstColumn="1" w:lastColumn="0" w:noHBand="0" w:noVBand="1"/>
        <w:tblCaption w:val="Key Review Questions"/>
        <w:tblDescription w:val="• To what extent has the Precinct supported the PNG Government’s decentralisation agenda?&#10;• To what extent has the Precinct targeted certain sectors? What are the opportunities for focusing on improved service delivery and economic growth?"/>
      </w:tblPr>
      <w:tblGrid>
        <w:gridCol w:w="9730"/>
      </w:tblGrid>
      <w:tr w:rsidR="004E07C4" w:rsidRPr="00091600" w:rsidTr="004F0042">
        <w:trPr>
          <w:cnfStyle w:val="100000000000" w:firstRow="1" w:lastRow="0" w:firstColumn="0" w:lastColumn="0" w:oddVBand="0" w:evenVBand="0" w:oddHBand="0" w:evenHBand="0" w:firstRowFirstColumn="0" w:firstRowLastColumn="0" w:lastRowFirstColumn="0" w:lastRowLastColumn="0"/>
          <w:trHeight w:val="271"/>
          <w:tblHeader/>
        </w:trPr>
        <w:tc>
          <w:tcPr>
            <w:tcW w:w="0" w:type="pct"/>
          </w:tcPr>
          <w:p w:rsidR="004E07C4" w:rsidRPr="00AC711E" w:rsidRDefault="004E07C4" w:rsidP="008E1745">
            <w:pPr>
              <w:pStyle w:val="Questions"/>
            </w:pPr>
            <w:r w:rsidRPr="00AC711E">
              <w:t>Key Review Questions</w:t>
            </w:r>
          </w:p>
        </w:tc>
      </w:tr>
      <w:tr w:rsidR="000F4B57" w:rsidRPr="00091600" w:rsidTr="00C159F6">
        <w:trPr>
          <w:trHeight w:val="863"/>
        </w:trPr>
        <w:tc>
          <w:tcPr>
            <w:tcW w:w="5000" w:type="pct"/>
          </w:tcPr>
          <w:p w:rsidR="000F4B57" w:rsidRPr="00091600" w:rsidRDefault="000F4B57" w:rsidP="00013D3C">
            <w:pPr>
              <w:pStyle w:val="BodyText"/>
              <w:numPr>
                <w:ilvl w:val="0"/>
                <w:numId w:val="37"/>
              </w:numPr>
              <w:spacing w:before="120" w:after="120"/>
              <w:rPr>
                <w:sz w:val="20"/>
              </w:rPr>
            </w:pPr>
            <w:r w:rsidRPr="00091600">
              <w:rPr>
                <w:sz w:val="20"/>
              </w:rPr>
              <w:t xml:space="preserve">To what extent has the Precinct supported </w:t>
            </w:r>
            <w:r w:rsidR="00A23AA5">
              <w:rPr>
                <w:sz w:val="20"/>
              </w:rPr>
              <w:t>t</w:t>
            </w:r>
            <w:r w:rsidR="00E87298">
              <w:rPr>
                <w:sz w:val="20"/>
              </w:rPr>
              <w:t>he PNG Government</w:t>
            </w:r>
            <w:r w:rsidRPr="00091600">
              <w:rPr>
                <w:sz w:val="20"/>
              </w:rPr>
              <w:t>’s decentralisation agenda?</w:t>
            </w:r>
          </w:p>
          <w:p w:rsidR="000F4B57" w:rsidRPr="00091600" w:rsidRDefault="000F4B57" w:rsidP="00013D3C">
            <w:pPr>
              <w:pStyle w:val="BodyText"/>
              <w:numPr>
                <w:ilvl w:val="0"/>
                <w:numId w:val="37"/>
              </w:numPr>
              <w:spacing w:before="120" w:after="120"/>
              <w:rPr>
                <w:lang w:val="en-AU"/>
              </w:rPr>
            </w:pPr>
            <w:r w:rsidRPr="00091600">
              <w:rPr>
                <w:sz w:val="20"/>
              </w:rPr>
              <w:t>To what extent has the Precinct targeted certain sectors? What are the opportunities for focusing on improved service delivery and economic growth?</w:t>
            </w:r>
          </w:p>
        </w:tc>
      </w:tr>
    </w:tbl>
    <w:p w:rsidR="000F4B57" w:rsidRPr="00091600" w:rsidRDefault="000F4B57" w:rsidP="000F4B57">
      <w:pPr>
        <w:pStyle w:val="BodyText"/>
        <w:rPr>
          <w:lang w:val="en-AU"/>
        </w:rPr>
      </w:pPr>
    </w:p>
    <w:p w:rsidR="000F4B57" w:rsidRPr="00091600" w:rsidRDefault="000F4B57" w:rsidP="000F4B57">
      <w:pPr>
        <w:pStyle w:val="BodyText"/>
        <w:rPr>
          <w:color w:val="000000" w:themeColor="text1"/>
          <w:lang w:val="en-AU"/>
        </w:rPr>
      </w:pPr>
      <w:r w:rsidRPr="001422B3">
        <w:rPr>
          <w:rFonts w:ascii="Roboto" w:hAnsi="Roboto"/>
          <w:b/>
          <w:lang w:val="en-AU"/>
        </w:rPr>
        <w:t>Prioritisation</w:t>
      </w:r>
      <w:r w:rsidR="00AB5A13" w:rsidRPr="00AC711E">
        <w:rPr>
          <w:rFonts w:ascii="Roboto" w:hAnsi="Roboto"/>
          <w:lang w:val="en-AU"/>
        </w:rPr>
        <w:t>:</w:t>
      </w:r>
      <w:r w:rsidR="00E27038" w:rsidRPr="00091600">
        <w:rPr>
          <w:lang w:val="en-AU"/>
        </w:rPr>
        <w:t xml:space="preserve"> </w:t>
      </w:r>
      <w:r w:rsidR="00AB5A13" w:rsidRPr="00091600">
        <w:rPr>
          <w:lang w:val="en-AU"/>
        </w:rPr>
        <w:t>b</w:t>
      </w:r>
      <w:r w:rsidR="00E27038" w:rsidRPr="00091600">
        <w:rPr>
          <w:lang w:val="en-AU"/>
        </w:rPr>
        <w:t>ecause</w:t>
      </w:r>
      <w:r w:rsidRPr="00091600">
        <w:rPr>
          <w:lang w:val="en-AU"/>
        </w:rPr>
        <w:t xml:space="preserve"> it has a broad goal (to create a cohort of new leaders</w:t>
      </w:r>
      <w:r w:rsidR="00AB5A13" w:rsidRPr="00091600">
        <w:rPr>
          <w:lang w:val="en-AU"/>
        </w:rPr>
        <w:t xml:space="preserve"> </w:t>
      </w:r>
      <w:r w:rsidRPr="00091600">
        <w:rPr>
          <w:lang w:val="en-AU"/>
        </w:rPr>
        <w:t xml:space="preserve">in general), the Precinct does not appear to have an explicit policy to prioritise the beneficiaries of the program by sector or entity. In particular, training opportunities are </w:t>
      </w:r>
      <w:r w:rsidRPr="00091600">
        <w:rPr>
          <w:color w:val="000000" w:themeColor="text1"/>
          <w:lang w:val="en-AU"/>
        </w:rPr>
        <w:t xml:space="preserve">meant to be open to everyone in the public service. </w:t>
      </w:r>
    </w:p>
    <w:p w:rsidR="000F4B57" w:rsidRPr="00091600" w:rsidRDefault="000F4B57" w:rsidP="000F4B57">
      <w:pPr>
        <w:pStyle w:val="BodyText"/>
        <w:rPr>
          <w:rFonts w:cs="Calibri"/>
          <w:lang w:val="en-AU"/>
        </w:rPr>
      </w:pPr>
      <w:r w:rsidRPr="00091600">
        <w:rPr>
          <w:lang w:val="en-AU"/>
        </w:rPr>
        <w:t xml:space="preserve">Despite this intention, the data reflect that of the 76 national-level organisations that received Precinct trainings, 51% of participants came from 10 organisations with 20 or more participants each. Of those 10 organisations, DPM, PILAG, and DHERST are the three biggest beneficiaries of the program with 24% participants at the national level (see </w:t>
      </w:r>
      <w:r w:rsidRPr="00091600">
        <w:rPr>
          <w:lang w:val="en-AU"/>
        </w:rPr>
        <w:fldChar w:fldCharType="begin"/>
      </w:r>
      <w:r w:rsidRPr="00091600">
        <w:rPr>
          <w:lang w:val="en-AU"/>
        </w:rPr>
        <w:instrText xml:space="preserve"> REF _Ref536627739 \h  \* MERGEFORMAT </w:instrText>
      </w:r>
      <w:r w:rsidRPr="00091600">
        <w:rPr>
          <w:lang w:val="en-AU"/>
        </w:rPr>
      </w:r>
      <w:r w:rsidRPr="00091600">
        <w:rPr>
          <w:lang w:val="en-AU"/>
        </w:rPr>
        <w:fldChar w:fldCharType="separate"/>
      </w:r>
      <w:r w:rsidR="004964E9" w:rsidRPr="00091600">
        <w:rPr>
          <w:lang w:val="en-AU"/>
        </w:rPr>
        <w:t xml:space="preserve">Figure </w:t>
      </w:r>
      <w:r w:rsidR="004964E9">
        <w:rPr>
          <w:lang w:val="en-AU"/>
        </w:rPr>
        <w:t>9</w:t>
      </w:r>
      <w:r w:rsidRPr="00091600">
        <w:rPr>
          <w:lang w:val="en-AU"/>
        </w:rPr>
        <w:fldChar w:fldCharType="end"/>
      </w:r>
      <w:r w:rsidR="00E27038" w:rsidRPr="00091600">
        <w:rPr>
          <w:lang w:val="en-AU"/>
        </w:rPr>
        <w:t>).</w:t>
      </w:r>
      <w:r w:rsidRPr="00091600">
        <w:rPr>
          <w:rStyle w:val="FootnoteReference"/>
          <w:bCs/>
          <w:color w:val="000000" w:themeColor="text1"/>
          <w:lang w:val="en-AU"/>
        </w:rPr>
        <w:footnoteReference w:id="65"/>
      </w:r>
      <w:r w:rsidRPr="00091600">
        <w:rPr>
          <w:lang w:val="en-AU"/>
        </w:rPr>
        <w:t xml:space="preserve"> F</w:t>
      </w:r>
      <w:r w:rsidRPr="00091600">
        <w:rPr>
          <w:rFonts w:cs="Calibri"/>
          <w:lang w:val="en-AU"/>
        </w:rPr>
        <w:t xml:space="preserve">ive </w:t>
      </w:r>
      <w:r w:rsidR="00E27038" w:rsidRPr="00091600">
        <w:rPr>
          <w:rFonts w:cs="Calibri"/>
          <w:lang w:val="en-AU"/>
        </w:rPr>
        <w:t>subsectors</w:t>
      </w:r>
      <w:r w:rsidRPr="00091600">
        <w:rPr>
          <w:rFonts w:cs="Calibri"/>
          <w:lang w:val="en-AU"/>
        </w:rPr>
        <w:t xml:space="preserve"> concentrate nearly three-quarters (74%) of the participants at the national level: Governance and Public Sector Management; Higher and Tertiary Education; Law and Justice; Financial Inclusion; and Mining (see </w:t>
      </w:r>
      <w:r w:rsidRPr="00091600">
        <w:rPr>
          <w:rFonts w:cs="Calibri"/>
          <w:lang w:val="en-AU"/>
        </w:rPr>
        <w:fldChar w:fldCharType="begin"/>
      </w:r>
      <w:r w:rsidRPr="00091600">
        <w:rPr>
          <w:rFonts w:cs="Calibri"/>
          <w:lang w:val="en-AU"/>
        </w:rPr>
        <w:instrText xml:space="preserve"> REF _Ref536627765 \h  \* MERGEFORMAT </w:instrText>
      </w:r>
      <w:r w:rsidRPr="00091600">
        <w:rPr>
          <w:rFonts w:cs="Calibri"/>
          <w:lang w:val="en-AU"/>
        </w:rPr>
      </w:r>
      <w:r w:rsidRPr="00091600">
        <w:rPr>
          <w:rFonts w:cs="Calibri"/>
          <w:lang w:val="en-AU"/>
        </w:rPr>
        <w:fldChar w:fldCharType="separate"/>
      </w:r>
      <w:r w:rsidR="004964E9" w:rsidRPr="00091600">
        <w:rPr>
          <w:lang w:val="en-AU"/>
        </w:rPr>
        <w:t xml:space="preserve">Figure </w:t>
      </w:r>
      <w:r w:rsidR="004964E9">
        <w:rPr>
          <w:lang w:val="en-AU"/>
        </w:rPr>
        <w:t>10</w:t>
      </w:r>
      <w:r w:rsidRPr="00091600">
        <w:rPr>
          <w:rFonts w:cs="Calibri"/>
          <w:lang w:val="en-AU"/>
        </w:rPr>
        <w:fldChar w:fldCharType="end"/>
      </w:r>
      <w:r w:rsidR="00E27038" w:rsidRPr="00091600">
        <w:rPr>
          <w:rFonts w:cs="Calibri"/>
          <w:lang w:val="en-AU"/>
        </w:rPr>
        <w:t>).</w:t>
      </w:r>
      <w:r w:rsidRPr="00091600">
        <w:rPr>
          <w:rFonts w:cs="Calibri"/>
          <w:lang w:val="en-AU"/>
        </w:rPr>
        <w:t xml:space="preserve"> </w:t>
      </w:r>
    </w:p>
    <w:p w:rsidR="000F4B57" w:rsidRPr="00091600" w:rsidRDefault="000F4B57" w:rsidP="000F4B57">
      <w:pPr>
        <w:pStyle w:val="BodyText"/>
        <w:rPr>
          <w:lang w:val="en-AU"/>
        </w:rPr>
      </w:pPr>
      <w:r w:rsidRPr="00091600">
        <w:rPr>
          <w:lang w:val="en-AU"/>
        </w:rPr>
        <w:t>Precinct partners should assess whether this</w:t>
      </w:r>
      <w:r w:rsidRPr="00091600">
        <w:rPr>
          <w:rFonts w:cstheme="minorHAnsi"/>
          <w:lang w:val="en-AU"/>
        </w:rPr>
        <w:t xml:space="preserve"> prioritisation of resources is in line with the </w:t>
      </w:r>
      <w:r w:rsidR="00E87298">
        <w:rPr>
          <w:rFonts w:cstheme="minorHAnsi"/>
          <w:lang w:val="en-AU"/>
        </w:rPr>
        <w:t>PNG Government</w:t>
      </w:r>
      <w:r w:rsidRPr="00091600">
        <w:rPr>
          <w:rFonts w:cstheme="minorHAnsi"/>
          <w:lang w:val="en-AU"/>
        </w:rPr>
        <w:t xml:space="preserve"> priority sectors. </w:t>
      </w:r>
      <w:r w:rsidRPr="00091600">
        <w:rPr>
          <w:lang w:val="en-AU"/>
        </w:rPr>
        <w:t xml:space="preserve">The Precinct program is ambitious, but resources are limited compared to its needs. To put things in perspective, the number of public servants trained is less than 1% of the total number of national-level public servants. </w:t>
      </w:r>
    </w:p>
    <w:p w:rsidR="000F4B57" w:rsidRPr="00091600" w:rsidRDefault="000F4B57" w:rsidP="00C637BA">
      <w:pPr>
        <w:pStyle w:val="Caption"/>
        <w:rPr>
          <w:lang w:val="en-AU"/>
        </w:rPr>
      </w:pPr>
      <w:bookmarkStart w:id="101" w:name="_Ref536627739"/>
      <w:bookmarkStart w:id="102" w:name="_Toc536627420"/>
      <w:bookmarkStart w:id="103" w:name="_Toc536627431"/>
      <w:bookmarkStart w:id="104" w:name="_Toc2089253"/>
      <w:r w:rsidRPr="00091600">
        <w:rPr>
          <w:lang w:val="en-AU"/>
        </w:rPr>
        <w:t xml:space="preserve">Figure </w:t>
      </w:r>
      <w:r w:rsidR="001C457F">
        <w:rPr>
          <w:lang w:val="en-AU"/>
        </w:rPr>
        <w:fldChar w:fldCharType="begin"/>
      </w:r>
      <w:r w:rsidR="001C457F">
        <w:rPr>
          <w:lang w:val="en-AU"/>
        </w:rPr>
        <w:instrText xml:space="preserve"> SEQ Figure \* ARABIC </w:instrText>
      </w:r>
      <w:r w:rsidR="001C457F">
        <w:rPr>
          <w:lang w:val="en-AU"/>
        </w:rPr>
        <w:fldChar w:fldCharType="separate"/>
      </w:r>
      <w:r w:rsidR="004964E9">
        <w:rPr>
          <w:noProof/>
          <w:lang w:val="en-AU"/>
        </w:rPr>
        <w:t>9</w:t>
      </w:r>
      <w:r w:rsidR="001C457F">
        <w:rPr>
          <w:lang w:val="en-AU"/>
        </w:rPr>
        <w:fldChar w:fldCharType="end"/>
      </w:r>
      <w:bookmarkEnd w:id="101"/>
      <w:r w:rsidRPr="00091600">
        <w:rPr>
          <w:lang w:val="en-AU"/>
        </w:rPr>
        <w:t>:</w:t>
      </w:r>
      <w:bookmarkEnd w:id="102"/>
      <w:bookmarkEnd w:id="103"/>
      <w:r w:rsidRPr="00091600">
        <w:rPr>
          <w:lang w:val="en-AU"/>
        </w:rPr>
        <w:tab/>
        <w:t xml:space="preserve">Number of participants per </w:t>
      </w:r>
      <w:r w:rsidR="00E27038" w:rsidRPr="00091600">
        <w:rPr>
          <w:lang w:val="en-AU"/>
        </w:rPr>
        <w:t>subsector</w:t>
      </w:r>
      <w:r w:rsidRPr="00091600">
        <w:rPr>
          <w:lang w:val="en-AU"/>
        </w:rPr>
        <w:t xml:space="preserve"> benefiting from the Precinct</w:t>
      </w:r>
      <w:bookmarkEnd w:id="104"/>
    </w:p>
    <w:p w:rsidR="00801877" w:rsidRPr="00091600" w:rsidRDefault="003F2E32" w:rsidP="00801877">
      <w:pPr>
        <w:pStyle w:val="BodyText"/>
        <w:rPr>
          <w:lang w:val="en-AU" w:eastAsia="en-US"/>
        </w:rPr>
      </w:pPr>
      <w:r w:rsidRPr="00091600">
        <w:rPr>
          <w:noProof/>
          <w:lang w:val="en-AU" w:eastAsia="en-AU"/>
        </w:rPr>
        <w:drawing>
          <wp:anchor distT="0" distB="0" distL="114300" distR="114300" simplePos="0" relativeHeight="251458560" behindDoc="0" locked="0" layoutInCell="1" allowOverlap="1" wp14:anchorId="3F108613" wp14:editId="3C89FC5B">
            <wp:simplePos x="0" y="0"/>
            <wp:positionH relativeFrom="column">
              <wp:posOffset>0</wp:posOffset>
            </wp:positionH>
            <wp:positionV relativeFrom="paragraph">
              <wp:posOffset>1270</wp:posOffset>
            </wp:positionV>
            <wp:extent cx="6184900" cy="2778760"/>
            <wp:effectExtent l="0" t="0" r="6350" b="2540"/>
            <wp:wrapTopAndBottom/>
            <wp:docPr id="57" name="Picture 57" descr="This pie graph shows that the bulk of participants work in governance ans public sector management, the next biggest recipient group are those that work in higher and tertiary education, followed by law and justice." title="Number of participants per subsector benefiting from the Precinc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184900" cy="2778760"/>
                    </a:xfrm>
                    <a:prstGeom prst="rect">
                      <a:avLst/>
                    </a:prstGeom>
                  </pic:spPr>
                </pic:pic>
              </a:graphicData>
            </a:graphic>
          </wp:anchor>
        </w:drawing>
      </w:r>
    </w:p>
    <w:p w:rsidR="00E27038" w:rsidRPr="00091600" w:rsidRDefault="00E27038">
      <w:pPr>
        <w:pStyle w:val="BodyText"/>
        <w:rPr>
          <w:lang w:val="en-AU"/>
        </w:rPr>
      </w:pPr>
    </w:p>
    <w:p w:rsidR="000F4B57" w:rsidRPr="00091600" w:rsidRDefault="00A340D8" w:rsidP="00C637BA">
      <w:pPr>
        <w:pStyle w:val="Caption"/>
        <w:rPr>
          <w:lang w:val="en-AU"/>
        </w:rPr>
      </w:pPr>
      <w:bookmarkStart w:id="105" w:name="_Ref536627765"/>
      <w:bookmarkStart w:id="106" w:name="_Toc536627421"/>
      <w:bookmarkStart w:id="107" w:name="_Toc536627432"/>
      <w:bookmarkStart w:id="108" w:name="_Toc2089254"/>
      <w:r w:rsidRPr="00091600">
        <w:rPr>
          <w:noProof/>
          <w:lang w:val="en-AU" w:eastAsia="en-AU"/>
        </w:rPr>
        <w:drawing>
          <wp:anchor distT="0" distB="0" distL="114300" distR="114300" simplePos="0" relativeHeight="251443200" behindDoc="0" locked="0" layoutInCell="1" allowOverlap="1" wp14:anchorId="7A92F539" wp14:editId="2492BB46">
            <wp:simplePos x="0" y="0"/>
            <wp:positionH relativeFrom="margin">
              <wp:align>center</wp:align>
            </wp:positionH>
            <wp:positionV relativeFrom="paragraph">
              <wp:posOffset>312420</wp:posOffset>
            </wp:positionV>
            <wp:extent cx="5814060" cy="2370455"/>
            <wp:effectExtent l="0" t="0" r="0" b="0"/>
            <wp:wrapTopAndBottom/>
            <wp:docPr id="55" name="Picture 55" descr="This pie chart shows that 10 organisations made up 51% of participaiton in the program." title="Percentage of national organisations according to the number of participant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814060" cy="2370455"/>
                    </a:xfrm>
                    <a:prstGeom prst="rect">
                      <a:avLst/>
                    </a:prstGeom>
                  </pic:spPr>
                </pic:pic>
              </a:graphicData>
            </a:graphic>
            <wp14:sizeRelH relativeFrom="margin">
              <wp14:pctWidth>0</wp14:pctWidth>
            </wp14:sizeRelH>
            <wp14:sizeRelV relativeFrom="margin">
              <wp14:pctHeight>0</wp14:pctHeight>
            </wp14:sizeRelV>
          </wp:anchor>
        </w:drawing>
      </w:r>
      <w:r w:rsidR="000F4B57" w:rsidRPr="00091600">
        <w:rPr>
          <w:lang w:val="en-AU"/>
        </w:rPr>
        <w:t xml:space="preserve">Figure </w:t>
      </w:r>
      <w:r w:rsidR="001C457F">
        <w:rPr>
          <w:lang w:val="en-AU"/>
        </w:rPr>
        <w:fldChar w:fldCharType="begin"/>
      </w:r>
      <w:r w:rsidR="001C457F">
        <w:rPr>
          <w:lang w:val="en-AU"/>
        </w:rPr>
        <w:instrText xml:space="preserve"> SEQ Figure \* ARABIC </w:instrText>
      </w:r>
      <w:r w:rsidR="001C457F">
        <w:rPr>
          <w:lang w:val="en-AU"/>
        </w:rPr>
        <w:fldChar w:fldCharType="separate"/>
      </w:r>
      <w:r w:rsidR="004964E9">
        <w:rPr>
          <w:noProof/>
          <w:lang w:val="en-AU"/>
        </w:rPr>
        <w:t>10</w:t>
      </w:r>
      <w:r w:rsidR="001C457F">
        <w:rPr>
          <w:lang w:val="en-AU"/>
        </w:rPr>
        <w:fldChar w:fldCharType="end"/>
      </w:r>
      <w:bookmarkEnd w:id="105"/>
      <w:r w:rsidR="000F4B57" w:rsidRPr="00091600">
        <w:rPr>
          <w:lang w:val="en-AU"/>
        </w:rPr>
        <w:t>:</w:t>
      </w:r>
      <w:r w:rsidR="000F4B57" w:rsidRPr="00091600">
        <w:rPr>
          <w:lang w:val="en-AU"/>
        </w:rPr>
        <w:tab/>
        <w:t xml:space="preserve">Percentage of national organisations </w:t>
      </w:r>
      <w:r w:rsidR="000F4B57" w:rsidRPr="00C637BA">
        <w:t>according</w:t>
      </w:r>
      <w:r w:rsidR="000F4B57" w:rsidRPr="00091600">
        <w:rPr>
          <w:lang w:val="en-AU"/>
        </w:rPr>
        <w:t xml:space="preserve"> to the number of participants</w:t>
      </w:r>
      <w:bookmarkEnd w:id="106"/>
      <w:bookmarkEnd w:id="107"/>
      <w:bookmarkEnd w:id="108"/>
    </w:p>
    <w:p w:rsidR="00E27038" w:rsidRPr="00091600" w:rsidRDefault="003E044F">
      <w:pPr>
        <w:pStyle w:val="BodyText"/>
        <w:rPr>
          <w:lang w:val="en-AU"/>
        </w:rPr>
      </w:pPr>
      <w:r w:rsidRPr="00091600">
        <w:rPr>
          <w:noProof/>
        </w:rPr>
        <w:t xml:space="preserve"> </w:t>
      </w:r>
    </w:p>
    <w:p w:rsidR="000F4B57" w:rsidRPr="00091600" w:rsidRDefault="000F4B57" w:rsidP="000F4B57">
      <w:pPr>
        <w:pStyle w:val="BodyText"/>
        <w:rPr>
          <w:lang w:val="en-AU"/>
        </w:rPr>
      </w:pPr>
      <w:r w:rsidRPr="00091600">
        <w:rPr>
          <w:lang w:val="en-AU"/>
        </w:rPr>
        <w:t xml:space="preserve">A clear prioritisation strategy agreed with </w:t>
      </w:r>
      <w:r w:rsidR="00E87298">
        <w:rPr>
          <w:lang w:val="en-AU"/>
        </w:rPr>
        <w:t>the PNG Government</w:t>
      </w:r>
      <w:r w:rsidRPr="00091600">
        <w:rPr>
          <w:lang w:val="en-AU"/>
        </w:rPr>
        <w:t xml:space="preserve"> could help boost the impact of the program instead of diluting its positive effects. This should consider prioritising:</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sectors consistent with the Medium-</w:t>
      </w:r>
      <w:r w:rsidR="00E8257F" w:rsidRPr="00091600">
        <w:rPr>
          <w:rFonts w:ascii="Roboto Light" w:hAnsi="Roboto Light"/>
          <w:szCs w:val="22"/>
          <w:lang w:val="en-AU"/>
        </w:rPr>
        <w:t>T</w:t>
      </w:r>
      <w:r w:rsidR="00E27038" w:rsidRPr="00091600">
        <w:rPr>
          <w:rFonts w:ascii="Roboto Light" w:hAnsi="Roboto Light"/>
          <w:szCs w:val="22"/>
          <w:lang w:val="en-AU"/>
        </w:rPr>
        <w:t>erm</w:t>
      </w:r>
      <w:r w:rsidRPr="00091600">
        <w:rPr>
          <w:rFonts w:ascii="Roboto Light" w:hAnsi="Roboto Light"/>
          <w:szCs w:val="22"/>
          <w:lang w:val="en-AU"/>
        </w:rPr>
        <w:t xml:space="preserve"> Development Plan and the PNG Vision 2050 (specific service delivery sectors, such as health or education, or economic development objectives); and</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beyond the public sector, specific policy areas that are of national priority and that target resources where coalitions exist (or can be facilitated) across public sector, private sector and civil society, and can benefit from external support to have a more likely prospect of contributing to change.</w:t>
      </w:r>
    </w:p>
    <w:p w:rsidR="000F4B57" w:rsidRPr="00091600" w:rsidRDefault="000F4B57" w:rsidP="000F4B57">
      <w:pPr>
        <w:pStyle w:val="BodyText"/>
        <w:spacing w:before="240"/>
        <w:rPr>
          <w:lang w:val="en-AU"/>
        </w:rPr>
      </w:pPr>
      <w:r w:rsidRPr="00091600">
        <w:rPr>
          <w:lang w:val="en-AU"/>
        </w:rPr>
        <w:t>Prioritisation for public servant courses in addition should:</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prioritise agencies and departments most relevant for the selected sectors;</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prioritise agencies and departments (and teams within them) demonstrating existing commitments to reform or improving delivery;</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 xml:space="preserve">define criteria to select </w:t>
      </w:r>
      <w:r w:rsidR="00EF60FC">
        <w:rPr>
          <w:rFonts w:ascii="Roboto Light" w:hAnsi="Roboto Light"/>
          <w:szCs w:val="22"/>
          <w:lang w:val="en-AU"/>
        </w:rPr>
        <w:t xml:space="preserve">local level government, </w:t>
      </w:r>
      <w:r w:rsidRPr="00091600">
        <w:rPr>
          <w:rFonts w:ascii="Roboto Light" w:hAnsi="Roboto Light"/>
          <w:szCs w:val="22"/>
          <w:lang w:val="en-AU"/>
        </w:rPr>
        <w:t xml:space="preserve">districts or provinces consistent with the decentralisation agenda, which is a </w:t>
      </w:r>
      <w:r w:rsidR="00E87298">
        <w:rPr>
          <w:rFonts w:ascii="Roboto Light" w:hAnsi="Roboto Light"/>
          <w:szCs w:val="22"/>
          <w:lang w:val="en-AU"/>
        </w:rPr>
        <w:t>PNG Government</w:t>
      </w:r>
      <w:r w:rsidRPr="00091600">
        <w:rPr>
          <w:rFonts w:ascii="Roboto Light" w:hAnsi="Roboto Light"/>
          <w:szCs w:val="22"/>
          <w:lang w:val="en-AU"/>
        </w:rPr>
        <w:t xml:space="preserve"> priority;</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target groups, not just individuals, to facilitate peer learning and implementation;</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improve the current government selection process, making sure courses are targeted at the right level depending on training needs analysis relevant for a particular role; and</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increase awareness of the program across government (e.g. invitations sent by DPM are often received with insufficient notice, which prevents planning).</w:t>
      </w:r>
    </w:p>
    <w:p w:rsidR="000F4B57" w:rsidRPr="00091600" w:rsidRDefault="009207B2">
      <w:pPr>
        <w:pStyle w:val="BodyText"/>
        <w:spacing w:before="120"/>
        <w:rPr>
          <w:lang w:val="en-AU"/>
        </w:rPr>
      </w:pPr>
      <w:r w:rsidRPr="00091600">
        <w:rPr>
          <w:rStyle w:val="RecommendationthingChar"/>
          <w:rFonts w:ascii="Roboto Light" w:hAnsi="Roboto Light"/>
          <w:color w:val="45A7E1" w:themeColor="accent1"/>
        </w:rPr>
        <w:sym w:font="Wingdings" w:char="F06E"/>
      </w:r>
      <w:r w:rsidRPr="00091600">
        <w:rPr>
          <w:rStyle w:val="RecommendationthingChar"/>
          <w:rFonts w:ascii="Roboto Light" w:hAnsi="Roboto Light"/>
          <w:color w:val="45A7E1" w:themeColor="accent1"/>
        </w:rPr>
        <w:t xml:space="preserve"> </w:t>
      </w:r>
      <w:r w:rsidR="000F4B57" w:rsidRPr="00AC711E">
        <w:rPr>
          <w:rStyle w:val="RecommendationthingChar"/>
          <w:rFonts w:ascii="Poppins ExtraBold" w:hAnsi="Poppins ExtraBold" w:cs="Poppins ExtraBold"/>
        </w:rPr>
        <w:t>R19</w:t>
      </w:r>
      <w:r w:rsidR="000F4B57" w:rsidRPr="00091600">
        <w:rPr>
          <w:lang w:val="en-AU"/>
        </w:rPr>
        <w:t xml:space="preserve"> (to DPM and JSC): </w:t>
      </w:r>
      <w:r w:rsidR="00E8257F" w:rsidRPr="00091600">
        <w:rPr>
          <w:lang w:val="en-AU"/>
        </w:rPr>
        <w:t>a</w:t>
      </w:r>
      <w:r w:rsidR="00E27038" w:rsidRPr="00091600">
        <w:rPr>
          <w:lang w:val="en-AU"/>
        </w:rPr>
        <w:t>gree</w:t>
      </w:r>
      <w:r w:rsidR="000F4B57" w:rsidRPr="00091600">
        <w:rPr>
          <w:lang w:val="en-AU"/>
        </w:rPr>
        <w:t xml:space="preserve"> on strengthened prioritisation criteria, aligned with the Precinct updated strategy and </w:t>
      </w:r>
      <w:r w:rsidR="00E87298">
        <w:rPr>
          <w:lang w:val="en-AU"/>
        </w:rPr>
        <w:t>PNG Government</w:t>
      </w:r>
      <w:r w:rsidR="000F4B57" w:rsidRPr="00091600">
        <w:rPr>
          <w:lang w:val="en-AU"/>
        </w:rPr>
        <w:t xml:space="preserve"> priorities, to inform the Precinct selection of sectors and policy areas across the Precinct and participants from the public sector, private sector, and civil society in Precinct training activities (by June 2019).</w:t>
      </w:r>
    </w:p>
    <w:p w:rsidR="000F4B57" w:rsidRPr="00091600" w:rsidRDefault="000F4B57" w:rsidP="000F4B57">
      <w:pPr>
        <w:pStyle w:val="BodyText"/>
        <w:rPr>
          <w:lang w:val="en-AU"/>
        </w:rPr>
      </w:pPr>
      <w:r w:rsidRPr="001422B3">
        <w:rPr>
          <w:rFonts w:ascii="Roboto" w:hAnsi="Roboto"/>
          <w:b/>
          <w:lang w:val="en-AU"/>
        </w:rPr>
        <w:t>Value for money</w:t>
      </w:r>
      <w:r w:rsidR="00E8257F" w:rsidRPr="00AC711E">
        <w:rPr>
          <w:rFonts w:ascii="Roboto" w:hAnsi="Roboto"/>
          <w:lang w:val="en-AU"/>
        </w:rPr>
        <w:t>:</w:t>
      </w:r>
      <w:r w:rsidR="00E27038" w:rsidRPr="00091600">
        <w:rPr>
          <w:lang w:val="en-AU"/>
        </w:rPr>
        <w:t xml:space="preserve"> </w:t>
      </w:r>
      <w:r w:rsidR="00E8257F" w:rsidRPr="00091600">
        <w:rPr>
          <w:lang w:val="en-AU" w:eastAsia="en-US"/>
        </w:rPr>
        <w:t>t</w:t>
      </w:r>
      <w:r w:rsidR="00E27038" w:rsidRPr="00091600">
        <w:rPr>
          <w:lang w:val="en-AU" w:eastAsia="en-US"/>
        </w:rPr>
        <w:t>he</w:t>
      </w:r>
      <w:bookmarkEnd w:id="98"/>
      <w:r w:rsidRPr="00091600">
        <w:rPr>
          <w:lang w:val="en-AU" w:eastAsia="en-US"/>
        </w:rPr>
        <w:t xml:space="preserve"> Precinct is a significant long-term financial investment. Efficiency has improved as the program has become established, for example through its high-standard </w:t>
      </w:r>
      <w:r w:rsidR="00AB5A13" w:rsidRPr="00091600">
        <w:rPr>
          <w:lang w:val="en-AU" w:eastAsia="en-US"/>
        </w:rPr>
        <w:t>JSC</w:t>
      </w:r>
      <w:r w:rsidRPr="00091600">
        <w:rPr>
          <w:lang w:val="en-AU" w:eastAsia="en-US"/>
        </w:rPr>
        <w:t xml:space="preserve">/Board meetings. However, our assessment is that there are opportunities to improve its value for money. The </w:t>
      </w:r>
      <w:r w:rsidR="00CF45C5" w:rsidRPr="00091600">
        <w:rPr>
          <w:lang w:val="en-AU" w:eastAsia="en-US"/>
        </w:rPr>
        <w:t>review</w:t>
      </w:r>
      <w:r w:rsidRPr="00091600">
        <w:rPr>
          <w:lang w:val="en-AU" w:eastAsia="en-US"/>
        </w:rPr>
        <w:t xml:space="preserve"> team undertook a preliminary assessment with the available financial data which pointed to large variations between the </w:t>
      </w:r>
      <w:r w:rsidRPr="00091600">
        <w:rPr>
          <w:lang w:val="en-AU"/>
        </w:rPr>
        <w:t>cost of delivering different types of Precinct courses through the different PNG and Australian organisations collaborating on the program. A fuller value for money analysis would need to assess not just the cost but also the quality and longer-term benefits of different courses on participating individuals and organisations, as well as the cost and benefits of non-training alternatives to meet the objectives.</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 xml:space="preserve">The research could test whether </w:t>
      </w:r>
      <w:r w:rsidR="00E8257F" w:rsidRPr="00091600">
        <w:rPr>
          <w:rFonts w:ascii="Roboto Light" w:hAnsi="Roboto Light"/>
          <w:szCs w:val="22"/>
          <w:lang w:val="en-AU"/>
        </w:rPr>
        <w:t>s</w:t>
      </w:r>
      <w:r w:rsidR="00E27038" w:rsidRPr="00091600">
        <w:rPr>
          <w:rFonts w:ascii="Roboto Light" w:hAnsi="Roboto Light"/>
          <w:szCs w:val="22"/>
          <w:lang w:val="en-AU"/>
        </w:rPr>
        <w:t xml:space="preserve">hort </w:t>
      </w:r>
      <w:r w:rsidR="00E8257F" w:rsidRPr="00091600">
        <w:rPr>
          <w:rFonts w:ascii="Roboto Light" w:hAnsi="Roboto Light"/>
          <w:szCs w:val="22"/>
          <w:lang w:val="en-AU"/>
        </w:rPr>
        <w:t>c</w:t>
      </w:r>
      <w:r w:rsidR="00E27038" w:rsidRPr="00091600">
        <w:rPr>
          <w:rFonts w:ascii="Roboto Light" w:hAnsi="Roboto Light"/>
          <w:szCs w:val="22"/>
          <w:lang w:val="en-AU"/>
        </w:rPr>
        <w:t>ourses</w:t>
      </w:r>
      <w:r w:rsidRPr="00091600">
        <w:rPr>
          <w:rFonts w:ascii="Roboto Light" w:hAnsi="Roboto Light"/>
          <w:szCs w:val="22"/>
          <w:lang w:val="en-AU"/>
        </w:rPr>
        <w:t xml:space="preserve"> or events specifically tailored for specific audiences (e.g. private sector, extractives, churches) are likely to be more expensive to organise (as they are </w:t>
      </w:r>
      <w:r w:rsidRPr="00091600">
        <w:rPr>
          <w:rFonts w:ascii="Roboto Light" w:hAnsi="Roboto Light"/>
          <w:i/>
          <w:szCs w:val="22"/>
          <w:lang w:val="en-AU"/>
        </w:rPr>
        <w:t>ad hoc</w:t>
      </w:r>
      <w:r w:rsidRPr="00091600">
        <w:rPr>
          <w:rFonts w:ascii="Roboto Light" w:hAnsi="Roboto Light"/>
          <w:szCs w:val="22"/>
          <w:lang w:val="en-AU"/>
        </w:rPr>
        <w:t xml:space="preserve"> and do not benefit from economies of scale) and also less beneficial, without being part of a wider set of activities that can reinforce</w:t>
      </w:r>
      <w:r w:rsidR="00E27038" w:rsidRPr="00091600">
        <w:rPr>
          <w:rFonts w:ascii="Roboto Light" w:hAnsi="Roboto Light"/>
          <w:szCs w:val="22"/>
          <w:lang w:val="en-AU"/>
        </w:rPr>
        <w:t xml:space="preserve"> </w:t>
      </w:r>
      <w:r w:rsidRPr="00091600">
        <w:rPr>
          <w:rFonts w:ascii="Roboto Light" w:hAnsi="Roboto Light"/>
          <w:szCs w:val="22"/>
          <w:lang w:val="en-AU"/>
        </w:rPr>
        <w:t>learning and networking to achieve a specific objective.</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 xml:space="preserve">Similarly, the research could assess whether some of the skills covered by the </w:t>
      </w:r>
      <w:r w:rsidR="00E8257F" w:rsidRPr="00091600">
        <w:rPr>
          <w:rFonts w:ascii="Roboto Light" w:hAnsi="Roboto Light"/>
          <w:szCs w:val="22"/>
          <w:lang w:val="en-AU"/>
        </w:rPr>
        <w:t>s</w:t>
      </w:r>
      <w:r w:rsidR="00E27038" w:rsidRPr="00091600">
        <w:rPr>
          <w:rFonts w:ascii="Roboto Light" w:hAnsi="Roboto Light"/>
          <w:szCs w:val="22"/>
          <w:lang w:val="en-AU"/>
        </w:rPr>
        <w:t xml:space="preserve">hort </w:t>
      </w:r>
      <w:r w:rsidR="00E8257F" w:rsidRPr="00091600">
        <w:rPr>
          <w:rFonts w:ascii="Roboto Light" w:hAnsi="Roboto Light"/>
          <w:szCs w:val="22"/>
          <w:lang w:val="en-AU"/>
        </w:rPr>
        <w:t>c</w:t>
      </w:r>
      <w:r w:rsidR="00E27038" w:rsidRPr="00091600">
        <w:rPr>
          <w:rFonts w:ascii="Roboto Light" w:hAnsi="Roboto Light"/>
          <w:szCs w:val="22"/>
          <w:lang w:val="en-AU"/>
        </w:rPr>
        <w:t>ourses</w:t>
      </w:r>
      <w:r w:rsidR="00E8257F" w:rsidRPr="00091600">
        <w:rPr>
          <w:rFonts w:ascii="Roboto Light" w:hAnsi="Roboto Light"/>
          <w:szCs w:val="22"/>
          <w:lang w:val="en-AU"/>
        </w:rPr>
        <w:t xml:space="preserve"> (</w:t>
      </w:r>
      <w:r w:rsidRPr="00091600">
        <w:rPr>
          <w:rFonts w:ascii="Roboto Light" w:hAnsi="Roboto Light"/>
          <w:szCs w:val="22"/>
          <w:lang w:val="en-AU"/>
        </w:rPr>
        <w:t>such as writing for government</w:t>
      </w:r>
      <w:r w:rsidR="00E8257F" w:rsidRPr="00091600">
        <w:rPr>
          <w:rFonts w:ascii="Roboto Light" w:hAnsi="Roboto Light"/>
          <w:szCs w:val="22"/>
          <w:lang w:val="en-AU"/>
        </w:rPr>
        <w:t>)</w:t>
      </w:r>
      <w:r w:rsidRPr="00091600">
        <w:rPr>
          <w:rFonts w:ascii="Roboto Light" w:hAnsi="Roboto Light"/>
          <w:szCs w:val="22"/>
          <w:lang w:val="en-AU"/>
        </w:rPr>
        <w:t xml:space="preserve"> could be better supported on the job through line managers with appropriate skills and mentoring capacity.</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 xml:space="preserve">In terms of PILAG delivery, the research could undertake a cost–benefit analysis of bringing public servants to Port Moresby for training versus training in the regional centres in partnership with higher education institutions. It could also assess whether the current mechanism (bringing people to the four regional training centres) is the best value for money, or whether there are other alternatives. For example, on-the-job training or training of trainers within different organisations might be both cheaper and more effective. Finally, it could compare the costs and value of PILAG courses versus other training providers used by </w:t>
      </w:r>
      <w:r w:rsidR="00E87298">
        <w:rPr>
          <w:rFonts w:ascii="Roboto Light" w:hAnsi="Roboto Light"/>
          <w:szCs w:val="22"/>
          <w:lang w:val="en-AU"/>
        </w:rPr>
        <w:t>PNG Government</w:t>
      </w:r>
      <w:r w:rsidRPr="00091600">
        <w:rPr>
          <w:rFonts w:ascii="Roboto Light" w:hAnsi="Roboto Light"/>
          <w:szCs w:val="22"/>
          <w:lang w:val="en-AU"/>
        </w:rPr>
        <w:t xml:space="preserve"> departments (e.g. by the Department of Finance).</w:t>
      </w:r>
    </w:p>
    <w:p w:rsidR="000F4B57" w:rsidRPr="00091600" w:rsidRDefault="009207B2" w:rsidP="000F4B57">
      <w:pPr>
        <w:pStyle w:val="BodyText"/>
        <w:spacing w:before="240"/>
        <w:rPr>
          <w:lang w:val="en-AU"/>
        </w:rPr>
      </w:pPr>
      <w:r w:rsidRPr="00091600">
        <w:rPr>
          <w:rStyle w:val="RecommendationthingChar"/>
          <w:rFonts w:ascii="Roboto Light" w:hAnsi="Roboto Light"/>
          <w:color w:val="45A7E1" w:themeColor="accent1"/>
        </w:rPr>
        <w:sym w:font="Wingdings" w:char="F06E"/>
      </w:r>
      <w:r w:rsidRPr="00091600">
        <w:rPr>
          <w:rStyle w:val="RecommendationthingChar"/>
          <w:rFonts w:ascii="Roboto Light" w:hAnsi="Roboto Light"/>
          <w:color w:val="45A7E1" w:themeColor="accent1"/>
        </w:rPr>
        <w:t xml:space="preserve"> </w:t>
      </w:r>
      <w:r w:rsidR="000F4B57" w:rsidRPr="00AC711E">
        <w:rPr>
          <w:rStyle w:val="RecommendationthingChar"/>
          <w:rFonts w:ascii="Poppins ExtraBold" w:hAnsi="Poppins ExtraBold" w:cs="Poppins ExtraBold"/>
        </w:rPr>
        <w:t>R20</w:t>
      </w:r>
      <w:r w:rsidR="000F4B57" w:rsidRPr="00091600">
        <w:rPr>
          <w:lang w:val="en-AU"/>
        </w:rPr>
        <w:t xml:space="preserve"> (to JSC and DFAT/AHC): </w:t>
      </w:r>
      <w:r w:rsidR="00E8257F" w:rsidRPr="00091600">
        <w:rPr>
          <w:lang w:val="en-AU"/>
        </w:rPr>
        <w:t>u</w:t>
      </w:r>
      <w:r w:rsidR="00E27038" w:rsidRPr="00091600">
        <w:rPr>
          <w:lang w:val="en-AU"/>
        </w:rPr>
        <w:t>ndertake</w:t>
      </w:r>
      <w:r w:rsidR="000F4B57" w:rsidRPr="00091600">
        <w:rPr>
          <w:lang w:val="en-AU"/>
        </w:rPr>
        <w:t xml:space="preserve"> research to understand the costs and benefits associated with the different options of achieving learning outcomes (e.g. unit cost per course/week/person), including location (Port Moresby or provinces) and by provider (PNG or Australian), as part of the Precinct design-strengthening process (by June 2019).</w:t>
      </w:r>
    </w:p>
    <w:p w:rsidR="000F4B57" w:rsidRPr="00091600" w:rsidRDefault="000F4B57" w:rsidP="00AC711E">
      <w:pPr>
        <w:pStyle w:val="Heading2NONUM"/>
        <w:rPr>
          <w:lang w:val="en-AU"/>
        </w:rPr>
      </w:pPr>
      <w:bookmarkStart w:id="109" w:name="_Toc536719917"/>
      <w:bookmarkStart w:id="110" w:name="_Toc2091557"/>
      <w:r w:rsidRPr="00091600">
        <w:rPr>
          <w:lang w:val="en-AU"/>
        </w:rPr>
        <w:t xml:space="preserve">3.4 </w:t>
      </w:r>
      <w:r w:rsidRPr="00091600">
        <w:rPr>
          <w:lang w:val="en-AU"/>
        </w:rPr>
        <w:tab/>
      </w:r>
      <w:r w:rsidRPr="00AC711E">
        <w:t>Sustainability</w:t>
      </w:r>
      <w:bookmarkEnd w:id="109"/>
      <w:bookmarkEnd w:id="110"/>
    </w:p>
    <w:p w:rsidR="000F4B57" w:rsidRPr="00091600" w:rsidRDefault="000F4B57" w:rsidP="000F4B57">
      <w:pPr>
        <w:pStyle w:val="BodyText"/>
        <w:rPr>
          <w:lang w:val="en-AU"/>
        </w:rPr>
      </w:pPr>
      <w:r w:rsidRPr="001422B3">
        <w:rPr>
          <w:rFonts w:ascii="Roboto" w:hAnsi="Roboto"/>
          <w:b/>
          <w:lang w:val="en-AU"/>
        </w:rPr>
        <w:t>Redirecting the Precinct towards sustainability</w:t>
      </w:r>
      <w:r w:rsidR="00E8257F" w:rsidRPr="001422B3">
        <w:rPr>
          <w:rFonts w:ascii="Roboto" w:hAnsi="Roboto"/>
          <w:lang w:val="en-AU"/>
        </w:rPr>
        <w:t>:</w:t>
      </w:r>
      <w:r w:rsidR="00E722DB" w:rsidRPr="00091600">
        <w:rPr>
          <w:lang w:val="en-AU"/>
        </w:rPr>
        <w:t xml:space="preserve"> </w:t>
      </w:r>
      <w:r w:rsidR="00E8257F" w:rsidRPr="00091600">
        <w:rPr>
          <w:lang w:val="en-AU"/>
        </w:rPr>
        <w:t>t</w:t>
      </w:r>
      <w:r w:rsidR="00442FA6" w:rsidRPr="00091600">
        <w:rPr>
          <w:lang w:val="en-AU"/>
        </w:rPr>
        <w:t>he</w:t>
      </w:r>
      <w:r w:rsidRPr="00091600">
        <w:rPr>
          <w:lang w:val="en-AU"/>
        </w:rPr>
        <w:t xml:space="preserve"> </w:t>
      </w:r>
      <w:r w:rsidRPr="00F14AD5">
        <w:rPr>
          <w:lang w:val="en-AU"/>
        </w:rPr>
        <w:t>start-up phase of the program has focused on delivering visible results (e.g. buildings</w:t>
      </w:r>
      <w:r w:rsidR="00E8257F" w:rsidRPr="00F14AD5">
        <w:rPr>
          <w:lang w:val="en-AU"/>
        </w:rPr>
        <w:t>;</w:t>
      </w:r>
      <w:r w:rsidRPr="00F14AD5">
        <w:rPr>
          <w:lang w:val="en-AU"/>
        </w:rPr>
        <w:t xml:space="preserve"> getting courses quickly off the ground) while the wider program </w:t>
      </w:r>
      <w:r w:rsidR="00442FA6" w:rsidRPr="00F14AD5">
        <w:rPr>
          <w:lang w:val="en-AU"/>
        </w:rPr>
        <w:t>bed</w:t>
      </w:r>
      <w:r w:rsidR="00E8257F" w:rsidRPr="00F14AD5">
        <w:rPr>
          <w:lang w:val="en-AU"/>
        </w:rPr>
        <w:t>s</w:t>
      </w:r>
      <w:r w:rsidRPr="00F14AD5">
        <w:rPr>
          <w:lang w:val="en-AU"/>
        </w:rPr>
        <w:t xml:space="preserve"> down. As a result, long-term sustainability has not had the focus it could </w:t>
      </w:r>
      <w:r w:rsidR="008B0658" w:rsidRPr="001422B3">
        <w:rPr>
          <w:lang w:val="en-AU"/>
        </w:rPr>
        <w:t>have</w:t>
      </w:r>
      <w:r w:rsidRPr="00F14AD5">
        <w:rPr>
          <w:lang w:val="en-AU"/>
        </w:rPr>
        <w:t>. Our</w:t>
      </w:r>
      <w:r w:rsidRPr="00091600">
        <w:rPr>
          <w:lang w:val="en-AU"/>
        </w:rPr>
        <w:t xml:space="preserve"> recommendation for an updated Precinct strategy includes a redirection of resources away from capacity substitution (for example ANU in SBPP) towards </w:t>
      </w:r>
      <w:r w:rsidR="008B0658">
        <w:rPr>
          <w:lang w:val="en-AU"/>
        </w:rPr>
        <w:t xml:space="preserve">greater </w:t>
      </w:r>
      <w:r w:rsidRPr="00091600">
        <w:rPr>
          <w:lang w:val="en-AU"/>
        </w:rPr>
        <w:t>capacity development; a refocus on what is required to achieve a more capable public service without relying only on training; and a proper integration of GESI across all the Precinct to promote inclusive social change.</w:t>
      </w:r>
    </w:p>
    <w:tbl>
      <w:tblPr>
        <w:tblStyle w:val="OPMBoxstyle"/>
        <w:tblW w:w="0" w:type="auto"/>
        <w:tblLook w:val="04A0" w:firstRow="1" w:lastRow="0" w:firstColumn="1" w:lastColumn="0" w:noHBand="0" w:noVBand="1"/>
        <w:tblCaption w:val="Precinct lessons learned 4 - sustainable programs require attention to capacity development from the start"/>
        <w:tblDescription w:val="PNG partner organisations, PILAG and SBPP, had weak training and institutional capacity when the program started. The Precinct prioritised the delivery of courses to benefit current and emerging leaders quickly, which meant some Australian providers substituted for PNG capacity. Those that co-delivered activities with PNG organisations were more likely to build the local capacity to deliver courses in the future. Sustainable PNG capacity development also requires management commitment and the allocation of sufficient resources on the part of PNG counterparts to invest in their own institutional strengthening rather than relying on Australian expertise."/>
      </w:tblPr>
      <w:tblGrid>
        <w:gridCol w:w="9730"/>
      </w:tblGrid>
      <w:tr w:rsidR="005A4F8F" w:rsidRPr="00091600" w:rsidTr="004F0042">
        <w:trPr>
          <w:cnfStyle w:val="100000000000" w:firstRow="1" w:lastRow="0" w:firstColumn="0" w:lastColumn="0" w:oddVBand="0" w:evenVBand="0" w:oddHBand="0" w:evenHBand="0" w:firstRowFirstColumn="0" w:firstRowLastColumn="0" w:lastRowFirstColumn="0" w:lastRowLastColumn="0"/>
          <w:trHeight w:val="507"/>
          <w:tblHeader/>
        </w:trPr>
        <w:tc>
          <w:tcPr>
            <w:tcW w:w="9730" w:type="dxa"/>
          </w:tcPr>
          <w:p w:rsidR="005A4F8F" w:rsidRPr="00091600" w:rsidRDefault="005A4F8F" w:rsidP="00AC711E">
            <w:pPr>
              <w:pStyle w:val="Boxcaption"/>
            </w:pPr>
            <w:r w:rsidRPr="00091600">
              <w:t xml:space="preserve">Box </w:t>
            </w:r>
            <w:r w:rsidRPr="00091600">
              <w:fldChar w:fldCharType="begin"/>
            </w:r>
            <w:r w:rsidRPr="00091600">
              <w:instrText xml:space="preserve"> SEQ Box \* ARABIC </w:instrText>
            </w:r>
            <w:r w:rsidRPr="00091600">
              <w:fldChar w:fldCharType="separate"/>
            </w:r>
            <w:r w:rsidR="004964E9">
              <w:rPr>
                <w:noProof/>
              </w:rPr>
              <w:t>8</w:t>
            </w:r>
            <w:r w:rsidRPr="00091600">
              <w:fldChar w:fldCharType="end"/>
            </w:r>
            <w:r w:rsidRPr="00091600">
              <w:t>:</w:t>
            </w:r>
            <w:r w:rsidRPr="00091600">
              <w:tab/>
              <w:t>Precinct lessons learned 4</w:t>
            </w:r>
            <w:r w:rsidR="00932ECF">
              <w:t xml:space="preserve"> –</w:t>
            </w:r>
            <w:r w:rsidRPr="00091600">
              <w:t xml:space="preserve"> </w:t>
            </w:r>
            <w:r w:rsidRPr="0063647C">
              <w:rPr>
                <w:b w:val="0"/>
              </w:rPr>
              <w:t>sustainable programs require attention to capacity development from the start</w:t>
            </w:r>
          </w:p>
        </w:tc>
      </w:tr>
      <w:tr w:rsidR="000F4B57" w:rsidRPr="00091600" w:rsidTr="005A4F8F">
        <w:tc>
          <w:tcPr>
            <w:tcW w:w="9730" w:type="dxa"/>
          </w:tcPr>
          <w:p w:rsidR="000F4B57" w:rsidRPr="00091600" w:rsidRDefault="000F4B57">
            <w:pPr>
              <w:pStyle w:val="Boxtext"/>
              <w:rPr>
                <w:rFonts w:ascii="Roboto Light" w:hAnsi="Roboto Light"/>
                <w:sz w:val="22"/>
              </w:rPr>
            </w:pPr>
            <w:r w:rsidRPr="00091600">
              <w:rPr>
                <w:rFonts w:ascii="Roboto Light" w:hAnsi="Roboto Light"/>
              </w:rPr>
              <w:t xml:space="preserve">PNG partner organisations, PILAG and SBPP, had weak training and institutional capacity when the program started. The Precinct prioritised the delivery of courses to benefit current and emerging leaders quickly, which meant some Australian providers substituted for PNG capacity. Those that co-delivered activities with PNG organisations were more likely to build the local capacity to deliver courses in the future. </w:t>
            </w:r>
            <w:r w:rsidR="00FD68EC">
              <w:rPr>
                <w:rFonts w:ascii="Roboto Light" w:hAnsi="Roboto Light"/>
              </w:rPr>
              <w:t>Sustainable PNG c</w:t>
            </w:r>
            <w:r w:rsidR="00252A62">
              <w:rPr>
                <w:rFonts w:ascii="Roboto Light" w:hAnsi="Roboto Light"/>
              </w:rPr>
              <w:t>apacity development</w:t>
            </w:r>
            <w:r w:rsidRPr="00091600">
              <w:rPr>
                <w:rFonts w:ascii="Roboto Light" w:hAnsi="Roboto Light"/>
              </w:rPr>
              <w:t xml:space="preserve"> also requires management commitment and the allocation of sufficient resources on the part of PNG counterparts to invest in their own institutional strengthening rather than relying on Australian expertise.</w:t>
            </w:r>
          </w:p>
        </w:tc>
      </w:tr>
    </w:tbl>
    <w:p w:rsidR="000F4B57" w:rsidRPr="00091600" w:rsidRDefault="000F4B57" w:rsidP="000F4B57">
      <w:pPr>
        <w:pStyle w:val="BodyText"/>
        <w:rPr>
          <w:lang w:val="en-AU"/>
        </w:rPr>
      </w:pPr>
    </w:p>
    <w:p w:rsidR="000F4B57" w:rsidRPr="00091600" w:rsidRDefault="000F4B57" w:rsidP="000F4B57">
      <w:pPr>
        <w:pStyle w:val="BodyText"/>
        <w:rPr>
          <w:rFonts w:cstheme="minorHAnsi"/>
          <w:lang w:val="en-AU"/>
        </w:rPr>
      </w:pPr>
      <w:r w:rsidRPr="001422B3">
        <w:rPr>
          <w:rFonts w:ascii="Roboto" w:hAnsi="Roboto"/>
          <w:b/>
          <w:lang w:val="en-AU"/>
        </w:rPr>
        <w:t>SBPP and PILAG long-term capacity</w:t>
      </w:r>
      <w:r w:rsidRPr="00AC711E">
        <w:rPr>
          <w:rFonts w:ascii="Roboto" w:hAnsi="Roboto"/>
          <w:lang w:val="en-AU"/>
        </w:rPr>
        <w:t>:</w:t>
      </w:r>
      <w:r w:rsidRPr="00091600">
        <w:rPr>
          <w:lang w:val="en-AU"/>
        </w:rPr>
        <w:t xml:space="preserve"> </w:t>
      </w:r>
      <w:r w:rsidR="00E8257F" w:rsidRPr="00091600">
        <w:rPr>
          <w:lang w:val="en-AU"/>
        </w:rPr>
        <w:t>th</w:t>
      </w:r>
      <w:r w:rsidR="00442FA6" w:rsidRPr="00091600">
        <w:rPr>
          <w:lang w:val="en-AU"/>
        </w:rPr>
        <w:t xml:space="preserve">e </w:t>
      </w:r>
      <w:r w:rsidR="00E8257F" w:rsidRPr="00091600">
        <w:rPr>
          <w:rFonts w:cstheme="minorHAnsi"/>
          <w:lang w:val="en-AU"/>
        </w:rPr>
        <w:t>r</w:t>
      </w:r>
      <w:r w:rsidR="00442FA6" w:rsidRPr="00091600">
        <w:rPr>
          <w:rFonts w:cstheme="minorHAnsi"/>
          <w:lang w:val="en-AU"/>
        </w:rPr>
        <w:t>eview</w:t>
      </w:r>
      <w:r w:rsidRPr="00091600">
        <w:rPr>
          <w:rFonts w:cstheme="minorHAnsi"/>
          <w:lang w:val="en-AU"/>
        </w:rPr>
        <w:t xml:space="preserve"> has noted the limited achievements in terms of building more capable SBPP and PILAG in Chapter 2</w:t>
      </w:r>
      <w:r w:rsidRPr="00091600">
        <w:rPr>
          <w:lang w:val="en-AU"/>
        </w:rPr>
        <w:t xml:space="preserve">. </w:t>
      </w:r>
      <w:r w:rsidRPr="00091600">
        <w:rPr>
          <w:rFonts w:cstheme="minorHAnsi"/>
          <w:lang w:val="en-AU"/>
        </w:rPr>
        <w:t xml:space="preserve">These organisations </w:t>
      </w:r>
      <w:r w:rsidR="00442FA6" w:rsidRPr="00091600">
        <w:rPr>
          <w:rFonts w:cstheme="minorHAnsi"/>
          <w:lang w:val="en-AU"/>
        </w:rPr>
        <w:t>ha</w:t>
      </w:r>
      <w:r w:rsidR="00E8257F" w:rsidRPr="00091600">
        <w:rPr>
          <w:rFonts w:cstheme="minorHAnsi"/>
          <w:lang w:val="en-AU"/>
        </w:rPr>
        <w:t>ve</w:t>
      </w:r>
      <w:r w:rsidRPr="00091600">
        <w:rPr>
          <w:rFonts w:cstheme="minorHAnsi"/>
          <w:lang w:val="en-AU"/>
        </w:rPr>
        <w:t xml:space="preserve"> underlying issues that were identified in the original design, and which require </w:t>
      </w:r>
      <w:r w:rsidR="001623A3">
        <w:rPr>
          <w:rFonts w:cstheme="minorHAnsi"/>
          <w:lang w:val="en-AU"/>
        </w:rPr>
        <w:t xml:space="preserve">a </w:t>
      </w:r>
      <w:r w:rsidR="00442FA6" w:rsidRPr="00091600">
        <w:rPr>
          <w:rFonts w:cstheme="minorHAnsi"/>
          <w:lang w:val="en-AU"/>
        </w:rPr>
        <w:t>long</w:t>
      </w:r>
      <w:r w:rsidRPr="00091600">
        <w:rPr>
          <w:rFonts w:cstheme="minorHAnsi"/>
          <w:lang w:val="en-AU"/>
        </w:rPr>
        <w:t>-term approach. PNG IPA had historic poor management practices and struggled to deliver its mandate when the Precinct started. SBPP was effectively established with a new set of courses and lecturers through the program. They both have very different mandates, students, funding, structures, cultures, leadership and management styles. They both operate in a wider environment, which affects what they can achieve (e.g. constrained by government funding).</w:t>
      </w:r>
    </w:p>
    <w:p w:rsidR="000F4B57" w:rsidRPr="00091600" w:rsidRDefault="000F4B57" w:rsidP="000F4B57">
      <w:pPr>
        <w:pStyle w:val="BodyText"/>
        <w:rPr>
          <w:rFonts w:cstheme="minorHAnsi"/>
          <w:lang w:val="en-AU"/>
        </w:rPr>
      </w:pPr>
      <w:r w:rsidRPr="00091600">
        <w:rPr>
          <w:rFonts w:cstheme="minorHAnsi"/>
          <w:lang w:val="en-AU"/>
        </w:rPr>
        <w:t xml:space="preserve">Combining these two different organisations into one program was a challenge also identified in the design. Going forward, following agreement on an updated goal, the design-strengthening process may conclude that it no longer makes sense to maintain them in a single program. </w:t>
      </w:r>
      <w:r w:rsidRPr="00091600">
        <w:rPr>
          <w:lang w:val="en-AU"/>
        </w:rPr>
        <w:t xml:space="preserve">SBPP could remain within the AHC Higher Education portfolio (aligned with efforts to support UPNG and other higher education institutions). PILAG could move to the AHC </w:t>
      </w:r>
      <w:r w:rsidR="00866019" w:rsidRPr="00091600">
        <w:rPr>
          <w:lang w:val="en-AU"/>
        </w:rPr>
        <w:t>G</w:t>
      </w:r>
      <w:r w:rsidR="00442FA6" w:rsidRPr="00091600">
        <w:rPr>
          <w:lang w:val="en-AU"/>
        </w:rPr>
        <w:t>overnance</w:t>
      </w:r>
      <w:r w:rsidRPr="00091600">
        <w:rPr>
          <w:lang w:val="en-AU"/>
        </w:rPr>
        <w:t xml:space="preserve"> portfolio (focusing on how to improve public sector performance rather than education </w:t>
      </w:r>
      <w:r w:rsidRPr="00091600">
        <w:rPr>
          <w:i/>
          <w:lang w:val="en-AU"/>
        </w:rPr>
        <w:t>per se</w:t>
      </w:r>
      <w:r w:rsidRPr="00091600">
        <w:rPr>
          <w:lang w:val="en-AU"/>
        </w:rPr>
        <w:t xml:space="preserve">). AHC could continue to support pathways between SBPP and PILAG. </w:t>
      </w:r>
    </w:p>
    <w:p w:rsidR="000F4B57" w:rsidRPr="00091600" w:rsidRDefault="009207B2" w:rsidP="000F4B57">
      <w:pPr>
        <w:pStyle w:val="BodyText"/>
        <w:rPr>
          <w:lang w:val="en-AU"/>
        </w:rPr>
      </w:pPr>
      <w:r w:rsidRPr="00091600">
        <w:rPr>
          <w:rStyle w:val="RecommendationthingChar"/>
          <w:rFonts w:ascii="Roboto Light" w:hAnsi="Roboto Light"/>
          <w:color w:val="45A7E1" w:themeColor="accent1"/>
        </w:rPr>
        <w:sym w:font="Wingdings" w:char="F06E"/>
      </w:r>
      <w:r w:rsidRPr="00091600">
        <w:rPr>
          <w:rStyle w:val="RecommendationthingChar"/>
          <w:rFonts w:ascii="Roboto Light" w:hAnsi="Roboto Light"/>
          <w:color w:val="45A7E1" w:themeColor="accent1"/>
        </w:rPr>
        <w:t xml:space="preserve"> </w:t>
      </w:r>
      <w:r w:rsidR="000F4B57" w:rsidRPr="00AC711E">
        <w:rPr>
          <w:rStyle w:val="RecommendationthingChar"/>
          <w:rFonts w:ascii="Poppins ExtraBold" w:hAnsi="Poppins ExtraBold" w:cs="Poppins ExtraBold"/>
        </w:rPr>
        <w:t>R21</w:t>
      </w:r>
      <w:r w:rsidR="00AC711E">
        <w:rPr>
          <w:rStyle w:val="RecommendationthingChar"/>
          <w:rFonts w:ascii="Poppins ExtraBold" w:hAnsi="Poppins ExtraBold" w:cs="Poppins ExtraBold"/>
        </w:rPr>
        <w:t xml:space="preserve"> </w:t>
      </w:r>
      <w:r w:rsidR="000F4B57" w:rsidRPr="00091600">
        <w:rPr>
          <w:lang w:val="en-AU"/>
        </w:rPr>
        <w:t xml:space="preserve">(to DPM, DHERST and DFAT/AHC): </w:t>
      </w:r>
      <w:r w:rsidR="00E8257F" w:rsidRPr="00091600">
        <w:rPr>
          <w:lang w:val="en-AU"/>
        </w:rPr>
        <w:t>a</w:t>
      </w:r>
      <w:r w:rsidR="00442FA6" w:rsidRPr="00091600">
        <w:rPr>
          <w:lang w:val="en-AU"/>
        </w:rPr>
        <w:t>s</w:t>
      </w:r>
      <w:r w:rsidR="000F4B57" w:rsidRPr="00091600">
        <w:rPr>
          <w:lang w:val="en-AU"/>
        </w:rPr>
        <w:t xml:space="preserve"> part of the design</w:t>
      </w:r>
      <w:r w:rsidR="002033EF">
        <w:rPr>
          <w:lang w:val="en-AU"/>
        </w:rPr>
        <w:t xml:space="preserve"> </w:t>
      </w:r>
      <w:r w:rsidR="000F4B57" w:rsidRPr="00091600">
        <w:rPr>
          <w:lang w:val="en-AU"/>
        </w:rPr>
        <w:t>strengthening process, be open to testing whether separating the SBPP and PILAG projects is a more workable option (by June 2019).</w:t>
      </w:r>
    </w:p>
    <w:p w:rsidR="000F4B57" w:rsidRPr="00091600" w:rsidRDefault="000F4B57" w:rsidP="000F4B57">
      <w:pPr>
        <w:pStyle w:val="BodyText"/>
        <w:rPr>
          <w:lang w:val="en-AU"/>
        </w:rPr>
      </w:pPr>
      <w:r w:rsidRPr="001422B3">
        <w:rPr>
          <w:rFonts w:ascii="Roboto" w:hAnsi="Roboto"/>
          <w:b/>
          <w:lang w:val="en-AU"/>
        </w:rPr>
        <w:t>Broaden partnerships</w:t>
      </w:r>
      <w:r w:rsidR="00E8257F" w:rsidRPr="00AC711E">
        <w:rPr>
          <w:rFonts w:ascii="Roboto" w:hAnsi="Roboto"/>
          <w:lang w:val="en-AU"/>
        </w:rPr>
        <w:t>:</w:t>
      </w:r>
      <w:r w:rsidR="00442FA6" w:rsidRPr="00091600">
        <w:rPr>
          <w:lang w:val="en-AU"/>
        </w:rPr>
        <w:t xml:space="preserve"> </w:t>
      </w:r>
      <w:r w:rsidR="00E8257F" w:rsidRPr="00091600">
        <w:rPr>
          <w:lang w:val="en-AU"/>
        </w:rPr>
        <w:t>t</w:t>
      </w:r>
      <w:r w:rsidR="00442FA6" w:rsidRPr="00091600">
        <w:rPr>
          <w:lang w:val="en-AU"/>
        </w:rPr>
        <w:t>he</w:t>
      </w:r>
      <w:r w:rsidRPr="00091600">
        <w:rPr>
          <w:lang w:val="en-AU"/>
        </w:rPr>
        <w:t xml:space="preserve"> program is focused on two core PNG organisations (SBPP and PILAG). However, in many interviews, stakeholders noted that other PNG, Australian, and international organisations are also relevant to achieve the program goal. If the focus is on strengthening public sector performance, PNG could learn from its peers across the Commonwealth or other developing countries. If the Precinct objective is leadership understood in a broad term through educational opportunities, a range of PNG academic, private sector, or civil society organisations also contribute to leadership development. The Precinct has not engaged significantly to date with the PNG private sector or churches (</w:t>
      </w:r>
      <w:r w:rsidR="00E93596">
        <w:rPr>
          <w:lang w:val="en-AU"/>
        </w:rPr>
        <w:t xml:space="preserve">which </w:t>
      </w:r>
      <w:r w:rsidRPr="00091600">
        <w:rPr>
          <w:lang w:val="en-AU"/>
        </w:rPr>
        <w:t xml:space="preserve">only </w:t>
      </w:r>
      <w:r w:rsidR="00E93596">
        <w:rPr>
          <w:lang w:val="en-AU"/>
        </w:rPr>
        <w:t xml:space="preserve">represented </w:t>
      </w:r>
      <w:r w:rsidRPr="00091600">
        <w:rPr>
          <w:lang w:val="en-AU"/>
        </w:rPr>
        <w:t>9% of course participants to May 2018)</w:t>
      </w:r>
      <w:r w:rsidR="00315E84" w:rsidRPr="00091600">
        <w:rPr>
          <w:lang w:val="en-AU"/>
        </w:rPr>
        <w:t xml:space="preserve"> </w:t>
      </w:r>
      <w:r w:rsidR="00442FA6" w:rsidRPr="00091600">
        <w:rPr>
          <w:lang w:val="en-AU"/>
        </w:rPr>
        <w:t>and needs to consider where it would be appropriate to do so.</w:t>
      </w:r>
    </w:p>
    <w:p w:rsidR="000F4B57" w:rsidRPr="00091600" w:rsidRDefault="009207B2" w:rsidP="000F4B57">
      <w:pPr>
        <w:pStyle w:val="BodyText"/>
        <w:rPr>
          <w:lang w:val="en-AU"/>
        </w:rPr>
      </w:pPr>
      <w:r w:rsidRPr="00091600">
        <w:rPr>
          <w:rStyle w:val="RecommendationthingChar"/>
          <w:rFonts w:ascii="Roboto Light" w:hAnsi="Roboto Light"/>
          <w:color w:val="45A7E1" w:themeColor="accent1"/>
        </w:rPr>
        <w:sym w:font="Wingdings" w:char="F06E"/>
      </w:r>
      <w:r w:rsidRPr="00AC711E">
        <w:rPr>
          <w:rStyle w:val="RecommendationthingChar"/>
          <w:rFonts w:ascii="Poppins ExtraBold" w:hAnsi="Poppins ExtraBold" w:cs="Poppins ExtraBold"/>
          <w:color w:val="45A7E1" w:themeColor="accent1"/>
        </w:rPr>
        <w:t xml:space="preserve"> </w:t>
      </w:r>
      <w:r w:rsidR="000F4B57" w:rsidRPr="00AC711E">
        <w:rPr>
          <w:rStyle w:val="RecommendationthingChar"/>
          <w:rFonts w:ascii="Poppins ExtraBold" w:hAnsi="Poppins ExtraBold" w:cs="Poppins ExtraBold"/>
        </w:rPr>
        <w:t>R22</w:t>
      </w:r>
      <w:r w:rsidR="000F4B57" w:rsidRPr="00091600">
        <w:rPr>
          <w:lang w:val="en-AU"/>
        </w:rPr>
        <w:t xml:space="preserve"> (to JSC and DFAT/AHC): </w:t>
      </w:r>
      <w:r w:rsidR="002033EF">
        <w:rPr>
          <w:lang w:val="en-AU"/>
        </w:rPr>
        <w:t xml:space="preserve">consider </w:t>
      </w:r>
      <w:r w:rsidR="00B36962" w:rsidRPr="00091600">
        <w:rPr>
          <w:lang w:val="en-AU"/>
        </w:rPr>
        <w:t>u</w:t>
      </w:r>
      <w:r w:rsidR="00442FA6" w:rsidRPr="00091600">
        <w:rPr>
          <w:lang w:val="en-AU"/>
        </w:rPr>
        <w:t>s</w:t>
      </w:r>
      <w:r w:rsidR="002033EF">
        <w:rPr>
          <w:lang w:val="en-AU"/>
        </w:rPr>
        <w:t>ing</w:t>
      </w:r>
      <w:r w:rsidR="000F4B57" w:rsidRPr="00091600">
        <w:rPr>
          <w:lang w:val="en-AU"/>
        </w:rPr>
        <w:t xml:space="preserve"> a wider range of PNG, Australian, or international partners to deliver the updated Precinct strategy, as other organisations may offer better value for </w:t>
      </w:r>
      <w:r w:rsidR="00B36962" w:rsidRPr="00091600">
        <w:rPr>
          <w:lang w:val="en-AU"/>
        </w:rPr>
        <w:t>money</w:t>
      </w:r>
      <w:r w:rsidR="000F4B57" w:rsidRPr="00091600">
        <w:rPr>
          <w:lang w:val="en-AU"/>
        </w:rPr>
        <w:t xml:space="preserve"> or unique skills which would better support sustainability (by June 2019).</w:t>
      </w:r>
    </w:p>
    <w:p w:rsidR="000F4B57" w:rsidRPr="00091600" w:rsidRDefault="000F4B57" w:rsidP="00AC711E">
      <w:pPr>
        <w:pStyle w:val="Heading1NONUM"/>
        <w:rPr>
          <w:lang w:val="en-AU"/>
        </w:rPr>
      </w:pPr>
      <w:bookmarkStart w:id="111" w:name="_Toc523866161"/>
      <w:bookmarkStart w:id="112" w:name="_Toc536719918"/>
      <w:bookmarkStart w:id="113" w:name="_Toc2091558"/>
      <w:r w:rsidRPr="00091600">
        <w:rPr>
          <w:lang w:val="en-AU"/>
        </w:rPr>
        <w:t xml:space="preserve">4. Main </w:t>
      </w:r>
      <w:r w:rsidRPr="00AC711E">
        <w:t>findings</w:t>
      </w:r>
      <w:bookmarkEnd w:id="111"/>
      <w:bookmarkEnd w:id="112"/>
      <w:bookmarkEnd w:id="113"/>
    </w:p>
    <w:tbl>
      <w:tblPr>
        <w:tblStyle w:val="OPMBoxstyle"/>
        <w:tblW w:w="5000" w:type="pct"/>
        <w:tblLook w:val="04A0" w:firstRow="1" w:lastRow="0" w:firstColumn="1" w:lastColumn="0" w:noHBand="0" w:noVBand="1"/>
        <w:tblCaption w:val="Main Findings"/>
        <w:tblDescription w:val="Impact: to what extent is investment in the Precinct contributing to the desired outcomes of effective and ethical leadership?&#10;Effectiveness: the progress of the Precinct against the ‘rolling’ design towards its intermediate outcomes, and analysis of early signs of practice change by the intended beneficiaries in their organisations. &#10;Opportunities for program improvement: to provide stakeholders with insight and recommendations, based on evidence from PNG and international experience and best practice into:&#10;• the possible adjustment/reshaping of the Precinct and its activities to enhance development outcomes;&#10;• the potential for new complementary initiatives, further contributing to the development of capacity in ethical leadership, management, administration, and governance in the PNG public service; and&#10;• opportunities to strengthen Precinct capacity development with specific PNG public sector reform priorities and initiatives."/>
      </w:tblPr>
      <w:tblGrid>
        <w:gridCol w:w="9730"/>
      </w:tblGrid>
      <w:tr w:rsidR="000F4B57" w:rsidRPr="00091600" w:rsidTr="004F0042">
        <w:trPr>
          <w:cnfStyle w:val="100000000000" w:firstRow="1" w:lastRow="0" w:firstColumn="0" w:lastColumn="0" w:oddVBand="0" w:evenVBand="0" w:oddHBand="0" w:evenHBand="0" w:firstRowFirstColumn="0" w:firstRowLastColumn="0" w:lastRowFirstColumn="0" w:lastRowLastColumn="0"/>
          <w:trHeight w:val="3834"/>
          <w:tblHeader/>
        </w:trPr>
        <w:tc>
          <w:tcPr>
            <w:tcW w:w="5000" w:type="pct"/>
          </w:tcPr>
          <w:p w:rsidR="000F4B57" w:rsidRPr="00091600" w:rsidRDefault="000F4B57" w:rsidP="00D75F7D">
            <w:pPr>
              <w:pStyle w:val="BodyText"/>
              <w:spacing w:before="120" w:after="120"/>
              <w:rPr>
                <w:lang w:val="en-AU"/>
              </w:rPr>
            </w:pPr>
            <w:r w:rsidRPr="00932ECF">
              <w:rPr>
                <w:rFonts w:ascii="Roboto" w:hAnsi="Roboto"/>
                <w:b/>
                <w:lang w:val="en-AU"/>
              </w:rPr>
              <w:t>Impact:</w:t>
            </w:r>
            <w:r w:rsidRPr="00091600">
              <w:rPr>
                <w:lang w:val="en-AU"/>
              </w:rPr>
              <w:t xml:space="preserve"> to what extent is investment in the Precinct contributing to the desired outcomes of effective and ethical leadership?</w:t>
            </w:r>
          </w:p>
          <w:p w:rsidR="000F4B57" w:rsidRPr="00091600" w:rsidRDefault="000F4B57" w:rsidP="00D75F7D">
            <w:pPr>
              <w:pStyle w:val="BodyText"/>
              <w:spacing w:after="120"/>
              <w:rPr>
                <w:color w:val="000000" w:themeColor="text1"/>
                <w:lang w:val="en-AU"/>
              </w:rPr>
            </w:pPr>
            <w:r w:rsidRPr="00932ECF">
              <w:rPr>
                <w:rStyle w:val="Emphasis"/>
                <w:rFonts w:ascii="Roboto" w:hAnsi="Roboto"/>
                <w:b/>
                <w:i w:val="0"/>
                <w:color w:val="000000" w:themeColor="text1"/>
                <w:lang w:val="en-AU"/>
              </w:rPr>
              <w:t>Effectiveness:</w:t>
            </w:r>
            <w:r w:rsidRPr="00091600">
              <w:rPr>
                <w:rStyle w:val="Emphasis"/>
                <w:color w:val="000000" w:themeColor="text1"/>
                <w:lang w:val="en-AU"/>
              </w:rPr>
              <w:t xml:space="preserve"> </w:t>
            </w:r>
            <w:r w:rsidRPr="00091600">
              <w:rPr>
                <w:color w:val="000000" w:themeColor="text1"/>
                <w:lang w:val="en-AU"/>
              </w:rPr>
              <w:t>the progress of the Precinct against the ‘rolling’ design towards its intermediate outcomes, and analysis of early signs of practice change by the intended beneficiaries in their organisations.</w:t>
            </w:r>
            <w:r w:rsidRPr="00091600" w:rsidDel="009D48E6">
              <w:rPr>
                <w:color w:val="000000" w:themeColor="text1"/>
                <w:lang w:val="en-AU"/>
              </w:rPr>
              <w:t xml:space="preserve"> </w:t>
            </w:r>
          </w:p>
          <w:p w:rsidR="000F4B57" w:rsidRPr="00091600" w:rsidRDefault="000F4B57" w:rsidP="00D75F7D">
            <w:pPr>
              <w:pStyle w:val="BodyText"/>
              <w:spacing w:after="120"/>
              <w:rPr>
                <w:color w:val="000000" w:themeColor="text1"/>
                <w:lang w:val="en-AU"/>
              </w:rPr>
            </w:pPr>
            <w:r w:rsidRPr="00932ECF">
              <w:rPr>
                <w:rFonts w:ascii="Roboto" w:hAnsi="Roboto"/>
                <w:b/>
                <w:iCs/>
                <w:color w:val="000000" w:themeColor="text1"/>
                <w:lang w:val="en-AU"/>
              </w:rPr>
              <w:t>Opportunities for program improvement:</w:t>
            </w:r>
            <w:r w:rsidRPr="00091600">
              <w:rPr>
                <w:color w:val="000000" w:themeColor="text1"/>
                <w:lang w:val="en-AU"/>
              </w:rPr>
              <w:t xml:space="preserve"> to provide stakeholders with insight and recommendations, based on evidence from PNG and international experience and best practice into:</w:t>
            </w:r>
          </w:p>
          <w:p w:rsidR="000F4B57" w:rsidRPr="00091600" w:rsidRDefault="000F4B57" w:rsidP="00D75F7D">
            <w:pPr>
              <w:pStyle w:val="BodyText"/>
              <w:numPr>
                <w:ilvl w:val="0"/>
                <w:numId w:val="38"/>
              </w:numPr>
              <w:spacing w:after="120"/>
              <w:rPr>
                <w:color w:val="000000" w:themeColor="text1"/>
                <w:lang w:val="en-AU"/>
              </w:rPr>
            </w:pPr>
            <w:r w:rsidRPr="00091600">
              <w:rPr>
                <w:color w:val="000000" w:themeColor="text1"/>
                <w:lang w:val="en-AU"/>
              </w:rPr>
              <w:t>the possible adjustment/reshaping of the Precinct and its activities to enhance development outcomes;</w:t>
            </w:r>
          </w:p>
          <w:p w:rsidR="000F4B57" w:rsidRPr="00091600" w:rsidRDefault="000F4B57" w:rsidP="00D75F7D">
            <w:pPr>
              <w:pStyle w:val="BodyText"/>
              <w:numPr>
                <w:ilvl w:val="0"/>
                <w:numId w:val="38"/>
              </w:numPr>
              <w:spacing w:after="120"/>
              <w:rPr>
                <w:color w:val="000000" w:themeColor="text1"/>
                <w:lang w:val="en-AU"/>
              </w:rPr>
            </w:pPr>
            <w:r w:rsidRPr="00091600">
              <w:rPr>
                <w:color w:val="000000" w:themeColor="text1"/>
                <w:lang w:val="en-AU"/>
              </w:rPr>
              <w:t>the potential for new complementary initiatives, further contributing to the development of capacity in ethical leadership, management, administration, and governance in the PNG public service; and</w:t>
            </w:r>
          </w:p>
          <w:p w:rsidR="000F4B57" w:rsidRPr="00091600" w:rsidRDefault="000F4B57" w:rsidP="00D75F7D">
            <w:pPr>
              <w:pStyle w:val="BodyText"/>
              <w:numPr>
                <w:ilvl w:val="0"/>
                <w:numId w:val="38"/>
              </w:numPr>
              <w:spacing w:after="120"/>
              <w:rPr>
                <w:color w:val="000000" w:themeColor="text1"/>
                <w:lang w:val="en-AU"/>
              </w:rPr>
            </w:pPr>
            <w:r w:rsidRPr="00091600">
              <w:rPr>
                <w:color w:val="000000" w:themeColor="text1"/>
                <w:lang w:val="en-AU"/>
              </w:rPr>
              <w:t>opportunities to strengthen Precinct capacity development with specific PNG public sector reform priorities and initiatives.</w:t>
            </w:r>
          </w:p>
        </w:tc>
      </w:tr>
    </w:tbl>
    <w:p w:rsidR="000F4B57" w:rsidRPr="00091600" w:rsidRDefault="000F4B57" w:rsidP="00AC711E">
      <w:pPr>
        <w:pStyle w:val="Heading2NONUM"/>
        <w:rPr>
          <w:lang w:val="en-AU"/>
        </w:rPr>
      </w:pPr>
      <w:bookmarkStart w:id="114" w:name="_Toc536719919"/>
      <w:bookmarkStart w:id="115" w:name="_Toc2091559"/>
      <w:r w:rsidRPr="00091600">
        <w:rPr>
          <w:lang w:val="en-AU"/>
        </w:rPr>
        <w:t xml:space="preserve">4.1 </w:t>
      </w:r>
      <w:r w:rsidRPr="00091600">
        <w:rPr>
          <w:lang w:val="en-AU"/>
        </w:rPr>
        <w:tab/>
        <w:t xml:space="preserve">Main </w:t>
      </w:r>
      <w:r w:rsidRPr="00AC711E">
        <w:t>findings</w:t>
      </w:r>
      <w:bookmarkEnd w:id="114"/>
      <w:bookmarkEnd w:id="115"/>
    </w:p>
    <w:p w:rsidR="000F4B57" w:rsidRPr="00091600" w:rsidRDefault="000F4B57" w:rsidP="00AC711E">
      <w:pPr>
        <w:pStyle w:val="Heading4"/>
        <w:rPr>
          <w:lang w:val="en-AU"/>
        </w:rPr>
      </w:pPr>
      <w:r w:rsidRPr="00091600">
        <w:rPr>
          <w:lang w:val="en-AU"/>
        </w:rPr>
        <w:t xml:space="preserve">Summary of </w:t>
      </w:r>
      <w:r w:rsidRPr="00AC711E">
        <w:t>achievements</w:t>
      </w:r>
    </w:p>
    <w:p w:rsidR="000F4B57" w:rsidRPr="00091600" w:rsidRDefault="000F4B57" w:rsidP="000F4B57">
      <w:pPr>
        <w:pStyle w:val="BodyText"/>
        <w:rPr>
          <w:rFonts w:eastAsiaTheme="minorEastAsia"/>
          <w:lang w:val="en-AU"/>
        </w:rPr>
      </w:pPr>
      <w:r w:rsidRPr="00091600">
        <w:rPr>
          <w:lang w:val="en-AU"/>
        </w:rPr>
        <w:t>Our analysis of the program components has identified:</w:t>
      </w:r>
    </w:p>
    <w:p w:rsidR="000F4B57" w:rsidRPr="00091600" w:rsidRDefault="000F4B57" w:rsidP="000F4B57">
      <w:pPr>
        <w:pStyle w:val="ListBullet"/>
        <w:rPr>
          <w:rFonts w:ascii="Roboto Light" w:hAnsi="Roboto Light"/>
          <w:color w:val="000000" w:themeColor="text1"/>
          <w:szCs w:val="22"/>
          <w:lang w:val="en-AU"/>
        </w:rPr>
      </w:pPr>
      <w:r w:rsidRPr="00091600">
        <w:rPr>
          <w:rFonts w:ascii="Roboto Light" w:hAnsi="Roboto Light"/>
          <w:color w:val="000000" w:themeColor="text1"/>
          <w:szCs w:val="22"/>
          <w:lang w:val="en-AU"/>
        </w:rPr>
        <w:t xml:space="preserve">Precinct vocational courses and academic courses at SBPP have benefited 1,657 </w:t>
      </w:r>
      <w:r w:rsidRPr="00091600">
        <w:rPr>
          <w:rFonts w:ascii="Roboto Light" w:hAnsi="Roboto Light" w:cstheme="majorHAnsi"/>
          <w:color w:val="000000" w:themeColor="text1"/>
          <w:szCs w:val="22"/>
          <w:lang w:val="en-AU"/>
        </w:rPr>
        <w:t xml:space="preserve">(751 female and 906 male) </w:t>
      </w:r>
      <w:r w:rsidRPr="00091600">
        <w:rPr>
          <w:rFonts w:ascii="Roboto Light" w:hAnsi="Roboto Light"/>
          <w:color w:val="000000" w:themeColor="text1"/>
          <w:szCs w:val="22"/>
          <w:lang w:val="en-AU"/>
        </w:rPr>
        <w:t>participants, who appear motivated to use their newly-acquired skills</w:t>
      </w:r>
      <w:r w:rsidR="00B36962" w:rsidRPr="00091600">
        <w:rPr>
          <w:rFonts w:ascii="Roboto Light" w:hAnsi="Roboto Light"/>
          <w:color w:val="000000" w:themeColor="text1"/>
          <w:szCs w:val="22"/>
          <w:lang w:val="en-AU"/>
        </w:rPr>
        <w:t>;</w:t>
      </w:r>
      <w:r w:rsidRPr="00091600">
        <w:rPr>
          <w:rStyle w:val="FootnoteReference"/>
          <w:rFonts w:ascii="Roboto Light" w:hAnsi="Roboto Light"/>
          <w:color w:val="000000" w:themeColor="text1"/>
          <w:szCs w:val="22"/>
          <w:lang w:val="en-AU"/>
        </w:rPr>
        <w:footnoteReference w:id="66"/>
      </w:r>
    </w:p>
    <w:p w:rsidR="000F4B57" w:rsidRPr="00091600" w:rsidRDefault="00B36962" w:rsidP="000F4B57">
      <w:pPr>
        <w:pStyle w:val="ListBullet"/>
        <w:rPr>
          <w:rFonts w:ascii="Roboto Light" w:hAnsi="Roboto Light"/>
          <w:color w:val="000000" w:themeColor="text1"/>
          <w:szCs w:val="22"/>
          <w:lang w:val="en-AU"/>
        </w:rPr>
      </w:pPr>
      <w:r w:rsidRPr="00091600">
        <w:rPr>
          <w:rFonts w:ascii="Roboto Light" w:hAnsi="Roboto Light"/>
          <w:color w:val="000000" w:themeColor="text1"/>
          <w:szCs w:val="22"/>
          <w:lang w:val="en-AU"/>
        </w:rPr>
        <w:t>a</w:t>
      </w:r>
      <w:r w:rsidR="00442FA6" w:rsidRPr="00091600">
        <w:rPr>
          <w:rFonts w:ascii="Roboto Light" w:hAnsi="Roboto Light"/>
          <w:color w:val="000000" w:themeColor="text1"/>
          <w:szCs w:val="22"/>
          <w:lang w:val="en-AU"/>
        </w:rPr>
        <w:t>n</w:t>
      </w:r>
      <w:r w:rsidR="000F4B57" w:rsidRPr="00091600">
        <w:rPr>
          <w:rFonts w:ascii="Roboto Light" w:hAnsi="Roboto Light"/>
          <w:color w:val="000000" w:themeColor="text1"/>
          <w:szCs w:val="22"/>
          <w:lang w:val="en-AU"/>
        </w:rPr>
        <w:t xml:space="preserve"> appropriate and valued expansion of activities to provinces and districts</w:t>
      </w:r>
      <w:r w:rsidRPr="00091600">
        <w:rPr>
          <w:rFonts w:ascii="Roboto Light" w:hAnsi="Roboto Light"/>
          <w:color w:val="000000" w:themeColor="text1"/>
          <w:szCs w:val="22"/>
          <w:lang w:val="en-AU"/>
        </w:rPr>
        <w:t>;</w:t>
      </w:r>
    </w:p>
    <w:p w:rsidR="000F4B57" w:rsidRPr="00091600" w:rsidRDefault="00B36962" w:rsidP="000F4B57">
      <w:pPr>
        <w:pStyle w:val="ListBullet"/>
        <w:rPr>
          <w:rFonts w:ascii="Roboto Light" w:hAnsi="Roboto Light"/>
          <w:color w:val="000000" w:themeColor="text1"/>
          <w:szCs w:val="22"/>
          <w:lang w:val="en-AU"/>
        </w:rPr>
      </w:pPr>
      <w:r w:rsidRPr="00091600">
        <w:rPr>
          <w:rFonts w:ascii="Roboto Light" w:hAnsi="Roboto Light"/>
          <w:color w:val="000000" w:themeColor="text1"/>
          <w:szCs w:val="22"/>
          <w:lang w:val="en-AU"/>
        </w:rPr>
        <w:t>t</w:t>
      </w:r>
      <w:r w:rsidR="00442FA6" w:rsidRPr="00091600">
        <w:rPr>
          <w:rFonts w:ascii="Roboto Light" w:hAnsi="Roboto Light"/>
          <w:color w:val="000000" w:themeColor="text1"/>
          <w:szCs w:val="22"/>
          <w:lang w:val="en-AU"/>
        </w:rPr>
        <w:t>he</w:t>
      </w:r>
      <w:r w:rsidR="000F4B57" w:rsidRPr="00091600">
        <w:rPr>
          <w:rFonts w:ascii="Roboto Light" w:hAnsi="Roboto Light"/>
          <w:color w:val="000000" w:themeColor="text1"/>
          <w:szCs w:val="22"/>
          <w:lang w:val="en-AU"/>
        </w:rPr>
        <w:t xml:space="preserve"> integration of the LCF and GESI Policy in most courses, helping </w:t>
      </w:r>
      <w:r w:rsidR="00A23AA5">
        <w:rPr>
          <w:rFonts w:ascii="Roboto Light" w:hAnsi="Roboto Light"/>
          <w:color w:val="000000" w:themeColor="text1"/>
          <w:szCs w:val="22"/>
          <w:lang w:val="en-AU"/>
        </w:rPr>
        <w:t>t</w:t>
      </w:r>
      <w:r w:rsidR="00E87298">
        <w:rPr>
          <w:rFonts w:ascii="Roboto Light" w:hAnsi="Roboto Light"/>
          <w:color w:val="000000" w:themeColor="text1"/>
          <w:szCs w:val="22"/>
          <w:lang w:val="en-AU"/>
        </w:rPr>
        <w:t>he PNG Government</w:t>
      </w:r>
      <w:r w:rsidR="000F4B57" w:rsidRPr="00091600">
        <w:rPr>
          <w:rFonts w:ascii="Roboto Light" w:hAnsi="Roboto Light"/>
          <w:color w:val="000000" w:themeColor="text1"/>
          <w:szCs w:val="22"/>
          <w:lang w:val="en-AU"/>
        </w:rPr>
        <w:t xml:space="preserve"> increase awareness across the public service and beyond</w:t>
      </w:r>
      <w:r w:rsidRPr="00091600">
        <w:rPr>
          <w:rFonts w:ascii="Roboto Light" w:hAnsi="Roboto Light"/>
          <w:color w:val="000000" w:themeColor="text1"/>
          <w:szCs w:val="22"/>
          <w:lang w:val="en-AU"/>
        </w:rPr>
        <w:t>;</w:t>
      </w:r>
    </w:p>
    <w:p w:rsidR="000F4B57" w:rsidRPr="00091600" w:rsidRDefault="00B36962" w:rsidP="000F4B57">
      <w:pPr>
        <w:pStyle w:val="ListBullet"/>
        <w:rPr>
          <w:rFonts w:ascii="Roboto Light" w:hAnsi="Roboto Light"/>
          <w:color w:val="000000" w:themeColor="text1"/>
          <w:szCs w:val="22"/>
          <w:lang w:val="en-AU"/>
        </w:rPr>
      </w:pPr>
      <w:r w:rsidRPr="00091600">
        <w:rPr>
          <w:rFonts w:ascii="Roboto Light" w:hAnsi="Roboto Light"/>
          <w:color w:val="000000" w:themeColor="text1"/>
          <w:szCs w:val="22"/>
          <w:lang w:val="en-AU"/>
        </w:rPr>
        <w:t>a</w:t>
      </w:r>
      <w:r w:rsidR="000F4B57" w:rsidRPr="00091600">
        <w:rPr>
          <w:rFonts w:ascii="Roboto Light" w:hAnsi="Roboto Light"/>
          <w:color w:val="000000" w:themeColor="text1"/>
          <w:szCs w:val="22"/>
          <w:lang w:val="en-AU"/>
        </w:rPr>
        <w:t xml:space="preserve"> commitment to parity between women and men participants in Precinct courses, combined with a Male Advocate Network</w:t>
      </w:r>
      <w:r w:rsidRPr="00091600">
        <w:rPr>
          <w:rFonts w:ascii="Roboto Light" w:hAnsi="Roboto Light"/>
          <w:color w:val="000000" w:themeColor="text1"/>
          <w:szCs w:val="22"/>
          <w:lang w:val="en-AU"/>
        </w:rPr>
        <w:t>;</w:t>
      </w:r>
    </w:p>
    <w:p w:rsidR="000F4B57" w:rsidRPr="00091600" w:rsidRDefault="00B36962" w:rsidP="000F4B57">
      <w:pPr>
        <w:pStyle w:val="ListBullet"/>
        <w:rPr>
          <w:rFonts w:ascii="Roboto Light" w:hAnsi="Roboto Light"/>
          <w:color w:val="000000" w:themeColor="text1"/>
          <w:szCs w:val="22"/>
          <w:lang w:val="en-AU"/>
        </w:rPr>
      </w:pPr>
      <w:r w:rsidRPr="00091600">
        <w:rPr>
          <w:rFonts w:ascii="Roboto Light" w:hAnsi="Roboto Light"/>
          <w:color w:val="000000" w:themeColor="text1"/>
          <w:szCs w:val="22"/>
          <w:lang w:val="en-AU"/>
        </w:rPr>
        <w:t>h</w:t>
      </w:r>
      <w:r w:rsidR="00442FA6" w:rsidRPr="00091600">
        <w:rPr>
          <w:rFonts w:ascii="Roboto Light" w:hAnsi="Roboto Light"/>
          <w:color w:val="000000" w:themeColor="text1"/>
          <w:szCs w:val="22"/>
          <w:lang w:val="en-AU"/>
        </w:rPr>
        <w:t>igh</w:t>
      </w:r>
      <w:r w:rsidR="000F4B57" w:rsidRPr="00091600">
        <w:rPr>
          <w:rFonts w:ascii="Roboto Light" w:hAnsi="Roboto Light"/>
          <w:color w:val="000000" w:themeColor="text1"/>
          <w:szCs w:val="22"/>
          <w:lang w:val="en-AU"/>
        </w:rPr>
        <w:t>-quality support from Australian organisations which use good practice in adult learning methodologies</w:t>
      </w:r>
      <w:r w:rsidRPr="00091600">
        <w:rPr>
          <w:rFonts w:ascii="Roboto Light" w:hAnsi="Roboto Light"/>
          <w:color w:val="000000" w:themeColor="text1"/>
          <w:szCs w:val="22"/>
          <w:lang w:val="en-AU"/>
        </w:rPr>
        <w:t>;</w:t>
      </w:r>
    </w:p>
    <w:p w:rsidR="000F4B57" w:rsidRPr="00091600" w:rsidRDefault="00B36962" w:rsidP="000F4B57">
      <w:pPr>
        <w:pStyle w:val="ListBullet"/>
        <w:rPr>
          <w:rFonts w:ascii="Roboto Light" w:hAnsi="Roboto Light"/>
          <w:color w:val="000000" w:themeColor="text1"/>
          <w:szCs w:val="22"/>
          <w:lang w:val="en-AU"/>
        </w:rPr>
      </w:pPr>
      <w:r w:rsidRPr="00091600">
        <w:rPr>
          <w:rFonts w:ascii="Roboto Light" w:hAnsi="Roboto Light"/>
          <w:color w:val="000000" w:themeColor="text1"/>
          <w:szCs w:val="22"/>
          <w:lang w:val="en-AU"/>
        </w:rPr>
        <w:t>t</w:t>
      </w:r>
      <w:r w:rsidR="00442FA6" w:rsidRPr="00091600">
        <w:rPr>
          <w:rFonts w:ascii="Roboto Light" w:hAnsi="Roboto Light"/>
          <w:color w:val="000000" w:themeColor="text1"/>
          <w:szCs w:val="22"/>
          <w:lang w:val="en-AU"/>
        </w:rPr>
        <w:t>hree</w:t>
      </w:r>
      <w:r w:rsidR="000F4B57" w:rsidRPr="00091600">
        <w:rPr>
          <w:rFonts w:ascii="Roboto Light" w:hAnsi="Roboto Light"/>
          <w:color w:val="000000" w:themeColor="text1"/>
          <w:szCs w:val="22"/>
          <w:lang w:val="en-AU"/>
        </w:rPr>
        <w:t xml:space="preserve"> high-standard buildings completed at PILAG and UPNG; </w:t>
      </w:r>
      <w:r w:rsidRPr="00091600">
        <w:rPr>
          <w:rFonts w:ascii="Roboto Light" w:hAnsi="Roboto Light"/>
          <w:color w:val="000000" w:themeColor="text1"/>
          <w:szCs w:val="22"/>
          <w:lang w:val="en-AU"/>
        </w:rPr>
        <w:t>t</w:t>
      </w:r>
      <w:r w:rsidR="00442FA6" w:rsidRPr="00091600">
        <w:rPr>
          <w:rFonts w:ascii="Roboto Light" w:hAnsi="Roboto Light"/>
          <w:color w:val="000000" w:themeColor="text1"/>
          <w:szCs w:val="22"/>
          <w:lang w:val="en-AU"/>
        </w:rPr>
        <w:t>he</w:t>
      </w:r>
      <w:r w:rsidR="000F4B57" w:rsidRPr="00091600">
        <w:rPr>
          <w:rFonts w:ascii="Roboto Light" w:hAnsi="Roboto Light"/>
          <w:color w:val="000000" w:themeColor="text1"/>
          <w:szCs w:val="22"/>
          <w:lang w:val="en-AU"/>
        </w:rPr>
        <w:t xml:space="preserve"> SBPP building and a pathway between UPNG and PILAG were on track to be completed by November 2018</w:t>
      </w:r>
      <w:r w:rsidRPr="00091600">
        <w:rPr>
          <w:rFonts w:ascii="Roboto Light" w:hAnsi="Roboto Light"/>
          <w:color w:val="000000" w:themeColor="text1"/>
          <w:szCs w:val="22"/>
          <w:lang w:val="en-AU"/>
        </w:rPr>
        <w:t>;</w:t>
      </w:r>
    </w:p>
    <w:p w:rsidR="000F4B57" w:rsidRPr="00091600" w:rsidRDefault="00B36962" w:rsidP="000F4B57">
      <w:pPr>
        <w:pStyle w:val="ListBullet"/>
        <w:rPr>
          <w:rFonts w:ascii="Roboto Light" w:hAnsi="Roboto Light"/>
          <w:color w:val="000000" w:themeColor="text1"/>
          <w:szCs w:val="22"/>
          <w:lang w:val="en-AU"/>
        </w:rPr>
      </w:pPr>
      <w:r w:rsidRPr="00091600">
        <w:rPr>
          <w:rFonts w:ascii="Roboto Light" w:hAnsi="Roboto Light"/>
          <w:color w:val="000000" w:themeColor="text1"/>
          <w:szCs w:val="22"/>
          <w:lang w:val="en-AU"/>
        </w:rPr>
        <w:t>s</w:t>
      </w:r>
      <w:r w:rsidR="00442FA6" w:rsidRPr="00091600">
        <w:rPr>
          <w:rFonts w:ascii="Roboto Light" w:hAnsi="Roboto Light"/>
          <w:color w:val="000000" w:themeColor="text1"/>
          <w:szCs w:val="22"/>
          <w:lang w:val="en-AU"/>
        </w:rPr>
        <w:t>upport</w:t>
      </w:r>
      <w:r w:rsidR="000F4B57" w:rsidRPr="00091600">
        <w:rPr>
          <w:rFonts w:ascii="Roboto Light" w:hAnsi="Roboto Light"/>
          <w:color w:val="000000" w:themeColor="text1"/>
          <w:szCs w:val="22"/>
          <w:lang w:val="en-AU"/>
        </w:rPr>
        <w:t xml:space="preserve"> for the PNG IPA to PILAG transformation through a new Act; and</w:t>
      </w:r>
    </w:p>
    <w:p w:rsidR="000F4B57" w:rsidRPr="00091600" w:rsidRDefault="00B36962" w:rsidP="000F4B57">
      <w:pPr>
        <w:pStyle w:val="ListBullet"/>
        <w:rPr>
          <w:rFonts w:ascii="Roboto Light" w:hAnsi="Roboto Light"/>
          <w:color w:val="000000" w:themeColor="text1"/>
          <w:szCs w:val="22"/>
          <w:lang w:val="en-AU"/>
        </w:rPr>
      </w:pPr>
      <w:r w:rsidRPr="00091600">
        <w:rPr>
          <w:rFonts w:ascii="Roboto Light" w:hAnsi="Roboto Light"/>
          <w:color w:val="000000" w:themeColor="text1"/>
          <w:szCs w:val="22"/>
          <w:lang w:val="en-AU"/>
        </w:rPr>
        <w:t>p</w:t>
      </w:r>
      <w:r w:rsidR="008F2547" w:rsidRPr="00091600">
        <w:rPr>
          <w:rFonts w:ascii="Roboto Light" w:hAnsi="Roboto Light"/>
          <w:color w:val="000000" w:themeColor="text1"/>
          <w:szCs w:val="22"/>
          <w:lang w:val="en-AU"/>
        </w:rPr>
        <w:t>ublic</w:t>
      </w:r>
      <w:r w:rsidR="000F4B57" w:rsidRPr="00091600">
        <w:rPr>
          <w:rFonts w:ascii="Roboto Light" w:hAnsi="Roboto Light"/>
          <w:color w:val="000000" w:themeColor="text1"/>
          <w:szCs w:val="22"/>
          <w:lang w:val="en-AU"/>
        </w:rPr>
        <w:t xml:space="preserve"> policy events have involved at least 3,878 persons (e.g. PNG </w:t>
      </w:r>
      <w:r w:rsidR="009F5553" w:rsidRPr="00091600">
        <w:rPr>
          <w:rFonts w:ascii="Roboto Light" w:hAnsi="Roboto Light"/>
          <w:color w:val="000000" w:themeColor="text1"/>
          <w:szCs w:val="22"/>
          <w:lang w:val="en-AU"/>
        </w:rPr>
        <w:t>U</w:t>
      </w:r>
      <w:r w:rsidR="00442FA6" w:rsidRPr="00091600">
        <w:rPr>
          <w:rFonts w:ascii="Roboto Light" w:hAnsi="Roboto Light"/>
          <w:color w:val="000000" w:themeColor="text1"/>
          <w:szCs w:val="22"/>
          <w:lang w:val="en-AU"/>
        </w:rPr>
        <w:t>pdate</w:t>
      </w:r>
      <w:r w:rsidR="000F4B57" w:rsidRPr="00091600">
        <w:rPr>
          <w:rFonts w:ascii="Roboto Light" w:hAnsi="Roboto Light"/>
          <w:color w:val="000000" w:themeColor="text1"/>
          <w:szCs w:val="22"/>
          <w:lang w:val="en-AU"/>
        </w:rPr>
        <w:t xml:space="preserve"> or APEC series), public dialogue around </w:t>
      </w:r>
      <w:r w:rsidR="005761A6">
        <w:rPr>
          <w:rFonts w:ascii="Roboto Light" w:hAnsi="Roboto Light"/>
          <w:color w:val="000000" w:themeColor="text1"/>
          <w:szCs w:val="22"/>
          <w:lang w:val="en-AU"/>
        </w:rPr>
        <w:t xml:space="preserve">gender </w:t>
      </w:r>
      <w:r w:rsidR="000F4B57" w:rsidRPr="00091600">
        <w:rPr>
          <w:rFonts w:ascii="Roboto Light" w:hAnsi="Roboto Light"/>
          <w:color w:val="000000" w:themeColor="text1"/>
          <w:szCs w:val="22"/>
          <w:lang w:val="en-AU"/>
        </w:rPr>
        <w:t xml:space="preserve">(e.g. on </w:t>
      </w:r>
      <w:r w:rsidR="0081334D" w:rsidRPr="00091600">
        <w:rPr>
          <w:rFonts w:ascii="Roboto Light" w:hAnsi="Roboto Light"/>
          <w:color w:val="000000" w:themeColor="text1"/>
          <w:szCs w:val="22"/>
          <w:lang w:val="en-AU"/>
        </w:rPr>
        <w:t>gender-based violence</w:t>
      </w:r>
      <w:r w:rsidR="00442FA6" w:rsidRPr="00091600">
        <w:rPr>
          <w:rFonts w:ascii="Roboto Light" w:hAnsi="Roboto Light"/>
          <w:color w:val="000000" w:themeColor="text1"/>
          <w:szCs w:val="22"/>
          <w:lang w:val="en-AU"/>
        </w:rPr>
        <w:t>)</w:t>
      </w:r>
      <w:r w:rsidR="00B0603A">
        <w:rPr>
          <w:rFonts w:ascii="Roboto Light" w:hAnsi="Roboto Light"/>
          <w:color w:val="000000" w:themeColor="text1"/>
          <w:szCs w:val="22"/>
          <w:lang w:val="en-AU"/>
        </w:rPr>
        <w:t xml:space="preserve"> </w:t>
      </w:r>
      <w:r w:rsidR="000F4B57" w:rsidRPr="00091600">
        <w:rPr>
          <w:rFonts w:ascii="Roboto Light" w:hAnsi="Roboto Light"/>
          <w:color w:val="000000" w:themeColor="text1"/>
          <w:szCs w:val="22"/>
          <w:lang w:val="en-AU"/>
        </w:rPr>
        <w:t>and integrated some home-grown PNG leadership groups (e.g. The Voice Inc.).</w:t>
      </w:r>
    </w:p>
    <w:p w:rsidR="000F4B57" w:rsidRPr="00091600" w:rsidRDefault="000F4B57" w:rsidP="00AC711E">
      <w:pPr>
        <w:pStyle w:val="Heading4"/>
        <w:rPr>
          <w:lang w:val="en-AU"/>
        </w:rPr>
      </w:pPr>
      <w:r w:rsidRPr="00091600">
        <w:rPr>
          <w:lang w:val="en-AU"/>
        </w:rPr>
        <w:t xml:space="preserve">Is the Precinct on </w:t>
      </w:r>
      <w:r w:rsidRPr="00AC711E">
        <w:t>track</w:t>
      </w:r>
      <w:r w:rsidRPr="00091600">
        <w:rPr>
          <w:lang w:val="en-AU"/>
        </w:rPr>
        <w:t>?</w:t>
      </w:r>
    </w:p>
    <w:p w:rsidR="000F4B57" w:rsidRPr="00091600" w:rsidRDefault="000F4B57" w:rsidP="000F4B57">
      <w:pPr>
        <w:pStyle w:val="BodyText"/>
        <w:rPr>
          <w:lang w:val="en-AU"/>
        </w:rPr>
      </w:pPr>
      <w:r w:rsidRPr="00091600">
        <w:rPr>
          <w:lang w:val="en-AU"/>
        </w:rPr>
        <w:t>The main question for this Strategic Review to answer is: ‘To what extent is investment in the Precinct contributing to the desired outcomes of effective and ethical leadership?’</w:t>
      </w:r>
    </w:p>
    <w:p w:rsidR="00442FA6" w:rsidRPr="00091600" w:rsidRDefault="00B44F1C">
      <w:pPr>
        <w:pStyle w:val="BodyText"/>
        <w:rPr>
          <w:color w:val="000000" w:themeColor="text1"/>
          <w:lang w:val="en-AU"/>
        </w:rPr>
      </w:pPr>
      <w:r w:rsidRPr="00091600">
        <w:rPr>
          <w:color w:val="000000" w:themeColor="text1"/>
          <w:lang w:val="en-AU"/>
        </w:rPr>
        <w:t>In the absence of a</w:t>
      </w:r>
      <w:r w:rsidR="00442FA6" w:rsidRPr="00091600">
        <w:rPr>
          <w:color w:val="000000" w:themeColor="text1"/>
          <w:lang w:val="en-AU"/>
        </w:rPr>
        <w:t xml:space="preserve"> recently </w:t>
      </w:r>
      <w:r w:rsidRPr="00091600">
        <w:rPr>
          <w:color w:val="000000" w:themeColor="text1"/>
          <w:lang w:val="en-AU"/>
        </w:rPr>
        <w:t>updated and approved</w:t>
      </w:r>
      <w:r w:rsidR="00442FA6" w:rsidRPr="00091600">
        <w:rPr>
          <w:color w:val="000000" w:themeColor="text1"/>
          <w:lang w:val="en-AU"/>
        </w:rPr>
        <w:t xml:space="preserve"> </w:t>
      </w:r>
      <w:r w:rsidRPr="00091600">
        <w:rPr>
          <w:color w:val="000000" w:themeColor="text1"/>
          <w:lang w:val="en-AU"/>
        </w:rPr>
        <w:t>Design Brief or Monitoring Framework</w:t>
      </w:r>
      <w:r w:rsidR="00442FA6" w:rsidRPr="00091600">
        <w:rPr>
          <w:color w:val="000000" w:themeColor="text1"/>
          <w:lang w:val="en-AU"/>
        </w:rPr>
        <w:t xml:space="preserve">, the </w:t>
      </w:r>
      <w:r w:rsidR="00CF45C5" w:rsidRPr="00091600">
        <w:rPr>
          <w:color w:val="000000" w:themeColor="text1"/>
          <w:lang w:val="en-AU"/>
        </w:rPr>
        <w:t>review</w:t>
      </w:r>
      <w:r w:rsidR="000F4B57" w:rsidRPr="00091600">
        <w:rPr>
          <w:color w:val="000000" w:themeColor="text1"/>
          <w:lang w:val="en-AU"/>
        </w:rPr>
        <w:t xml:space="preserve"> team has assessed progress against the outcome and output statements found in the 2016 Update (see </w:t>
      </w:r>
      <w:r w:rsidR="000F4B57" w:rsidRPr="00091600">
        <w:rPr>
          <w:color w:val="000000" w:themeColor="text1"/>
          <w:lang w:val="en-AU"/>
        </w:rPr>
        <w:fldChar w:fldCharType="begin"/>
      </w:r>
      <w:r w:rsidR="000F4B57" w:rsidRPr="00091600">
        <w:rPr>
          <w:color w:val="000000" w:themeColor="text1"/>
          <w:lang w:val="en-AU"/>
        </w:rPr>
        <w:instrText xml:space="preserve"> REF _Ref524707949 \r \h  \* MERGEFORMAT </w:instrText>
      </w:r>
      <w:r w:rsidR="000F4B57" w:rsidRPr="00091600">
        <w:rPr>
          <w:color w:val="000000" w:themeColor="text1"/>
          <w:lang w:val="en-AU"/>
        </w:rPr>
      </w:r>
      <w:r w:rsidR="000F4B57" w:rsidRPr="00091600">
        <w:rPr>
          <w:color w:val="000000" w:themeColor="text1"/>
          <w:lang w:val="en-AU"/>
        </w:rPr>
        <w:fldChar w:fldCharType="separate"/>
      </w:r>
      <w:r w:rsidR="004964E9">
        <w:rPr>
          <w:color w:val="000000" w:themeColor="text1"/>
          <w:lang w:val="en-AU"/>
        </w:rPr>
        <w:t>Annex D</w:t>
      </w:r>
      <w:r w:rsidR="000F4B57" w:rsidRPr="00091600">
        <w:rPr>
          <w:color w:val="000000" w:themeColor="text1"/>
          <w:lang w:val="en-AU"/>
        </w:rPr>
        <w:fldChar w:fldCharType="end"/>
      </w:r>
      <w:r w:rsidR="00B06C97" w:rsidRPr="00091600">
        <w:rPr>
          <w:color w:val="000000" w:themeColor="text1"/>
          <w:lang w:val="en-AU"/>
        </w:rPr>
        <w:t>)</w:t>
      </w:r>
      <w:r w:rsidR="00B43245" w:rsidRPr="00091600">
        <w:rPr>
          <w:color w:val="000000" w:themeColor="text1"/>
          <w:lang w:val="en-AU"/>
        </w:rPr>
        <w:t>.</w:t>
      </w:r>
      <w:r w:rsidR="00442FA6" w:rsidRPr="00091600">
        <w:rPr>
          <w:color w:val="000000" w:themeColor="text1"/>
          <w:lang w:val="en-AU"/>
        </w:rPr>
        <w:t xml:space="preserve"> </w:t>
      </w:r>
      <w:r w:rsidR="002D6D82" w:rsidRPr="00091600">
        <w:rPr>
          <w:lang w:val="en-AU"/>
        </w:rPr>
        <w:t xml:space="preserve">The current Precinct MEL system is not set up to capture systematic </w:t>
      </w:r>
      <w:r w:rsidR="00B43245" w:rsidRPr="00091600">
        <w:rPr>
          <w:lang w:val="en-AU"/>
        </w:rPr>
        <w:t xml:space="preserve">behaviour change </w:t>
      </w:r>
      <w:r w:rsidR="002D6D82" w:rsidRPr="00091600">
        <w:rPr>
          <w:lang w:val="en-AU"/>
        </w:rPr>
        <w:t xml:space="preserve">evidence </w:t>
      </w:r>
      <w:r w:rsidR="00B43245" w:rsidRPr="00091600">
        <w:rPr>
          <w:lang w:val="en-AU"/>
        </w:rPr>
        <w:t>(</w:t>
      </w:r>
      <w:r w:rsidR="00854E60">
        <w:rPr>
          <w:lang w:val="en-AU"/>
        </w:rPr>
        <w:t xml:space="preserve">of </w:t>
      </w:r>
      <w:r w:rsidR="002D6D82" w:rsidRPr="00091600">
        <w:rPr>
          <w:lang w:val="en-AU"/>
        </w:rPr>
        <w:t>more effective and ethical leadership</w:t>
      </w:r>
      <w:r w:rsidR="00B43245" w:rsidRPr="00091600">
        <w:rPr>
          <w:lang w:val="en-AU"/>
        </w:rPr>
        <w:t>)</w:t>
      </w:r>
      <w:r w:rsidR="002D6D82" w:rsidRPr="00091600">
        <w:rPr>
          <w:lang w:val="en-AU"/>
        </w:rPr>
        <w:t xml:space="preserve"> after Precinct courses or </w:t>
      </w:r>
      <w:r w:rsidR="001D6FBB" w:rsidRPr="00091600">
        <w:rPr>
          <w:lang w:val="en-AU"/>
        </w:rPr>
        <w:t>infrastructure have</w:t>
      </w:r>
      <w:r w:rsidR="002D6D82" w:rsidRPr="00091600">
        <w:rPr>
          <w:lang w:val="en-AU"/>
        </w:rPr>
        <w:t xml:space="preserve"> been completed.</w:t>
      </w:r>
    </w:p>
    <w:p w:rsidR="000F4B57" w:rsidRPr="00091600" w:rsidRDefault="000F4B57" w:rsidP="000F4B57">
      <w:pPr>
        <w:pStyle w:val="BodyText"/>
        <w:rPr>
          <w:lang w:val="en-AU"/>
        </w:rPr>
      </w:pPr>
      <w:r w:rsidRPr="00091600">
        <w:rPr>
          <w:lang w:val="en-AU"/>
        </w:rPr>
        <w:t>Our analysis concludes that the program is delivering a number of concrete outputs (e.g. training courses and buildings). The SBPP component shows good progress towards two short-term</w:t>
      </w:r>
      <w:r w:rsidR="00112876" w:rsidRPr="00091600">
        <w:rPr>
          <w:lang w:val="en-AU"/>
        </w:rPr>
        <w:t xml:space="preserve"> </w:t>
      </w:r>
      <w:r w:rsidR="00442FA6" w:rsidRPr="00091600">
        <w:rPr>
          <w:lang w:val="en-AU"/>
        </w:rPr>
        <w:t>outcomes</w:t>
      </w:r>
      <w:r w:rsidR="000247F2" w:rsidRPr="00091600">
        <w:rPr>
          <w:lang w:val="en-AU"/>
        </w:rPr>
        <w:t xml:space="preserve"> </w:t>
      </w:r>
      <w:r w:rsidR="00112876" w:rsidRPr="00091600">
        <w:rPr>
          <w:lang w:val="en-AU"/>
        </w:rPr>
        <w:t>(two to five years</w:t>
      </w:r>
      <w:r w:rsidR="000247F2" w:rsidRPr="00091600">
        <w:rPr>
          <w:lang w:val="en-AU"/>
        </w:rPr>
        <w:t>)</w:t>
      </w:r>
      <w:r w:rsidR="00442FA6" w:rsidRPr="00091600">
        <w:rPr>
          <w:lang w:val="en-AU"/>
        </w:rPr>
        <w:t xml:space="preserve">: </w:t>
      </w:r>
      <w:r w:rsidR="00931686" w:rsidRPr="00091600">
        <w:rPr>
          <w:lang w:val="en-AU"/>
        </w:rPr>
        <w:t>(i)</w:t>
      </w:r>
      <w:r w:rsidRPr="00091600">
        <w:rPr>
          <w:lang w:val="en-AU"/>
        </w:rPr>
        <w:t xml:space="preserve"> an</w:t>
      </w:r>
      <w:r w:rsidR="00B36962" w:rsidRPr="00091600">
        <w:rPr>
          <w:lang w:val="en-AU"/>
        </w:rPr>
        <w:t xml:space="preserve"> </w:t>
      </w:r>
      <w:r w:rsidRPr="00091600">
        <w:rPr>
          <w:lang w:val="en-AU"/>
        </w:rPr>
        <w:t xml:space="preserve">improved quality of teaching, contributing to better quality student learning, and </w:t>
      </w:r>
      <w:r w:rsidR="00931686" w:rsidRPr="00091600">
        <w:rPr>
          <w:lang w:val="en-AU"/>
        </w:rPr>
        <w:t xml:space="preserve">(ii) </w:t>
      </w:r>
      <w:r w:rsidRPr="00091600">
        <w:rPr>
          <w:lang w:val="en-AU"/>
        </w:rPr>
        <w:t>the</w:t>
      </w:r>
      <w:r w:rsidR="00B36962" w:rsidRPr="00091600">
        <w:rPr>
          <w:lang w:val="en-AU"/>
        </w:rPr>
        <w:t xml:space="preserve"> </w:t>
      </w:r>
      <w:r w:rsidRPr="00091600">
        <w:rPr>
          <w:lang w:val="en-AU"/>
        </w:rPr>
        <w:t>increased capacity of students to apply problem-solving and critical thinking skills in economics and public policy. These contribute to the SBPP medium-term</w:t>
      </w:r>
      <w:r w:rsidR="00112876" w:rsidRPr="00091600">
        <w:rPr>
          <w:lang w:val="en-AU"/>
        </w:rPr>
        <w:t xml:space="preserve"> </w:t>
      </w:r>
      <w:r w:rsidR="00275E64" w:rsidRPr="00091600">
        <w:rPr>
          <w:lang w:val="en-AU"/>
        </w:rPr>
        <w:t>outcome</w:t>
      </w:r>
      <w:r w:rsidR="000247F2" w:rsidRPr="00091600">
        <w:rPr>
          <w:lang w:val="en-AU"/>
        </w:rPr>
        <w:t xml:space="preserve"> </w:t>
      </w:r>
      <w:r w:rsidR="00112876" w:rsidRPr="00091600">
        <w:rPr>
          <w:lang w:val="en-AU"/>
        </w:rPr>
        <w:t>(five to seven years)</w:t>
      </w:r>
      <w:r w:rsidRPr="00091600">
        <w:rPr>
          <w:lang w:val="en-AU"/>
        </w:rPr>
        <w:t xml:space="preserve"> of ‘</w:t>
      </w:r>
      <w:r w:rsidRPr="00091600">
        <w:rPr>
          <w:color w:val="000000" w:themeColor="text1"/>
          <w:lang w:val="en-AU"/>
        </w:rPr>
        <w:t>improved quality of delivery of SBPP teaching, research, and public outreach in partnership with ANU’.</w:t>
      </w:r>
    </w:p>
    <w:p w:rsidR="000F4B57" w:rsidRPr="00091600" w:rsidRDefault="000F4B57" w:rsidP="000F4B57">
      <w:pPr>
        <w:pStyle w:val="BodyText"/>
        <w:rPr>
          <w:lang w:val="en-AU"/>
        </w:rPr>
      </w:pPr>
      <w:r w:rsidRPr="00091600">
        <w:rPr>
          <w:lang w:val="en-AU"/>
        </w:rPr>
        <w:t xml:space="preserve">However, the Precinct is at an early stage </w:t>
      </w:r>
      <w:r w:rsidR="006E580B" w:rsidRPr="00091600">
        <w:rPr>
          <w:lang w:val="en-AU"/>
        </w:rPr>
        <w:t>in</w:t>
      </w:r>
      <w:r w:rsidRPr="00091600">
        <w:rPr>
          <w:lang w:val="en-AU"/>
        </w:rPr>
        <w:t xml:space="preserve"> progressing its other medium-term outcomes (especially its institutional development objectives for PILAG and SBPP), as well as </w:t>
      </w:r>
      <w:r w:rsidR="00902603">
        <w:rPr>
          <w:lang w:val="en-AU"/>
        </w:rPr>
        <w:t>an</w:t>
      </w:r>
      <w:r w:rsidRPr="00091600">
        <w:rPr>
          <w:lang w:val="en-AU"/>
        </w:rPr>
        <w:t xml:space="preserve"> empowerment and inclusion agenda. This is to be expected to some degree, as institutional and social change is highly complex and takes place over a long period of time. However, it also requires an evidence-based strategy, sufficient strategic engagement and program support towards achieving it. </w:t>
      </w:r>
      <w:r w:rsidR="00854E60" w:rsidRPr="00091600">
        <w:rPr>
          <w:lang w:val="en-AU"/>
        </w:rPr>
        <w:t xml:space="preserve">Further work is needed to gain a deep commitment from the all partners to implement the needed institutional transformations within SBPP and PILAG, and transformational gender and </w:t>
      </w:r>
      <w:r w:rsidR="00EA1B7F">
        <w:rPr>
          <w:lang w:val="en-AU"/>
        </w:rPr>
        <w:t xml:space="preserve">social </w:t>
      </w:r>
      <w:r w:rsidR="00854E60" w:rsidRPr="00091600">
        <w:rPr>
          <w:lang w:val="en-AU"/>
        </w:rPr>
        <w:t xml:space="preserve">inclusion objectives. </w:t>
      </w:r>
      <w:r w:rsidRPr="00091600">
        <w:rPr>
          <w:lang w:val="en-AU"/>
        </w:rPr>
        <w:t xml:space="preserve">The overall Precinct design itself </w:t>
      </w:r>
      <w:r w:rsidR="006E580B" w:rsidRPr="00091600">
        <w:rPr>
          <w:lang w:val="en-AU"/>
        </w:rPr>
        <w:t>was</w:t>
      </w:r>
      <w:r w:rsidRPr="00091600">
        <w:rPr>
          <w:lang w:val="en-AU"/>
        </w:rPr>
        <w:t xml:space="preserve"> not fully consistent with international evidence and practice, hence the review team</w:t>
      </w:r>
      <w:r w:rsidR="0027497F">
        <w:rPr>
          <w:lang w:val="en-AU"/>
        </w:rPr>
        <w:t>’s</w:t>
      </w:r>
      <w:r w:rsidRPr="00091600">
        <w:rPr>
          <w:lang w:val="en-AU"/>
        </w:rPr>
        <w:t xml:space="preserve"> recommendation for an update. </w:t>
      </w:r>
      <w:r w:rsidR="00983FF6">
        <w:rPr>
          <w:lang w:val="en-AU"/>
        </w:rPr>
        <w:t xml:space="preserve"> </w:t>
      </w:r>
    </w:p>
    <w:p w:rsidR="000F4B57" w:rsidRPr="00091600" w:rsidRDefault="000F4B57" w:rsidP="00AC711E">
      <w:pPr>
        <w:pStyle w:val="Heading2NONUM"/>
        <w:rPr>
          <w:lang w:val="en-AU"/>
        </w:rPr>
      </w:pPr>
      <w:bookmarkStart w:id="116" w:name="_Toc536719920"/>
      <w:bookmarkStart w:id="117" w:name="_Toc2091560"/>
      <w:r w:rsidRPr="00091600">
        <w:rPr>
          <w:lang w:val="en-AU"/>
        </w:rPr>
        <w:t xml:space="preserve">4.2 </w:t>
      </w:r>
      <w:r w:rsidRPr="00091600">
        <w:rPr>
          <w:lang w:val="en-AU"/>
        </w:rPr>
        <w:tab/>
      </w:r>
      <w:r w:rsidRPr="00AC711E">
        <w:t>Opportunities</w:t>
      </w:r>
      <w:r w:rsidRPr="00091600">
        <w:rPr>
          <w:lang w:val="en-AU"/>
        </w:rPr>
        <w:t xml:space="preserve"> for program improvement</w:t>
      </w:r>
      <w:bookmarkEnd w:id="116"/>
      <w:bookmarkEnd w:id="117"/>
    </w:p>
    <w:p w:rsidR="000F4B57" w:rsidRPr="00091600" w:rsidRDefault="000F4B57" w:rsidP="000F4B57">
      <w:pPr>
        <w:pStyle w:val="BodyText"/>
        <w:rPr>
          <w:lang w:val="en-AU"/>
        </w:rPr>
      </w:pPr>
      <w:r w:rsidRPr="00091600">
        <w:rPr>
          <w:lang w:val="en-AU"/>
        </w:rPr>
        <w:t xml:space="preserve">The Precinct is now at its mid-term point. </w:t>
      </w:r>
      <w:r w:rsidR="00442FA6" w:rsidRPr="00091600">
        <w:rPr>
          <w:lang w:val="en-AU"/>
        </w:rPr>
        <w:t>Its</w:t>
      </w:r>
      <w:r w:rsidRPr="00091600">
        <w:rPr>
          <w:lang w:val="en-AU"/>
        </w:rPr>
        <w:t xml:space="preserve"> initial years have focused on delivering concrete activities involving a wide range of individuals that could be reported on to stakeholders. </w:t>
      </w:r>
      <w:r w:rsidR="00442FA6" w:rsidRPr="00091600">
        <w:rPr>
          <w:lang w:val="en-AU"/>
        </w:rPr>
        <w:t>However, through this approach, it has not yet made</w:t>
      </w:r>
      <w:r w:rsidR="009E5153" w:rsidRPr="00091600">
        <w:rPr>
          <w:lang w:val="en-AU"/>
        </w:rPr>
        <w:t xml:space="preserve"> significant</w:t>
      </w:r>
      <w:r w:rsidR="00112876" w:rsidRPr="00091600">
        <w:rPr>
          <w:lang w:val="en-AU"/>
        </w:rPr>
        <w:t xml:space="preserve"> </w:t>
      </w:r>
      <w:r w:rsidRPr="00091600">
        <w:rPr>
          <w:lang w:val="en-AU"/>
        </w:rPr>
        <w:t>progress towards its medium-term</w:t>
      </w:r>
      <w:r w:rsidR="00112876" w:rsidRPr="00091600">
        <w:rPr>
          <w:lang w:val="en-AU"/>
        </w:rPr>
        <w:t xml:space="preserve"> </w:t>
      </w:r>
      <w:r w:rsidRPr="00091600">
        <w:rPr>
          <w:lang w:val="en-AU"/>
        </w:rPr>
        <w:t>outcomes</w:t>
      </w:r>
      <w:r w:rsidR="00A67CEE">
        <w:rPr>
          <w:lang w:val="en-AU"/>
        </w:rPr>
        <w:t xml:space="preserve"> (to be achieved within </w:t>
      </w:r>
      <w:r w:rsidR="004E1F50">
        <w:rPr>
          <w:lang w:val="en-AU"/>
        </w:rPr>
        <w:t>five to seven years)</w:t>
      </w:r>
      <w:r w:rsidRPr="00091600">
        <w:rPr>
          <w:lang w:val="en-AU"/>
        </w:rPr>
        <w:t xml:space="preserve">. </w:t>
      </w:r>
      <w:r w:rsidR="009E5153" w:rsidRPr="00091600">
        <w:rPr>
          <w:lang w:val="en-AU"/>
        </w:rPr>
        <w:t xml:space="preserve">The </w:t>
      </w:r>
      <w:r w:rsidR="00CF45C5" w:rsidRPr="00091600">
        <w:rPr>
          <w:lang w:val="en-AU"/>
        </w:rPr>
        <w:t>review team</w:t>
      </w:r>
      <w:r w:rsidR="00442FA6" w:rsidRPr="00091600">
        <w:rPr>
          <w:lang w:val="en-AU"/>
        </w:rPr>
        <w:t xml:space="preserve"> attributes this to a </w:t>
      </w:r>
      <w:r w:rsidR="009E5153" w:rsidRPr="00091600">
        <w:rPr>
          <w:lang w:val="en-AU"/>
        </w:rPr>
        <w:t xml:space="preserve">focus </w:t>
      </w:r>
      <w:r w:rsidRPr="00091600">
        <w:rPr>
          <w:lang w:val="en-AU"/>
        </w:rPr>
        <w:t>on training and infrastructure</w:t>
      </w:r>
      <w:r w:rsidR="00694F29" w:rsidRPr="00091600">
        <w:rPr>
          <w:lang w:val="en-AU"/>
        </w:rPr>
        <w:t xml:space="preserve">. </w:t>
      </w:r>
      <w:r w:rsidR="0020274D" w:rsidRPr="00091600">
        <w:rPr>
          <w:lang w:val="en-AU"/>
        </w:rPr>
        <w:t xml:space="preserve">Looking ahead, through a different </w:t>
      </w:r>
      <w:r w:rsidRPr="00091600">
        <w:rPr>
          <w:lang w:val="en-AU"/>
        </w:rPr>
        <w:t>approach to capacity development of the public service and inclusive approaches</w:t>
      </w:r>
      <w:r w:rsidR="00442FA6" w:rsidRPr="00091600">
        <w:rPr>
          <w:lang w:val="en-AU"/>
        </w:rPr>
        <w:t xml:space="preserve">, </w:t>
      </w:r>
      <w:r w:rsidR="0020274D" w:rsidRPr="00091600">
        <w:rPr>
          <w:lang w:val="en-AU"/>
        </w:rPr>
        <w:t>the Precinct</w:t>
      </w:r>
      <w:r w:rsidRPr="00091600">
        <w:rPr>
          <w:lang w:val="en-AU"/>
        </w:rPr>
        <w:t xml:space="preserve"> would more effectively contribute to achieving the ultimate goal of ‘equitable and inclusive government services to all citizens of the country’.</w:t>
      </w:r>
    </w:p>
    <w:p w:rsidR="000F4B57" w:rsidRPr="00091600" w:rsidRDefault="000F4B57" w:rsidP="000F4B57">
      <w:pPr>
        <w:pStyle w:val="BodyText"/>
        <w:rPr>
          <w:lang w:val="en-AU"/>
        </w:rPr>
      </w:pPr>
      <w:r w:rsidRPr="00091600">
        <w:rPr>
          <w:lang w:val="en-AU"/>
        </w:rPr>
        <w:t>The review has made a number of recommendations. Some are short-term adjustments that can be implemented within the current workplan. However, the most fundamental recommendations concern the urgent need for a design-strengthening process</w:t>
      </w:r>
      <w:r w:rsidR="00FF26A9" w:rsidRPr="00091600">
        <w:rPr>
          <w:lang w:val="en-AU"/>
        </w:rPr>
        <w:t>, building on achievements to date</w:t>
      </w:r>
      <w:r w:rsidRPr="00091600">
        <w:rPr>
          <w:lang w:val="en-AU"/>
        </w:rPr>
        <w:t xml:space="preserve">—to support the greater strategic coherence, ownership, value for money, and sustainability of the program. The table below summarises these two sets of recommendations. </w:t>
      </w:r>
    </w:p>
    <w:p w:rsidR="000F4B57" w:rsidRPr="00091600" w:rsidRDefault="000F4B57" w:rsidP="00AC711E">
      <w:pPr>
        <w:pStyle w:val="Boxcaption"/>
        <w:rPr>
          <w:lang w:val="en-AU"/>
        </w:rPr>
      </w:pPr>
      <w:bookmarkStart w:id="118" w:name="_Toc536627540"/>
      <w:bookmarkStart w:id="119" w:name="_Toc1566601"/>
      <w:r w:rsidRPr="00091600">
        <w:rPr>
          <w:lang w:val="en-AU"/>
        </w:rPr>
        <w:t xml:space="preserve">Table </w:t>
      </w:r>
      <w:r w:rsidRPr="00091600">
        <w:rPr>
          <w:lang w:val="en-AU"/>
        </w:rPr>
        <w:fldChar w:fldCharType="begin"/>
      </w:r>
      <w:r w:rsidRPr="00091600">
        <w:rPr>
          <w:lang w:val="en-AU"/>
        </w:rPr>
        <w:instrText xml:space="preserve"> SEQ Table \* ARABIC </w:instrText>
      </w:r>
      <w:r w:rsidRPr="00091600">
        <w:rPr>
          <w:lang w:val="en-AU"/>
        </w:rPr>
        <w:fldChar w:fldCharType="separate"/>
      </w:r>
      <w:r w:rsidR="004964E9">
        <w:rPr>
          <w:noProof/>
          <w:lang w:val="en-AU"/>
        </w:rPr>
        <w:t>4</w:t>
      </w:r>
      <w:r w:rsidRPr="00091600">
        <w:rPr>
          <w:lang w:val="en-AU"/>
        </w:rPr>
        <w:fldChar w:fldCharType="end"/>
      </w:r>
      <w:r w:rsidRPr="00091600">
        <w:rPr>
          <w:lang w:val="en-AU"/>
        </w:rPr>
        <w:t>:</w:t>
      </w:r>
      <w:r w:rsidRPr="00091600">
        <w:rPr>
          <w:lang w:val="en-AU"/>
        </w:rPr>
        <w:tab/>
        <w:t xml:space="preserve">Summary of the </w:t>
      </w:r>
      <w:r w:rsidR="00B36962" w:rsidRPr="00091600">
        <w:rPr>
          <w:lang w:val="en-AU"/>
        </w:rPr>
        <w:t>r</w:t>
      </w:r>
      <w:r w:rsidR="00AD6428" w:rsidRPr="00091600">
        <w:rPr>
          <w:lang w:val="en-AU"/>
        </w:rPr>
        <w:t>eview</w:t>
      </w:r>
      <w:r w:rsidRPr="00091600">
        <w:rPr>
          <w:lang w:val="en-AU"/>
        </w:rPr>
        <w:t xml:space="preserve"> recommendations (repeated from Executive Summary)</w:t>
      </w:r>
      <w:bookmarkEnd w:id="118"/>
      <w:bookmarkEnd w:id="119"/>
    </w:p>
    <w:tbl>
      <w:tblPr>
        <w:tblStyle w:val="OPMTable"/>
        <w:tblW w:w="5000" w:type="pct"/>
        <w:tblBorders>
          <w:top w:val="single" w:sz="4" w:space="0" w:color="45A7E1" w:themeColor="accent1"/>
          <w:left w:val="single" w:sz="4" w:space="0" w:color="45A7E1" w:themeColor="accent1"/>
          <w:bottom w:val="single" w:sz="4" w:space="0" w:color="45A7E1" w:themeColor="accent1"/>
          <w:right w:val="single" w:sz="4" w:space="0" w:color="45A7E1" w:themeColor="accent1"/>
          <w:insideH w:val="single" w:sz="4" w:space="0" w:color="45A7E1" w:themeColor="accent1"/>
          <w:insideV w:val="single" w:sz="4" w:space="0" w:color="45A7E1" w:themeColor="accent1"/>
        </w:tblBorders>
        <w:tblLook w:val="04A0" w:firstRow="1" w:lastRow="0" w:firstColumn="1" w:lastColumn="0" w:noHBand="0" w:noVBand="1"/>
        <w:tblCaption w:val="Summary of the review recommendations"/>
        <w:tblDescription w:val="Repeated from Executive Summary"/>
      </w:tblPr>
      <w:tblGrid>
        <w:gridCol w:w="1842"/>
        <w:gridCol w:w="3943"/>
        <w:gridCol w:w="3945"/>
      </w:tblGrid>
      <w:tr w:rsidR="008B36E2" w:rsidRPr="00091600" w:rsidTr="004F004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47" w:type="pct"/>
            <w:tcBorders>
              <w:right w:val="single" w:sz="4" w:space="0" w:color="45A7E1" w:themeColor="accent1"/>
            </w:tcBorders>
            <w:shd w:val="clear" w:color="auto" w:fill="FFFFFF" w:themeFill="background1"/>
          </w:tcPr>
          <w:p w:rsidR="008B36E2" w:rsidRPr="00091600" w:rsidRDefault="008B36E2" w:rsidP="00B42E27">
            <w:pPr>
              <w:pStyle w:val="Tabletext"/>
              <w:rPr>
                <w:lang w:val="en-AU"/>
              </w:rPr>
            </w:pPr>
          </w:p>
        </w:tc>
        <w:tc>
          <w:tcPr>
            <w:tcW w:w="2026" w:type="pct"/>
            <w:tcBorders>
              <w:top w:val="single" w:sz="4" w:space="0" w:color="45A7E1" w:themeColor="accent1"/>
              <w:left w:val="single" w:sz="4" w:space="0" w:color="45A7E1" w:themeColor="accent1"/>
              <w:right w:val="single" w:sz="4" w:space="0" w:color="45A7E1" w:themeColor="accent1"/>
            </w:tcBorders>
            <w:hideMark/>
          </w:tcPr>
          <w:p w:rsidR="008B36E2" w:rsidRPr="001422B3" w:rsidRDefault="008B36E2" w:rsidP="00B42E27">
            <w:pPr>
              <w:pStyle w:val="Tabletext"/>
              <w:ind w:left="0"/>
              <w:jc w:val="left"/>
              <w:cnfStyle w:val="100000000000" w:firstRow="1" w:lastRow="0" w:firstColumn="0" w:lastColumn="0" w:oddVBand="0" w:evenVBand="0" w:oddHBand="0" w:evenHBand="0" w:firstRowFirstColumn="0" w:firstRowLastColumn="0" w:lastRowFirstColumn="0" w:lastRowLastColumn="0"/>
              <w:rPr>
                <w:rFonts w:ascii="Roboto" w:hAnsi="Roboto" w:cstheme="majorHAnsi"/>
                <w:b w:val="0"/>
                <w:lang w:val="en-AU"/>
              </w:rPr>
            </w:pPr>
            <w:r>
              <w:rPr>
                <w:rFonts w:ascii="Roboto" w:hAnsi="Roboto" w:cstheme="majorHAnsi"/>
                <w:lang w:val="en-AU"/>
              </w:rPr>
              <w:t>S</w:t>
            </w:r>
            <w:r w:rsidRPr="00931BFA">
              <w:rPr>
                <w:rFonts w:ascii="Roboto" w:hAnsi="Roboto" w:cstheme="majorHAnsi"/>
                <w:lang w:val="en-AU"/>
              </w:rPr>
              <w:t>hort-term (2-3 months)</w:t>
            </w:r>
            <w:r>
              <w:rPr>
                <w:rFonts w:ascii="Roboto" w:hAnsi="Roboto" w:cstheme="majorHAnsi"/>
                <w:lang w:val="en-AU"/>
              </w:rPr>
              <w:t xml:space="preserve"> *</w:t>
            </w:r>
          </w:p>
        </w:tc>
        <w:tc>
          <w:tcPr>
            <w:tcW w:w="2027" w:type="pct"/>
            <w:tcBorders>
              <w:top w:val="single" w:sz="4" w:space="0" w:color="45A7E1" w:themeColor="accent1"/>
              <w:left w:val="single" w:sz="4" w:space="0" w:color="45A7E1" w:themeColor="accent1"/>
              <w:right w:val="single" w:sz="4" w:space="0" w:color="45A7E1" w:themeColor="accent1"/>
            </w:tcBorders>
            <w:hideMark/>
          </w:tcPr>
          <w:p w:rsidR="008B36E2" w:rsidRPr="00931BFA" w:rsidRDefault="008B36E2" w:rsidP="00B42E27">
            <w:pPr>
              <w:pStyle w:val="Tabletext"/>
              <w:jc w:val="center"/>
              <w:cnfStyle w:val="100000000000" w:firstRow="1" w:lastRow="0" w:firstColumn="0" w:lastColumn="0" w:oddVBand="0" w:evenVBand="0" w:oddHBand="0" w:evenHBand="0" w:firstRowFirstColumn="0" w:firstRowLastColumn="0" w:lastRowFirstColumn="0" w:lastRowLastColumn="0"/>
              <w:rPr>
                <w:rFonts w:ascii="Roboto" w:hAnsi="Roboto" w:cstheme="majorHAnsi"/>
                <w:lang w:val="en-AU"/>
              </w:rPr>
            </w:pPr>
            <w:r w:rsidRPr="00931BFA">
              <w:rPr>
                <w:rFonts w:ascii="Roboto" w:hAnsi="Roboto" w:cstheme="majorHAnsi"/>
                <w:lang w:val="en-AU"/>
              </w:rPr>
              <w:t>By June 2019</w:t>
            </w:r>
          </w:p>
        </w:tc>
      </w:tr>
      <w:tr w:rsidR="008B36E2" w:rsidRPr="00091600" w:rsidTr="00B42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hideMark/>
          </w:tcPr>
          <w:p w:rsidR="008B36E2" w:rsidRPr="00931BFA" w:rsidRDefault="008B36E2" w:rsidP="00B42E27">
            <w:pPr>
              <w:pStyle w:val="Tabletext"/>
              <w:rPr>
                <w:rFonts w:ascii="Roboto" w:hAnsi="Roboto"/>
                <w:lang w:val="en-AU"/>
              </w:rPr>
            </w:pPr>
            <w:r w:rsidRPr="00931BFA">
              <w:rPr>
                <w:rFonts w:ascii="Roboto" w:hAnsi="Roboto"/>
                <w:lang w:val="en-AU"/>
              </w:rPr>
              <w:t>Strategy and management</w:t>
            </w:r>
          </w:p>
        </w:tc>
        <w:tc>
          <w:tcPr>
            <w:tcW w:w="2026" w:type="pct"/>
            <w:hideMark/>
          </w:tcPr>
          <w:p w:rsidR="008B36E2" w:rsidRPr="00091600" w:rsidRDefault="008B36E2" w:rsidP="00B42E2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 xml:space="preserve">R11 Organise a GESI Policy implementation </w:t>
            </w:r>
            <w:r>
              <w:rPr>
                <w:lang w:val="en-AU"/>
              </w:rPr>
              <w:t xml:space="preserve">workshop </w:t>
            </w:r>
            <w:r w:rsidRPr="00091600">
              <w:rPr>
                <w:lang w:val="en-AU"/>
              </w:rPr>
              <w:t xml:space="preserve">to review progress </w:t>
            </w:r>
          </w:p>
          <w:p w:rsidR="008B36E2" w:rsidRPr="00091600" w:rsidRDefault="008B36E2" w:rsidP="00B42E27">
            <w:pPr>
              <w:pStyle w:val="Tabletext"/>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sidRPr="00091600">
              <w:rPr>
                <w:rFonts w:cstheme="minorHAnsi"/>
                <w:lang w:val="en-AU"/>
              </w:rPr>
              <w:t xml:space="preserve">R15 Approve the current MEL framework proposal and ‘tracer studies’ </w:t>
            </w:r>
          </w:p>
          <w:p w:rsidR="008B36E2" w:rsidRPr="00091600" w:rsidRDefault="008B36E2" w:rsidP="00B42E27">
            <w:pPr>
              <w:pStyle w:val="Tabletext"/>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sidRPr="00091600">
              <w:rPr>
                <w:rFonts w:cstheme="minorHAnsi"/>
                <w:lang w:val="en-AU"/>
              </w:rPr>
              <w:t>R16 Implement Quality and Technical Assurance Group (QTAG) recommendations to improve Precinct and Public Sector Leadership and Reform (PSLR) management and delivery</w:t>
            </w:r>
          </w:p>
        </w:tc>
        <w:tc>
          <w:tcPr>
            <w:tcW w:w="2027" w:type="pct"/>
            <w:hideMark/>
          </w:tcPr>
          <w:p w:rsidR="008B36E2" w:rsidRPr="00091600" w:rsidRDefault="008B36E2" w:rsidP="00B42E27">
            <w:pPr>
              <w:pStyle w:val="Tabletext"/>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sidRPr="00091600">
              <w:rPr>
                <w:lang w:val="en-AU"/>
              </w:rPr>
              <w:t>R14 Undertake a process of Precinct</w:t>
            </w:r>
            <w:r w:rsidRPr="00091600">
              <w:rPr>
                <w:rFonts w:cstheme="minorHAnsi"/>
                <w:lang w:val="en-AU"/>
              </w:rPr>
              <w:t xml:space="preserve"> ‘design strengthening’ to make sure the program is fit for purpose, with a coherent strategy </w:t>
            </w:r>
          </w:p>
          <w:p w:rsidR="008B36E2" w:rsidRPr="00091600" w:rsidRDefault="008B36E2" w:rsidP="00B42E2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 xml:space="preserve">R13 Strengthen the Precinct design by conducting a whole-of-Precinct gender- and socially inclusive context analysis </w:t>
            </w:r>
          </w:p>
        </w:tc>
      </w:tr>
      <w:tr w:rsidR="008B36E2" w:rsidRPr="00091600" w:rsidTr="00B42E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hideMark/>
          </w:tcPr>
          <w:p w:rsidR="008B36E2" w:rsidRPr="00931BFA" w:rsidRDefault="008B36E2" w:rsidP="00B42E27">
            <w:pPr>
              <w:pStyle w:val="Tabletext"/>
              <w:rPr>
                <w:rFonts w:ascii="Roboto" w:hAnsi="Roboto"/>
                <w:lang w:val="en-AU"/>
              </w:rPr>
            </w:pPr>
            <w:r w:rsidRPr="00931BFA">
              <w:rPr>
                <w:rFonts w:ascii="Roboto" w:hAnsi="Roboto"/>
                <w:lang w:val="en-AU"/>
              </w:rPr>
              <w:t>Efficiency and value for money</w:t>
            </w:r>
          </w:p>
        </w:tc>
        <w:tc>
          <w:tcPr>
            <w:tcW w:w="2026" w:type="pct"/>
            <w:hideMark/>
          </w:tcPr>
          <w:p w:rsidR="008B36E2" w:rsidRPr="00091600" w:rsidRDefault="008B36E2" w:rsidP="00B42E27">
            <w:pPr>
              <w:pStyle w:val="Tabletext"/>
              <w:jc w:val="left"/>
              <w:cnfStyle w:val="000000010000" w:firstRow="0" w:lastRow="0" w:firstColumn="0" w:lastColumn="0" w:oddVBand="0" w:evenVBand="0" w:oddHBand="0" w:evenHBand="1" w:firstRowFirstColumn="0" w:firstRowLastColumn="0" w:lastRowFirstColumn="0" w:lastRowLastColumn="0"/>
              <w:rPr>
                <w:b/>
                <w:lang w:val="en-AU"/>
              </w:rPr>
            </w:pPr>
            <w:r w:rsidRPr="00091600">
              <w:rPr>
                <w:rFonts w:cstheme="minorHAnsi"/>
                <w:lang w:val="en-AU"/>
              </w:rPr>
              <w:t>R17 Prepare a plan and allocate responsibilities within the Australian High Commission (AHC) to improve the Precinct’s collaboration with other Australian programs</w:t>
            </w:r>
          </w:p>
        </w:tc>
        <w:tc>
          <w:tcPr>
            <w:tcW w:w="2027" w:type="pct"/>
            <w:hideMark/>
          </w:tcPr>
          <w:p w:rsidR="008B36E2" w:rsidRPr="00091600" w:rsidRDefault="008B36E2" w:rsidP="00B42E2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 xml:space="preserve">R18 Agree strengthened prioritisation criteria, aligned with the Precinct updated strategy and </w:t>
            </w:r>
            <w:r w:rsidR="00E87298">
              <w:rPr>
                <w:lang w:val="en-AU"/>
              </w:rPr>
              <w:t>PNG Government</w:t>
            </w:r>
            <w:r w:rsidRPr="00091600">
              <w:rPr>
                <w:lang w:val="en-AU"/>
              </w:rPr>
              <w:t xml:space="preserve"> priorities</w:t>
            </w:r>
          </w:p>
          <w:p w:rsidR="008B36E2" w:rsidRPr="00091600" w:rsidRDefault="008B36E2" w:rsidP="00B42E2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R19 Undertake a cost–benefit analysis of Precinct courses and providers</w:t>
            </w:r>
          </w:p>
        </w:tc>
      </w:tr>
      <w:tr w:rsidR="008B36E2" w:rsidRPr="00091600" w:rsidTr="00B42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hideMark/>
          </w:tcPr>
          <w:p w:rsidR="008B36E2" w:rsidRPr="00931BFA" w:rsidRDefault="008B36E2" w:rsidP="00B42E27">
            <w:pPr>
              <w:pStyle w:val="Tabletext"/>
              <w:rPr>
                <w:rFonts w:ascii="Roboto" w:hAnsi="Roboto"/>
                <w:lang w:val="en-AU"/>
              </w:rPr>
            </w:pPr>
            <w:r w:rsidRPr="00931BFA">
              <w:rPr>
                <w:rFonts w:ascii="Roboto" w:hAnsi="Roboto"/>
                <w:lang w:val="en-AU"/>
              </w:rPr>
              <w:t>Ownership and sustainability</w:t>
            </w:r>
          </w:p>
        </w:tc>
        <w:tc>
          <w:tcPr>
            <w:tcW w:w="2026" w:type="pct"/>
          </w:tcPr>
          <w:p w:rsidR="008B36E2" w:rsidRPr="00091600" w:rsidRDefault="008B36E2" w:rsidP="00B42E27">
            <w:pPr>
              <w:pStyle w:val="Tabletext"/>
              <w:jc w:val="left"/>
              <w:cnfStyle w:val="000000100000" w:firstRow="0" w:lastRow="0" w:firstColumn="0" w:lastColumn="0" w:oddVBand="0" w:evenVBand="0" w:oddHBand="1" w:evenHBand="0" w:firstRowFirstColumn="0" w:firstRowLastColumn="0" w:lastRowFirstColumn="0" w:lastRowLastColumn="0"/>
              <w:rPr>
                <w:b/>
                <w:lang w:val="en-AU"/>
              </w:rPr>
            </w:pPr>
          </w:p>
        </w:tc>
        <w:tc>
          <w:tcPr>
            <w:tcW w:w="2027" w:type="pct"/>
            <w:hideMark/>
          </w:tcPr>
          <w:p w:rsidR="008B36E2" w:rsidRPr="00091600" w:rsidRDefault="008B36E2" w:rsidP="00B42E2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R12 Strengthen the LCF to be more inclusive in its language, through a</w:t>
            </w:r>
            <w:r w:rsidR="00E87298">
              <w:rPr>
                <w:lang w:val="en-AU"/>
              </w:rPr>
              <w:t xml:space="preserve"> PNG Government</w:t>
            </w:r>
            <w:r w:rsidRPr="00091600">
              <w:rPr>
                <w:lang w:val="en-AU"/>
              </w:rPr>
              <w:t>-led process</w:t>
            </w:r>
          </w:p>
          <w:p w:rsidR="008B36E2" w:rsidRPr="000E73B1" w:rsidRDefault="008B36E2" w:rsidP="00B42E27">
            <w:pPr>
              <w:pStyle w:val="Tabletext"/>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sidRPr="00091600">
              <w:rPr>
                <w:rFonts w:cstheme="minorHAnsi"/>
                <w:lang w:val="en-AU"/>
              </w:rPr>
              <w:t>R</w:t>
            </w:r>
            <w:r>
              <w:rPr>
                <w:rFonts w:cstheme="minorHAnsi"/>
                <w:lang w:val="en-AU"/>
              </w:rPr>
              <w:t>18</w:t>
            </w:r>
            <w:r w:rsidRPr="00091600">
              <w:rPr>
                <w:rFonts w:cstheme="minorHAnsi"/>
                <w:lang w:val="en-AU"/>
              </w:rPr>
              <w:t xml:space="preserve"> </w:t>
            </w:r>
            <w:r>
              <w:rPr>
                <w:lang w:val="en-AU"/>
              </w:rPr>
              <w:t>C</w:t>
            </w:r>
            <w:r w:rsidRPr="00091600">
              <w:rPr>
                <w:lang w:val="en-AU"/>
              </w:rPr>
              <w:t xml:space="preserve">onsider </w:t>
            </w:r>
            <w:r w:rsidRPr="000E73B1">
              <w:rPr>
                <w:lang w:val="en-AU"/>
              </w:rPr>
              <w:t>options to restructure the governance arrangements</w:t>
            </w:r>
            <w:r w:rsidRPr="000E73B1" w:rsidDel="00596F7D">
              <w:rPr>
                <w:rFonts w:cstheme="minorHAnsi"/>
                <w:lang w:val="en-AU"/>
              </w:rPr>
              <w:t xml:space="preserve"> </w:t>
            </w:r>
            <w:r w:rsidRPr="000E73B1">
              <w:rPr>
                <w:rFonts w:cstheme="minorHAnsi"/>
                <w:lang w:val="en-AU"/>
              </w:rPr>
              <w:t>to improve PNG ownership of the program</w:t>
            </w:r>
          </w:p>
          <w:p w:rsidR="008B36E2" w:rsidRDefault="008B36E2" w:rsidP="00B42E2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E73B1">
              <w:rPr>
                <w:lang w:val="en-AU"/>
              </w:rPr>
              <w:t>R21 As part of the design strengthening</w:t>
            </w:r>
            <w:r w:rsidRPr="00091600">
              <w:rPr>
                <w:lang w:val="en-AU"/>
              </w:rPr>
              <w:t xml:space="preserve"> process, be open to testing whether separating the SBPP and PILAG projects is a more workable option </w:t>
            </w:r>
          </w:p>
          <w:p w:rsidR="008B36E2" w:rsidRPr="00091600" w:rsidRDefault="008B36E2" w:rsidP="00B42E27">
            <w:pPr>
              <w:pStyle w:val="Tabletext"/>
              <w:jc w:val="left"/>
              <w:cnfStyle w:val="000000100000" w:firstRow="0" w:lastRow="0" w:firstColumn="0" w:lastColumn="0" w:oddVBand="0" w:evenVBand="0" w:oddHBand="1" w:evenHBand="0" w:firstRowFirstColumn="0" w:firstRowLastColumn="0" w:lastRowFirstColumn="0" w:lastRowLastColumn="0"/>
              <w:rPr>
                <w:rFonts w:cstheme="minorBidi"/>
                <w:lang w:val="en-AU"/>
              </w:rPr>
            </w:pPr>
            <w:r w:rsidRPr="000E73B1">
              <w:rPr>
                <w:lang w:val="en-AU"/>
              </w:rPr>
              <w:t>R22 Consider using a wider range of PNG, Australian, or international</w:t>
            </w:r>
            <w:r w:rsidRPr="00091600">
              <w:rPr>
                <w:lang w:val="en-AU"/>
              </w:rPr>
              <w:t xml:space="preserve"> partners to deliver the updated Precinct strategy </w:t>
            </w:r>
          </w:p>
        </w:tc>
      </w:tr>
      <w:tr w:rsidR="008B36E2" w:rsidRPr="00091600" w:rsidTr="00B42E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hideMark/>
          </w:tcPr>
          <w:p w:rsidR="008B36E2" w:rsidRPr="00931BFA" w:rsidRDefault="008B36E2" w:rsidP="00B42E27">
            <w:pPr>
              <w:pStyle w:val="Tabletext"/>
              <w:rPr>
                <w:rFonts w:ascii="Roboto" w:hAnsi="Roboto"/>
                <w:lang w:val="en-AU"/>
              </w:rPr>
            </w:pPr>
            <w:r w:rsidRPr="00931BFA">
              <w:rPr>
                <w:rFonts w:ascii="Roboto" w:hAnsi="Roboto"/>
                <w:lang w:val="en-AU"/>
              </w:rPr>
              <w:t>SBPP</w:t>
            </w:r>
          </w:p>
        </w:tc>
        <w:tc>
          <w:tcPr>
            <w:tcW w:w="2026" w:type="pct"/>
            <w:hideMark/>
          </w:tcPr>
          <w:p w:rsidR="008B36E2" w:rsidRPr="00091600" w:rsidRDefault="008B36E2" w:rsidP="00B42E27">
            <w:pPr>
              <w:pStyle w:val="Tabletext"/>
              <w:jc w:val="left"/>
              <w:cnfStyle w:val="000000010000" w:firstRow="0" w:lastRow="0" w:firstColumn="0" w:lastColumn="0" w:oddVBand="0" w:evenVBand="0" w:oddHBand="0" w:evenHBand="1" w:firstRowFirstColumn="0" w:firstRowLastColumn="0" w:lastRowFirstColumn="0" w:lastRowLastColumn="0"/>
              <w:rPr>
                <w:b/>
                <w:lang w:val="en-AU"/>
              </w:rPr>
            </w:pPr>
            <w:r w:rsidRPr="00091600">
              <w:rPr>
                <w:lang w:val="en-AU"/>
              </w:rPr>
              <w:t>R2 Launch and implement the SBPP strategic plan with UPNG support</w:t>
            </w:r>
          </w:p>
        </w:tc>
        <w:tc>
          <w:tcPr>
            <w:tcW w:w="2027" w:type="pct"/>
            <w:hideMark/>
          </w:tcPr>
          <w:p w:rsidR="008B36E2" w:rsidRPr="00091600" w:rsidRDefault="008B36E2" w:rsidP="00B42E2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 xml:space="preserve">R1 Update the SBPP Precinct strategy to move from capacity substitution towards greater capacity development </w:t>
            </w:r>
          </w:p>
          <w:p w:rsidR="008B36E2" w:rsidRPr="00091600" w:rsidRDefault="008B36E2" w:rsidP="00B42E2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R3 Ensure the new SBPP courses are aligned with university-wide program specification documents</w:t>
            </w:r>
          </w:p>
          <w:p w:rsidR="008B36E2" w:rsidRPr="00091600" w:rsidRDefault="008B36E2" w:rsidP="00B42E2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 xml:space="preserve">R4 Update the GESI strategy for SBPP </w:t>
            </w:r>
          </w:p>
        </w:tc>
      </w:tr>
      <w:tr w:rsidR="008B36E2" w:rsidRPr="00091600" w:rsidTr="00B42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hideMark/>
          </w:tcPr>
          <w:p w:rsidR="008B36E2" w:rsidRPr="00931BFA" w:rsidRDefault="008B36E2" w:rsidP="00B42E27">
            <w:pPr>
              <w:pStyle w:val="Tabletext"/>
              <w:rPr>
                <w:rFonts w:ascii="Roboto" w:hAnsi="Roboto"/>
                <w:lang w:val="en-AU"/>
              </w:rPr>
            </w:pPr>
            <w:r w:rsidRPr="00931BFA">
              <w:rPr>
                <w:rFonts w:ascii="Roboto" w:hAnsi="Roboto"/>
                <w:lang w:val="en-AU"/>
              </w:rPr>
              <w:t>PILAG</w:t>
            </w:r>
          </w:p>
        </w:tc>
        <w:tc>
          <w:tcPr>
            <w:tcW w:w="2026" w:type="pct"/>
          </w:tcPr>
          <w:p w:rsidR="008B36E2" w:rsidRPr="00091600" w:rsidRDefault="008B36E2" w:rsidP="00B42E27">
            <w:pPr>
              <w:pStyle w:val="Tabletext"/>
              <w:jc w:val="left"/>
              <w:cnfStyle w:val="000000100000" w:firstRow="0" w:lastRow="0" w:firstColumn="0" w:lastColumn="0" w:oddVBand="0" w:evenVBand="0" w:oddHBand="1" w:evenHBand="0" w:firstRowFirstColumn="0" w:firstRowLastColumn="0" w:lastRowFirstColumn="0" w:lastRowLastColumn="0"/>
              <w:rPr>
                <w:b/>
                <w:lang w:val="en-AU"/>
              </w:rPr>
            </w:pPr>
          </w:p>
        </w:tc>
        <w:tc>
          <w:tcPr>
            <w:tcW w:w="2027" w:type="pct"/>
            <w:hideMark/>
          </w:tcPr>
          <w:p w:rsidR="008B36E2" w:rsidRPr="00091600" w:rsidRDefault="008B36E2" w:rsidP="00B42E2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 xml:space="preserve">R5 </w:t>
            </w:r>
            <w:r>
              <w:rPr>
                <w:lang w:val="en-AU"/>
              </w:rPr>
              <w:t>P</w:t>
            </w:r>
            <w:r w:rsidRPr="00091600">
              <w:rPr>
                <w:lang w:val="en-AU"/>
              </w:rPr>
              <w:t xml:space="preserve">ut in place the leadership, staff, and systems required to implement the PILAG Act </w:t>
            </w:r>
          </w:p>
          <w:p w:rsidR="008B36E2" w:rsidRPr="00091600" w:rsidRDefault="008B36E2" w:rsidP="00B42E2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 xml:space="preserve">R6 Update the Precinct PILAG strategy for PILAG to </w:t>
            </w:r>
            <w:r>
              <w:rPr>
                <w:lang w:val="en-AU"/>
              </w:rPr>
              <w:t>strengthen its training capacity</w:t>
            </w:r>
          </w:p>
          <w:p w:rsidR="008B36E2" w:rsidRPr="00091600" w:rsidRDefault="008B36E2" w:rsidP="00B42E27">
            <w:pPr>
              <w:pStyle w:val="Tabletext"/>
              <w:jc w:val="left"/>
              <w:cnfStyle w:val="000000100000" w:firstRow="0" w:lastRow="0" w:firstColumn="0" w:lastColumn="0" w:oddVBand="0" w:evenVBand="0" w:oddHBand="1" w:evenHBand="0" w:firstRowFirstColumn="0" w:firstRowLastColumn="0" w:lastRowFirstColumn="0" w:lastRowLastColumn="0"/>
              <w:rPr>
                <w:lang w:val="en-AU"/>
              </w:rPr>
            </w:pPr>
            <w:r w:rsidRPr="00091600">
              <w:rPr>
                <w:lang w:val="en-AU"/>
              </w:rPr>
              <w:t xml:space="preserve">R7 Update the GESI strategy for PILAG and Precinct vocational courses </w:t>
            </w:r>
          </w:p>
        </w:tc>
      </w:tr>
      <w:tr w:rsidR="008B36E2" w:rsidRPr="00091600" w:rsidTr="00B42E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hideMark/>
          </w:tcPr>
          <w:p w:rsidR="008B36E2" w:rsidRPr="00931BFA" w:rsidRDefault="008B36E2" w:rsidP="00B42E27">
            <w:pPr>
              <w:pStyle w:val="Tabletext"/>
              <w:rPr>
                <w:rFonts w:ascii="Roboto" w:hAnsi="Roboto"/>
                <w:lang w:val="en-AU"/>
              </w:rPr>
            </w:pPr>
            <w:r w:rsidRPr="00931BFA">
              <w:rPr>
                <w:rFonts w:ascii="Roboto" w:hAnsi="Roboto"/>
                <w:lang w:val="en-AU"/>
              </w:rPr>
              <w:t>Pathways</w:t>
            </w:r>
          </w:p>
        </w:tc>
        <w:tc>
          <w:tcPr>
            <w:tcW w:w="2026" w:type="pct"/>
            <w:hideMark/>
          </w:tcPr>
          <w:p w:rsidR="008B36E2" w:rsidRPr="00091600" w:rsidRDefault="008B36E2" w:rsidP="00B42E27">
            <w:pPr>
              <w:pStyle w:val="Tabletext"/>
              <w:jc w:val="left"/>
              <w:cnfStyle w:val="000000010000" w:firstRow="0" w:lastRow="0" w:firstColumn="0" w:lastColumn="0" w:oddVBand="0" w:evenVBand="0" w:oddHBand="0" w:evenHBand="1" w:firstRowFirstColumn="0" w:firstRowLastColumn="0" w:lastRowFirstColumn="0" w:lastRowLastColumn="0"/>
              <w:rPr>
                <w:b/>
                <w:lang w:val="en-AU"/>
              </w:rPr>
            </w:pPr>
            <w:r w:rsidRPr="00091600">
              <w:rPr>
                <w:lang w:val="en-AU"/>
              </w:rPr>
              <w:t xml:space="preserve">R8 Fund support for course participants when they return to their work places (e.g. </w:t>
            </w:r>
            <w:r>
              <w:rPr>
                <w:lang w:val="en-AU"/>
              </w:rPr>
              <w:t xml:space="preserve">involve managers; </w:t>
            </w:r>
            <w:r w:rsidRPr="00091600">
              <w:rPr>
                <w:lang w:val="en-AU"/>
              </w:rPr>
              <w:t>planned alumni networks</w:t>
            </w:r>
            <w:r>
              <w:rPr>
                <w:lang w:val="en-AU"/>
              </w:rPr>
              <w:t>,</w:t>
            </w:r>
            <w:r w:rsidRPr="00091600">
              <w:rPr>
                <w:lang w:val="en-AU"/>
              </w:rPr>
              <w:t xml:space="preserve"> coaching and mentoring schemes)</w:t>
            </w:r>
          </w:p>
        </w:tc>
        <w:tc>
          <w:tcPr>
            <w:tcW w:w="2027" w:type="pct"/>
            <w:hideMark/>
          </w:tcPr>
          <w:p w:rsidR="008B36E2" w:rsidRPr="00091600" w:rsidRDefault="008B36E2" w:rsidP="00B42E2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 xml:space="preserve">R9 Revisit the Precinct’s overall theory of change so it is better aligned with the academic evidence and lessons learned about the value of training and how to build sustainable public service capacity </w:t>
            </w:r>
          </w:p>
          <w:p w:rsidR="008B36E2" w:rsidRPr="00091600" w:rsidRDefault="008B36E2" w:rsidP="00B42E27">
            <w:pPr>
              <w:pStyle w:val="Tabletext"/>
              <w:jc w:val="left"/>
              <w:cnfStyle w:val="000000010000" w:firstRow="0" w:lastRow="0" w:firstColumn="0" w:lastColumn="0" w:oddVBand="0" w:evenVBand="0" w:oddHBand="0" w:evenHBand="1" w:firstRowFirstColumn="0" w:firstRowLastColumn="0" w:lastRowFirstColumn="0" w:lastRowLastColumn="0"/>
              <w:rPr>
                <w:lang w:val="en-AU"/>
              </w:rPr>
            </w:pPr>
            <w:r w:rsidRPr="00091600">
              <w:rPr>
                <w:lang w:val="en-AU"/>
              </w:rPr>
              <w:t xml:space="preserve">R10 Use political economy analyses to identify coalitions or targeted reform initiatives </w:t>
            </w:r>
          </w:p>
        </w:tc>
      </w:tr>
    </w:tbl>
    <w:p w:rsidR="000F4B57" w:rsidRPr="008B36E2" w:rsidRDefault="000F4B57" w:rsidP="000F4B57">
      <w:pPr>
        <w:pStyle w:val="BodyText"/>
      </w:pPr>
    </w:p>
    <w:p w:rsidR="000F4B57" w:rsidRPr="00091600" w:rsidRDefault="000F4B57" w:rsidP="000F4B57">
      <w:pPr>
        <w:rPr>
          <w:rFonts w:ascii="Roboto Light" w:hAnsi="Roboto Light"/>
          <w:lang w:val="en-AU"/>
        </w:rPr>
      </w:pPr>
    </w:p>
    <w:p w:rsidR="000F4B57" w:rsidRPr="00091600" w:rsidRDefault="000F4B57" w:rsidP="000F4B57">
      <w:pPr>
        <w:jc w:val="center"/>
        <w:rPr>
          <w:rFonts w:ascii="Roboto Light" w:hAnsi="Roboto Light"/>
          <w:lang w:val="en-AU"/>
        </w:rPr>
      </w:pPr>
    </w:p>
    <w:p w:rsidR="000F4B57" w:rsidRPr="00AC711E" w:rsidRDefault="000F4B57" w:rsidP="00CE3EF7">
      <w:pPr>
        <w:pStyle w:val="Annexnumberedlist2"/>
      </w:pPr>
      <w:bookmarkStart w:id="120" w:name="_Ref524707905"/>
      <w:bookmarkStart w:id="121" w:name="_Toc536719921"/>
      <w:bookmarkStart w:id="122" w:name="_Toc2091561"/>
      <w:r w:rsidRPr="00AC711E">
        <w:t>Precinct evaluation key informants</w:t>
      </w:r>
      <w:bookmarkEnd w:id="120"/>
      <w:bookmarkEnd w:id="121"/>
      <w:bookmarkEnd w:id="122"/>
    </w:p>
    <w:tbl>
      <w:tblPr>
        <w:tblStyle w:val="OPMTable"/>
        <w:tblW w:w="5000" w:type="pct"/>
        <w:tblBorders>
          <w:top w:val="single" w:sz="4" w:space="0" w:color="45A7E1" w:themeColor="accent1"/>
          <w:left w:val="single" w:sz="4" w:space="0" w:color="45A7E1" w:themeColor="accent1"/>
          <w:bottom w:val="single" w:sz="4" w:space="0" w:color="45A7E1" w:themeColor="accent1"/>
          <w:right w:val="single" w:sz="4" w:space="0" w:color="45A7E1" w:themeColor="accent1"/>
          <w:insideH w:val="single" w:sz="4" w:space="0" w:color="45A7E1" w:themeColor="accent1"/>
          <w:insideV w:val="single" w:sz="4" w:space="0" w:color="45A7E1" w:themeColor="accent1"/>
        </w:tblBorders>
        <w:tblLayout w:type="fixed"/>
        <w:tblLook w:val="04A0" w:firstRow="1" w:lastRow="0" w:firstColumn="1" w:lastColumn="0" w:noHBand="0" w:noVBand="1"/>
        <w:tblCaption w:val="List of consultations"/>
      </w:tblPr>
      <w:tblGrid>
        <w:gridCol w:w="1460"/>
        <w:gridCol w:w="2757"/>
        <w:gridCol w:w="2757"/>
        <w:gridCol w:w="2756"/>
      </w:tblGrid>
      <w:tr w:rsidR="000F4B57" w:rsidRPr="00091600" w:rsidTr="004F0042">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100" w:firstRow="0" w:lastRow="0" w:firstColumn="1" w:lastColumn="0" w:oddVBand="0" w:evenVBand="0" w:oddHBand="0" w:evenHBand="0" w:firstRowFirstColumn="1" w:firstRowLastColumn="0" w:lastRowFirstColumn="0" w:lastRowLastColumn="0"/>
            <w:tcW w:w="750"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0F4B57" w:rsidRPr="00AC711E" w:rsidRDefault="000F4B57" w:rsidP="00B853C9">
            <w:pPr>
              <w:pStyle w:val="BodyText"/>
              <w:spacing w:before="40" w:after="40"/>
              <w:rPr>
                <w:rFonts w:ascii="Roboto" w:hAnsi="Roboto"/>
                <w:sz w:val="18"/>
                <w:lang w:val="en-AU"/>
              </w:rPr>
            </w:pPr>
            <w:r w:rsidRPr="00AC711E">
              <w:rPr>
                <w:rFonts w:ascii="Roboto" w:hAnsi="Roboto"/>
                <w:sz w:val="18"/>
                <w:lang w:val="en-AU"/>
              </w:rPr>
              <w:t>Title</w:t>
            </w:r>
          </w:p>
        </w:tc>
        <w:tc>
          <w:tcPr>
            <w:tcW w:w="1417"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F4B57" w:rsidRPr="00AC711E" w:rsidRDefault="000F4B57" w:rsidP="00B853C9">
            <w:pPr>
              <w:pStyle w:val="BodyText"/>
              <w:spacing w:before="40" w:after="40"/>
              <w:jc w:val="left"/>
              <w:cnfStyle w:val="100000000000" w:firstRow="1" w:lastRow="0" w:firstColumn="0" w:lastColumn="0" w:oddVBand="0" w:evenVBand="0" w:oddHBand="0" w:evenHBand="0" w:firstRowFirstColumn="0" w:firstRowLastColumn="0" w:lastRowFirstColumn="0" w:lastRowLastColumn="0"/>
              <w:rPr>
                <w:rFonts w:ascii="Roboto" w:hAnsi="Roboto"/>
                <w:sz w:val="18"/>
                <w:lang w:val="en-AU"/>
              </w:rPr>
            </w:pPr>
            <w:bookmarkStart w:id="123" w:name="RANGE!C1:F100"/>
            <w:r w:rsidRPr="00AC711E">
              <w:rPr>
                <w:rFonts w:ascii="Roboto" w:hAnsi="Roboto"/>
                <w:sz w:val="18"/>
                <w:lang w:val="en-AU"/>
              </w:rPr>
              <w:t>Name</w:t>
            </w:r>
            <w:bookmarkEnd w:id="123"/>
          </w:p>
        </w:tc>
        <w:tc>
          <w:tcPr>
            <w:tcW w:w="1417"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F4B57" w:rsidRPr="00AC711E" w:rsidRDefault="000F4B57" w:rsidP="00B853C9">
            <w:pPr>
              <w:pStyle w:val="BodyText"/>
              <w:spacing w:before="40" w:after="40"/>
              <w:jc w:val="left"/>
              <w:cnfStyle w:val="100000000000" w:firstRow="1" w:lastRow="0" w:firstColumn="0" w:lastColumn="0" w:oddVBand="0" w:evenVBand="0" w:oddHBand="0" w:evenHBand="0" w:firstRowFirstColumn="0" w:firstRowLastColumn="0" w:lastRowFirstColumn="0" w:lastRowLastColumn="0"/>
              <w:rPr>
                <w:rFonts w:ascii="Roboto" w:hAnsi="Roboto"/>
                <w:sz w:val="18"/>
                <w:lang w:val="en-AU"/>
              </w:rPr>
            </w:pPr>
            <w:r w:rsidRPr="00AC711E">
              <w:rPr>
                <w:rFonts w:ascii="Roboto" w:hAnsi="Roboto"/>
                <w:sz w:val="18"/>
                <w:lang w:val="en-AU"/>
              </w:rPr>
              <w:t>Position</w:t>
            </w:r>
          </w:p>
        </w:tc>
        <w:tc>
          <w:tcPr>
            <w:tcW w:w="1416"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F4B57" w:rsidRPr="00AC711E" w:rsidRDefault="000F4B57" w:rsidP="00B853C9">
            <w:pPr>
              <w:pStyle w:val="BodyText"/>
              <w:spacing w:before="40" w:after="40"/>
              <w:jc w:val="left"/>
              <w:cnfStyle w:val="100000000000" w:firstRow="1" w:lastRow="0" w:firstColumn="0" w:lastColumn="0" w:oddVBand="0" w:evenVBand="0" w:oddHBand="0" w:evenHBand="0" w:firstRowFirstColumn="0" w:firstRowLastColumn="0" w:lastRowFirstColumn="0" w:lastRowLastColumn="0"/>
              <w:rPr>
                <w:rFonts w:ascii="Roboto" w:hAnsi="Roboto"/>
                <w:sz w:val="18"/>
                <w:lang w:val="en-AU"/>
              </w:rPr>
            </w:pPr>
            <w:r w:rsidRPr="00AC711E">
              <w:rPr>
                <w:rFonts w:ascii="Roboto" w:hAnsi="Roboto"/>
                <w:sz w:val="18"/>
                <w:lang w:val="en-AU"/>
              </w:rPr>
              <w:t>Organisation</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Hon.</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Elias Kapavore</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Minister for Public Service</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 xml:space="preserve">GoPNG </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HE</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John Kali</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PNG High Commissioner to Australia (former DPM Secretary)</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GoPNG</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Taies Sansan</w:t>
            </w:r>
          </w:p>
        </w:tc>
        <w:tc>
          <w:tcPr>
            <w:tcW w:w="1417" w:type="pct"/>
            <w:noWrap/>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 xml:space="preserve">JSC </w:t>
            </w:r>
            <w:r w:rsidRPr="00091600">
              <w:rPr>
                <w:i/>
                <w:color w:val="000000"/>
                <w:sz w:val="18"/>
                <w:lang w:val="en-AU"/>
              </w:rPr>
              <w:t>ex officio</w:t>
            </w:r>
            <w:r w:rsidRPr="00091600">
              <w:rPr>
                <w:color w:val="000000"/>
                <w:sz w:val="18"/>
                <w:lang w:val="en-AU"/>
              </w:rPr>
              <w:t xml:space="preserve"> member, Acting Secretary</w:t>
            </w:r>
          </w:p>
        </w:tc>
        <w:tc>
          <w:tcPr>
            <w:tcW w:w="1416" w:type="pct"/>
            <w:noWrap/>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DPM</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Prof. Fr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Jan Czuba</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 xml:space="preserve">JSC </w:t>
            </w:r>
            <w:r w:rsidRPr="00091600">
              <w:rPr>
                <w:i/>
                <w:color w:val="000000"/>
                <w:sz w:val="18"/>
                <w:lang w:val="en-AU"/>
              </w:rPr>
              <w:t>ex officio</w:t>
            </w:r>
            <w:r w:rsidRPr="00091600">
              <w:rPr>
                <w:color w:val="000000"/>
                <w:sz w:val="18"/>
                <w:lang w:val="en-AU"/>
              </w:rPr>
              <w:t xml:space="preserve"> member, Acting Secretary </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DHERST</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Koney Samuel</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Acting Secretary</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Department of National Planning and Monitoring</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Dr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Nama Polum</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Deputy Secretary, Strategy and Corporate Services</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Department of Treasury</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Frank Aisi</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Deputy Secretary</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PM and NEC</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Marita Kouga</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Deputy Secretary</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DPM</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Andrew Angobe</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First Assistant Secretary, Corporate Services</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Department of Education</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Molna Andrew</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 xml:space="preserve">Director for Audit </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Auditor General's Office</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Robert Pelis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Senior Policy Analyst</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Department of Education</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Claribel Waide</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 xml:space="preserve">Strategic Gender Officer </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Department of Education</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Stanley Yekep</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Acting Divisional Head</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Department of Finance</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Esther Avoa</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Manager Training and Quality Assurance (FTB)</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Department of Finance</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Miriam Sai Kapanombo</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 xml:space="preserve">Senior Training Officer </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Department of Implementation and Rural Development</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Cathy Fred Kaiun</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Assistant Director, Restorative Justice</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Department of Justice and Attorney General</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Francis Irere</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Data and Statistics Officer, Crime Prevention and Restorative Justice Branch</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 xml:space="preserve">Department of Justice and Attorney General </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 xml:space="preserve">Ms </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Freda Talao Komolong</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 xml:space="preserve">Acting Senior Planning Officer </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 xml:space="preserve">Department of Justice and Attorney General </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John Karani</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Executive Manager</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DHERST</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Russel Pasikila</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 xml:space="preserve">Quality Assurance Officer, Universities </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DHERST</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Vele Ravugamini</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Executive Manager, Executive Leadership Branch</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DPM</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Dolorose Maita</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Industrial Relations Officer</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East New Britain Provincial Administration</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Merilyn Genora</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Acting Board Secretary</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National Roads Authority</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Florence Bana</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Coordinator, Technical and Vocational Education and Training</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National Training Council</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Phyllis Toak</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Executive Secretary</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National Training Council</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John Maigu</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Director General</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PM and NEC</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Cletus Ngaffkin</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Director, Development Partner Compliance and Coordination</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PM and NEC</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Stanley Arua</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Coordinator, Compliance Policy Division</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PM and NEC</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Judith Stenis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Acting Secretary</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APSC Secretariat</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Miriam Kove</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 xml:space="preserve">Director, Corporate Services </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Public Solicitors Office</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Geraldine Wambo</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GESI Officer</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East New Britain Provincial Administration</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Grace Yap</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Nursing In-Service Coordinator, Nonga Base General Hospital</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East New Britain Provincial Administration</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Thomas Nakui</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Adviser, Human Resources</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East New Britain Provincial Administration</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Nicholas Larme</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Deputy Personal Assistant, Manager Corporate Services</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East New Britain Provincial Administration</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Anna Umong</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Acting Training Coordinator, Human Resources</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East New Britain Provincial Administration</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Paschalis Kinakava</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Public Health, Program Manager</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East New Britain Provincial Administration, Division of Health, Butuvin</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Kulap Ekonia</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Nurse</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East New Britain Provincial Health Authority</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Thomas Masea</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Specialist Nursing Officer</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East New Britain Provincial Health Authority</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Dr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Manoj Kumar Pandey</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Lecturer and Team Leader</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ANU</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Dr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Bao Nguyen</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Lecturer</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ANU</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Dr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 xml:space="preserve">Michelle Rooney </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Visiting Lecturer</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ANU</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Dr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 xml:space="preserve">Amanda Watson </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Lecturer</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ANU</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Dr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Lhawang Ugyel</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Lecturer</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ANU</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Dek Sum</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Associate Lecturer</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ANU</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Dr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Martin Davis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Visiting Lecturer (from US)</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ANU</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Prof.</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Stephen Howes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Director, Development Policy Centre</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ANU</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Dr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Grant Walton</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Research Fellow, Development Policy Centre</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ANU</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Dr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Terence Flood</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Research Fellow, Development Policy Centre</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ANU</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Rohan Fox</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Assistant Lecturer, Development Policy Centre</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ANU</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Shannon Young</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Partnerships Officer, Development Policy Centre</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ANU</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Ashlee Betteridge</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Program Manager, Research Communication and Outreach</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ANU</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Neil Bauer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Training Manager, APSC/PILAG</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CIT Solutions</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Martyn Namorong</w:t>
            </w:r>
          </w:p>
        </w:tc>
        <w:tc>
          <w:tcPr>
            <w:tcW w:w="1417" w:type="pct"/>
            <w:noWrap/>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National Coordinator, PNG Resource Governance Coalition</w:t>
            </w:r>
          </w:p>
        </w:tc>
        <w:tc>
          <w:tcPr>
            <w:tcW w:w="1416" w:type="pct"/>
            <w:noWrap/>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Civil society</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Joseph Urauma</w:t>
            </w:r>
          </w:p>
        </w:tc>
        <w:tc>
          <w:tcPr>
            <w:tcW w:w="1417" w:type="pct"/>
            <w:noWrap/>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Human Resources Manager</w:t>
            </w:r>
          </w:p>
        </w:tc>
        <w:tc>
          <w:tcPr>
            <w:tcW w:w="1416" w:type="pct"/>
            <w:noWrap/>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Nonga General Hospital</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Felicitas Wowo</w:t>
            </w:r>
          </w:p>
        </w:tc>
        <w:tc>
          <w:tcPr>
            <w:tcW w:w="1417" w:type="pct"/>
            <w:noWrap/>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Acting Deputy Director, Clinical Services</w:t>
            </w:r>
          </w:p>
        </w:tc>
        <w:tc>
          <w:tcPr>
            <w:tcW w:w="1416" w:type="pct"/>
            <w:noWrap/>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Nonga General Hospital</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Angori Wewerang</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Acting CEO, PILAG</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PILAG</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Peter Sapsi</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Acting Deputy Director</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PILAG</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 xml:space="preserve">Mr </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Jack Kwa Sem</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Acting Manager, Learning and Development Centre</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PILAG</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Eric Endoma</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Librarian</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PILAG</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Gary Gule</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Internal Auditor</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PILAG</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Pasingan Ananis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Manager, NGI regional campus</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PILAG</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Donny Markus</w:t>
            </w:r>
          </w:p>
        </w:tc>
        <w:tc>
          <w:tcPr>
            <w:tcW w:w="1417" w:type="pct"/>
            <w:noWrap/>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 xml:space="preserve">Assistant Manager </w:t>
            </w:r>
          </w:p>
        </w:tc>
        <w:tc>
          <w:tcPr>
            <w:tcW w:w="1416" w:type="pct"/>
            <w:noWrap/>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PNG Ports Authority</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Josephine Kenni</w:t>
            </w:r>
          </w:p>
        </w:tc>
        <w:tc>
          <w:tcPr>
            <w:tcW w:w="1417" w:type="pct"/>
            <w:noWrap/>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Deputy Chair</w:t>
            </w:r>
          </w:p>
        </w:tc>
        <w:tc>
          <w:tcPr>
            <w:tcW w:w="1416" w:type="pct"/>
            <w:noWrap/>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PNG Rubber Board</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Roddy Amut</w:t>
            </w:r>
          </w:p>
        </w:tc>
        <w:tc>
          <w:tcPr>
            <w:tcW w:w="1417" w:type="pct"/>
            <w:noWrap/>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Accounts Officer, Training Centre (Vudal Campus)</w:t>
            </w:r>
          </w:p>
        </w:tc>
        <w:tc>
          <w:tcPr>
            <w:tcW w:w="1416" w:type="pct"/>
            <w:noWrap/>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PNG University of Natural Resources and Environment</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Florence Kerry</w:t>
            </w:r>
          </w:p>
        </w:tc>
        <w:tc>
          <w:tcPr>
            <w:tcW w:w="1417" w:type="pct"/>
            <w:noWrap/>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Hospital Management Cadet</w:t>
            </w:r>
          </w:p>
        </w:tc>
        <w:tc>
          <w:tcPr>
            <w:tcW w:w="1416" w:type="pct"/>
            <w:noWrap/>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Port Moresby General Hospital</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Nakanat Kote</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Director, Human Resources</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UPNG</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ind w:left="0"/>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 xml:space="preserve"> Ferguson Roneshpa</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 xml:space="preserve">Operations Manager, Health, Education, and Clinical Services Program </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UPNG</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Vincent Malaibe</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JSC member, Acting VC</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UPNG</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Prof.</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Lekshmi Pillai</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JSC member, Executive Dean, SBPP</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UPNG SBPP</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Dr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Lawr</w:t>
            </w:r>
            <w:r w:rsidR="0080189A">
              <w:rPr>
                <w:color w:val="000000"/>
                <w:sz w:val="18"/>
                <w:lang w:val="en-AU"/>
              </w:rPr>
              <w:t>e</w:t>
            </w:r>
            <w:r w:rsidRPr="00091600">
              <w:rPr>
                <w:color w:val="000000"/>
                <w:sz w:val="18"/>
                <w:lang w:val="en-AU"/>
              </w:rPr>
              <w:t>nce Sause</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 xml:space="preserve">Deputy Dean, SBPP </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UPNG SBPP</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Bobby Kunda</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 xml:space="preserve">Student, Bachelors in Economics </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UPNG/ANU student</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Anslem Manoka</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Student, Bachelors in Economics</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UPNG/ANU student</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Daphne Yae</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Student, Bachelors in Economics</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UPNG/ANU student</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Vanessa Korni</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 xml:space="preserve">Student, Bachelors in Public Policy Management </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UPNG/ANU student</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David Peter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 xml:space="preserve">Student, Masters in Economics and Public Policy </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UPNG/ANU student</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Dr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 xml:space="preserve">Michelle Dunn </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Manager, PNG and Pacific Programs</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UQID</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Charlotte Atherton</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Precinct Leadership Program Manager</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UQID</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Most Rev.</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Archbishop Douglas Young</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Independent Chair, board</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Precinct Board</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Serena Sasingian</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Honorary member, Precinct Board</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Precinct Board</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Prof.</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Jean Kekedo</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Honorary member, Acting Chancellor, UNITEC PNG</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Precinct Board</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Dame</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Meg Taylor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Honorary member, Precinct Board</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 xml:space="preserve">Precinct Board </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Tony Shepherd</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Honorary member, Precinct Board</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 xml:space="preserve">Precinct Board </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HE</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Bruce Davis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Australian High Commissioner to PNG</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AHC Port Moresby</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Andrew Eagan</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Minister, Counsellor (Governance)</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AHC Port Moresby</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Benedict David</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Minister, Counsellor (Economics and Security)</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AHC Port Moresby</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Brendan Peace</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Counsellor (Decentralisation)</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AHC Port Moresby</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Penny Dennis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First Secretary, Education and Leadership</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AHC Port Moresby</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sz w:val="18"/>
                <w:lang w:val="en-AU"/>
              </w:rPr>
            </w:pPr>
            <w:r w:rsidRPr="00091600">
              <w:rPr>
                <w:b w:val="0"/>
                <w:sz w:val="18"/>
                <w:lang w:val="en-AU"/>
              </w:rPr>
              <w:t>Ms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Fuchsia Hepworth</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Second Secretary, Education and Leadership</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AHC Port Moresby</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Lucy Rhydwen-Marett</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Second Secretary, Program Management and Gender</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AHC Port Moresby</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Maegan Clarkson</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Second Secretary, Education and Leadership</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AHC Port Moresby</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 xml:space="preserve">Kate Butcher </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Gender Adviser</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AHC Port Moresby</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Helen Bull</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Group Manager, Workforce Information</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APSC</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Linda Chen</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Assistant Director</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APSC</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Mark Colwell</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Assistant Director</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APSC</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 xml:space="preserve">Sakuntala Akmeemana </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Principal Specialist (Governance)</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Development Policy Division, DFAT</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Simon King</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Infrastructure</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AHC Port Moresby</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 xml:space="preserve">Mr </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Nicholas Murphy</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Former First Secretary (Governance), AHC</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DFAT</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Stephen Hills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Former First Secretary (Governance), AHC</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DFAT</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Doreen Iga</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Senior Program Manager, Education and Leadership</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AHC Port Moresby</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Freddy Hombuhanje</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Program Manager, Sub-National Development</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AHC Port Moresby</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Moses David</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Program Manager, Education and Leadership</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AHC Port Moresby</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Chief</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Ila Geno</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Former Chief Ombudsman</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Civil society</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Davidson Wayne</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Attitude Plus</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Civil society</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sz w:val="18"/>
                <w:lang w:val="en-AU"/>
              </w:rPr>
              <w:t>Douveri Henao</w:t>
            </w:r>
          </w:p>
        </w:tc>
        <w:tc>
          <w:tcPr>
            <w:tcW w:w="1417" w:type="pct"/>
            <w:noWrap/>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Executive Director</w:t>
            </w:r>
          </w:p>
        </w:tc>
        <w:tc>
          <w:tcPr>
            <w:tcW w:w="1416" w:type="pct"/>
            <w:noWrap/>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PNG Business Council</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Prof.</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David Kavanamur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Director, Knowledge, Analytics, and Learning (former DHERST Secretary)</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Abt Knowledge, Analytics, and Learning Team</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 xml:space="preserve">Melinda Sutherland </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 xml:space="preserve">MEL Manager </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Abt Knowledge, Analytics, and Learning Team</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Lady</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Katherine Lepani</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Gender Equity Specialist</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Abt Knowledge, Analytics, and Learning Team</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Gavin Murray</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Executive Director (Partnerships)</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Abt PNG Management Services</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Geoff Scahill</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Finance Team</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Abt PNG Management Services</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Tau Geno-Hoire</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GESI Adviser</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Abt PNG Management Services</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Fiu Williame-Igara</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Director, PSLR Partnership</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Abt PSLR</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Michael Juricic</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Team Leader, PSLR Partnership</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Abt PSLR</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 xml:space="preserve">Joy Waffi </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MEL Manager</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Abt PSLR</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Dr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Henry Ivarature</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Senior Program Manager, PSLR Project 2</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Abt PSLR</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Deborah Knight</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 xml:space="preserve">Senior Program Manager, PSLR Projects 1 and 3 </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Abt PSLR</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Claire Thoms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Senior Program Manager, PSLR Project 6</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Abt PSLR</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Dr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Velepat Tuaru</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Inclusive Leadership Specialist</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Abt PSLR</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Ayesha Lutschini</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 xml:space="preserve">Senior Program Manager—Gender Mainstreaming, PSLR Project 5 </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Abt PSLR</w:t>
            </w:r>
          </w:p>
        </w:tc>
      </w:tr>
      <w:tr w:rsidR="000F4B57" w:rsidRPr="00091600" w:rsidTr="000F4B5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Ms</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Linda McKellar</w:t>
            </w:r>
          </w:p>
        </w:tc>
        <w:tc>
          <w:tcPr>
            <w:tcW w:w="1417"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Institutional Strengthening Adviser</w:t>
            </w:r>
          </w:p>
        </w:tc>
        <w:tc>
          <w:tcPr>
            <w:tcW w:w="1416" w:type="pct"/>
            <w:noWrap/>
            <w:hideMark/>
          </w:tcPr>
          <w:p w:rsidR="000F4B57" w:rsidRPr="00091600" w:rsidRDefault="000F4B57" w:rsidP="00B853C9">
            <w:pPr>
              <w:pStyle w:val="Tabletext"/>
              <w:jc w:val="left"/>
              <w:cnfStyle w:val="000000100000" w:firstRow="0" w:lastRow="0" w:firstColumn="0" w:lastColumn="0" w:oddVBand="0" w:evenVBand="0" w:oddHBand="1" w:evenHBand="0" w:firstRowFirstColumn="0" w:firstRowLastColumn="0" w:lastRowFirstColumn="0" w:lastRowLastColumn="0"/>
              <w:rPr>
                <w:color w:val="000000"/>
                <w:sz w:val="18"/>
                <w:lang w:val="en-AU"/>
              </w:rPr>
            </w:pPr>
            <w:r w:rsidRPr="00091600">
              <w:rPr>
                <w:color w:val="000000"/>
                <w:sz w:val="18"/>
                <w:lang w:val="en-AU"/>
              </w:rPr>
              <w:t>Abt PSLR</w:t>
            </w:r>
          </w:p>
        </w:tc>
      </w:tr>
      <w:tr w:rsidR="000F4B57" w:rsidRPr="00091600" w:rsidTr="000F4B5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50" w:type="pct"/>
            <w:noWrap/>
            <w:hideMark/>
          </w:tcPr>
          <w:p w:rsidR="000F4B57" w:rsidRPr="00091600" w:rsidRDefault="000F4B57" w:rsidP="00B853C9">
            <w:pPr>
              <w:pStyle w:val="Tabletext"/>
              <w:rPr>
                <w:b w:val="0"/>
                <w:color w:val="000000"/>
                <w:sz w:val="18"/>
                <w:lang w:val="en-AU"/>
              </w:rPr>
            </w:pPr>
            <w:r w:rsidRPr="00091600">
              <w:rPr>
                <w:b w:val="0"/>
                <w:color w:val="000000"/>
                <w:sz w:val="18"/>
                <w:lang w:val="en-AU"/>
              </w:rPr>
              <w:t>Mr</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Ben Jackson</w:t>
            </w:r>
          </w:p>
        </w:tc>
        <w:tc>
          <w:tcPr>
            <w:tcW w:w="1417"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Communications</w:t>
            </w:r>
          </w:p>
        </w:tc>
        <w:tc>
          <w:tcPr>
            <w:tcW w:w="1416" w:type="pct"/>
            <w:noWrap/>
            <w:hideMark/>
          </w:tcPr>
          <w:p w:rsidR="000F4B57" w:rsidRPr="00091600" w:rsidRDefault="000F4B57" w:rsidP="00B853C9">
            <w:pPr>
              <w:pStyle w:val="Tabletext"/>
              <w:jc w:val="left"/>
              <w:cnfStyle w:val="000000010000" w:firstRow="0" w:lastRow="0" w:firstColumn="0" w:lastColumn="0" w:oddVBand="0" w:evenVBand="0" w:oddHBand="0" w:evenHBand="1" w:firstRowFirstColumn="0" w:firstRowLastColumn="0" w:lastRowFirstColumn="0" w:lastRowLastColumn="0"/>
              <w:rPr>
                <w:color w:val="000000"/>
                <w:sz w:val="18"/>
                <w:lang w:val="en-AU"/>
              </w:rPr>
            </w:pPr>
            <w:r w:rsidRPr="00091600">
              <w:rPr>
                <w:color w:val="000000"/>
                <w:sz w:val="18"/>
                <w:lang w:val="en-AU"/>
              </w:rPr>
              <w:t>Abt PSLR</w:t>
            </w:r>
          </w:p>
        </w:tc>
      </w:tr>
    </w:tbl>
    <w:p w:rsidR="000F4B57" w:rsidRPr="00091600" w:rsidRDefault="000F4B57" w:rsidP="000F4B57">
      <w:pPr>
        <w:pStyle w:val="BodyText"/>
        <w:rPr>
          <w:lang w:val="en-AU"/>
        </w:rPr>
      </w:pPr>
    </w:p>
    <w:p w:rsidR="000F4B57" w:rsidRPr="00091600" w:rsidRDefault="000F4B57" w:rsidP="00CE3EF7">
      <w:pPr>
        <w:pStyle w:val="Annexnumberedlist"/>
      </w:pPr>
      <w:bookmarkStart w:id="124" w:name="_Ref524707915"/>
      <w:bookmarkStart w:id="125" w:name="_Toc536719922"/>
      <w:bookmarkStart w:id="126" w:name="_Toc2091562"/>
      <w:r w:rsidRPr="00091600">
        <w:t>References</w:t>
      </w:r>
      <w:bookmarkEnd w:id="124"/>
      <w:bookmarkEnd w:id="125"/>
      <w:bookmarkEnd w:id="126"/>
    </w:p>
    <w:p w:rsidR="000F4B57" w:rsidRPr="00091600" w:rsidRDefault="000F4B57" w:rsidP="006332DC">
      <w:pPr>
        <w:pStyle w:val="BodyText"/>
        <w:rPr>
          <w:lang w:val="en-AU"/>
        </w:rPr>
      </w:pPr>
      <w:bookmarkStart w:id="127" w:name="_Hlk524692661"/>
      <w:r w:rsidRPr="00091600">
        <w:rPr>
          <w:lang w:val="en-AU"/>
        </w:rPr>
        <w:t>Abt PNG (2018a) ‘Gender and inclusion stocktake report and annexes’, June.</w:t>
      </w:r>
      <w:bookmarkEnd w:id="127"/>
    </w:p>
    <w:p w:rsidR="000F4B57" w:rsidRPr="00091600" w:rsidRDefault="000F4B57" w:rsidP="006332DC">
      <w:pPr>
        <w:pStyle w:val="BodyText"/>
        <w:rPr>
          <w:lang w:val="en-AU"/>
        </w:rPr>
      </w:pPr>
      <w:bookmarkStart w:id="128" w:name="_Hlk524692257"/>
      <w:r w:rsidRPr="00091600">
        <w:rPr>
          <w:lang w:val="en-AU"/>
        </w:rPr>
        <w:t>Abt PNG (2018b</w:t>
      </w:r>
      <w:r w:rsidR="00044AC5" w:rsidRPr="00091600">
        <w:rPr>
          <w:lang w:val="en-AU"/>
        </w:rPr>
        <w:t>)</w:t>
      </w:r>
      <w:r w:rsidRPr="00091600">
        <w:rPr>
          <w:lang w:val="en-AU"/>
        </w:rPr>
        <w:t xml:space="preserve"> ‘Governance Partnership </w:t>
      </w:r>
      <w:r w:rsidR="009776C5" w:rsidRPr="00091600">
        <w:rPr>
          <w:lang w:val="en-AU"/>
        </w:rPr>
        <w:t>s</w:t>
      </w:r>
      <w:r w:rsidR="00044AC5" w:rsidRPr="00091600">
        <w:rPr>
          <w:lang w:val="en-AU"/>
        </w:rPr>
        <w:t>ix</w:t>
      </w:r>
      <w:r w:rsidRPr="00091600">
        <w:rPr>
          <w:lang w:val="en-AU"/>
        </w:rPr>
        <w:t>-monthly report’, January</w:t>
      </w:r>
      <w:r w:rsidR="00044AC5" w:rsidRPr="00091600">
        <w:rPr>
          <w:lang w:val="en-AU"/>
        </w:rPr>
        <w:t>–</w:t>
      </w:r>
      <w:r w:rsidRPr="00091600">
        <w:rPr>
          <w:lang w:val="en-AU"/>
        </w:rPr>
        <w:t>June</w:t>
      </w:r>
      <w:r w:rsidR="00044AC5" w:rsidRPr="00091600">
        <w:rPr>
          <w:lang w:val="en-AU"/>
        </w:rPr>
        <w:t>.</w:t>
      </w:r>
      <w:bookmarkEnd w:id="128"/>
    </w:p>
    <w:p w:rsidR="000F4B57" w:rsidRPr="00091600" w:rsidRDefault="000F4B57" w:rsidP="006332DC">
      <w:pPr>
        <w:pStyle w:val="BodyText"/>
        <w:rPr>
          <w:lang w:val="en-AU"/>
        </w:rPr>
      </w:pPr>
      <w:r w:rsidRPr="00091600">
        <w:rPr>
          <w:lang w:val="en-AU"/>
        </w:rPr>
        <w:t>Abt PNG (2018c) ‘Governance Partnership contributions to DFAT indicators and targets’, June.</w:t>
      </w:r>
    </w:p>
    <w:p w:rsidR="000F4B57" w:rsidRPr="00091600" w:rsidRDefault="000F4B57" w:rsidP="006332DC">
      <w:pPr>
        <w:pStyle w:val="BodyText"/>
        <w:rPr>
          <w:lang w:val="en-AU"/>
        </w:rPr>
      </w:pPr>
      <w:bookmarkStart w:id="129" w:name="_Hlk524692339"/>
      <w:r w:rsidRPr="00091600">
        <w:rPr>
          <w:lang w:val="en-AU"/>
        </w:rPr>
        <w:t xml:space="preserve">Amundsen, I. (2009) ‘Introduction to public sector ethics’, in I. Amundsen and V.P. de Andrade (eds.) </w:t>
      </w:r>
      <w:r w:rsidRPr="00091600">
        <w:rPr>
          <w:i/>
          <w:lang w:val="en-AU"/>
        </w:rPr>
        <w:t>Public sector ethics: Compendium for teaching at the Catholic University of Angola</w:t>
      </w:r>
      <w:r w:rsidRPr="00091600">
        <w:rPr>
          <w:lang w:val="en-AU"/>
        </w:rPr>
        <w:t xml:space="preserve"> (pp. 5–45), Chr. Michelsen Institute, Bergen, Norway. </w:t>
      </w:r>
      <w:r w:rsidR="009776C5" w:rsidRPr="00091600">
        <w:rPr>
          <w:lang w:val="en-AU"/>
        </w:rPr>
        <w:t>Available at:</w:t>
      </w:r>
      <w:r w:rsidR="009776C5" w:rsidRPr="00091600">
        <w:rPr>
          <w:color w:val="4C1691"/>
          <w:lang w:val="en-AU"/>
        </w:rPr>
        <w:t xml:space="preserve"> </w:t>
      </w:r>
      <w:bookmarkEnd w:id="129"/>
      <w:r w:rsidR="00DA0A12" w:rsidRPr="00091600">
        <w:rPr>
          <w:rStyle w:val="Hyperlink"/>
          <w:lang w:val="en-AU"/>
        </w:rPr>
        <w:fldChar w:fldCharType="begin"/>
      </w:r>
      <w:r w:rsidR="00DA0A12" w:rsidRPr="00091600">
        <w:rPr>
          <w:rStyle w:val="Hyperlink"/>
          <w:lang w:val="en-AU"/>
        </w:rPr>
        <w:instrText xml:space="preserve"> HYPERLINK "http://www.cmi.no/publications/file/3290-introduction-to-public-sector-ethics.pdf" </w:instrText>
      </w:r>
      <w:r w:rsidR="00DA0A12" w:rsidRPr="00091600">
        <w:rPr>
          <w:rStyle w:val="Hyperlink"/>
          <w:lang w:val="en-AU"/>
        </w:rPr>
        <w:fldChar w:fldCharType="separate"/>
      </w:r>
      <w:r w:rsidRPr="00091600">
        <w:rPr>
          <w:rStyle w:val="Hyperlink"/>
          <w:lang w:val="en-AU"/>
        </w:rPr>
        <w:t>www.cmi.no/publications/file/3290-introduction-to-public-sector-ethics.pdf</w:t>
      </w:r>
      <w:r w:rsidR="00DA0A12" w:rsidRPr="00091600">
        <w:rPr>
          <w:rStyle w:val="Hyperlink"/>
          <w:lang w:val="en-AU"/>
        </w:rPr>
        <w:fldChar w:fldCharType="end"/>
      </w:r>
      <w:r w:rsidRPr="00091600">
        <w:rPr>
          <w:color w:val="4C1691"/>
          <w:lang w:val="en-AU"/>
        </w:rPr>
        <w:t>.</w:t>
      </w:r>
    </w:p>
    <w:p w:rsidR="000F4B57" w:rsidRPr="00091600" w:rsidRDefault="000F4B57" w:rsidP="006332DC">
      <w:pPr>
        <w:pStyle w:val="BodyText"/>
        <w:rPr>
          <w:lang w:val="en-AU"/>
        </w:rPr>
      </w:pPr>
      <w:bookmarkStart w:id="130" w:name="_Hlk524692608"/>
      <w:r w:rsidRPr="00091600">
        <w:rPr>
          <w:rFonts w:cs="Calibri"/>
          <w:lang w:val="en-AU"/>
        </w:rPr>
        <w:t>Andrews, M., Pritchett, L., and Woolcock, M. (2013</w:t>
      </w:r>
      <w:r w:rsidR="00044AC5" w:rsidRPr="00091600">
        <w:rPr>
          <w:rFonts w:cs="Calibri"/>
          <w:lang w:val="en-AU"/>
        </w:rPr>
        <w:t>)</w:t>
      </w:r>
      <w:r w:rsidRPr="00091600">
        <w:rPr>
          <w:rFonts w:cs="Calibri"/>
          <w:lang w:val="en-AU"/>
        </w:rPr>
        <w:t xml:space="preserve"> </w:t>
      </w:r>
      <w:r w:rsidRPr="00091600">
        <w:rPr>
          <w:lang w:val="en-AU"/>
        </w:rPr>
        <w:t xml:space="preserve">‘Escaping capability traps through problem driven iterative adaptation (PDIA)’, </w:t>
      </w:r>
      <w:r w:rsidRPr="00091600">
        <w:rPr>
          <w:i/>
          <w:lang w:val="en-AU"/>
        </w:rPr>
        <w:t>World Development</w:t>
      </w:r>
      <w:r w:rsidRPr="00091600">
        <w:rPr>
          <w:lang w:val="en-AU"/>
        </w:rPr>
        <w:t xml:space="preserve"> 51, pp. 234–44.</w:t>
      </w:r>
      <w:r w:rsidRPr="00091600" w:rsidDel="009776C5">
        <w:rPr>
          <w:rFonts w:cs="Calibri"/>
          <w:lang w:val="en-AU"/>
        </w:rPr>
        <w:t xml:space="preserve"> </w:t>
      </w:r>
      <w:r w:rsidRPr="00091600">
        <w:rPr>
          <w:rFonts w:cs="Calibri"/>
          <w:lang w:val="en-AU"/>
        </w:rPr>
        <w:t>Available at</w:t>
      </w:r>
      <w:r w:rsidR="009776C5" w:rsidRPr="00091600">
        <w:rPr>
          <w:rFonts w:cs="Calibri"/>
          <w:lang w:val="en-AU"/>
        </w:rPr>
        <w:t>:</w:t>
      </w:r>
      <w:r w:rsidR="009776C5" w:rsidRPr="00091600">
        <w:rPr>
          <w:rFonts w:cs="Calibri"/>
          <w:color w:val="3F2177"/>
          <w:lang w:val="en-AU"/>
        </w:rPr>
        <w:t xml:space="preserve"> </w:t>
      </w:r>
      <w:bookmarkEnd w:id="130"/>
      <w:r w:rsidRPr="00091600">
        <w:rPr>
          <w:rStyle w:val="Hyperlink"/>
          <w:rFonts w:cs="Calibri"/>
          <w:lang w:val="en-AU"/>
        </w:rPr>
        <w:fldChar w:fldCharType="begin"/>
      </w:r>
      <w:r w:rsidRPr="00091600">
        <w:rPr>
          <w:rStyle w:val="Hyperlink"/>
          <w:rFonts w:cs="Calibri"/>
          <w:lang w:val="en-AU"/>
        </w:rPr>
        <w:instrText xml:space="preserve"> HYPERLINK "http://www.cgdev.org/files/1426292_file_Andrews_Pritchett_Woolcock_traps_FINAL.pdf" </w:instrText>
      </w:r>
      <w:r w:rsidRPr="00091600">
        <w:rPr>
          <w:rStyle w:val="Hyperlink"/>
          <w:rFonts w:cs="Calibri"/>
          <w:lang w:val="en-AU"/>
        </w:rPr>
        <w:fldChar w:fldCharType="separate"/>
      </w:r>
      <w:r w:rsidRPr="00091600">
        <w:rPr>
          <w:rStyle w:val="Hyperlink"/>
          <w:rFonts w:cs="Calibri"/>
          <w:lang w:val="en-AU"/>
        </w:rPr>
        <w:t>www.cgdev.org/files/1426292_file_Andrews_Pritchett_Woolcock_traps_FINAL.pdf</w:t>
      </w:r>
      <w:r w:rsidRPr="00091600">
        <w:rPr>
          <w:rStyle w:val="Hyperlink"/>
          <w:rFonts w:cs="Calibri"/>
          <w:lang w:val="en-AU"/>
        </w:rPr>
        <w:fldChar w:fldCharType="end"/>
      </w:r>
      <w:r w:rsidRPr="00091600">
        <w:rPr>
          <w:rFonts w:cs="Calibri"/>
          <w:color w:val="3F2177"/>
          <w:lang w:val="en-AU"/>
        </w:rPr>
        <w:t>.</w:t>
      </w:r>
    </w:p>
    <w:p w:rsidR="000F4B57" w:rsidRPr="00091600" w:rsidRDefault="000F4B57" w:rsidP="006332DC">
      <w:pPr>
        <w:pStyle w:val="BodyText"/>
        <w:rPr>
          <w:lang w:val="en-AU"/>
        </w:rPr>
      </w:pPr>
      <w:bookmarkStart w:id="131" w:name="_Hlk524691574"/>
      <w:r w:rsidRPr="00091600">
        <w:rPr>
          <w:lang w:val="en-AU"/>
        </w:rPr>
        <w:t>Australian High Commission (2015</w:t>
      </w:r>
      <w:r w:rsidR="00553FD0" w:rsidRPr="00091600">
        <w:rPr>
          <w:lang w:val="en-AU"/>
        </w:rPr>
        <w:t>)</w:t>
      </w:r>
      <w:r w:rsidRPr="00091600">
        <w:rPr>
          <w:lang w:val="en-AU"/>
        </w:rPr>
        <w:t xml:space="preserve"> ‘Pacific Leadership and Governance Precinct’, Brown Bag lunch presentation, 29 April.</w:t>
      </w:r>
    </w:p>
    <w:p w:rsidR="000F4B57" w:rsidRPr="00091600" w:rsidRDefault="000F4B57" w:rsidP="006332DC">
      <w:pPr>
        <w:pStyle w:val="BodyText"/>
        <w:rPr>
          <w:lang w:val="en-AU"/>
        </w:rPr>
      </w:pPr>
      <w:r w:rsidRPr="00091600">
        <w:rPr>
          <w:lang w:val="en-AU"/>
        </w:rPr>
        <w:t>Australian High Commission (2018</w:t>
      </w:r>
      <w:r w:rsidR="00074B3A" w:rsidRPr="00091600">
        <w:rPr>
          <w:lang w:val="en-AU"/>
        </w:rPr>
        <w:t>)</w:t>
      </w:r>
      <w:r w:rsidRPr="00091600">
        <w:rPr>
          <w:lang w:val="en-AU"/>
        </w:rPr>
        <w:t xml:space="preserve"> ‘Precinct expense report for Strategic Review’, 13 July.</w:t>
      </w:r>
    </w:p>
    <w:p w:rsidR="000F4B57" w:rsidRPr="00091600" w:rsidRDefault="000F4B57" w:rsidP="006332DC">
      <w:pPr>
        <w:pStyle w:val="BodyText"/>
        <w:rPr>
          <w:lang w:val="en-AU"/>
        </w:rPr>
      </w:pPr>
      <w:r w:rsidRPr="00091600">
        <w:rPr>
          <w:lang w:val="en-AU"/>
        </w:rPr>
        <w:t>ANU</w:t>
      </w:r>
      <w:r w:rsidR="009776C5" w:rsidRPr="00091600">
        <w:rPr>
          <w:lang w:val="en-AU"/>
        </w:rPr>
        <w:t>–</w:t>
      </w:r>
      <w:r w:rsidRPr="00091600">
        <w:rPr>
          <w:lang w:val="en-AU"/>
        </w:rPr>
        <w:t>UPNG (2016a</w:t>
      </w:r>
      <w:r w:rsidR="009776C5" w:rsidRPr="00091600">
        <w:rPr>
          <w:lang w:val="en-AU"/>
        </w:rPr>
        <w:t>)</w:t>
      </w:r>
      <w:r w:rsidRPr="00091600">
        <w:rPr>
          <w:lang w:val="en-AU"/>
        </w:rPr>
        <w:t xml:space="preserve"> ‘ANU Crawford-UPNG SBPP Partnership six-monthly report (January</w:t>
      </w:r>
      <w:r w:rsidR="00044AC5" w:rsidRPr="00091600">
        <w:rPr>
          <w:lang w:val="en-AU"/>
        </w:rPr>
        <w:t>–</w:t>
      </w:r>
      <w:r w:rsidRPr="00091600">
        <w:rPr>
          <w:lang w:val="en-AU"/>
        </w:rPr>
        <w:t xml:space="preserve">June)’, Policy Development Centre, Crawford School of Public Policy, ANU. Available at: </w:t>
      </w:r>
      <w:hyperlink r:id="rId32" w:history="1">
        <w:r w:rsidRPr="00091600">
          <w:rPr>
            <w:rStyle w:val="Hyperlink"/>
            <w:lang w:val="en-AU"/>
          </w:rPr>
          <w:t>http://devpolicy.org/UPNG%20reports/ANU_UPNG_report_Jan-Jun2016_1Aug2016_online.pdf</w:t>
        </w:r>
      </w:hyperlink>
      <w:bookmarkEnd w:id="131"/>
      <w:r w:rsidRPr="00091600">
        <w:rPr>
          <w:lang w:val="en-AU"/>
        </w:rPr>
        <w:t xml:space="preserve"> .</w:t>
      </w:r>
    </w:p>
    <w:p w:rsidR="000F4B57" w:rsidRPr="00091600" w:rsidRDefault="000F4B57" w:rsidP="006332DC">
      <w:pPr>
        <w:pStyle w:val="BodyText"/>
        <w:rPr>
          <w:lang w:val="en-AU"/>
        </w:rPr>
      </w:pPr>
      <w:r w:rsidRPr="00091600">
        <w:rPr>
          <w:lang w:val="en-AU"/>
        </w:rPr>
        <w:t>ANU</w:t>
      </w:r>
      <w:r w:rsidR="009776C5" w:rsidRPr="00091600">
        <w:rPr>
          <w:lang w:val="en-AU"/>
        </w:rPr>
        <w:t>–</w:t>
      </w:r>
      <w:r w:rsidRPr="00091600">
        <w:rPr>
          <w:lang w:val="en-AU"/>
        </w:rPr>
        <w:t>UPNG (2016b</w:t>
      </w:r>
      <w:r w:rsidR="009776C5" w:rsidRPr="00091600">
        <w:rPr>
          <w:lang w:val="en-AU"/>
        </w:rPr>
        <w:t>)</w:t>
      </w:r>
      <w:r w:rsidRPr="00091600">
        <w:rPr>
          <w:lang w:val="en-AU"/>
        </w:rPr>
        <w:t xml:space="preserve"> ‘Course and lecturer evaluations for Semester 2, 2016’</w:t>
      </w:r>
      <w:r w:rsidRPr="00091600">
        <w:rPr>
          <w:i/>
          <w:lang w:val="en-AU"/>
        </w:rPr>
        <w:t>.</w:t>
      </w:r>
    </w:p>
    <w:p w:rsidR="000F4B57" w:rsidRPr="00091600" w:rsidRDefault="000F4B57" w:rsidP="006332DC">
      <w:pPr>
        <w:pStyle w:val="BodyText"/>
        <w:rPr>
          <w:lang w:val="en-AU"/>
        </w:rPr>
      </w:pPr>
      <w:bookmarkStart w:id="132" w:name="_Hlk524691604"/>
      <w:r w:rsidRPr="00091600">
        <w:rPr>
          <w:lang w:val="en-AU"/>
        </w:rPr>
        <w:t>ANU</w:t>
      </w:r>
      <w:r w:rsidR="009776C5" w:rsidRPr="00091600">
        <w:rPr>
          <w:lang w:val="en-AU"/>
        </w:rPr>
        <w:t>–</w:t>
      </w:r>
      <w:r w:rsidRPr="00091600">
        <w:rPr>
          <w:lang w:val="en-AU"/>
        </w:rPr>
        <w:t>UPNG (2017a</w:t>
      </w:r>
      <w:r w:rsidR="009776C5" w:rsidRPr="00091600">
        <w:rPr>
          <w:lang w:val="en-AU"/>
        </w:rPr>
        <w:t>)</w:t>
      </w:r>
      <w:r w:rsidRPr="00091600">
        <w:rPr>
          <w:lang w:val="en-AU"/>
        </w:rPr>
        <w:t xml:space="preserve"> ‘ANU Crawford</w:t>
      </w:r>
      <w:r w:rsidR="009776C5" w:rsidRPr="00091600">
        <w:rPr>
          <w:lang w:val="en-AU"/>
        </w:rPr>
        <w:t>–</w:t>
      </w:r>
      <w:r w:rsidRPr="00091600">
        <w:rPr>
          <w:lang w:val="en-AU"/>
        </w:rPr>
        <w:t>UPNG SBPP Partnership six-monthly report (1 January</w:t>
      </w:r>
      <w:r w:rsidR="00044AC5" w:rsidRPr="00091600">
        <w:rPr>
          <w:lang w:val="en-AU"/>
        </w:rPr>
        <w:t>–</w:t>
      </w:r>
      <w:r w:rsidRPr="00091600">
        <w:rPr>
          <w:lang w:val="en-AU"/>
        </w:rPr>
        <w:t>30 June)’</w:t>
      </w:r>
      <w:r w:rsidRPr="00091600">
        <w:rPr>
          <w:i/>
          <w:lang w:val="en-AU"/>
        </w:rPr>
        <w:t>,</w:t>
      </w:r>
      <w:r w:rsidRPr="00091600">
        <w:rPr>
          <w:lang w:val="en-AU"/>
        </w:rPr>
        <w:t xml:space="preserve"> Policy Development Centre, Crawford School of Public Policy, ANU.</w:t>
      </w:r>
      <w:bookmarkEnd w:id="132"/>
      <w:r w:rsidRPr="00091600">
        <w:rPr>
          <w:lang w:val="en-AU"/>
        </w:rPr>
        <w:t xml:space="preserve"> Available at: </w:t>
      </w:r>
      <w:hyperlink r:id="rId33" w:history="1">
        <w:r w:rsidRPr="00091600">
          <w:rPr>
            <w:rStyle w:val="Hyperlink"/>
            <w:lang w:val="en-AU"/>
          </w:rPr>
          <w:t>http://devpolicy.org/UPNG%20reports/ANU_UPNG_Report_Jan-Jun2017_online.pdf</w:t>
        </w:r>
      </w:hyperlink>
      <w:r w:rsidRPr="00091600">
        <w:rPr>
          <w:lang w:val="en-AU"/>
        </w:rPr>
        <w:t>.</w:t>
      </w:r>
    </w:p>
    <w:p w:rsidR="000F4B57" w:rsidRPr="00091600" w:rsidRDefault="000F4B57" w:rsidP="006332DC">
      <w:pPr>
        <w:pStyle w:val="BodyText"/>
        <w:rPr>
          <w:lang w:val="en-AU"/>
        </w:rPr>
      </w:pPr>
      <w:r w:rsidRPr="00091600">
        <w:rPr>
          <w:lang w:val="en-AU"/>
        </w:rPr>
        <w:t>ANU</w:t>
      </w:r>
      <w:r w:rsidR="009776C5" w:rsidRPr="00091600">
        <w:rPr>
          <w:lang w:val="en-AU"/>
        </w:rPr>
        <w:t>–</w:t>
      </w:r>
      <w:r w:rsidRPr="00091600">
        <w:rPr>
          <w:lang w:val="en-AU"/>
        </w:rPr>
        <w:t>UPNG (2017b</w:t>
      </w:r>
      <w:r w:rsidR="009776C5" w:rsidRPr="00091600">
        <w:rPr>
          <w:lang w:val="en-AU"/>
        </w:rPr>
        <w:t>)</w:t>
      </w:r>
      <w:r w:rsidRPr="00091600">
        <w:rPr>
          <w:lang w:val="en-AU"/>
        </w:rPr>
        <w:t xml:space="preserve"> ‘ANU Crawford</w:t>
      </w:r>
      <w:r w:rsidR="009776C5" w:rsidRPr="00091600">
        <w:rPr>
          <w:lang w:val="en-AU"/>
        </w:rPr>
        <w:t>–</w:t>
      </w:r>
      <w:r w:rsidRPr="00091600">
        <w:rPr>
          <w:lang w:val="en-AU"/>
        </w:rPr>
        <w:t>UPNG SBPP Partnership six-monthly report (December)’</w:t>
      </w:r>
      <w:r w:rsidRPr="00091600">
        <w:rPr>
          <w:i/>
          <w:lang w:val="en-AU"/>
        </w:rPr>
        <w:t>,</w:t>
      </w:r>
      <w:r w:rsidRPr="00091600">
        <w:rPr>
          <w:lang w:val="en-AU"/>
        </w:rPr>
        <w:t xml:space="preserve"> Policy Development Centre, Crawford School of Public Policy, ANU. Available at: </w:t>
      </w:r>
      <w:hyperlink r:id="rId34" w:history="1">
        <w:r w:rsidRPr="00091600">
          <w:rPr>
            <w:rStyle w:val="Hyperlink"/>
            <w:lang w:val="en-AU"/>
          </w:rPr>
          <w:t>http://devpolicy.org/pdf/website/ANU-UPNG/ANU_UPNG_Report_Jul-Dec2016_online.pdf</w:t>
        </w:r>
      </w:hyperlink>
      <w:r w:rsidRPr="00091600">
        <w:rPr>
          <w:lang w:val="en-AU"/>
        </w:rPr>
        <w:t>.</w:t>
      </w:r>
    </w:p>
    <w:p w:rsidR="000F4B57" w:rsidRPr="00091600" w:rsidRDefault="000F4B57" w:rsidP="006332DC">
      <w:pPr>
        <w:pStyle w:val="BodyText"/>
        <w:rPr>
          <w:lang w:val="en-AU"/>
        </w:rPr>
      </w:pPr>
      <w:r w:rsidRPr="00091600">
        <w:rPr>
          <w:lang w:val="en-AU"/>
        </w:rPr>
        <w:t>ANU</w:t>
      </w:r>
      <w:r w:rsidR="009776C5" w:rsidRPr="00091600">
        <w:rPr>
          <w:lang w:val="en-AU"/>
        </w:rPr>
        <w:t>–</w:t>
      </w:r>
      <w:r w:rsidRPr="00091600">
        <w:rPr>
          <w:lang w:val="en-AU"/>
        </w:rPr>
        <w:t>UPNG (2017c</w:t>
      </w:r>
      <w:r w:rsidR="009776C5" w:rsidRPr="00091600">
        <w:rPr>
          <w:lang w:val="en-AU"/>
        </w:rPr>
        <w:t>)</w:t>
      </w:r>
      <w:r w:rsidRPr="00091600">
        <w:rPr>
          <w:lang w:val="en-AU"/>
        </w:rPr>
        <w:t xml:space="preserve"> ‘December 2017 Report to Penny De</w:t>
      </w:r>
      <w:r w:rsidR="00AC099B">
        <w:rPr>
          <w:lang w:val="en-AU"/>
        </w:rPr>
        <w:t>n</w:t>
      </w:r>
      <w:r w:rsidRPr="00091600">
        <w:rPr>
          <w:lang w:val="en-AU"/>
        </w:rPr>
        <w:t>nis, First Secretary, Australian High Commission’.</w:t>
      </w:r>
    </w:p>
    <w:p w:rsidR="000F4B57" w:rsidRPr="00091600" w:rsidRDefault="000F4B57" w:rsidP="006332DC">
      <w:pPr>
        <w:pStyle w:val="BodyText"/>
        <w:rPr>
          <w:lang w:val="en-AU"/>
        </w:rPr>
      </w:pPr>
      <w:r w:rsidRPr="00091600">
        <w:rPr>
          <w:lang w:val="en-AU"/>
        </w:rPr>
        <w:t>ANU–</w:t>
      </w:r>
      <w:r w:rsidR="009776C5" w:rsidRPr="00091600">
        <w:rPr>
          <w:lang w:val="en-AU"/>
        </w:rPr>
        <w:t>UPNG</w:t>
      </w:r>
      <w:r w:rsidRPr="00091600">
        <w:rPr>
          <w:lang w:val="en-AU"/>
        </w:rPr>
        <w:t xml:space="preserve"> (2017d) ‘2016 ANU</w:t>
      </w:r>
      <w:r w:rsidR="009776C5" w:rsidRPr="00091600">
        <w:rPr>
          <w:lang w:val="en-AU"/>
        </w:rPr>
        <w:t>–</w:t>
      </w:r>
      <w:r w:rsidRPr="00091600">
        <w:rPr>
          <w:lang w:val="en-AU"/>
        </w:rPr>
        <w:t>UPNG Economics Exam—Results Report’, 15 May.</w:t>
      </w:r>
    </w:p>
    <w:p w:rsidR="000F4B57" w:rsidRPr="00091600" w:rsidRDefault="000F4B57" w:rsidP="006332DC">
      <w:pPr>
        <w:pStyle w:val="BodyText"/>
        <w:rPr>
          <w:lang w:val="en-AU"/>
        </w:rPr>
      </w:pPr>
      <w:r w:rsidRPr="00091600">
        <w:rPr>
          <w:lang w:val="en-AU"/>
        </w:rPr>
        <w:t>ANU–</w:t>
      </w:r>
      <w:r w:rsidR="009776C5" w:rsidRPr="00091600">
        <w:rPr>
          <w:lang w:val="en-AU"/>
        </w:rPr>
        <w:t>UPNG</w:t>
      </w:r>
      <w:r w:rsidRPr="00091600">
        <w:rPr>
          <w:lang w:val="en-AU"/>
        </w:rPr>
        <w:t xml:space="preserve"> (2018a</w:t>
      </w:r>
      <w:r w:rsidR="009776C5" w:rsidRPr="00091600">
        <w:rPr>
          <w:lang w:val="en-AU"/>
        </w:rPr>
        <w:t>)</w:t>
      </w:r>
      <w:r w:rsidRPr="00091600">
        <w:rPr>
          <w:lang w:val="en-AU"/>
        </w:rPr>
        <w:t xml:space="preserve"> ‘ANU Crawford</w:t>
      </w:r>
      <w:r w:rsidR="009776C5" w:rsidRPr="00091600">
        <w:rPr>
          <w:lang w:val="en-AU"/>
        </w:rPr>
        <w:t>–</w:t>
      </w:r>
      <w:r w:rsidRPr="00091600">
        <w:rPr>
          <w:lang w:val="en-AU"/>
        </w:rPr>
        <w:t>UPNG SBPP Partnership six-monthly report (01 July</w:t>
      </w:r>
      <w:r w:rsidR="00044AC5" w:rsidRPr="00091600">
        <w:rPr>
          <w:lang w:val="en-AU"/>
        </w:rPr>
        <w:t>–</w:t>
      </w:r>
      <w:r w:rsidRPr="00091600">
        <w:rPr>
          <w:lang w:val="en-AU"/>
        </w:rPr>
        <w:t xml:space="preserve">31 December)’, Policy Development Centre, Crawford School of Public Policy, ANU. Available at: </w:t>
      </w:r>
      <w:hyperlink r:id="rId35" w:history="1">
        <w:r w:rsidRPr="00091600">
          <w:rPr>
            <w:rStyle w:val="Hyperlink"/>
            <w:lang w:val="en-AU"/>
          </w:rPr>
          <w:t>http://devpolicy.org/UPNG%20reports/ANU_UPNG_H2_2017_report_online.pdf</w:t>
        </w:r>
      </w:hyperlink>
      <w:r w:rsidRPr="00091600">
        <w:rPr>
          <w:lang w:val="en-AU"/>
        </w:rPr>
        <w:t>.</w:t>
      </w:r>
    </w:p>
    <w:p w:rsidR="000F4B57" w:rsidRPr="00091600" w:rsidRDefault="000F4B57" w:rsidP="006332DC">
      <w:pPr>
        <w:pStyle w:val="BodyText"/>
        <w:rPr>
          <w:i/>
          <w:lang w:val="en-AU"/>
        </w:rPr>
      </w:pPr>
      <w:bookmarkStart w:id="133" w:name="_Hlk524691628"/>
      <w:r w:rsidRPr="00091600">
        <w:rPr>
          <w:lang w:val="en-AU"/>
        </w:rPr>
        <w:t>ANU–</w:t>
      </w:r>
      <w:r w:rsidR="009776C5" w:rsidRPr="00091600">
        <w:rPr>
          <w:lang w:val="en-AU"/>
        </w:rPr>
        <w:t>UPNG</w:t>
      </w:r>
      <w:r w:rsidRPr="00091600">
        <w:rPr>
          <w:lang w:val="en-AU"/>
        </w:rPr>
        <w:t xml:space="preserve"> (2018b</w:t>
      </w:r>
      <w:r w:rsidR="009776C5" w:rsidRPr="00091600">
        <w:rPr>
          <w:lang w:val="en-AU"/>
        </w:rPr>
        <w:t>)</w:t>
      </w:r>
      <w:r w:rsidRPr="00091600">
        <w:rPr>
          <w:lang w:val="en-AU"/>
        </w:rPr>
        <w:t xml:space="preserve"> ‘ANU Crawford</w:t>
      </w:r>
      <w:r w:rsidR="009776C5" w:rsidRPr="00091600">
        <w:rPr>
          <w:lang w:val="en-AU"/>
        </w:rPr>
        <w:t>–</w:t>
      </w:r>
      <w:r w:rsidRPr="00091600">
        <w:rPr>
          <w:lang w:val="en-AU"/>
        </w:rPr>
        <w:t>UPNG SBPP Partnership summer school Jan–Feb 2018 report’, Policy Development Centre, Crawford School of Public Policy, ANU.</w:t>
      </w:r>
      <w:bookmarkEnd w:id="133"/>
    </w:p>
    <w:p w:rsidR="000F4B57" w:rsidRPr="00091600" w:rsidRDefault="000F4B57" w:rsidP="006332DC">
      <w:pPr>
        <w:pStyle w:val="BodyText"/>
        <w:rPr>
          <w:lang w:val="en-AU"/>
        </w:rPr>
      </w:pPr>
      <w:bookmarkStart w:id="134" w:name="_Hlk524691736"/>
      <w:r w:rsidRPr="00091600">
        <w:rPr>
          <w:rFonts w:cs="Calibri"/>
          <w:lang w:val="en-AU"/>
        </w:rPr>
        <w:t xml:space="preserve">Arezki, R., Lui, H., Quintyn, M., and </w:t>
      </w:r>
      <w:r w:rsidR="00047D3A" w:rsidRPr="00091600">
        <w:rPr>
          <w:rFonts w:cs="Calibri"/>
          <w:lang w:val="en-AU"/>
        </w:rPr>
        <w:t xml:space="preserve"> </w:t>
      </w:r>
      <w:r w:rsidRPr="00091600">
        <w:rPr>
          <w:rFonts w:cs="Calibri"/>
          <w:lang w:val="en-AU"/>
        </w:rPr>
        <w:t>Toscani, F. (2012</w:t>
      </w:r>
      <w:r w:rsidR="009776C5" w:rsidRPr="00091600">
        <w:rPr>
          <w:rFonts w:cs="Calibri"/>
          <w:lang w:val="en-AU"/>
        </w:rPr>
        <w:t>)</w:t>
      </w:r>
      <w:r w:rsidRPr="00091600">
        <w:rPr>
          <w:rFonts w:cs="Calibri"/>
          <w:lang w:val="en-AU"/>
        </w:rPr>
        <w:t xml:space="preserve"> ‘</w:t>
      </w:r>
      <w:r w:rsidRPr="00091600">
        <w:rPr>
          <w:lang w:val="en-AU"/>
        </w:rPr>
        <w:t>Education attainment in public administration around the world: Evidence from a new dataset’</w:t>
      </w:r>
      <w:r w:rsidRPr="00091600">
        <w:rPr>
          <w:rFonts w:cs="Calibri"/>
          <w:lang w:val="en-AU"/>
        </w:rPr>
        <w:t xml:space="preserve">, </w:t>
      </w:r>
      <w:r w:rsidRPr="00091600">
        <w:rPr>
          <w:rFonts w:cs="Calibri"/>
          <w:i/>
          <w:lang w:val="en-AU"/>
        </w:rPr>
        <w:t>IMF Working Paper 12/231</w:t>
      </w:r>
      <w:r w:rsidRPr="00091600">
        <w:rPr>
          <w:rFonts w:cs="Calibri"/>
          <w:lang w:val="en-AU"/>
        </w:rPr>
        <w:t>, International Monetary Fund</w:t>
      </w:r>
      <w:r w:rsidR="00047D3A" w:rsidRPr="00091600">
        <w:rPr>
          <w:rFonts w:cs="Calibri"/>
          <w:lang w:val="en-AU"/>
        </w:rPr>
        <w:t>,</w:t>
      </w:r>
      <w:r w:rsidRPr="00091600">
        <w:rPr>
          <w:rFonts w:cs="Calibri"/>
          <w:lang w:val="en-AU"/>
        </w:rPr>
        <w:t xml:space="preserve"> Washington </w:t>
      </w:r>
      <w:r w:rsidR="00044AC5" w:rsidRPr="00091600">
        <w:rPr>
          <w:rFonts w:cs="Calibri"/>
          <w:lang w:val="en-AU"/>
        </w:rPr>
        <w:t>DC</w:t>
      </w:r>
      <w:r w:rsidRPr="00091600">
        <w:rPr>
          <w:rFonts w:cs="Calibri"/>
          <w:lang w:val="en-AU"/>
        </w:rPr>
        <w:t xml:space="preserve">. </w:t>
      </w:r>
      <w:r w:rsidRPr="00091600">
        <w:rPr>
          <w:lang w:val="en-AU"/>
        </w:rPr>
        <w:t>Available at</w:t>
      </w:r>
      <w:r w:rsidR="00047D3A" w:rsidRPr="00091600">
        <w:rPr>
          <w:lang w:val="en-AU"/>
        </w:rPr>
        <w:t>:</w:t>
      </w:r>
      <w:r w:rsidR="00047D3A" w:rsidRPr="00091600">
        <w:rPr>
          <w:rFonts w:cs="Calibri"/>
          <w:color w:val="4C1691"/>
          <w:lang w:val="en-AU"/>
        </w:rPr>
        <w:t xml:space="preserve"> </w:t>
      </w:r>
      <w:bookmarkEnd w:id="134"/>
      <w:r w:rsidRPr="00091600">
        <w:rPr>
          <w:rStyle w:val="Hyperlink"/>
          <w:rFonts w:cs="Calibri"/>
          <w:lang w:val="en-AU"/>
        </w:rPr>
        <w:fldChar w:fldCharType="begin"/>
      </w:r>
      <w:r w:rsidRPr="00091600">
        <w:rPr>
          <w:rStyle w:val="Hyperlink"/>
          <w:rFonts w:cs="Calibri"/>
          <w:lang w:val="en-AU"/>
        </w:rPr>
        <w:instrText xml:space="preserve"> HYPERLINK "http://www.imf.org/external/pubs/ft/wp/2012/wp12231.pdf" </w:instrText>
      </w:r>
      <w:r w:rsidRPr="00091600">
        <w:rPr>
          <w:rStyle w:val="Hyperlink"/>
          <w:rFonts w:cs="Calibri"/>
          <w:lang w:val="en-AU"/>
        </w:rPr>
        <w:fldChar w:fldCharType="separate"/>
      </w:r>
      <w:r w:rsidRPr="00091600">
        <w:rPr>
          <w:rStyle w:val="Hyperlink"/>
          <w:rFonts w:cs="Calibri"/>
          <w:lang w:val="en-AU"/>
        </w:rPr>
        <w:t>www.imf.org/external/pubs/ft/wp/2012/wp12231.pdf</w:t>
      </w:r>
      <w:r w:rsidRPr="00091600">
        <w:rPr>
          <w:rStyle w:val="Hyperlink"/>
          <w:rFonts w:cs="Calibri"/>
          <w:lang w:val="en-AU"/>
        </w:rPr>
        <w:fldChar w:fldCharType="end"/>
      </w:r>
      <w:r w:rsidRPr="00091600">
        <w:rPr>
          <w:rFonts w:cs="Calibri"/>
          <w:color w:val="4C1691"/>
          <w:lang w:val="en-AU"/>
        </w:rPr>
        <w:t>.</w:t>
      </w:r>
    </w:p>
    <w:p w:rsidR="000F4B57" w:rsidRPr="00091600" w:rsidRDefault="000F4B57" w:rsidP="006332DC">
      <w:pPr>
        <w:pStyle w:val="BodyText"/>
        <w:rPr>
          <w:rFonts w:cs="Calibri"/>
          <w:lang w:val="en-AU"/>
        </w:rPr>
      </w:pPr>
      <w:bookmarkStart w:id="135" w:name="_Hlk524691723"/>
      <w:r w:rsidRPr="00091600">
        <w:rPr>
          <w:rFonts w:cs="Calibri"/>
          <w:lang w:val="en-AU"/>
        </w:rPr>
        <w:t>Arezki, R. and Quintyn, M. (2013</w:t>
      </w:r>
      <w:r w:rsidR="009776C5" w:rsidRPr="00091600">
        <w:rPr>
          <w:rFonts w:cs="Calibri"/>
          <w:lang w:val="en-AU"/>
        </w:rPr>
        <w:t>)</w:t>
      </w:r>
      <w:r w:rsidRPr="00091600">
        <w:rPr>
          <w:rFonts w:cs="Calibri"/>
          <w:lang w:val="en-AU"/>
        </w:rPr>
        <w:t xml:space="preserve"> ‘Degrees of development’, </w:t>
      </w:r>
      <w:r w:rsidRPr="00091600">
        <w:rPr>
          <w:i/>
          <w:lang w:val="en-AU"/>
        </w:rPr>
        <w:t>Finance and Development</w:t>
      </w:r>
      <w:r w:rsidRPr="00091600">
        <w:rPr>
          <w:rFonts w:cs="Calibri"/>
          <w:lang w:val="en-AU"/>
        </w:rPr>
        <w:t xml:space="preserve"> </w:t>
      </w:r>
      <w:r w:rsidRPr="00091600">
        <w:rPr>
          <w:lang w:val="en-AU"/>
        </w:rPr>
        <w:t>50</w:t>
      </w:r>
      <w:r w:rsidRPr="00091600">
        <w:rPr>
          <w:rFonts w:cs="Calibri"/>
          <w:lang w:val="en-AU"/>
        </w:rPr>
        <w:t>(1), pp</w:t>
      </w:r>
      <w:r w:rsidR="00047D3A" w:rsidRPr="00091600">
        <w:rPr>
          <w:rFonts w:cs="Calibri"/>
          <w:lang w:val="en-AU"/>
        </w:rPr>
        <w:t>.</w:t>
      </w:r>
      <w:r w:rsidRPr="00091600">
        <w:rPr>
          <w:rFonts w:cs="Calibri"/>
          <w:lang w:val="en-AU"/>
        </w:rPr>
        <w:t xml:space="preserve"> 42</w:t>
      </w:r>
      <w:r w:rsidRPr="00091600">
        <w:rPr>
          <w:lang w:val="en-AU"/>
        </w:rPr>
        <w:t>–</w:t>
      </w:r>
      <w:r w:rsidRPr="00091600">
        <w:rPr>
          <w:rFonts w:cs="Calibri"/>
          <w:lang w:val="en-AU"/>
        </w:rPr>
        <w:t xml:space="preserve">45. </w:t>
      </w:r>
      <w:r w:rsidRPr="00091600">
        <w:rPr>
          <w:lang w:val="en-AU"/>
        </w:rPr>
        <w:t xml:space="preserve">Available at: </w:t>
      </w:r>
      <w:hyperlink r:id="rId36" w:history="1">
        <w:r w:rsidR="001B7F73" w:rsidRPr="00091600">
          <w:rPr>
            <w:rStyle w:val="Hyperlink"/>
            <w:rFonts w:cs="Calibri"/>
            <w:lang w:val="en-AU"/>
          </w:rPr>
          <w:t>www.imf.org/external/pubs/ft/fandd/2013/03/arezki.htm</w:t>
        </w:r>
      </w:hyperlink>
      <w:r w:rsidRPr="00091600">
        <w:rPr>
          <w:rFonts w:cs="Calibri"/>
          <w:color w:val="4C1691"/>
          <w:lang w:val="en-AU"/>
        </w:rPr>
        <w:t>.</w:t>
      </w:r>
      <w:bookmarkEnd w:id="135"/>
    </w:p>
    <w:p w:rsidR="000F4B57" w:rsidRPr="00091600" w:rsidRDefault="000F4B57" w:rsidP="006332DC">
      <w:pPr>
        <w:pStyle w:val="BodyText"/>
        <w:rPr>
          <w:lang w:val="en-AU"/>
        </w:rPr>
      </w:pPr>
      <w:r w:rsidRPr="00091600">
        <w:rPr>
          <w:lang w:val="en-AU"/>
        </w:rPr>
        <w:t>Australia Awards (2018</w:t>
      </w:r>
      <w:r w:rsidR="009776C5" w:rsidRPr="00091600">
        <w:rPr>
          <w:lang w:val="en-AU"/>
        </w:rPr>
        <w:t>)</w:t>
      </w:r>
      <w:r w:rsidRPr="00091600">
        <w:rPr>
          <w:lang w:val="en-AU"/>
        </w:rPr>
        <w:t xml:space="preserve"> ‘Information brief: Australia Awards</w:t>
      </w:r>
      <w:r w:rsidRPr="00091600">
        <w:rPr>
          <w:i/>
          <w:lang w:val="en-AU"/>
        </w:rPr>
        <w:t>’</w:t>
      </w:r>
      <w:r w:rsidR="00047D3A" w:rsidRPr="00091600">
        <w:rPr>
          <w:i/>
          <w:lang w:val="en-AU"/>
        </w:rPr>
        <w:t>,</w:t>
      </w:r>
      <w:r w:rsidRPr="00091600">
        <w:rPr>
          <w:lang w:val="en-AU"/>
        </w:rPr>
        <w:t xml:space="preserve"> February</w:t>
      </w:r>
      <w:r w:rsidRPr="00091600">
        <w:rPr>
          <w:i/>
          <w:lang w:val="en-AU"/>
        </w:rPr>
        <w:t xml:space="preserve">. </w:t>
      </w:r>
      <w:r w:rsidRPr="00091600">
        <w:rPr>
          <w:lang w:val="en-AU"/>
        </w:rPr>
        <w:t xml:space="preserve">Available at: </w:t>
      </w:r>
      <w:hyperlink r:id="rId37" w:history="1">
        <w:r w:rsidRPr="00091600">
          <w:rPr>
            <w:rStyle w:val="Hyperlink"/>
            <w:lang w:val="en-AU"/>
          </w:rPr>
          <w:t>http://dfat.gov.au/about-us/publications/Documents/australia-awards-statistical-profile.pdf</w:t>
        </w:r>
      </w:hyperlink>
      <w:r w:rsidRPr="00091600">
        <w:rPr>
          <w:lang w:val="en-AU"/>
        </w:rPr>
        <w:t>.</w:t>
      </w:r>
    </w:p>
    <w:p w:rsidR="000F4B57" w:rsidRPr="00091600" w:rsidRDefault="000F4B57" w:rsidP="006332DC">
      <w:pPr>
        <w:pStyle w:val="BodyText"/>
        <w:rPr>
          <w:lang w:val="en-AU"/>
        </w:rPr>
      </w:pPr>
      <w:r w:rsidRPr="00091600">
        <w:rPr>
          <w:rFonts w:cs="Calibri"/>
          <w:lang w:val="en-AU"/>
        </w:rPr>
        <w:t>Bebbington, A. and McCourt, W. (2006</w:t>
      </w:r>
      <w:r w:rsidR="009776C5" w:rsidRPr="00091600">
        <w:rPr>
          <w:rFonts w:cs="Calibri"/>
          <w:lang w:val="en-AU"/>
        </w:rPr>
        <w:t>)</w:t>
      </w:r>
      <w:r w:rsidRPr="00091600">
        <w:rPr>
          <w:rFonts w:cs="Calibri"/>
          <w:lang w:val="en-AU"/>
        </w:rPr>
        <w:t xml:space="preserve"> ‘</w:t>
      </w:r>
      <w:r w:rsidRPr="00091600">
        <w:rPr>
          <w:lang w:val="en-AU"/>
        </w:rPr>
        <w:t>Where does development success come from? Explanations and practical implications’</w:t>
      </w:r>
      <w:r w:rsidRPr="00091600">
        <w:rPr>
          <w:rFonts w:cs="Calibri"/>
          <w:i/>
          <w:lang w:val="en-AU"/>
        </w:rPr>
        <w:t>,</w:t>
      </w:r>
      <w:r w:rsidRPr="00091600">
        <w:rPr>
          <w:rFonts w:cs="Calibri"/>
          <w:lang w:val="en-AU"/>
        </w:rPr>
        <w:t xml:space="preserve"> </w:t>
      </w:r>
      <w:r w:rsidRPr="00091600">
        <w:rPr>
          <w:rFonts w:cs="Calibri"/>
          <w:i/>
          <w:lang w:val="en-AU"/>
        </w:rPr>
        <w:t>IDPM Working Paper no. 70</w:t>
      </w:r>
      <w:r w:rsidRPr="00091600">
        <w:rPr>
          <w:rFonts w:cs="Calibri"/>
          <w:lang w:val="en-AU"/>
        </w:rPr>
        <w:t xml:space="preserve">, Institute for Development Policy and Management, University of Manchester. </w:t>
      </w:r>
      <w:r w:rsidRPr="00091600">
        <w:rPr>
          <w:lang w:val="en-AU"/>
        </w:rPr>
        <w:t xml:space="preserve">Available at: </w:t>
      </w:r>
      <w:hyperlink r:id="rId38" w:history="1">
        <w:r w:rsidRPr="00091600">
          <w:rPr>
            <w:rStyle w:val="Hyperlink"/>
            <w:rFonts w:cs="Calibri"/>
            <w:lang w:val="en-AU"/>
          </w:rPr>
          <w:t>http://hummedia.manchester.ac.uk/institutes/gdi/publications/workingpapers/archive/gdp/dp_wp70.pdf</w:t>
        </w:r>
      </w:hyperlink>
      <w:r w:rsidRPr="00091600">
        <w:rPr>
          <w:rFonts w:cs="Calibri"/>
          <w:lang w:val="en-AU"/>
        </w:rPr>
        <w:t>.</w:t>
      </w:r>
    </w:p>
    <w:p w:rsidR="000F4B57" w:rsidRPr="00091600" w:rsidRDefault="000F4B57" w:rsidP="006332DC">
      <w:pPr>
        <w:pStyle w:val="BodyText"/>
        <w:rPr>
          <w:lang w:val="en-AU"/>
        </w:rPr>
      </w:pPr>
      <w:bookmarkStart w:id="136" w:name="_Hlk524692403"/>
      <w:r w:rsidRPr="00091600">
        <w:rPr>
          <w:lang w:val="en-AU"/>
        </w:rPr>
        <w:t>Brannelly, L., Lewis, L., and Ndaruhutse, S. (2011</w:t>
      </w:r>
      <w:r w:rsidR="009776C5" w:rsidRPr="00091600">
        <w:rPr>
          <w:lang w:val="en-AU"/>
        </w:rPr>
        <w:t>)</w:t>
      </w:r>
      <w:r w:rsidRPr="00091600">
        <w:rPr>
          <w:lang w:val="en-AU"/>
        </w:rPr>
        <w:t xml:space="preserve"> ‘</w:t>
      </w:r>
      <w:r w:rsidRPr="00091600">
        <w:rPr>
          <w:iCs/>
          <w:lang w:val="en-AU"/>
        </w:rPr>
        <w:t>Learning and leadership: Exploring the linkages between higher education and developmental leadership’</w:t>
      </w:r>
      <w:r w:rsidRPr="00091600">
        <w:rPr>
          <w:i/>
          <w:iCs/>
          <w:lang w:val="en-AU"/>
        </w:rPr>
        <w:t>,</w:t>
      </w:r>
      <w:r w:rsidRPr="00091600">
        <w:rPr>
          <w:lang w:val="en-AU"/>
        </w:rPr>
        <w:t xml:space="preserve"> Developmental Leadership Program.</w:t>
      </w:r>
      <w:bookmarkEnd w:id="136"/>
      <w:r w:rsidRPr="00091600">
        <w:rPr>
          <w:lang w:val="en-AU"/>
        </w:rPr>
        <w:t xml:space="preserve"> Available at: </w:t>
      </w:r>
      <w:hyperlink r:id="rId39" w:history="1">
        <w:r w:rsidRPr="00091600">
          <w:rPr>
            <w:rStyle w:val="Hyperlink"/>
            <w:lang w:val="en-AU"/>
          </w:rPr>
          <w:t>http://publications.dlprog.org/Learning%20and%20Leadership.pdf</w:t>
        </w:r>
      </w:hyperlink>
      <w:r w:rsidRPr="00091600">
        <w:rPr>
          <w:lang w:val="en-AU"/>
        </w:rPr>
        <w:t>.</w:t>
      </w:r>
    </w:p>
    <w:p w:rsidR="000F4B57" w:rsidRPr="00091600" w:rsidRDefault="000F4B57" w:rsidP="006332DC">
      <w:pPr>
        <w:pStyle w:val="BodyText"/>
        <w:rPr>
          <w:lang w:val="en-AU"/>
        </w:rPr>
      </w:pPr>
      <w:r w:rsidRPr="00091600">
        <w:rPr>
          <w:lang w:val="en-AU"/>
        </w:rPr>
        <w:t>Commonwealth of Australia DFAT (2015</w:t>
      </w:r>
      <w:r w:rsidR="009776C5" w:rsidRPr="00091600">
        <w:rPr>
          <w:lang w:val="en-AU"/>
        </w:rPr>
        <w:t>)</w:t>
      </w:r>
      <w:r w:rsidRPr="00091600">
        <w:rPr>
          <w:lang w:val="en-AU"/>
        </w:rPr>
        <w:t xml:space="preserve"> ‘DFAT Indigenous peoples strategy 2015–2019’, June. Available at: </w:t>
      </w:r>
      <w:hyperlink r:id="rId40" w:history="1">
        <w:r w:rsidRPr="00091600">
          <w:rPr>
            <w:rStyle w:val="Hyperlink"/>
            <w:lang w:val="en-AU"/>
          </w:rPr>
          <w:t>https://dfat.gov.au/about-us/publications/Documents/dfat-indigenous-peoples-strategy-2015-2019.pdf</w:t>
        </w:r>
      </w:hyperlink>
      <w:r w:rsidRPr="00091600">
        <w:rPr>
          <w:rStyle w:val="Hyperlink"/>
          <w:lang w:val="en-AU"/>
        </w:rPr>
        <w:t>.</w:t>
      </w:r>
    </w:p>
    <w:p w:rsidR="000F4B57" w:rsidRPr="00091600" w:rsidRDefault="000F4B57" w:rsidP="006332DC">
      <w:pPr>
        <w:pStyle w:val="BodyText"/>
        <w:rPr>
          <w:lang w:val="en-AU"/>
        </w:rPr>
      </w:pPr>
      <w:r w:rsidRPr="00091600">
        <w:rPr>
          <w:lang w:val="en-AU"/>
        </w:rPr>
        <w:t>Commonwealth of Australia DFAT (2016a</w:t>
      </w:r>
      <w:r w:rsidR="009776C5" w:rsidRPr="00091600">
        <w:rPr>
          <w:lang w:val="en-AU"/>
        </w:rPr>
        <w:t>)</w:t>
      </w:r>
      <w:r w:rsidRPr="00091600">
        <w:rPr>
          <w:lang w:val="en-AU"/>
        </w:rPr>
        <w:t xml:space="preserve"> ‘Disability action strategy 2017–2020’, December. Available at: </w:t>
      </w:r>
      <w:hyperlink r:id="rId41" w:history="1">
        <w:r w:rsidRPr="00091600">
          <w:rPr>
            <w:rStyle w:val="Hyperlink"/>
            <w:lang w:val="en-AU"/>
          </w:rPr>
          <w:t>https://dfat.gov.au/about-us/publications/Pages/disability-action-strategy-2017-2020.aspx</w:t>
        </w:r>
      </w:hyperlink>
      <w:r w:rsidRPr="00091600">
        <w:rPr>
          <w:rStyle w:val="Hyperlink"/>
          <w:lang w:val="en-AU"/>
        </w:rPr>
        <w:t>.</w:t>
      </w:r>
      <w:r w:rsidRPr="00091600">
        <w:rPr>
          <w:lang w:val="en-AU"/>
        </w:rPr>
        <w:t xml:space="preserve"> </w:t>
      </w:r>
    </w:p>
    <w:p w:rsidR="000F4B57" w:rsidRPr="00091600" w:rsidRDefault="000F4B57" w:rsidP="006332DC">
      <w:pPr>
        <w:pStyle w:val="BodyText"/>
        <w:rPr>
          <w:lang w:val="en-AU"/>
        </w:rPr>
      </w:pPr>
      <w:r w:rsidRPr="00091600">
        <w:rPr>
          <w:lang w:val="en-AU"/>
        </w:rPr>
        <w:t>Commonwealth of Australia DFAT (2016b</w:t>
      </w:r>
      <w:r w:rsidR="009776C5" w:rsidRPr="00091600">
        <w:rPr>
          <w:lang w:val="en-AU"/>
        </w:rPr>
        <w:t>)</w:t>
      </w:r>
      <w:r w:rsidRPr="00091600">
        <w:rPr>
          <w:lang w:val="en-AU"/>
        </w:rPr>
        <w:t xml:space="preserve"> ‘Gender equality and women’s empowerment strategy’</w:t>
      </w:r>
      <w:r w:rsidRPr="00091600">
        <w:rPr>
          <w:i/>
          <w:lang w:val="en-AU"/>
        </w:rPr>
        <w:t xml:space="preserve">, </w:t>
      </w:r>
      <w:r w:rsidRPr="00091600">
        <w:rPr>
          <w:lang w:val="en-AU"/>
        </w:rPr>
        <w:t xml:space="preserve">February. Available at: </w:t>
      </w:r>
      <w:hyperlink r:id="rId42" w:history="1">
        <w:r w:rsidRPr="00091600">
          <w:rPr>
            <w:rStyle w:val="Hyperlink"/>
            <w:lang w:val="en-AU"/>
          </w:rPr>
          <w:t>https://dfat.gov.au/about-us/publications/Documents/gender-equality-and-womens-empowerment-strategy.pdf</w:t>
        </w:r>
      </w:hyperlink>
      <w:r w:rsidRPr="00091600">
        <w:rPr>
          <w:rStyle w:val="Hyperlink"/>
          <w:lang w:val="en-AU"/>
        </w:rPr>
        <w:t>.</w:t>
      </w:r>
    </w:p>
    <w:p w:rsidR="000F4B57" w:rsidRPr="00091600" w:rsidRDefault="000F4B57" w:rsidP="006332DC">
      <w:pPr>
        <w:pStyle w:val="BodyText"/>
        <w:rPr>
          <w:lang w:val="en-AU"/>
        </w:rPr>
      </w:pPr>
      <w:r w:rsidRPr="00091600">
        <w:rPr>
          <w:lang w:val="en-AU"/>
        </w:rPr>
        <w:t>Commonwealth of Australia (2017a</w:t>
      </w:r>
      <w:r w:rsidR="009776C5" w:rsidRPr="00091600">
        <w:rPr>
          <w:lang w:val="en-AU"/>
        </w:rPr>
        <w:t>)</w:t>
      </w:r>
      <w:r w:rsidRPr="00091600">
        <w:rPr>
          <w:lang w:val="en-AU"/>
        </w:rPr>
        <w:t xml:space="preserve"> ‘Foreign policy white paper’. Available at: </w:t>
      </w:r>
      <w:r w:rsidR="00DF6EC1" w:rsidRPr="00091600">
        <w:rPr>
          <w:lang w:val="en-AU"/>
        </w:rPr>
        <w:t xml:space="preserve"> </w:t>
      </w:r>
      <w:hyperlink r:id="rId43" w:history="1">
        <w:r w:rsidR="001B7F73" w:rsidRPr="00091600">
          <w:rPr>
            <w:rStyle w:val="Hyperlink"/>
            <w:lang w:val="en-AU"/>
          </w:rPr>
          <w:t>www.fpwhitepaper.gov.au/foreign-policy-white-paper</w:t>
        </w:r>
      </w:hyperlink>
      <w:r w:rsidRPr="00091600">
        <w:rPr>
          <w:lang w:val="en-AU"/>
        </w:rPr>
        <w:t>.</w:t>
      </w:r>
    </w:p>
    <w:p w:rsidR="000F4B57" w:rsidRPr="00091600" w:rsidRDefault="000F4B57" w:rsidP="006332DC">
      <w:pPr>
        <w:pStyle w:val="BodyText"/>
        <w:rPr>
          <w:i/>
          <w:lang w:val="en-AU"/>
        </w:rPr>
      </w:pPr>
      <w:r w:rsidRPr="00091600">
        <w:rPr>
          <w:lang w:val="en-AU"/>
        </w:rPr>
        <w:t>Commonwealth of Australia DFAT (2017b</w:t>
      </w:r>
      <w:r w:rsidR="009776C5" w:rsidRPr="00091600">
        <w:rPr>
          <w:lang w:val="en-AU"/>
        </w:rPr>
        <w:t>)</w:t>
      </w:r>
      <w:r w:rsidRPr="00091600">
        <w:rPr>
          <w:lang w:val="en-AU"/>
        </w:rPr>
        <w:t xml:space="preserve"> ‘Abt management PGF Service </w:t>
      </w:r>
      <w:r w:rsidR="009F5553" w:rsidRPr="00091600">
        <w:rPr>
          <w:lang w:val="en-AU"/>
        </w:rPr>
        <w:t>Order</w:t>
      </w:r>
      <w:r w:rsidR="00047D3A" w:rsidRPr="00091600">
        <w:rPr>
          <w:lang w:val="en-AU"/>
        </w:rPr>
        <w:t>’</w:t>
      </w:r>
      <w:r w:rsidRPr="00091600">
        <w:rPr>
          <w:lang w:val="en-AU"/>
        </w:rPr>
        <w:t>.</w:t>
      </w:r>
    </w:p>
    <w:p w:rsidR="000F4B57" w:rsidRPr="00091600" w:rsidRDefault="000F4B57" w:rsidP="006332DC">
      <w:pPr>
        <w:pStyle w:val="BodyText"/>
        <w:rPr>
          <w:lang w:val="en-AU"/>
        </w:rPr>
      </w:pPr>
      <w:bookmarkStart w:id="137" w:name="_Hlk524692064"/>
      <w:r w:rsidRPr="00091600">
        <w:rPr>
          <w:lang w:val="en-AU"/>
        </w:rPr>
        <w:t>Commonwealth of Australia DFAT (2017c</w:t>
      </w:r>
      <w:r w:rsidR="009776C5" w:rsidRPr="00091600">
        <w:rPr>
          <w:lang w:val="en-AU"/>
        </w:rPr>
        <w:t>)</w:t>
      </w:r>
      <w:r w:rsidRPr="00091600">
        <w:rPr>
          <w:lang w:val="en-AU"/>
        </w:rPr>
        <w:t xml:space="preserve"> ‘Economic and public sector group twinning II programme report, July</w:t>
      </w:r>
      <w:r w:rsidR="00044AC5" w:rsidRPr="00091600">
        <w:rPr>
          <w:lang w:val="en-AU"/>
        </w:rPr>
        <w:t>–</w:t>
      </w:r>
      <w:r w:rsidRPr="00091600">
        <w:rPr>
          <w:lang w:val="en-AU"/>
        </w:rPr>
        <w:t>December’.</w:t>
      </w:r>
      <w:bookmarkEnd w:id="137"/>
    </w:p>
    <w:p w:rsidR="000F4B57" w:rsidRPr="00091600" w:rsidRDefault="000F4B57" w:rsidP="006332DC">
      <w:pPr>
        <w:pStyle w:val="BodyText"/>
        <w:rPr>
          <w:lang w:val="en-AU"/>
        </w:rPr>
      </w:pPr>
      <w:bookmarkStart w:id="138" w:name="_Hlk524694106"/>
      <w:r w:rsidRPr="00091600">
        <w:rPr>
          <w:lang w:val="en-AU"/>
        </w:rPr>
        <w:t>Commonwealth of Australia DFAT (2017d</w:t>
      </w:r>
      <w:r w:rsidR="009776C5" w:rsidRPr="00091600">
        <w:rPr>
          <w:lang w:val="en-AU"/>
        </w:rPr>
        <w:t>)</w:t>
      </w:r>
      <w:r w:rsidRPr="00091600">
        <w:rPr>
          <w:lang w:val="en-AU"/>
        </w:rPr>
        <w:t xml:space="preserve"> ‘Investment design document: Water for women fund’, </w:t>
      </w:r>
      <w:r w:rsidR="00044AC5" w:rsidRPr="00091600">
        <w:rPr>
          <w:lang w:val="en-AU"/>
        </w:rPr>
        <w:t>Vo</w:t>
      </w:r>
      <w:r w:rsidR="00047D3A" w:rsidRPr="00091600">
        <w:rPr>
          <w:lang w:val="en-AU"/>
        </w:rPr>
        <w:t>l</w:t>
      </w:r>
      <w:r w:rsidR="00044AC5" w:rsidRPr="00091600">
        <w:rPr>
          <w:lang w:val="en-AU"/>
        </w:rPr>
        <w:t>s</w:t>
      </w:r>
      <w:r w:rsidRPr="00091600">
        <w:rPr>
          <w:lang w:val="en-AU"/>
        </w:rPr>
        <w:t xml:space="preserve"> 1 and 2. Available at: </w:t>
      </w:r>
      <w:hyperlink r:id="rId44" w:history="1">
        <w:r w:rsidRPr="00091600">
          <w:rPr>
            <w:rStyle w:val="Hyperlink"/>
            <w:lang w:val="en-AU"/>
          </w:rPr>
          <w:t>https://dfat.gov.au/about-us/business-opportunities/Pages/investment-design-document-water-for-women-fund.aspx</w:t>
        </w:r>
      </w:hyperlink>
      <w:r w:rsidRPr="00091600">
        <w:rPr>
          <w:lang w:val="en-AU"/>
        </w:rPr>
        <w:t>.</w:t>
      </w:r>
      <w:bookmarkEnd w:id="138"/>
    </w:p>
    <w:p w:rsidR="000F4B57" w:rsidRPr="00091600" w:rsidRDefault="000F4B57" w:rsidP="006332DC">
      <w:pPr>
        <w:pStyle w:val="BodyText"/>
        <w:rPr>
          <w:lang w:val="en-AU"/>
        </w:rPr>
      </w:pPr>
      <w:r w:rsidRPr="00091600">
        <w:rPr>
          <w:lang w:val="en-AU"/>
        </w:rPr>
        <w:t xml:space="preserve">Denney, L. and </w:t>
      </w:r>
      <w:r w:rsidR="00047D3A" w:rsidRPr="00091600">
        <w:rPr>
          <w:lang w:val="en-AU"/>
        </w:rPr>
        <w:t xml:space="preserve"> </w:t>
      </w:r>
      <w:r w:rsidRPr="00091600">
        <w:rPr>
          <w:lang w:val="en-AU"/>
        </w:rPr>
        <w:t>Mallett, R., with Benson, M.S. (2017</w:t>
      </w:r>
      <w:r w:rsidR="009776C5" w:rsidRPr="00091600">
        <w:rPr>
          <w:lang w:val="en-AU"/>
        </w:rPr>
        <w:t>)</w:t>
      </w:r>
      <w:r w:rsidRPr="00091600">
        <w:rPr>
          <w:lang w:val="en-AU"/>
        </w:rPr>
        <w:t xml:space="preserve"> </w:t>
      </w:r>
      <w:r w:rsidRPr="00091600">
        <w:rPr>
          <w:i/>
          <w:lang w:val="en-AU"/>
        </w:rPr>
        <w:t>Service delivery and state capacity: Findings from the Secure Livelihoods Research Consortium</w:t>
      </w:r>
      <w:r w:rsidRPr="00091600">
        <w:rPr>
          <w:lang w:val="en-AU"/>
        </w:rPr>
        <w:t xml:space="preserve">, Secure Livelihoods Research Consortium, London. Available at: </w:t>
      </w:r>
      <w:hyperlink r:id="rId45" w:history="1">
        <w:r w:rsidRPr="00091600">
          <w:rPr>
            <w:rStyle w:val="Hyperlink"/>
            <w:lang w:val="en-AU"/>
          </w:rPr>
          <w:t>https://securelivelihoods.org/wp-content/uploads/Service-delivery-and-state-capacity_Findings-from-the-Secure-Livelihoods-Research-Consortium.pdf</w:t>
        </w:r>
      </w:hyperlink>
      <w:r w:rsidRPr="00091600">
        <w:rPr>
          <w:lang w:val="en-AU"/>
        </w:rPr>
        <w:t>.</w:t>
      </w:r>
    </w:p>
    <w:p w:rsidR="000F4B57" w:rsidRPr="00091600" w:rsidRDefault="000F4B57" w:rsidP="006332DC">
      <w:pPr>
        <w:pStyle w:val="BodyText"/>
        <w:rPr>
          <w:lang w:val="en-AU"/>
        </w:rPr>
      </w:pPr>
      <w:bookmarkStart w:id="139" w:name="_Hlk524692374"/>
      <w:r w:rsidRPr="00091600">
        <w:rPr>
          <w:lang w:val="en-AU"/>
        </w:rPr>
        <w:t>Destrez, M. and Harrison, N. (2011</w:t>
      </w:r>
      <w:r w:rsidR="009776C5" w:rsidRPr="00091600">
        <w:rPr>
          <w:lang w:val="en-AU"/>
        </w:rPr>
        <w:t>)</w:t>
      </w:r>
      <w:r w:rsidRPr="00091600">
        <w:rPr>
          <w:lang w:val="en-AU"/>
        </w:rPr>
        <w:t xml:space="preserve"> ‘</w:t>
      </w:r>
      <w:r w:rsidRPr="00091600">
        <w:rPr>
          <w:iCs/>
          <w:lang w:val="en-AU"/>
        </w:rPr>
        <w:t>Leadership training and network formation: The evolution of the LEAD process’</w:t>
      </w:r>
      <w:r w:rsidRPr="00091600">
        <w:rPr>
          <w:i/>
          <w:iCs/>
          <w:lang w:val="en-AU"/>
        </w:rPr>
        <w:t>,</w:t>
      </w:r>
      <w:r w:rsidRPr="00091600">
        <w:rPr>
          <w:lang w:val="en-AU"/>
        </w:rPr>
        <w:t xml:space="preserve"> </w:t>
      </w:r>
      <w:r w:rsidRPr="00091600">
        <w:rPr>
          <w:i/>
          <w:lang w:val="en-AU"/>
        </w:rPr>
        <w:t>Research Paper 08</w:t>
      </w:r>
      <w:r w:rsidRPr="00091600">
        <w:rPr>
          <w:lang w:val="en-AU"/>
        </w:rPr>
        <w:t xml:space="preserve">, Developmental Leadership Program. Available at: </w:t>
      </w:r>
      <w:hyperlink r:id="rId46" w:history="1">
        <w:r w:rsidRPr="00091600">
          <w:rPr>
            <w:rStyle w:val="Hyperlink"/>
            <w:lang w:val="en-AU"/>
          </w:rPr>
          <w:t>www.dlprog.org/publications/leadership-training-and-network-formation-the-evolution-of-the-lead-process.php</w:t>
        </w:r>
      </w:hyperlink>
      <w:bookmarkEnd w:id="139"/>
      <w:r w:rsidRPr="00091600">
        <w:rPr>
          <w:lang w:val="en-AU"/>
        </w:rPr>
        <w:t>.</w:t>
      </w:r>
    </w:p>
    <w:p w:rsidR="000F4B57" w:rsidRPr="00091600" w:rsidRDefault="000F4B57" w:rsidP="006332DC">
      <w:pPr>
        <w:pStyle w:val="BodyText"/>
        <w:rPr>
          <w:iCs/>
          <w:lang w:val="en-AU"/>
        </w:rPr>
      </w:pPr>
      <w:bookmarkStart w:id="140" w:name="_Hlk524692512"/>
      <w:r w:rsidRPr="00091600">
        <w:rPr>
          <w:lang w:val="en-AU"/>
        </w:rPr>
        <w:t xml:space="preserve">Developmental Leadership Program </w:t>
      </w:r>
      <w:r w:rsidRPr="00091600">
        <w:rPr>
          <w:iCs/>
          <w:lang w:val="en-AU"/>
        </w:rPr>
        <w:t>(2016</w:t>
      </w:r>
      <w:r w:rsidR="009776C5" w:rsidRPr="00091600">
        <w:rPr>
          <w:iCs/>
          <w:lang w:val="en-AU"/>
        </w:rPr>
        <w:t>)</w:t>
      </w:r>
      <w:r w:rsidRPr="00091600">
        <w:rPr>
          <w:iCs/>
          <w:lang w:val="en-AU"/>
        </w:rPr>
        <w:t xml:space="preserve"> ‘Power, politics and coalitions in the Pacific Policy Brief: Lessons from collective action on gender and power’, </w:t>
      </w:r>
      <w:r w:rsidRPr="00091600">
        <w:rPr>
          <w:i/>
          <w:iCs/>
          <w:lang w:val="en-AU"/>
        </w:rPr>
        <w:t>DLP Policy Brief</w:t>
      </w:r>
      <w:r w:rsidRPr="00091600">
        <w:rPr>
          <w:iCs/>
          <w:lang w:val="en-AU"/>
        </w:rPr>
        <w:t xml:space="preserve">, </w:t>
      </w:r>
      <w:r w:rsidRPr="00091600">
        <w:rPr>
          <w:lang w:val="en-AU"/>
        </w:rPr>
        <w:t>Developmental Leadership Program.</w:t>
      </w:r>
      <w:bookmarkEnd w:id="140"/>
      <w:r w:rsidRPr="00091600">
        <w:rPr>
          <w:iCs/>
          <w:lang w:val="en-AU"/>
        </w:rPr>
        <w:t xml:space="preserve"> </w:t>
      </w:r>
      <w:r w:rsidRPr="00091600">
        <w:rPr>
          <w:lang w:val="en-AU"/>
        </w:rPr>
        <w:t xml:space="preserve">Available at: </w:t>
      </w:r>
      <w:hyperlink r:id="rId47" w:history="1">
        <w:r w:rsidRPr="00091600">
          <w:rPr>
            <w:rStyle w:val="Hyperlink"/>
            <w:iCs/>
            <w:lang w:val="en-AU"/>
          </w:rPr>
          <w:t>www.dlprog.org/publications/brief-power-politics-and-coalitions-in-the-pacific-lessons-from-collective-action-on-gender-and-power.php</w:t>
        </w:r>
      </w:hyperlink>
    </w:p>
    <w:p w:rsidR="000F4B57" w:rsidRPr="00091600" w:rsidRDefault="000F4B57" w:rsidP="006332DC">
      <w:pPr>
        <w:pStyle w:val="BodyText"/>
        <w:rPr>
          <w:lang w:val="en-AU"/>
        </w:rPr>
      </w:pPr>
      <w:bookmarkStart w:id="141" w:name="_Hlk524692484"/>
      <w:r w:rsidRPr="00091600">
        <w:rPr>
          <w:lang w:val="en-AU"/>
        </w:rPr>
        <w:t>Developmental Leadership Program (2018</w:t>
      </w:r>
      <w:r w:rsidR="009776C5" w:rsidRPr="00091600">
        <w:rPr>
          <w:lang w:val="en-AU"/>
        </w:rPr>
        <w:t>)</w:t>
      </w:r>
      <w:r w:rsidRPr="00091600">
        <w:rPr>
          <w:lang w:val="en-AU"/>
        </w:rPr>
        <w:t xml:space="preserve"> ‘Inside the black box of political will: 10 years of findings from the developmental leadership program’, Developmental Leadership Program. </w:t>
      </w:r>
      <w:bookmarkEnd w:id="141"/>
      <w:r w:rsidRPr="00091600">
        <w:rPr>
          <w:lang w:val="en-AU"/>
        </w:rPr>
        <w:t xml:space="preserve">Available at: </w:t>
      </w:r>
      <w:hyperlink r:id="rId48" w:history="1">
        <w:r w:rsidRPr="00091600">
          <w:rPr>
            <w:rStyle w:val="Hyperlink"/>
            <w:lang w:val="en-AU"/>
          </w:rPr>
          <w:t>http://publications.dlprog.org/DLPsynthesis.pdf</w:t>
        </w:r>
      </w:hyperlink>
      <w:r w:rsidRPr="00091600">
        <w:rPr>
          <w:rStyle w:val="Hyperlink"/>
          <w:lang w:val="en-AU"/>
        </w:rPr>
        <w:t>.</w:t>
      </w:r>
    </w:p>
    <w:p w:rsidR="000F4B57" w:rsidRPr="00091600" w:rsidRDefault="000F4B57" w:rsidP="006332DC">
      <w:pPr>
        <w:pStyle w:val="BodyText"/>
        <w:rPr>
          <w:lang w:val="en-AU"/>
        </w:rPr>
      </w:pPr>
      <w:bookmarkStart w:id="142" w:name="_Hlk524694142"/>
      <w:r w:rsidRPr="00091600">
        <w:rPr>
          <w:lang w:val="en-AU"/>
        </w:rPr>
        <w:t>Eves, R (2016</w:t>
      </w:r>
      <w:r w:rsidR="009776C5" w:rsidRPr="00091600">
        <w:rPr>
          <w:lang w:val="en-AU"/>
        </w:rPr>
        <w:t>)</w:t>
      </w:r>
      <w:r w:rsidRPr="00091600">
        <w:rPr>
          <w:lang w:val="en-AU"/>
        </w:rPr>
        <w:t xml:space="preserve"> ‘The relationship between violence against women and women’s economic empowerment in Bougainville’, </w:t>
      </w:r>
      <w:r w:rsidRPr="00091600">
        <w:rPr>
          <w:i/>
          <w:lang w:val="en-AU"/>
        </w:rPr>
        <w:t>In Brief 2016/17</w:t>
      </w:r>
      <w:r w:rsidR="00403EA3" w:rsidRPr="00091600">
        <w:rPr>
          <w:i/>
          <w:lang w:val="en-AU"/>
        </w:rPr>
        <w:t>:</w:t>
      </w:r>
      <w:r w:rsidRPr="00091600">
        <w:rPr>
          <w:i/>
          <w:lang w:val="en-AU"/>
        </w:rPr>
        <w:t xml:space="preserve"> State, Society and Governance in Melanesia</w:t>
      </w:r>
      <w:r w:rsidRPr="00091600">
        <w:rPr>
          <w:lang w:val="en-AU"/>
        </w:rPr>
        <w:t>, ANU</w:t>
      </w:r>
      <w:bookmarkEnd w:id="142"/>
      <w:r w:rsidRPr="00091600">
        <w:rPr>
          <w:lang w:val="en-AU"/>
        </w:rPr>
        <w:t xml:space="preserve">. Available at: </w:t>
      </w:r>
      <w:hyperlink r:id="rId49" w:history="1">
        <w:r w:rsidRPr="00091600">
          <w:rPr>
            <w:rStyle w:val="Hyperlink"/>
            <w:lang w:val="en-AU"/>
          </w:rPr>
          <w:t>www2.pazifik-infostelle.org/uploads/the_relationship_between_violence_agains.pdf</w:t>
        </w:r>
      </w:hyperlink>
      <w:r w:rsidRPr="00091600">
        <w:rPr>
          <w:rStyle w:val="Hyperlink"/>
          <w:lang w:val="en-AU"/>
        </w:rPr>
        <w:t>.</w:t>
      </w:r>
    </w:p>
    <w:p w:rsidR="000F4B57" w:rsidRPr="00091600" w:rsidRDefault="000F4B57" w:rsidP="006332DC">
      <w:pPr>
        <w:pStyle w:val="BodyText"/>
        <w:rPr>
          <w:lang w:val="en-AU"/>
        </w:rPr>
      </w:pPr>
      <w:bookmarkStart w:id="143" w:name="_Hlk524691680"/>
      <w:r w:rsidRPr="00091600">
        <w:rPr>
          <w:lang w:val="en-AU"/>
        </w:rPr>
        <w:t>Fox, R. (2018</w:t>
      </w:r>
      <w:r w:rsidR="009776C5" w:rsidRPr="00091600">
        <w:rPr>
          <w:lang w:val="en-AU"/>
        </w:rPr>
        <w:t>)</w:t>
      </w:r>
      <w:r w:rsidRPr="00091600">
        <w:rPr>
          <w:lang w:val="en-AU"/>
        </w:rPr>
        <w:t xml:space="preserve"> ‘UPNG student employment outcomes: Results from a survey of economics graduates’, </w:t>
      </w:r>
      <w:r w:rsidRPr="00091600">
        <w:rPr>
          <w:i/>
          <w:lang w:val="en-AU"/>
        </w:rPr>
        <w:t>DevPolicy Blog</w:t>
      </w:r>
      <w:r w:rsidRPr="00091600">
        <w:rPr>
          <w:lang w:val="en-AU"/>
        </w:rPr>
        <w:t>. Available at</w:t>
      </w:r>
      <w:r w:rsidR="00403EA3" w:rsidRPr="00091600">
        <w:rPr>
          <w:lang w:val="en-AU"/>
        </w:rPr>
        <w:t>:</w:t>
      </w:r>
      <w:r w:rsidRPr="00091600">
        <w:rPr>
          <w:lang w:val="en-AU"/>
        </w:rPr>
        <w:t xml:space="preserve"> </w:t>
      </w:r>
      <w:hyperlink r:id="rId50" w:history="1">
        <w:r w:rsidRPr="00091600">
          <w:rPr>
            <w:rStyle w:val="Hyperlink"/>
            <w:rFonts w:cstheme="minorHAnsi"/>
            <w:lang w:val="en-AU"/>
          </w:rPr>
          <w:t>www.devpolicy.org/upng-student-employment-outcomes-survey-results-20180725/</w:t>
        </w:r>
      </w:hyperlink>
      <w:bookmarkEnd w:id="143"/>
      <w:r w:rsidRPr="00091600">
        <w:rPr>
          <w:rStyle w:val="Hyperlink"/>
          <w:rFonts w:cstheme="minorHAnsi"/>
          <w:lang w:val="en-AU"/>
        </w:rPr>
        <w:t>.</w:t>
      </w:r>
    </w:p>
    <w:p w:rsidR="000F4B57" w:rsidRPr="00091600" w:rsidRDefault="000F4B57" w:rsidP="006332DC">
      <w:pPr>
        <w:pStyle w:val="BodyText"/>
        <w:rPr>
          <w:lang w:val="en-AU"/>
        </w:rPr>
      </w:pPr>
      <w:bookmarkStart w:id="144" w:name="_Hlk524692322"/>
      <w:r w:rsidRPr="00091600">
        <w:rPr>
          <w:rFonts w:cs="Calibri"/>
          <w:lang w:val="en-AU"/>
        </w:rPr>
        <w:t>Garcia-Sanchez, I., Rodriguez-Dominguez, L., and Gallego-Alvarez, I. (2011</w:t>
      </w:r>
      <w:r w:rsidR="009776C5" w:rsidRPr="00091600">
        <w:rPr>
          <w:rFonts w:cs="Calibri"/>
          <w:lang w:val="en-AU"/>
        </w:rPr>
        <w:t>)</w:t>
      </w:r>
      <w:r w:rsidRPr="00091600">
        <w:rPr>
          <w:rFonts w:cs="Calibri"/>
          <w:lang w:val="en-AU"/>
        </w:rPr>
        <w:t xml:space="preserve"> ‘Effectiveness of ethics codes in the public sphere: Are they useful in controlling corruption?’, </w:t>
      </w:r>
      <w:r w:rsidRPr="00091600">
        <w:rPr>
          <w:i/>
          <w:lang w:val="en-AU"/>
        </w:rPr>
        <w:t>International Journal of Public Administration</w:t>
      </w:r>
      <w:r w:rsidRPr="00091600">
        <w:rPr>
          <w:rFonts w:cs="Calibri"/>
          <w:lang w:val="en-AU"/>
        </w:rPr>
        <w:t xml:space="preserve"> </w:t>
      </w:r>
      <w:r w:rsidRPr="00091600">
        <w:rPr>
          <w:lang w:val="en-AU"/>
        </w:rPr>
        <w:t>34</w:t>
      </w:r>
      <w:r w:rsidR="00403EA3" w:rsidRPr="00091600">
        <w:rPr>
          <w:rFonts w:cs="Calibri"/>
          <w:lang w:val="en-AU"/>
        </w:rPr>
        <w:t>,</w:t>
      </w:r>
      <w:r w:rsidRPr="00091600">
        <w:rPr>
          <w:rFonts w:cs="Calibri"/>
          <w:lang w:val="en-AU"/>
        </w:rPr>
        <w:t xml:space="preserve"> pp. 190</w:t>
      </w:r>
      <w:r w:rsidRPr="00091600">
        <w:rPr>
          <w:lang w:val="en-AU"/>
        </w:rPr>
        <w:t>–</w:t>
      </w:r>
      <w:r w:rsidRPr="00091600">
        <w:rPr>
          <w:rFonts w:cs="Calibri"/>
          <w:lang w:val="en-AU"/>
        </w:rPr>
        <w:t>95</w:t>
      </w:r>
      <w:bookmarkEnd w:id="144"/>
      <w:r w:rsidRPr="00091600">
        <w:rPr>
          <w:rFonts w:cs="Calibri"/>
          <w:lang w:val="en-AU"/>
        </w:rPr>
        <w:t xml:space="preserve">. Available at: </w:t>
      </w:r>
      <w:hyperlink r:id="rId51" w:history="1">
        <w:r w:rsidRPr="00091600">
          <w:rPr>
            <w:rStyle w:val="Hyperlink"/>
            <w:rFonts w:cs="Calibri"/>
            <w:lang w:val="en-AU"/>
          </w:rPr>
          <w:t>www.tandfonline.com/doi/abs/10.1080/01900692.2010.532184</w:t>
        </w:r>
      </w:hyperlink>
      <w:r w:rsidR="00403EA3" w:rsidRPr="00091600">
        <w:rPr>
          <w:rFonts w:cs="Calibri"/>
          <w:color w:val="4C1691"/>
          <w:lang w:val="en-AU"/>
        </w:rPr>
        <w:t>.</w:t>
      </w:r>
    </w:p>
    <w:p w:rsidR="000F4B57" w:rsidRPr="00091600" w:rsidRDefault="000F4B57" w:rsidP="006332DC">
      <w:pPr>
        <w:pStyle w:val="BodyText"/>
        <w:rPr>
          <w:lang w:val="en-AU"/>
        </w:rPr>
      </w:pPr>
      <w:bookmarkStart w:id="145" w:name="_Hlk524694126"/>
      <w:bookmarkStart w:id="146" w:name="_Hlk524692702"/>
      <w:r w:rsidRPr="00091600">
        <w:rPr>
          <w:lang w:val="en-AU"/>
        </w:rPr>
        <w:t xml:space="preserve">Golla, A.M., Malhotra, A., Nanda, P., and </w:t>
      </w:r>
      <w:r w:rsidR="00403EA3" w:rsidRPr="00091600">
        <w:rPr>
          <w:lang w:val="en-AU"/>
        </w:rPr>
        <w:t xml:space="preserve"> </w:t>
      </w:r>
      <w:r w:rsidRPr="00091600">
        <w:rPr>
          <w:lang w:val="en-AU"/>
        </w:rPr>
        <w:t>Mehra, R. (2011</w:t>
      </w:r>
      <w:r w:rsidR="009776C5" w:rsidRPr="00091600">
        <w:rPr>
          <w:lang w:val="en-AU"/>
        </w:rPr>
        <w:t>)</w:t>
      </w:r>
      <w:r w:rsidRPr="00091600">
        <w:rPr>
          <w:lang w:val="en-AU"/>
        </w:rPr>
        <w:t xml:space="preserve"> </w:t>
      </w:r>
      <w:r w:rsidRPr="00091600">
        <w:rPr>
          <w:i/>
          <w:lang w:val="en-AU"/>
        </w:rPr>
        <w:t>Understanding and measuring women’s economic empowerment: Definition, framework and indicators</w:t>
      </w:r>
      <w:r w:rsidRPr="00091600">
        <w:rPr>
          <w:lang w:val="en-AU"/>
        </w:rPr>
        <w:t>, ICRW, Washington DC.</w:t>
      </w:r>
      <w:bookmarkEnd w:id="145"/>
      <w:r w:rsidRPr="00091600">
        <w:rPr>
          <w:lang w:val="en-AU"/>
        </w:rPr>
        <w:t xml:space="preserve"> Available at:</w:t>
      </w:r>
      <w:bookmarkEnd w:id="146"/>
      <w:r w:rsidRPr="00091600">
        <w:rPr>
          <w:lang w:val="en-AU"/>
        </w:rPr>
        <w:t xml:space="preserve"> </w:t>
      </w:r>
      <w:hyperlink r:id="rId52" w:history="1">
        <w:r w:rsidRPr="00091600">
          <w:rPr>
            <w:rStyle w:val="Hyperlink"/>
            <w:lang w:val="en-AU"/>
          </w:rPr>
          <w:t>www.icrw.org/wp-content/uploads/2016/10/Understanding-measuring-womens-economic-empowerment.pdf</w:t>
        </w:r>
      </w:hyperlink>
      <w:r w:rsidRPr="00091600">
        <w:rPr>
          <w:rStyle w:val="Hyperlink"/>
          <w:lang w:val="en-AU"/>
        </w:rPr>
        <w:t>.</w:t>
      </w:r>
    </w:p>
    <w:p w:rsidR="000F4B57" w:rsidRPr="00091600" w:rsidRDefault="000F4B57" w:rsidP="006332DC">
      <w:pPr>
        <w:pStyle w:val="BodyText"/>
        <w:rPr>
          <w:lang w:val="en-AU"/>
        </w:rPr>
      </w:pPr>
      <w:r w:rsidRPr="00091600">
        <w:rPr>
          <w:lang w:val="en-AU"/>
        </w:rPr>
        <w:t>Government of Papua New Guinea (2013a</w:t>
      </w:r>
      <w:r w:rsidR="009776C5" w:rsidRPr="00091600">
        <w:rPr>
          <w:lang w:val="en-AU"/>
        </w:rPr>
        <w:t>)</w:t>
      </w:r>
      <w:r w:rsidRPr="00091600">
        <w:rPr>
          <w:lang w:val="en-AU"/>
        </w:rPr>
        <w:t xml:space="preserve"> ‘National Public Service ethics and values based executive leadership and management capability framework’, Department of Personnel Management and Public Sector Workforce Development Program. Available at: </w:t>
      </w:r>
      <w:hyperlink r:id="rId53" w:history="1">
        <w:r w:rsidRPr="00091600">
          <w:rPr>
            <w:rStyle w:val="Hyperlink"/>
            <w:lang w:val="en-AU"/>
          </w:rPr>
          <w:t>https://os-data-2.s3-ap-southeast-2.amazonaws.com/dpm-gov-pg/bundle5/ethics-and-values-based-executive-leadership-and-management-capability-framework.pdf</w:t>
        </w:r>
      </w:hyperlink>
      <w:r w:rsidRPr="00091600">
        <w:rPr>
          <w:rStyle w:val="Hyperlink"/>
          <w:lang w:val="en-AU"/>
        </w:rPr>
        <w:t>.</w:t>
      </w:r>
    </w:p>
    <w:p w:rsidR="000F4B57" w:rsidRPr="00091600" w:rsidRDefault="000F4B57" w:rsidP="006332DC">
      <w:pPr>
        <w:pStyle w:val="BodyText"/>
        <w:rPr>
          <w:lang w:val="en-AU"/>
        </w:rPr>
      </w:pPr>
      <w:r w:rsidRPr="00091600">
        <w:rPr>
          <w:lang w:val="en-AU"/>
        </w:rPr>
        <w:t>Government of Papua New Guinea (2013b</w:t>
      </w:r>
      <w:r w:rsidR="009776C5" w:rsidRPr="00091600">
        <w:rPr>
          <w:lang w:val="en-AU"/>
        </w:rPr>
        <w:t>)</w:t>
      </w:r>
      <w:r w:rsidRPr="00091600">
        <w:rPr>
          <w:lang w:val="en-AU"/>
        </w:rPr>
        <w:t xml:space="preserve"> ‘National Public Service gender equity and social inclusion (GESI) </w:t>
      </w:r>
      <w:r w:rsidR="009F5553" w:rsidRPr="00091600">
        <w:rPr>
          <w:lang w:val="en-AU"/>
        </w:rPr>
        <w:t>Policy</w:t>
      </w:r>
      <w:r w:rsidR="00403EA3" w:rsidRPr="00091600">
        <w:rPr>
          <w:lang w:val="en-AU"/>
        </w:rPr>
        <w:t>’</w:t>
      </w:r>
      <w:r w:rsidRPr="00091600">
        <w:rPr>
          <w:i/>
          <w:lang w:val="en-AU"/>
        </w:rPr>
        <w:t>,</w:t>
      </w:r>
      <w:r w:rsidRPr="00091600">
        <w:rPr>
          <w:lang w:val="en-AU"/>
        </w:rPr>
        <w:t xml:space="preserve"> Department of Personnel Management. Available at: </w:t>
      </w:r>
      <w:hyperlink r:id="rId54" w:history="1">
        <w:r w:rsidRPr="00091600">
          <w:rPr>
            <w:rStyle w:val="Hyperlink"/>
            <w:lang w:val="en-AU"/>
          </w:rPr>
          <w:t>https://os-data-2.s3-ap-southeast-2.amazonaws.com/dpm-gov-pg/bundle5/doc_gesipolicyv14210113.pdf</w:t>
        </w:r>
      </w:hyperlink>
      <w:r w:rsidRPr="00091600">
        <w:rPr>
          <w:lang w:val="en-AU"/>
        </w:rPr>
        <w:t>.</w:t>
      </w:r>
    </w:p>
    <w:p w:rsidR="000F4B57" w:rsidRPr="00091600" w:rsidRDefault="000F4B57" w:rsidP="006332DC">
      <w:pPr>
        <w:pStyle w:val="BodyText"/>
        <w:rPr>
          <w:lang w:val="en-AU"/>
        </w:rPr>
      </w:pPr>
      <w:bookmarkStart w:id="147" w:name="_Hlk524693190"/>
      <w:r w:rsidRPr="00091600">
        <w:rPr>
          <w:lang w:val="en-AU"/>
        </w:rPr>
        <w:t>Government of Papua New Guinea (2017</w:t>
      </w:r>
      <w:r w:rsidR="009776C5" w:rsidRPr="00091600">
        <w:rPr>
          <w:lang w:val="en-AU"/>
        </w:rPr>
        <w:t>)</w:t>
      </w:r>
      <w:r w:rsidRPr="00091600">
        <w:rPr>
          <w:lang w:val="en-AU"/>
        </w:rPr>
        <w:t xml:space="preserve"> ‘Pacific Institute of Leadership and Governance Act’</w:t>
      </w:r>
      <w:r w:rsidRPr="00091600">
        <w:rPr>
          <w:i/>
          <w:lang w:val="en-AU"/>
        </w:rPr>
        <w:t>,</w:t>
      </w:r>
      <w:r w:rsidRPr="00091600">
        <w:rPr>
          <w:lang w:val="en-AU"/>
        </w:rPr>
        <w:t xml:space="preserve"> </w:t>
      </w:r>
      <w:r w:rsidRPr="00091600">
        <w:rPr>
          <w:i/>
          <w:lang w:val="en-AU"/>
        </w:rPr>
        <w:t>Act No. 27 of 2017</w:t>
      </w:r>
      <w:r w:rsidRPr="00091600">
        <w:rPr>
          <w:lang w:val="en-AU"/>
        </w:rPr>
        <w:t>, certified 27 March 2018.</w:t>
      </w:r>
      <w:r w:rsidRPr="00091600">
        <w:rPr>
          <w:i/>
          <w:lang w:val="en-AU"/>
        </w:rPr>
        <w:t xml:space="preserve"> </w:t>
      </w:r>
      <w:bookmarkEnd w:id="147"/>
    </w:p>
    <w:p w:rsidR="000F4B57" w:rsidRPr="00091600" w:rsidRDefault="000F4B57" w:rsidP="006332DC">
      <w:pPr>
        <w:pStyle w:val="BodyText"/>
        <w:rPr>
          <w:lang w:val="en-AU"/>
        </w:rPr>
      </w:pPr>
      <w:bookmarkStart w:id="148" w:name="_Hlk524692584"/>
      <w:r w:rsidRPr="00091600">
        <w:rPr>
          <w:lang w:val="en-AU"/>
        </w:rPr>
        <w:t>Hadley, S. and Tilley, H. (2017</w:t>
      </w:r>
      <w:r w:rsidR="009776C5" w:rsidRPr="00091600">
        <w:rPr>
          <w:lang w:val="en-AU"/>
        </w:rPr>
        <w:t>)</w:t>
      </w:r>
      <w:r w:rsidRPr="00091600">
        <w:rPr>
          <w:lang w:val="en-AU"/>
        </w:rPr>
        <w:t xml:space="preserve"> ‘Governance for growth in Vanuatu: Review of a decade of thinking and working politically’, Overseas Development Institute.</w:t>
      </w:r>
      <w:bookmarkEnd w:id="148"/>
    </w:p>
    <w:p w:rsidR="000F4B57" w:rsidRPr="00091600" w:rsidRDefault="000F4B57" w:rsidP="006332DC">
      <w:pPr>
        <w:pStyle w:val="BodyText"/>
        <w:rPr>
          <w:lang w:val="en-AU"/>
        </w:rPr>
      </w:pPr>
      <w:r w:rsidRPr="00091600">
        <w:rPr>
          <w:rFonts w:cs="Calibri"/>
          <w:lang w:val="en-AU"/>
        </w:rPr>
        <w:t>Haider, H. (2018</w:t>
      </w:r>
      <w:r w:rsidR="009776C5" w:rsidRPr="00091600">
        <w:rPr>
          <w:rFonts w:cs="Calibri"/>
          <w:lang w:val="en-AU"/>
        </w:rPr>
        <w:t>)</w:t>
      </w:r>
      <w:r w:rsidRPr="00091600">
        <w:rPr>
          <w:rFonts w:cs="Calibri"/>
          <w:lang w:val="en-AU"/>
        </w:rPr>
        <w:t xml:space="preserve"> ‘</w:t>
      </w:r>
      <w:r w:rsidRPr="00091600">
        <w:rPr>
          <w:rFonts w:cs="Calibri"/>
          <w:iCs/>
          <w:lang w:val="en-AU"/>
        </w:rPr>
        <w:t>Institutional partnerships and twinnings between civil service organisations’</w:t>
      </w:r>
      <w:r w:rsidRPr="00091600">
        <w:rPr>
          <w:rFonts w:cs="Calibri"/>
          <w:i/>
          <w:iCs/>
          <w:lang w:val="en-AU"/>
        </w:rPr>
        <w:t xml:space="preserve">, </w:t>
      </w:r>
      <w:r w:rsidRPr="00091600">
        <w:rPr>
          <w:rFonts w:cs="Calibri"/>
          <w:i/>
          <w:lang w:val="en-AU"/>
        </w:rPr>
        <w:t>GSDRC Helpdesk Research Report 1428</w:t>
      </w:r>
      <w:r w:rsidRPr="00091600">
        <w:rPr>
          <w:rFonts w:cs="Calibri"/>
          <w:lang w:val="en-AU"/>
        </w:rPr>
        <w:t>, GSDRC, University of Birmingham.</w:t>
      </w:r>
    </w:p>
    <w:p w:rsidR="000F4B57" w:rsidRPr="00091600" w:rsidRDefault="000F4B57" w:rsidP="006332DC">
      <w:pPr>
        <w:pStyle w:val="BodyText"/>
        <w:rPr>
          <w:rFonts w:cs="Calibri"/>
          <w:lang w:val="en-AU"/>
        </w:rPr>
      </w:pPr>
      <w:bookmarkStart w:id="149" w:name="_Hlk524691286"/>
      <w:r w:rsidRPr="00091600">
        <w:rPr>
          <w:rFonts w:cs="Calibri"/>
          <w:lang w:val="en-AU"/>
        </w:rPr>
        <w:t>Kavanamur, D. and Robins, G. (2007</w:t>
      </w:r>
      <w:r w:rsidR="009776C5" w:rsidRPr="00091600">
        <w:rPr>
          <w:rFonts w:cs="Calibri"/>
          <w:lang w:val="en-AU"/>
        </w:rPr>
        <w:t>)</w:t>
      </w:r>
      <w:r w:rsidRPr="00091600">
        <w:rPr>
          <w:rFonts w:cs="Calibri"/>
          <w:lang w:val="en-AU"/>
        </w:rPr>
        <w:t xml:space="preserve"> ‘Review of the public sector reform program: Final report to the Chief Secretary’</w:t>
      </w:r>
      <w:r w:rsidRPr="00091600">
        <w:rPr>
          <w:rFonts w:cs="Calibri"/>
          <w:i/>
          <w:lang w:val="en-AU"/>
        </w:rPr>
        <w:t>.</w:t>
      </w:r>
      <w:bookmarkEnd w:id="149"/>
    </w:p>
    <w:p w:rsidR="000F4B57" w:rsidRPr="00091600" w:rsidRDefault="000F4B57" w:rsidP="006332DC">
      <w:pPr>
        <w:pStyle w:val="BodyText"/>
        <w:rPr>
          <w:rFonts w:cs="HelveticaNeueLTStd-Md"/>
          <w:lang w:val="en-AU"/>
        </w:rPr>
      </w:pPr>
      <w:bookmarkStart w:id="150" w:name="_Hlk524692450"/>
      <w:r w:rsidRPr="00091600">
        <w:rPr>
          <w:rFonts w:cs="HelveticaNeueLTStd-Md"/>
          <w:lang w:val="en-AU"/>
        </w:rPr>
        <w:t>Ketan, J. (2013</w:t>
      </w:r>
      <w:r w:rsidR="009776C5" w:rsidRPr="00091600">
        <w:rPr>
          <w:rFonts w:cs="HelveticaNeueLTStd-Md"/>
          <w:lang w:val="en-AU"/>
        </w:rPr>
        <w:t>)</w:t>
      </w:r>
      <w:r w:rsidRPr="00091600">
        <w:rPr>
          <w:rFonts w:cs="HelveticaNeueLTStd-Md"/>
          <w:lang w:val="en-AU"/>
        </w:rPr>
        <w:t xml:space="preserve"> ‘Political governance and service delivery in Western Highlands Province, Papua New Guinea’, </w:t>
      </w:r>
      <w:r w:rsidRPr="00091600">
        <w:rPr>
          <w:rFonts w:cs="HelveticaNeueLTStd-Md"/>
          <w:i/>
          <w:lang w:val="en-AU"/>
        </w:rPr>
        <w:t>SSGM Discussion Paper 2013/9</w:t>
      </w:r>
      <w:r w:rsidRPr="00091600">
        <w:rPr>
          <w:rFonts w:cs="HelveticaNeueLTStd-Md"/>
          <w:lang w:val="en-AU"/>
        </w:rPr>
        <w:t xml:space="preserve">, </w:t>
      </w:r>
      <w:r w:rsidRPr="00091600">
        <w:rPr>
          <w:lang w:val="en-AU"/>
        </w:rPr>
        <w:t>State, Society and Governance in Melanesia, ANU.</w:t>
      </w:r>
      <w:bookmarkEnd w:id="150"/>
      <w:r w:rsidRPr="00091600">
        <w:rPr>
          <w:lang w:val="en-AU"/>
        </w:rPr>
        <w:t xml:space="preserve"> Available at: </w:t>
      </w:r>
      <w:hyperlink r:id="rId55" w:history="1">
        <w:r w:rsidRPr="00091600">
          <w:rPr>
            <w:rStyle w:val="Hyperlink"/>
            <w:lang w:val="en-AU"/>
          </w:rPr>
          <w:t>https://openresearch-repository.anu.edu.au/bitstream/1885/11527/1/Ketan%20Political%20governance%202014.pdf</w:t>
        </w:r>
      </w:hyperlink>
      <w:r w:rsidRPr="00091600">
        <w:rPr>
          <w:lang w:val="en-AU"/>
        </w:rPr>
        <w:t>.</w:t>
      </w:r>
    </w:p>
    <w:p w:rsidR="000F4B57" w:rsidRPr="00091600" w:rsidRDefault="000F4B57" w:rsidP="006332DC">
      <w:pPr>
        <w:pStyle w:val="BodyText"/>
        <w:rPr>
          <w:lang w:val="en-AU"/>
        </w:rPr>
      </w:pPr>
      <w:bookmarkStart w:id="151" w:name="_Hlk524692630"/>
      <w:r w:rsidRPr="00091600">
        <w:rPr>
          <w:rFonts w:cs="Calibri"/>
          <w:lang w:val="en-AU"/>
        </w:rPr>
        <w:t>Leonard, D. (2010</w:t>
      </w:r>
      <w:r w:rsidR="009776C5" w:rsidRPr="00091600">
        <w:rPr>
          <w:rFonts w:cs="Calibri"/>
          <w:lang w:val="en-AU"/>
        </w:rPr>
        <w:t>)</w:t>
      </w:r>
      <w:r w:rsidRPr="00091600">
        <w:rPr>
          <w:rFonts w:cs="Calibri"/>
          <w:lang w:val="en-AU"/>
        </w:rPr>
        <w:t xml:space="preserve"> ‘“Pockets” of effective agencies in weak governance states: Where are they likely and why does it matter?’, </w:t>
      </w:r>
      <w:r w:rsidRPr="00091600">
        <w:rPr>
          <w:i/>
          <w:lang w:val="en-AU"/>
        </w:rPr>
        <w:t>Public Administration and Development</w:t>
      </w:r>
      <w:r w:rsidRPr="00091600">
        <w:rPr>
          <w:rFonts w:cs="Calibri"/>
          <w:lang w:val="en-AU"/>
        </w:rPr>
        <w:t xml:space="preserve"> 30, pp</w:t>
      </w:r>
      <w:r w:rsidR="00AC1EC5" w:rsidRPr="00091600">
        <w:rPr>
          <w:rFonts w:cs="Calibri"/>
          <w:lang w:val="en-AU"/>
        </w:rPr>
        <w:t>.</w:t>
      </w:r>
      <w:r w:rsidRPr="00091600">
        <w:rPr>
          <w:rFonts w:cs="Calibri"/>
          <w:lang w:val="en-AU"/>
        </w:rPr>
        <w:t xml:space="preserve"> 91</w:t>
      </w:r>
      <w:r w:rsidRPr="00091600">
        <w:rPr>
          <w:lang w:val="en-AU"/>
        </w:rPr>
        <w:t>–</w:t>
      </w:r>
      <w:r w:rsidRPr="00091600">
        <w:rPr>
          <w:rFonts w:cs="Calibri"/>
          <w:lang w:val="en-AU"/>
        </w:rPr>
        <w:t xml:space="preserve">101. </w:t>
      </w:r>
      <w:bookmarkEnd w:id="151"/>
    </w:p>
    <w:p w:rsidR="000F4B57" w:rsidRPr="00091600" w:rsidRDefault="000F4B57" w:rsidP="006332DC">
      <w:pPr>
        <w:pStyle w:val="BodyText"/>
        <w:rPr>
          <w:lang w:val="en-AU"/>
        </w:rPr>
      </w:pPr>
      <w:r w:rsidRPr="00091600">
        <w:rPr>
          <w:lang w:val="en-AU"/>
        </w:rPr>
        <w:t>Lyne de Ver, H</w:t>
      </w:r>
      <w:r w:rsidR="00AC1EC5" w:rsidRPr="00091600">
        <w:rPr>
          <w:lang w:val="en-AU"/>
        </w:rPr>
        <w:t>.</w:t>
      </w:r>
      <w:r w:rsidRPr="00091600">
        <w:rPr>
          <w:lang w:val="en-AU"/>
        </w:rPr>
        <w:t xml:space="preserve"> and Kennedy, F. (2011</w:t>
      </w:r>
      <w:r w:rsidR="009776C5" w:rsidRPr="00091600">
        <w:rPr>
          <w:lang w:val="en-AU"/>
        </w:rPr>
        <w:t>)</w:t>
      </w:r>
      <w:r w:rsidRPr="00091600">
        <w:rPr>
          <w:lang w:val="en-AU"/>
        </w:rPr>
        <w:t xml:space="preserve"> ‘</w:t>
      </w:r>
      <w:r w:rsidRPr="00091600">
        <w:rPr>
          <w:iCs/>
          <w:lang w:val="en-AU"/>
        </w:rPr>
        <w:t>An analysis of leadership development programmes working in the context of development’</w:t>
      </w:r>
      <w:r w:rsidRPr="00091600">
        <w:rPr>
          <w:i/>
          <w:iCs/>
          <w:lang w:val="en-AU"/>
        </w:rPr>
        <w:t>,</w:t>
      </w:r>
      <w:r w:rsidRPr="00091600">
        <w:rPr>
          <w:lang w:val="en-AU"/>
        </w:rPr>
        <w:t xml:space="preserve"> Developmental Leadership Program.</w:t>
      </w:r>
    </w:p>
    <w:p w:rsidR="000F4B57" w:rsidRPr="00091600" w:rsidRDefault="000F4B57" w:rsidP="006332DC">
      <w:pPr>
        <w:pStyle w:val="BodyText"/>
        <w:rPr>
          <w:lang w:val="en-AU"/>
        </w:rPr>
      </w:pPr>
      <w:bookmarkStart w:id="152" w:name="_Hlk524692558"/>
      <w:r w:rsidRPr="00091600">
        <w:rPr>
          <w:rFonts w:cs="Calibri"/>
          <w:lang w:val="en-AU"/>
        </w:rPr>
        <w:t xml:space="preserve">Mander-Jones, Z., Heather-Latu, B., and </w:t>
      </w:r>
      <w:r w:rsidR="00AC1EC5" w:rsidRPr="00091600">
        <w:rPr>
          <w:rFonts w:cs="Calibri"/>
          <w:lang w:val="en-AU"/>
        </w:rPr>
        <w:t xml:space="preserve"> </w:t>
      </w:r>
      <w:r w:rsidRPr="00091600">
        <w:rPr>
          <w:rFonts w:cs="Calibri"/>
          <w:lang w:val="en-AU"/>
        </w:rPr>
        <w:t>Collins, M. (2017</w:t>
      </w:r>
      <w:r w:rsidR="009776C5" w:rsidRPr="00091600">
        <w:rPr>
          <w:rFonts w:cs="Calibri"/>
          <w:lang w:val="en-AU"/>
        </w:rPr>
        <w:t>)</w:t>
      </w:r>
      <w:r w:rsidRPr="00091600">
        <w:rPr>
          <w:rFonts w:cs="Calibri"/>
          <w:lang w:val="en-AU"/>
        </w:rPr>
        <w:t xml:space="preserve"> ‘</w:t>
      </w:r>
      <w:r w:rsidRPr="00091600">
        <w:rPr>
          <w:lang w:val="en-AU"/>
        </w:rPr>
        <w:t xml:space="preserve">Independent evaluation of the Pacific leadership program (Phase 3): Final </w:t>
      </w:r>
      <w:r w:rsidR="00AC1EC5" w:rsidRPr="00091600">
        <w:rPr>
          <w:lang w:val="en-AU"/>
        </w:rPr>
        <w:t>R</w:t>
      </w:r>
      <w:r w:rsidR="00044AC5" w:rsidRPr="00091600">
        <w:rPr>
          <w:lang w:val="en-AU"/>
        </w:rPr>
        <w:t>eport</w:t>
      </w:r>
      <w:r w:rsidR="00AC1EC5" w:rsidRPr="00091600">
        <w:rPr>
          <w:lang w:val="en-AU"/>
        </w:rPr>
        <w:t>’</w:t>
      </w:r>
      <w:r w:rsidRPr="00091600">
        <w:rPr>
          <w:i/>
          <w:lang w:val="en-AU"/>
        </w:rPr>
        <w:t>,</w:t>
      </w:r>
      <w:r w:rsidRPr="00091600">
        <w:rPr>
          <w:lang w:val="en-AU"/>
        </w:rPr>
        <w:t xml:space="preserve"> </w:t>
      </w:r>
      <w:r w:rsidRPr="00091600">
        <w:rPr>
          <w:rFonts w:cs="Calibri"/>
          <w:iCs/>
          <w:lang w:val="en-AU"/>
        </w:rPr>
        <w:t>Strategic Development Associates</w:t>
      </w:r>
      <w:r w:rsidRPr="00091600">
        <w:rPr>
          <w:rFonts w:cs="Calibri"/>
          <w:lang w:val="en-AU"/>
        </w:rPr>
        <w:t xml:space="preserve">. </w:t>
      </w:r>
      <w:bookmarkEnd w:id="152"/>
      <w:r w:rsidRPr="00091600">
        <w:rPr>
          <w:lang w:val="en-AU"/>
        </w:rPr>
        <w:t xml:space="preserve">Available at: </w:t>
      </w:r>
      <w:hyperlink r:id="rId56" w:history="1">
        <w:r w:rsidRPr="00091600">
          <w:rPr>
            <w:rStyle w:val="Hyperlink"/>
            <w:rFonts w:cs="Calibri"/>
            <w:lang w:val="en-AU"/>
          </w:rPr>
          <w:t>https://dfat.gov.au/about-us/publications/Documents/pacific-leadership-program-independent-evaluation.pdf</w:t>
        </w:r>
      </w:hyperlink>
      <w:r w:rsidRPr="00091600">
        <w:rPr>
          <w:rFonts w:cs="Calibri"/>
          <w:lang w:val="en-AU"/>
        </w:rPr>
        <w:t>.</w:t>
      </w:r>
    </w:p>
    <w:p w:rsidR="000F4B57" w:rsidRPr="00091600" w:rsidRDefault="000F4B57" w:rsidP="006332DC">
      <w:pPr>
        <w:pStyle w:val="BodyText"/>
        <w:rPr>
          <w:lang w:val="en-AU"/>
        </w:rPr>
      </w:pPr>
      <w:r w:rsidRPr="00091600">
        <w:rPr>
          <w:lang w:val="en-AU"/>
        </w:rPr>
        <w:t>Mathison, S. (</w:t>
      </w:r>
      <w:r w:rsidR="00AC1EC5" w:rsidRPr="00091600">
        <w:rPr>
          <w:lang w:val="en-AU"/>
        </w:rPr>
        <w:t>e</w:t>
      </w:r>
      <w:r w:rsidR="00044AC5" w:rsidRPr="00091600">
        <w:rPr>
          <w:lang w:val="en-AU"/>
        </w:rPr>
        <w:t>d</w:t>
      </w:r>
      <w:r w:rsidRPr="00091600">
        <w:rPr>
          <w:lang w:val="en-AU"/>
        </w:rPr>
        <w:t>.) (2005</w:t>
      </w:r>
      <w:r w:rsidR="009776C5" w:rsidRPr="00091600">
        <w:rPr>
          <w:lang w:val="en-AU"/>
        </w:rPr>
        <w:t>)</w:t>
      </w:r>
      <w:r w:rsidRPr="00091600">
        <w:rPr>
          <w:lang w:val="en-AU"/>
        </w:rPr>
        <w:t xml:space="preserve"> </w:t>
      </w:r>
      <w:r w:rsidRPr="00091600">
        <w:rPr>
          <w:i/>
          <w:lang w:val="en-AU"/>
        </w:rPr>
        <w:t>Encyclopaedia of evaluation</w:t>
      </w:r>
      <w:r w:rsidRPr="00091600">
        <w:rPr>
          <w:lang w:val="en-AU"/>
        </w:rPr>
        <w:t>,</w:t>
      </w:r>
      <w:r w:rsidR="00044AC5" w:rsidRPr="00091600">
        <w:rPr>
          <w:lang w:val="en-AU"/>
        </w:rPr>
        <w:t xml:space="preserve"> </w:t>
      </w:r>
      <w:r w:rsidRPr="00091600">
        <w:rPr>
          <w:lang w:val="en-AU"/>
        </w:rPr>
        <w:t xml:space="preserve"> Sage, California.</w:t>
      </w:r>
    </w:p>
    <w:p w:rsidR="000F4B57" w:rsidRPr="00091600" w:rsidRDefault="000F4B57" w:rsidP="006332DC">
      <w:pPr>
        <w:pStyle w:val="BodyText"/>
        <w:rPr>
          <w:iCs/>
          <w:lang w:val="en-AU"/>
        </w:rPr>
      </w:pPr>
      <w:bookmarkStart w:id="153" w:name="_Hlk524691983"/>
      <w:r w:rsidRPr="00091600">
        <w:rPr>
          <w:lang w:val="en-AU"/>
        </w:rPr>
        <w:t>May, R. (2009</w:t>
      </w:r>
      <w:r w:rsidR="009776C5" w:rsidRPr="00091600">
        <w:rPr>
          <w:lang w:val="en-AU"/>
        </w:rPr>
        <w:t>)</w:t>
      </w:r>
      <w:r w:rsidRPr="00091600">
        <w:rPr>
          <w:lang w:val="en-AU"/>
        </w:rPr>
        <w:t xml:space="preserve"> ‘Policy making on decentralisation’, in R. May (ed.),</w:t>
      </w:r>
      <w:r w:rsidRPr="00091600">
        <w:rPr>
          <w:i/>
          <w:iCs/>
          <w:lang w:val="en-AU"/>
        </w:rPr>
        <w:t xml:space="preserve"> </w:t>
      </w:r>
      <w:r w:rsidRPr="00091600">
        <w:rPr>
          <w:i/>
          <w:lang w:val="en-AU"/>
        </w:rPr>
        <w:t xml:space="preserve">Policy making and implementation: Studies from Papua New Guinea </w:t>
      </w:r>
      <w:r w:rsidRPr="00091600">
        <w:rPr>
          <w:lang w:val="en-AU"/>
        </w:rPr>
        <w:t>(pp. 203–</w:t>
      </w:r>
      <w:r w:rsidR="00044AC5" w:rsidRPr="00091600">
        <w:rPr>
          <w:lang w:val="en-AU"/>
        </w:rPr>
        <w:t>32</w:t>
      </w:r>
      <w:r w:rsidRPr="00091600">
        <w:rPr>
          <w:lang w:val="en-AU"/>
        </w:rPr>
        <w:t>),</w:t>
      </w:r>
      <w:r w:rsidRPr="00091600">
        <w:rPr>
          <w:i/>
          <w:lang w:val="en-AU"/>
        </w:rPr>
        <w:t xml:space="preserve"> </w:t>
      </w:r>
      <w:r w:rsidRPr="00091600">
        <w:rPr>
          <w:lang w:val="en-AU"/>
        </w:rPr>
        <w:t>State, Society and Governance in Melanesia Program, in Association with the National Research Institute in Papua New Guinea (</w:t>
      </w:r>
      <w:r w:rsidRPr="00091600">
        <w:rPr>
          <w:i/>
          <w:lang w:val="en-AU"/>
        </w:rPr>
        <w:t>Studies in State and Society in the Pacific No 5</w:t>
      </w:r>
      <w:r w:rsidR="00AC1EC5" w:rsidRPr="00091600">
        <w:rPr>
          <w:lang w:val="en-AU"/>
        </w:rPr>
        <w:t>),</w:t>
      </w:r>
      <w:r w:rsidR="00044AC5" w:rsidRPr="00091600">
        <w:rPr>
          <w:lang w:val="en-AU"/>
        </w:rPr>
        <w:t xml:space="preserve"> </w:t>
      </w:r>
      <w:r w:rsidRPr="00091600">
        <w:rPr>
          <w:lang w:val="en-AU"/>
        </w:rPr>
        <w:t xml:space="preserve"> ANU E Press</w:t>
      </w:r>
      <w:bookmarkEnd w:id="153"/>
      <w:r w:rsidRPr="00091600">
        <w:rPr>
          <w:lang w:val="en-AU"/>
        </w:rPr>
        <w:t>, Canberra.</w:t>
      </w:r>
    </w:p>
    <w:p w:rsidR="000F4B57" w:rsidRPr="00091600" w:rsidRDefault="000F4B57" w:rsidP="006332DC">
      <w:pPr>
        <w:pStyle w:val="BodyText"/>
        <w:rPr>
          <w:lang w:val="en-AU"/>
        </w:rPr>
      </w:pPr>
      <w:r w:rsidRPr="00091600">
        <w:rPr>
          <w:lang w:val="en-AU"/>
        </w:rPr>
        <w:t>McCourt, W. (2014</w:t>
      </w:r>
      <w:r w:rsidR="009776C5" w:rsidRPr="00091600">
        <w:rPr>
          <w:lang w:val="en-AU"/>
        </w:rPr>
        <w:t>)</w:t>
      </w:r>
      <w:r w:rsidRPr="00091600">
        <w:rPr>
          <w:lang w:val="en-AU"/>
        </w:rPr>
        <w:t xml:space="preserve"> ‘Public service reform’</w:t>
      </w:r>
      <w:r w:rsidR="00AC1EC5" w:rsidRPr="00091600">
        <w:rPr>
          <w:lang w:val="en-AU"/>
        </w:rPr>
        <w:t>,</w:t>
      </w:r>
      <w:r w:rsidRPr="00091600">
        <w:rPr>
          <w:lang w:val="en-AU"/>
        </w:rPr>
        <w:t xml:space="preserve"> </w:t>
      </w:r>
      <w:r w:rsidRPr="00091600">
        <w:rPr>
          <w:i/>
          <w:lang w:val="en-AU"/>
        </w:rPr>
        <w:t>GSDRC Professional Development Reading Pack no. 1</w:t>
      </w:r>
      <w:r w:rsidRPr="00091600">
        <w:rPr>
          <w:lang w:val="en-AU"/>
        </w:rPr>
        <w:t>,</w:t>
      </w:r>
      <w:r w:rsidR="00044AC5" w:rsidRPr="00091600">
        <w:rPr>
          <w:lang w:val="en-AU"/>
        </w:rPr>
        <w:t xml:space="preserve"> </w:t>
      </w:r>
      <w:r w:rsidRPr="00091600">
        <w:rPr>
          <w:lang w:val="en-AU"/>
        </w:rPr>
        <w:t>University of Birmingham.</w:t>
      </w:r>
    </w:p>
    <w:p w:rsidR="000F4B57" w:rsidRPr="00091600" w:rsidRDefault="000F4B57" w:rsidP="006332DC">
      <w:pPr>
        <w:pStyle w:val="BodyText"/>
        <w:rPr>
          <w:rFonts w:cs="Calibri"/>
          <w:color w:val="4C1691"/>
          <w:lang w:val="en-AU"/>
        </w:rPr>
      </w:pPr>
      <w:r w:rsidRPr="00091600">
        <w:rPr>
          <w:rFonts w:cs="Calibri"/>
          <w:lang w:val="en-AU"/>
        </w:rPr>
        <w:t>McCourt, W. and Sola, N. (1999</w:t>
      </w:r>
      <w:r w:rsidR="009776C5" w:rsidRPr="00091600">
        <w:rPr>
          <w:rFonts w:cs="Calibri"/>
          <w:lang w:val="en-AU"/>
        </w:rPr>
        <w:t>)</w:t>
      </w:r>
      <w:r w:rsidRPr="00091600">
        <w:rPr>
          <w:rFonts w:cs="Calibri"/>
          <w:lang w:val="en-AU"/>
        </w:rPr>
        <w:t xml:space="preserve"> ‘Using training to promote civil service reform: </w:t>
      </w:r>
      <w:r w:rsidR="00AC1EC5" w:rsidRPr="00091600">
        <w:rPr>
          <w:rFonts w:cs="Calibri"/>
          <w:lang w:val="en-AU"/>
        </w:rPr>
        <w:t>a</w:t>
      </w:r>
      <w:r w:rsidRPr="00091600">
        <w:rPr>
          <w:rFonts w:cs="Calibri"/>
          <w:lang w:val="en-AU"/>
        </w:rPr>
        <w:t xml:space="preserve"> Tanzanian local government case study’, </w:t>
      </w:r>
      <w:r w:rsidRPr="00091600">
        <w:rPr>
          <w:i/>
          <w:lang w:val="en-AU"/>
        </w:rPr>
        <w:t>Public Administration and Development</w:t>
      </w:r>
      <w:r w:rsidRPr="00091600">
        <w:rPr>
          <w:rFonts w:cs="Calibri"/>
          <w:lang w:val="en-AU"/>
        </w:rPr>
        <w:t xml:space="preserve"> </w:t>
      </w:r>
      <w:r w:rsidRPr="00091600">
        <w:rPr>
          <w:lang w:val="en-AU"/>
        </w:rPr>
        <w:t>19</w:t>
      </w:r>
      <w:r w:rsidRPr="00091600">
        <w:rPr>
          <w:rFonts w:cs="Calibri"/>
          <w:lang w:val="en-AU"/>
        </w:rPr>
        <w:t>(1), pp</w:t>
      </w:r>
      <w:r w:rsidR="00AC1EC5" w:rsidRPr="00091600">
        <w:rPr>
          <w:rFonts w:cs="Calibri"/>
          <w:lang w:val="en-AU"/>
        </w:rPr>
        <w:t>.</w:t>
      </w:r>
      <w:r w:rsidRPr="00091600">
        <w:rPr>
          <w:rFonts w:cs="Calibri"/>
          <w:lang w:val="en-AU"/>
        </w:rPr>
        <w:t xml:space="preserve"> 63</w:t>
      </w:r>
      <w:r w:rsidRPr="00091600">
        <w:rPr>
          <w:lang w:val="en-AU"/>
        </w:rPr>
        <w:t>–</w:t>
      </w:r>
      <w:r w:rsidRPr="00091600">
        <w:rPr>
          <w:rFonts w:cs="Calibri"/>
          <w:lang w:val="en-AU"/>
        </w:rPr>
        <w:t xml:space="preserve">75. </w:t>
      </w:r>
      <w:r w:rsidRPr="00091600">
        <w:rPr>
          <w:lang w:val="en-AU"/>
        </w:rPr>
        <w:t xml:space="preserve">Available at: </w:t>
      </w:r>
      <w:hyperlink r:id="rId57" w:history="1">
        <w:r w:rsidRPr="00091600">
          <w:rPr>
            <w:rStyle w:val="Hyperlink"/>
            <w:rFonts w:cs="Calibri"/>
            <w:lang w:val="en-AU"/>
          </w:rPr>
          <w:t>http://dx.doi.org/10.1002/(SICI)1099-162X(199902)19:1&lt;63::AID-PAD55&gt;3.0.CO;2-F</w:t>
        </w:r>
      </w:hyperlink>
      <w:r w:rsidRPr="00091600">
        <w:rPr>
          <w:rFonts w:cs="Calibri"/>
          <w:color w:val="4C1691"/>
          <w:lang w:val="en-AU"/>
        </w:rPr>
        <w:t xml:space="preserve">. </w:t>
      </w:r>
    </w:p>
    <w:p w:rsidR="000F4B57" w:rsidRPr="00091600" w:rsidRDefault="000F4B57" w:rsidP="006332DC">
      <w:pPr>
        <w:pStyle w:val="BodyText"/>
        <w:rPr>
          <w:lang w:val="en-AU"/>
        </w:rPr>
      </w:pPr>
      <w:bookmarkStart w:id="154" w:name="_Hlk524692726"/>
      <w:r w:rsidRPr="00091600">
        <w:rPr>
          <w:lang w:val="en-AU"/>
        </w:rPr>
        <w:t>McLeod, A. (2015</w:t>
      </w:r>
      <w:r w:rsidR="009776C5" w:rsidRPr="00091600">
        <w:rPr>
          <w:lang w:val="en-AU"/>
        </w:rPr>
        <w:t>)</w:t>
      </w:r>
      <w:r w:rsidRPr="00091600">
        <w:rPr>
          <w:lang w:val="en-AU"/>
        </w:rPr>
        <w:t xml:space="preserve"> ‘</w:t>
      </w:r>
      <w:r w:rsidRPr="00091600">
        <w:rPr>
          <w:iCs/>
          <w:lang w:val="en-AU"/>
        </w:rPr>
        <w:t>Women’s leadership in the Pacific’</w:t>
      </w:r>
      <w:r w:rsidRPr="00091600">
        <w:rPr>
          <w:i/>
          <w:iCs/>
          <w:lang w:val="en-AU"/>
        </w:rPr>
        <w:t>,</w:t>
      </w:r>
      <w:r w:rsidRPr="00091600">
        <w:rPr>
          <w:lang w:val="en-AU"/>
        </w:rPr>
        <w:t xml:space="preserve"> Developmental Leadership Program.</w:t>
      </w:r>
      <w:bookmarkEnd w:id="154"/>
    </w:p>
    <w:p w:rsidR="000F4B57" w:rsidRPr="00091600" w:rsidRDefault="000F4B57" w:rsidP="006332DC">
      <w:pPr>
        <w:pStyle w:val="BodyText"/>
        <w:rPr>
          <w:rFonts w:cs="Calibri"/>
          <w:iCs/>
          <w:color w:val="000000"/>
          <w:lang w:val="en-AU"/>
        </w:rPr>
      </w:pPr>
      <w:bookmarkStart w:id="155" w:name="_Hlk524692429"/>
      <w:r w:rsidRPr="00091600">
        <w:rPr>
          <w:lang w:val="en-AU"/>
        </w:rPr>
        <w:t>Narokobi, B. (1983</w:t>
      </w:r>
      <w:r w:rsidR="009776C5" w:rsidRPr="00091600">
        <w:rPr>
          <w:lang w:val="en-AU"/>
        </w:rPr>
        <w:t>)</w:t>
      </w:r>
      <w:r w:rsidR="005F4A3F">
        <w:rPr>
          <w:lang w:val="en-AU"/>
        </w:rPr>
        <w:t xml:space="preserve"> </w:t>
      </w:r>
      <w:r w:rsidRPr="00091600">
        <w:rPr>
          <w:i/>
          <w:lang w:val="en-AU"/>
        </w:rPr>
        <w:t xml:space="preserve">The Melanesian </w:t>
      </w:r>
      <w:r w:rsidR="00AC1EC5" w:rsidRPr="00091600">
        <w:rPr>
          <w:i/>
          <w:lang w:val="en-AU"/>
        </w:rPr>
        <w:t>W</w:t>
      </w:r>
      <w:r w:rsidR="00044AC5" w:rsidRPr="00091600">
        <w:rPr>
          <w:i/>
          <w:lang w:val="en-AU"/>
        </w:rPr>
        <w:t>ay,</w:t>
      </w:r>
      <w:r w:rsidR="00044AC5" w:rsidRPr="00091600">
        <w:rPr>
          <w:lang w:val="en-AU"/>
        </w:rPr>
        <w:t xml:space="preserve"> </w:t>
      </w:r>
      <w:r w:rsidRPr="00091600">
        <w:rPr>
          <w:lang w:val="en-AU"/>
        </w:rPr>
        <w:t>Institute of PNG and Pacific Studies</w:t>
      </w:r>
      <w:bookmarkEnd w:id="155"/>
      <w:r w:rsidRPr="00091600">
        <w:rPr>
          <w:lang w:val="en-AU"/>
        </w:rPr>
        <w:t>, Suva, Fiji.</w:t>
      </w:r>
    </w:p>
    <w:p w:rsidR="000F4B57" w:rsidRPr="00091600" w:rsidRDefault="000F4B57" w:rsidP="006332DC">
      <w:pPr>
        <w:pStyle w:val="BodyText"/>
        <w:rPr>
          <w:lang w:val="en-AU"/>
        </w:rPr>
      </w:pPr>
      <w:r w:rsidRPr="00091600">
        <w:rPr>
          <w:lang w:val="en-AU"/>
        </w:rPr>
        <w:t>National Executive Council (2007</w:t>
      </w:r>
      <w:r w:rsidR="009776C5" w:rsidRPr="00091600">
        <w:rPr>
          <w:lang w:val="en-AU"/>
        </w:rPr>
        <w:t>)</w:t>
      </w:r>
      <w:r w:rsidRPr="00091600">
        <w:rPr>
          <w:lang w:val="en-AU"/>
        </w:rPr>
        <w:t xml:space="preserve"> ‘Papua New Guinea Vision 2050’, National Strategic Plan Taskforce.</w:t>
      </w:r>
    </w:p>
    <w:p w:rsidR="000F4B57" w:rsidRPr="00091600" w:rsidRDefault="000F4B57" w:rsidP="006332DC">
      <w:pPr>
        <w:pStyle w:val="BodyText"/>
        <w:rPr>
          <w:lang w:val="en-AU"/>
        </w:rPr>
      </w:pPr>
      <w:r w:rsidRPr="00091600">
        <w:rPr>
          <w:lang w:val="en-AU"/>
        </w:rPr>
        <w:t>PLGP (2015a</w:t>
      </w:r>
      <w:r w:rsidR="009776C5" w:rsidRPr="00091600">
        <w:rPr>
          <w:lang w:val="en-AU"/>
        </w:rPr>
        <w:t>)</w:t>
      </w:r>
      <w:r w:rsidRPr="00091600">
        <w:rPr>
          <w:lang w:val="en-AU"/>
        </w:rPr>
        <w:t xml:space="preserve"> ‘2015 </w:t>
      </w:r>
      <w:r w:rsidR="009F5553" w:rsidRPr="00091600">
        <w:rPr>
          <w:lang w:val="en-AU"/>
        </w:rPr>
        <w:t>Update</w:t>
      </w:r>
      <w:r w:rsidRPr="00091600">
        <w:rPr>
          <w:lang w:val="en-AU"/>
        </w:rPr>
        <w:t xml:space="preserve"> of </w:t>
      </w:r>
      <w:r w:rsidR="009F5553" w:rsidRPr="00091600">
        <w:rPr>
          <w:lang w:val="en-AU"/>
        </w:rPr>
        <w:t>D</w:t>
      </w:r>
      <w:r w:rsidR="00044AC5" w:rsidRPr="00091600">
        <w:rPr>
          <w:lang w:val="en-AU"/>
        </w:rPr>
        <w:t xml:space="preserve">esign </w:t>
      </w:r>
      <w:r w:rsidR="009F5553" w:rsidRPr="00091600">
        <w:rPr>
          <w:lang w:val="en-AU"/>
        </w:rPr>
        <w:t>B</w:t>
      </w:r>
      <w:r w:rsidR="00044AC5" w:rsidRPr="00091600">
        <w:rPr>
          <w:lang w:val="en-AU"/>
        </w:rPr>
        <w:t>rief</w:t>
      </w:r>
      <w:r w:rsidRPr="00091600">
        <w:rPr>
          <w:lang w:val="en-AU"/>
        </w:rPr>
        <w:t xml:space="preserve"> and </w:t>
      </w:r>
      <w:r w:rsidR="009F5553" w:rsidRPr="00091600">
        <w:rPr>
          <w:lang w:val="en-AU"/>
        </w:rPr>
        <w:t>I</w:t>
      </w:r>
      <w:r w:rsidR="00044AC5" w:rsidRPr="00091600">
        <w:rPr>
          <w:lang w:val="en-AU"/>
        </w:rPr>
        <w:t>mplementation</w:t>
      </w:r>
      <w:r w:rsidR="00AC1EC5" w:rsidRPr="00091600">
        <w:rPr>
          <w:lang w:val="en-AU"/>
        </w:rPr>
        <w:t>’</w:t>
      </w:r>
      <w:r w:rsidRPr="00091600">
        <w:rPr>
          <w:lang w:val="en-AU"/>
        </w:rPr>
        <w:t>, Pacific Leadership and Governance Precinct, November.</w:t>
      </w:r>
    </w:p>
    <w:p w:rsidR="000F4B57" w:rsidRPr="00091600" w:rsidRDefault="000F4B57" w:rsidP="006332DC">
      <w:pPr>
        <w:pStyle w:val="BodyText"/>
        <w:rPr>
          <w:lang w:val="en-AU"/>
        </w:rPr>
      </w:pPr>
      <w:bookmarkStart w:id="156" w:name="_Hlk524692173"/>
      <w:r w:rsidRPr="00091600">
        <w:rPr>
          <w:lang w:val="en-AU"/>
        </w:rPr>
        <w:t>PLGP (2015b</w:t>
      </w:r>
      <w:r w:rsidR="009776C5" w:rsidRPr="00091600">
        <w:rPr>
          <w:lang w:val="en-AU"/>
        </w:rPr>
        <w:t>)</w:t>
      </w:r>
      <w:r w:rsidRPr="00091600">
        <w:rPr>
          <w:lang w:val="en-AU"/>
        </w:rPr>
        <w:t xml:space="preserve"> ‘Joondalup Learning Precinct study tour report’, Pacific Leadership and Governance Precinct, November</w:t>
      </w:r>
      <w:bookmarkEnd w:id="156"/>
      <w:r w:rsidRPr="00091600">
        <w:rPr>
          <w:lang w:val="en-AU"/>
        </w:rPr>
        <w:t>.</w:t>
      </w:r>
    </w:p>
    <w:p w:rsidR="000F4B57" w:rsidRPr="00091600" w:rsidRDefault="000F4B57" w:rsidP="006332DC">
      <w:pPr>
        <w:pStyle w:val="BodyText"/>
        <w:rPr>
          <w:lang w:val="en-AU"/>
        </w:rPr>
      </w:pPr>
      <w:bookmarkStart w:id="157" w:name="_Hlk524693953"/>
      <w:r w:rsidRPr="00091600">
        <w:rPr>
          <w:lang w:val="en-AU"/>
        </w:rPr>
        <w:t>PLGP (2016a</w:t>
      </w:r>
      <w:r w:rsidR="009776C5" w:rsidRPr="00091600">
        <w:rPr>
          <w:lang w:val="en-AU"/>
        </w:rPr>
        <w:t>)</w:t>
      </w:r>
      <w:r w:rsidRPr="00091600">
        <w:rPr>
          <w:lang w:val="en-AU"/>
        </w:rPr>
        <w:t xml:space="preserve"> ‘2016 </w:t>
      </w:r>
      <w:r w:rsidR="009F5553" w:rsidRPr="00091600">
        <w:rPr>
          <w:lang w:val="en-AU"/>
        </w:rPr>
        <w:t>U</w:t>
      </w:r>
      <w:r w:rsidR="00044AC5" w:rsidRPr="00091600">
        <w:rPr>
          <w:lang w:val="en-AU"/>
        </w:rPr>
        <w:t>pdate</w:t>
      </w:r>
      <w:r w:rsidRPr="00091600">
        <w:rPr>
          <w:lang w:val="en-AU"/>
        </w:rPr>
        <w:t xml:space="preserve"> of </w:t>
      </w:r>
      <w:r w:rsidR="009F5553" w:rsidRPr="00091600">
        <w:rPr>
          <w:lang w:val="en-AU"/>
        </w:rPr>
        <w:t>D</w:t>
      </w:r>
      <w:r w:rsidR="00044AC5" w:rsidRPr="00091600">
        <w:rPr>
          <w:lang w:val="en-AU"/>
        </w:rPr>
        <w:t xml:space="preserve">esign </w:t>
      </w:r>
      <w:r w:rsidR="009F5553" w:rsidRPr="00091600">
        <w:rPr>
          <w:lang w:val="en-AU"/>
        </w:rPr>
        <w:t>B</w:t>
      </w:r>
      <w:r w:rsidR="00044AC5" w:rsidRPr="00091600">
        <w:rPr>
          <w:lang w:val="en-AU"/>
        </w:rPr>
        <w:t>rief</w:t>
      </w:r>
      <w:r w:rsidRPr="00091600">
        <w:rPr>
          <w:lang w:val="en-AU"/>
        </w:rPr>
        <w:t xml:space="preserve"> and </w:t>
      </w:r>
      <w:r w:rsidR="009F5553" w:rsidRPr="00091600">
        <w:rPr>
          <w:lang w:val="en-AU"/>
        </w:rPr>
        <w:t>I</w:t>
      </w:r>
      <w:r w:rsidR="00044AC5" w:rsidRPr="00091600">
        <w:rPr>
          <w:lang w:val="en-AU"/>
        </w:rPr>
        <w:t>mplementation</w:t>
      </w:r>
      <w:r w:rsidR="00AC1EC5" w:rsidRPr="00091600">
        <w:rPr>
          <w:lang w:val="en-AU"/>
        </w:rPr>
        <w:t>’</w:t>
      </w:r>
      <w:r w:rsidRPr="00091600">
        <w:rPr>
          <w:lang w:val="en-AU"/>
        </w:rPr>
        <w:t>, Pacific Leadership and Governance Precinct, January</w:t>
      </w:r>
      <w:bookmarkEnd w:id="157"/>
      <w:r w:rsidRPr="00091600">
        <w:rPr>
          <w:lang w:val="en-AU"/>
        </w:rPr>
        <w:t>.</w:t>
      </w:r>
    </w:p>
    <w:p w:rsidR="000F4B57" w:rsidRPr="00091600" w:rsidRDefault="000F4B57" w:rsidP="006332DC">
      <w:pPr>
        <w:pStyle w:val="BodyText"/>
        <w:rPr>
          <w:lang w:val="en-AU"/>
        </w:rPr>
      </w:pPr>
      <w:r w:rsidRPr="00091600">
        <w:rPr>
          <w:lang w:val="en-AU"/>
        </w:rPr>
        <w:t>PLGP (2016b</w:t>
      </w:r>
      <w:r w:rsidR="009776C5" w:rsidRPr="00091600">
        <w:rPr>
          <w:lang w:val="en-AU"/>
        </w:rPr>
        <w:t>)</w:t>
      </w:r>
      <w:r w:rsidRPr="00091600">
        <w:rPr>
          <w:lang w:val="en-AU"/>
        </w:rPr>
        <w:t xml:space="preserve"> ‘Draft design framework for the Executive Leadership Program’, Pacific Leadership and Governance Precinct, June.</w:t>
      </w:r>
    </w:p>
    <w:p w:rsidR="000F4B57" w:rsidRPr="00091600" w:rsidRDefault="000F4B57" w:rsidP="006332DC">
      <w:pPr>
        <w:pStyle w:val="BodyText"/>
        <w:rPr>
          <w:lang w:val="en-AU"/>
        </w:rPr>
      </w:pPr>
      <w:r w:rsidRPr="00091600">
        <w:rPr>
          <w:lang w:val="en-AU"/>
        </w:rPr>
        <w:t>PLGP (2016c</w:t>
      </w:r>
      <w:r w:rsidR="009776C5" w:rsidRPr="00091600">
        <w:rPr>
          <w:lang w:val="en-AU"/>
        </w:rPr>
        <w:t>)</w:t>
      </w:r>
      <w:r w:rsidRPr="00091600">
        <w:rPr>
          <w:lang w:val="en-AU"/>
        </w:rPr>
        <w:t xml:space="preserve"> ‘Executive short course program 2016 evaluation report’, Pacific Leadership and Governance Precinct.</w:t>
      </w:r>
    </w:p>
    <w:p w:rsidR="000F4B57" w:rsidRPr="00091600" w:rsidRDefault="000F4B57" w:rsidP="006332DC">
      <w:pPr>
        <w:pStyle w:val="BodyText"/>
        <w:rPr>
          <w:lang w:val="en-AU"/>
        </w:rPr>
      </w:pPr>
      <w:bookmarkStart w:id="158" w:name="_Hlk524691313"/>
      <w:r w:rsidRPr="00091600">
        <w:rPr>
          <w:rFonts w:cs="Calibri"/>
          <w:iCs/>
          <w:color w:val="000000"/>
          <w:lang w:val="en-AU"/>
        </w:rPr>
        <w:t>PLGP (2017</w:t>
      </w:r>
      <w:r w:rsidR="009776C5" w:rsidRPr="00091600">
        <w:rPr>
          <w:rFonts w:cs="Calibri"/>
          <w:iCs/>
          <w:color w:val="000000"/>
          <w:lang w:val="en-AU"/>
        </w:rPr>
        <w:t>)</w:t>
      </w:r>
      <w:r w:rsidRPr="00091600">
        <w:rPr>
          <w:rFonts w:cs="Calibri"/>
          <w:iCs/>
          <w:color w:val="000000"/>
          <w:lang w:val="en-AU"/>
        </w:rPr>
        <w:t xml:space="preserve"> ‘</w:t>
      </w:r>
      <w:r w:rsidRPr="00091600">
        <w:rPr>
          <w:lang w:val="en-AU"/>
        </w:rPr>
        <w:t>Draft Precinct design and implementation brief’, Pacific Leadership and Governance Precinct, December</w:t>
      </w:r>
      <w:bookmarkEnd w:id="158"/>
      <w:r w:rsidRPr="00091600">
        <w:rPr>
          <w:lang w:val="en-AU"/>
        </w:rPr>
        <w:t>.</w:t>
      </w:r>
    </w:p>
    <w:p w:rsidR="000F4B57" w:rsidRPr="00091600" w:rsidRDefault="000F4B57" w:rsidP="006332DC">
      <w:pPr>
        <w:pStyle w:val="BodyText"/>
        <w:rPr>
          <w:lang w:val="en-AU"/>
        </w:rPr>
      </w:pPr>
      <w:r w:rsidRPr="00091600">
        <w:rPr>
          <w:lang w:val="en-AU"/>
        </w:rPr>
        <w:t>PLGP (2018a</w:t>
      </w:r>
      <w:r w:rsidR="009776C5" w:rsidRPr="00091600">
        <w:rPr>
          <w:lang w:val="en-AU"/>
        </w:rPr>
        <w:t>)</w:t>
      </w:r>
      <w:r w:rsidRPr="00091600">
        <w:rPr>
          <w:lang w:val="en-AU"/>
        </w:rPr>
        <w:t xml:space="preserve"> ‘Draft Precinct design and implementation brief’, Pacific Leadership and Governance Precinct, March.</w:t>
      </w:r>
    </w:p>
    <w:p w:rsidR="000F4B57" w:rsidRPr="00091600" w:rsidRDefault="000F4B57" w:rsidP="006332DC">
      <w:pPr>
        <w:pStyle w:val="BodyText"/>
        <w:rPr>
          <w:lang w:val="en-AU"/>
        </w:rPr>
      </w:pPr>
      <w:r w:rsidRPr="00091600">
        <w:rPr>
          <w:lang w:val="en-AU"/>
        </w:rPr>
        <w:t>PLGP (2018b</w:t>
      </w:r>
      <w:r w:rsidR="009776C5" w:rsidRPr="00091600">
        <w:rPr>
          <w:lang w:val="en-AU"/>
        </w:rPr>
        <w:t>)</w:t>
      </w:r>
      <w:r w:rsidRPr="00091600">
        <w:rPr>
          <w:lang w:val="en-AU"/>
        </w:rPr>
        <w:t xml:space="preserve"> ‘Draft Precinct leadership program pilot review report’, Pacific Leadership and Governance Precinct, April 2018.</w:t>
      </w:r>
    </w:p>
    <w:p w:rsidR="000F4B57" w:rsidRPr="00091600" w:rsidRDefault="000F4B57" w:rsidP="006332DC">
      <w:pPr>
        <w:pStyle w:val="BodyText"/>
        <w:rPr>
          <w:i/>
          <w:lang w:val="en-AU"/>
        </w:rPr>
      </w:pPr>
      <w:r w:rsidRPr="00091600">
        <w:rPr>
          <w:lang w:val="en-AU"/>
        </w:rPr>
        <w:t>PLGP (</w:t>
      </w:r>
      <w:r w:rsidR="00AC1EC5" w:rsidRPr="00091600">
        <w:rPr>
          <w:lang w:val="en-AU"/>
        </w:rPr>
        <w:t>n</w:t>
      </w:r>
      <w:r w:rsidRPr="00091600">
        <w:rPr>
          <w:lang w:val="en-AU"/>
        </w:rPr>
        <w:t>.d.) ‘Communications Strategy’.</w:t>
      </w:r>
    </w:p>
    <w:p w:rsidR="000F4B57" w:rsidRPr="00091600" w:rsidRDefault="000F4B57" w:rsidP="006332DC">
      <w:pPr>
        <w:pStyle w:val="BodyText"/>
        <w:rPr>
          <w:i/>
          <w:lang w:val="en-AU"/>
        </w:rPr>
      </w:pPr>
      <w:r w:rsidRPr="00091600">
        <w:rPr>
          <w:lang w:val="en-AU"/>
        </w:rPr>
        <w:t>PLGP (</w:t>
      </w:r>
      <w:r w:rsidR="00AC1EC5" w:rsidRPr="00091600">
        <w:rPr>
          <w:lang w:val="en-AU"/>
        </w:rPr>
        <w:t>n</w:t>
      </w:r>
      <w:r w:rsidRPr="00091600">
        <w:rPr>
          <w:lang w:val="en-AU"/>
        </w:rPr>
        <w:t>.d.) ‘Joint Precinct Steering Committee Teams of Reference’</w:t>
      </w:r>
      <w:r w:rsidRPr="00091600">
        <w:rPr>
          <w:i/>
          <w:lang w:val="en-AU"/>
        </w:rPr>
        <w:t>.</w:t>
      </w:r>
    </w:p>
    <w:p w:rsidR="000F4B57" w:rsidRPr="00091600" w:rsidRDefault="000F4B57" w:rsidP="006332DC">
      <w:pPr>
        <w:pStyle w:val="BodyText"/>
        <w:rPr>
          <w:i/>
          <w:lang w:val="en-AU"/>
        </w:rPr>
      </w:pPr>
      <w:r w:rsidRPr="00091600">
        <w:rPr>
          <w:lang w:val="en-AU"/>
        </w:rPr>
        <w:t>PLGP (</w:t>
      </w:r>
      <w:r w:rsidR="00AC1EC5" w:rsidRPr="00091600">
        <w:rPr>
          <w:lang w:val="en-AU"/>
        </w:rPr>
        <w:t>n</w:t>
      </w:r>
      <w:r w:rsidRPr="00091600">
        <w:rPr>
          <w:lang w:val="en-AU"/>
        </w:rPr>
        <w:t>.d.) ‘Precinct Executive Advisory Board Charter’</w:t>
      </w:r>
      <w:r w:rsidRPr="00091600">
        <w:rPr>
          <w:i/>
          <w:lang w:val="en-AU"/>
        </w:rPr>
        <w:t>.</w:t>
      </w:r>
    </w:p>
    <w:p w:rsidR="000F4B57" w:rsidRPr="00091600" w:rsidRDefault="000F4B57" w:rsidP="006332DC">
      <w:pPr>
        <w:pStyle w:val="BodyText"/>
        <w:rPr>
          <w:lang w:val="en-AU"/>
        </w:rPr>
      </w:pPr>
      <w:r w:rsidRPr="00091600">
        <w:rPr>
          <w:lang w:val="en-AU"/>
        </w:rPr>
        <w:t>PNG Department of National Planning and Monitoring</w:t>
      </w:r>
      <w:r w:rsidRPr="00091600" w:rsidDel="00864B6A">
        <w:rPr>
          <w:lang w:val="en-AU"/>
        </w:rPr>
        <w:t xml:space="preserve"> </w:t>
      </w:r>
      <w:r w:rsidRPr="00091600">
        <w:rPr>
          <w:lang w:val="en-AU"/>
        </w:rPr>
        <w:t>(2010</w:t>
      </w:r>
      <w:r w:rsidR="009776C5" w:rsidRPr="00091600">
        <w:rPr>
          <w:lang w:val="en-AU"/>
        </w:rPr>
        <w:t>)</w:t>
      </w:r>
      <w:r w:rsidRPr="00091600">
        <w:rPr>
          <w:lang w:val="en-AU"/>
        </w:rPr>
        <w:t xml:space="preserve"> ‘Papua New Guinea development strategic plan 2030’, Department of National Planning and Monitoring.</w:t>
      </w:r>
    </w:p>
    <w:p w:rsidR="000F4B57" w:rsidRPr="00091600" w:rsidRDefault="000F4B57" w:rsidP="006332DC">
      <w:pPr>
        <w:pStyle w:val="BodyText"/>
        <w:rPr>
          <w:lang w:val="en-AU"/>
        </w:rPr>
      </w:pPr>
      <w:r w:rsidRPr="00091600">
        <w:rPr>
          <w:lang w:val="en-AU"/>
        </w:rPr>
        <w:t>PSLRP (2018a</w:t>
      </w:r>
      <w:r w:rsidR="009776C5" w:rsidRPr="00091600">
        <w:rPr>
          <w:lang w:val="en-AU"/>
        </w:rPr>
        <w:t>)</w:t>
      </w:r>
      <w:r w:rsidRPr="00091600">
        <w:rPr>
          <w:lang w:val="en-AU"/>
        </w:rPr>
        <w:t xml:space="preserve"> ‘Data mapping of Precinct courses participation’</w:t>
      </w:r>
      <w:r w:rsidRPr="00091600">
        <w:rPr>
          <w:i/>
          <w:lang w:val="en-AU"/>
        </w:rPr>
        <w:t xml:space="preserve">, </w:t>
      </w:r>
      <w:r w:rsidRPr="00091600">
        <w:rPr>
          <w:lang w:val="en-AU"/>
        </w:rPr>
        <w:t>Knowledge, Analytics, and Learning Platform, Abt PNG, 12 July.</w:t>
      </w:r>
    </w:p>
    <w:p w:rsidR="000F4B57" w:rsidRPr="00091600" w:rsidRDefault="000F4B57" w:rsidP="006332DC">
      <w:pPr>
        <w:pStyle w:val="BodyText"/>
        <w:rPr>
          <w:lang w:val="en-AU"/>
        </w:rPr>
      </w:pPr>
      <w:r w:rsidRPr="00091600">
        <w:rPr>
          <w:lang w:val="en-AU"/>
        </w:rPr>
        <w:t>PSLRP (2018b) ‘Data mapping of PSLR participants in all activities’, Knowledge, Analytics, and Learning Platform, Abt PNG, 29 August.</w:t>
      </w:r>
    </w:p>
    <w:p w:rsidR="000F4B57" w:rsidRPr="00091600" w:rsidRDefault="000F4B57" w:rsidP="006332DC">
      <w:pPr>
        <w:pStyle w:val="BodyText"/>
        <w:rPr>
          <w:lang w:val="en-AU"/>
        </w:rPr>
      </w:pPr>
      <w:bookmarkStart w:id="159" w:name="_Hlk524692291"/>
      <w:r w:rsidRPr="00091600">
        <w:rPr>
          <w:lang w:val="en-AU"/>
        </w:rPr>
        <w:t>PSLRP (2019) ‘PSLR Precinct training participants data’, Knowledge, Analytics, and Learning Platform, Abt PNG, 22 January.</w:t>
      </w:r>
    </w:p>
    <w:p w:rsidR="000F4B57" w:rsidRPr="00091600" w:rsidRDefault="000F4B57" w:rsidP="006332DC">
      <w:pPr>
        <w:pStyle w:val="BodyText"/>
        <w:rPr>
          <w:i/>
          <w:lang w:val="en-AU"/>
        </w:rPr>
      </w:pPr>
      <w:r w:rsidRPr="00091600">
        <w:rPr>
          <w:lang w:val="en-AU"/>
        </w:rPr>
        <w:t>QTAG (2018</w:t>
      </w:r>
      <w:r w:rsidR="009776C5" w:rsidRPr="00091600">
        <w:rPr>
          <w:lang w:val="en-AU"/>
        </w:rPr>
        <w:t>)</w:t>
      </w:r>
      <w:r w:rsidRPr="00091600">
        <w:rPr>
          <w:lang w:val="en-AU"/>
        </w:rPr>
        <w:t xml:space="preserve"> ‘Annual review of PNG Governance </w:t>
      </w:r>
      <w:r w:rsidR="0053074C" w:rsidRPr="00091600">
        <w:rPr>
          <w:lang w:val="en-AU"/>
        </w:rPr>
        <w:t>Partnership</w:t>
      </w:r>
      <w:r w:rsidR="00AC1EC5" w:rsidRPr="00091600">
        <w:rPr>
          <w:lang w:val="en-AU"/>
        </w:rPr>
        <w:t>’.</w:t>
      </w:r>
      <w:r w:rsidRPr="00091600">
        <w:rPr>
          <w:i/>
          <w:lang w:val="en-AU"/>
        </w:rPr>
        <w:t xml:space="preserve"> </w:t>
      </w:r>
      <w:bookmarkEnd w:id="159"/>
    </w:p>
    <w:p w:rsidR="000F4B57" w:rsidRPr="00091600" w:rsidRDefault="000F4B57" w:rsidP="006332DC">
      <w:pPr>
        <w:pStyle w:val="BodyText"/>
        <w:rPr>
          <w:rFonts w:cs="Calibri"/>
          <w:lang w:val="en-AU"/>
        </w:rPr>
      </w:pPr>
      <w:r w:rsidRPr="00091600">
        <w:rPr>
          <w:rFonts w:cs="Calibri"/>
          <w:lang w:val="en-AU"/>
        </w:rPr>
        <w:t>Rao, S (2013</w:t>
      </w:r>
      <w:r w:rsidR="009776C5" w:rsidRPr="00091600">
        <w:rPr>
          <w:rFonts w:cs="Calibri"/>
          <w:lang w:val="en-AU"/>
        </w:rPr>
        <w:t>)</w:t>
      </w:r>
      <w:r w:rsidRPr="00091600">
        <w:rPr>
          <w:rFonts w:cs="Calibri"/>
          <w:i/>
          <w:lang w:val="en-AU"/>
        </w:rPr>
        <w:t xml:space="preserve"> ‘</w:t>
      </w:r>
      <w:r w:rsidRPr="00091600">
        <w:rPr>
          <w:lang w:val="en-AU"/>
        </w:rPr>
        <w:t xml:space="preserve">Civil service reform: </w:t>
      </w:r>
      <w:r w:rsidR="00AC1EC5" w:rsidRPr="00091600">
        <w:rPr>
          <w:lang w:val="en-AU"/>
        </w:rPr>
        <w:t>t</w:t>
      </w:r>
      <w:r w:rsidR="00044AC5" w:rsidRPr="00091600">
        <w:rPr>
          <w:lang w:val="en-AU"/>
        </w:rPr>
        <w:t>opic</w:t>
      </w:r>
      <w:r w:rsidRPr="00091600">
        <w:rPr>
          <w:lang w:val="en-AU"/>
        </w:rPr>
        <w:t xml:space="preserve"> guide’</w:t>
      </w:r>
      <w:r w:rsidRPr="00091600">
        <w:rPr>
          <w:rFonts w:cs="Calibri"/>
          <w:lang w:val="en-AU"/>
        </w:rPr>
        <w:t>, GSDRC, University of Birmingham.</w:t>
      </w:r>
    </w:p>
    <w:p w:rsidR="000F4B57" w:rsidRPr="00091600" w:rsidRDefault="000F4B57" w:rsidP="006332DC">
      <w:pPr>
        <w:pStyle w:val="BodyText"/>
        <w:rPr>
          <w:lang w:val="en-AU"/>
        </w:rPr>
      </w:pPr>
      <w:bookmarkStart w:id="160" w:name="_Hlk524691499"/>
      <w:r w:rsidRPr="00091600">
        <w:rPr>
          <w:lang w:val="en-AU"/>
        </w:rPr>
        <w:t>SBPP (2018</w:t>
      </w:r>
      <w:r w:rsidR="009776C5" w:rsidRPr="00091600">
        <w:rPr>
          <w:lang w:val="en-AU"/>
        </w:rPr>
        <w:t>)</w:t>
      </w:r>
      <w:r w:rsidRPr="00091600">
        <w:rPr>
          <w:lang w:val="en-AU"/>
        </w:rPr>
        <w:t xml:space="preserve"> ‘Report by the SBPP Executive Dean’</w:t>
      </w:r>
      <w:r w:rsidR="00AC1EC5" w:rsidRPr="00091600">
        <w:rPr>
          <w:lang w:val="en-AU"/>
        </w:rPr>
        <w:t>,</w:t>
      </w:r>
      <w:r w:rsidRPr="00091600">
        <w:rPr>
          <w:lang w:val="en-AU"/>
        </w:rPr>
        <w:t xml:space="preserve"> July.</w:t>
      </w:r>
      <w:bookmarkEnd w:id="160"/>
    </w:p>
    <w:p w:rsidR="000F4B57" w:rsidRPr="00091600" w:rsidRDefault="000F4B57" w:rsidP="006332DC">
      <w:pPr>
        <w:pStyle w:val="BodyText"/>
        <w:rPr>
          <w:rFonts w:cs="Code"/>
          <w:lang w:val="en-AU"/>
        </w:rPr>
      </w:pPr>
      <w:bookmarkStart w:id="161" w:name="_Hlk524691882"/>
      <w:r w:rsidRPr="00091600">
        <w:rPr>
          <w:rFonts w:cs="Code"/>
          <w:lang w:val="en-AU"/>
        </w:rPr>
        <w:t>Sepoe, O. (2006</w:t>
      </w:r>
      <w:r w:rsidR="009776C5" w:rsidRPr="00091600">
        <w:rPr>
          <w:rFonts w:cs="Code"/>
          <w:lang w:val="en-AU"/>
        </w:rPr>
        <w:t>)</w:t>
      </w:r>
      <w:r w:rsidRPr="00091600">
        <w:rPr>
          <w:rFonts w:cs="Code"/>
          <w:lang w:val="en-AU"/>
        </w:rPr>
        <w:t xml:space="preserve"> ‘Democracy in Papua </w:t>
      </w:r>
      <w:r w:rsidRPr="00091600">
        <w:rPr>
          <w:lang w:val="en-AU"/>
        </w:rPr>
        <w:t>New</w:t>
      </w:r>
      <w:r w:rsidRPr="00091600">
        <w:rPr>
          <w:rFonts w:cs="Code"/>
          <w:lang w:val="en-AU"/>
        </w:rPr>
        <w:t xml:space="preserve"> Guinea: </w:t>
      </w:r>
      <w:r w:rsidRPr="00091600">
        <w:rPr>
          <w:lang w:val="en-AU"/>
        </w:rPr>
        <w:t>Challenges</w:t>
      </w:r>
      <w:r w:rsidRPr="00091600">
        <w:rPr>
          <w:rFonts w:cs="Code"/>
          <w:lang w:val="en-AU"/>
        </w:rPr>
        <w:t xml:space="preserve"> from a rights-based approach’, in</w:t>
      </w:r>
      <w:r w:rsidRPr="00091600">
        <w:rPr>
          <w:lang w:val="en-AU"/>
        </w:rPr>
        <w:t xml:space="preserve"> </w:t>
      </w:r>
      <w:r w:rsidRPr="00091600">
        <w:rPr>
          <w:rFonts w:cs="Code"/>
          <w:lang w:val="en-AU"/>
        </w:rPr>
        <w:t xml:space="preserve">S. </w:t>
      </w:r>
      <w:r w:rsidRPr="00091600">
        <w:rPr>
          <w:rFonts w:cs="Code"/>
          <w:color w:val="000000"/>
          <w:lang w:val="en-AU"/>
        </w:rPr>
        <w:t>Firth (ed</w:t>
      </w:r>
      <w:r w:rsidRPr="00091600">
        <w:rPr>
          <w:rFonts w:cs="Code"/>
          <w:lang w:val="en-AU"/>
        </w:rPr>
        <w:t>.</w:t>
      </w:r>
      <w:r w:rsidRPr="00091600">
        <w:rPr>
          <w:rFonts w:cs="Code"/>
          <w:color w:val="000000"/>
          <w:lang w:val="en-AU"/>
        </w:rPr>
        <w:t xml:space="preserve">), </w:t>
      </w:r>
      <w:r w:rsidRPr="00091600">
        <w:rPr>
          <w:rFonts w:cs="Code"/>
          <w:i/>
          <w:color w:val="000000"/>
          <w:lang w:val="en-AU"/>
        </w:rPr>
        <w:t xml:space="preserve">Globalisation and </w:t>
      </w:r>
      <w:r w:rsidRPr="00091600">
        <w:rPr>
          <w:rFonts w:cs="Code"/>
          <w:i/>
          <w:lang w:val="en-AU"/>
        </w:rPr>
        <w:t>g</w:t>
      </w:r>
      <w:r w:rsidRPr="00091600">
        <w:rPr>
          <w:rFonts w:cs="Code"/>
          <w:i/>
          <w:color w:val="000000"/>
          <w:lang w:val="en-AU"/>
        </w:rPr>
        <w:t>overnance in the Pacific Islands</w:t>
      </w:r>
      <w:r w:rsidRPr="00091600">
        <w:rPr>
          <w:rFonts w:cs="Code"/>
          <w:color w:val="000000"/>
          <w:lang w:val="en-AU"/>
        </w:rPr>
        <w:t xml:space="preserve">, ANU Press, Canberra. </w:t>
      </w:r>
      <w:r w:rsidRPr="00091600">
        <w:rPr>
          <w:lang w:val="en-AU"/>
        </w:rPr>
        <w:t>Available at:</w:t>
      </w:r>
      <w:r w:rsidRPr="00091600">
        <w:rPr>
          <w:rFonts w:cs="Code"/>
          <w:lang w:val="en-AU"/>
        </w:rPr>
        <w:t xml:space="preserve"> </w:t>
      </w:r>
      <w:bookmarkEnd w:id="161"/>
      <w:r w:rsidRPr="00091600">
        <w:rPr>
          <w:rStyle w:val="Hyperlink"/>
          <w:rFonts w:cs="Code"/>
          <w:lang w:val="en-AU"/>
        </w:rPr>
        <w:fldChar w:fldCharType="begin"/>
      </w:r>
      <w:r w:rsidRPr="00091600">
        <w:rPr>
          <w:rStyle w:val="Hyperlink"/>
          <w:rFonts w:cs="Code"/>
          <w:lang w:val="en-AU"/>
        </w:rPr>
        <w:instrText xml:space="preserve"> HYPERLINK "http://www.jstor.org/stable/j.ctt2jbj6w.26" </w:instrText>
      </w:r>
      <w:r w:rsidRPr="00091600">
        <w:rPr>
          <w:rStyle w:val="Hyperlink"/>
          <w:rFonts w:cs="Code"/>
          <w:lang w:val="en-AU"/>
        </w:rPr>
        <w:fldChar w:fldCharType="separate"/>
      </w:r>
      <w:r w:rsidRPr="00091600">
        <w:rPr>
          <w:rStyle w:val="Hyperlink"/>
          <w:rFonts w:cs="Code"/>
          <w:lang w:val="en-AU"/>
        </w:rPr>
        <w:t>www.jstor.org/stable/j.ctt2jbj6w.26</w:t>
      </w:r>
      <w:r w:rsidRPr="00091600">
        <w:rPr>
          <w:rStyle w:val="Hyperlink"/>
          <w:rFonts w:cs="Code"/>
          <w:lang w:val="en-AU"/>
        </w:rPr>
        <w:fldChar w:fldCharType="end"/>
      </w:r>
      <w:r w:rsidRPr="00091600">
        <w:rPr>
          <w:rStyle w:val="Hyperlink"/>
          <w:rFonts w:cs="Code"/>
          <w:lang w:val="en-AU"/>
        </w:rPr>
        <w:t>.</w:t>
      </w:r>
    </w:p>
    <w:p w:rsidR="000F4B57" w:rsidRPr="00091600" w:rsidRDefault="000F4B57" w:rsidP="006332DC">
      <w:pPr>
        <w:pStyle w:val="BodyText"/>
        <w:rPr>
          <w:lang w:val="en-AU"/>
        </w:rPr>
      </w:pPr>
      <w:bookmarkStart w:id="162" w:name="_Hlk524692752"/>
      <w:r w:rsidRPr="00091600">
        <w:rPr>
          <w:lang w:val="en-AU"/>
        </w:rPr>
        <w:t>Shaw, D.R. (1974</w:t>
      </w:r>
      <w:r w:rsidR="009776C5" w:rsidRPr="00091600">
        <w:rPr>
          <w:lang w:val="en-AU"/>
        </w:rPr>
        <w:t>)</w:t>
      </w:r>
      <w:r w:rsidRPr="00091600">
        <w:rPr>
          <w:lang w:val="en-AU"/>
        </w:rPr>
        <w:t xml:space="preserve"> ‘The </w:t>
      </w:r>
      <w:r w:rsidRPr="00091600">
        <w:rPr>
          <w:i/>
          <w:lang w:val="en-AU"/>
        </w:rPr>
        <w:t>wantok</w:t>
      </w:r>
      <w:r w:rsidRPr="00091600">
        <w:rPr>
          <w:lang w:val="en-AU"/>
        </w:rPr>
        <w:t xml:space="preserve"> system’, </w:t>
      </w:r>
      <w:r w:rsidRPr="00091600">
        <w:rPr>
          <w:i/>
          <w:lang w:val="en-AU"/>
        </w:rPr>
        <w:t xml:space="preserve">Catalyst </w:t>
      </w:r>
      <w:r w:rsidRPr="00091600">
        <w:rPr>
          <w:lang w:val="en-AU"/>
        </w:rPr>
        <w:t>1(1), pp</w:t>
      </w:r>
      <w:r w:rsidR="00AC1EC5" w:rsidRPr="00091600">
        <w:rPr>
          <w:lang w:val="en-AU"/>
        </w:rPr>
        <w:t>.</w:t>
      </w:r>
      <w:r w:rsidRPr="00091600">
        <w:rPr>
          <w:lang w:val="en-AU"/>
        </w:rPr>
        <w:t xml:space="preserve"> 1–11.</w:t>
      </w:r>
      <w:bookmarkEnd w:id="162"/>
    </w:p>
    <w:p w:rsidR="000F4B57" w:rsidRPr="00091600" w:rsidRDefault="000F4B57" w:rsidP="006332DC">
      <w:pPr>
        <w:pStyle w:val="BodyText"/>
        <w:rPr>
          <w:rFonts w:cs="Calibri"/>
          <w:iCs/>
          <w:color w:val="000000"/>
          <w:lang w:val="en-AU"/>
        </w:rPr>
      </w:pPr>
      <w:bookmarkStart w:id="163" w:name="_Hlk524692761"/>
      <w:r w:rsidRPr="00091600">
        <w:rPr>
          <w:lang w:val="en-AU"/>
        </w:rPr>
        <w:t>Tanda, P.A. (2011</w:t>
      </w:r>
      <w:r w:rsidR="009776C5" w:rsidRPr="00091600">
        <w:rPr>
          <w:lang w:val="en-AU"/>
        </w:rPr>
        <w:t>)</w:t>
      </w:r>
      <w:r w:rsidRPr="00091600">
        <w:rPr>
          <w:lang w:val="en-AU"/>
        </w:rPr>
        <w:t xml:space="preserve"> ‘An analytical evaluation of the effects of the </w:t>
      </w:r>
      <w:r w:rsidRPr="00091600">
        <w:rPr>
          <w:i/>
          <w:lang w:val="en-AU"/>
        </w:rPr>
        <w:t>Wantok</w:t>
      </w:r>
      <w:r w:rsidRPr="00091600">
        <w:rPr>
          <w:lang w:val="en-AU"/>
        </w:rPr>
        <w:t xml:space="preserve"> System in the South Sea Evangelical Church of Papua New Guinea’, </w:t>
      </w:r>
      <w:r w:rsidRPr="00091600">
        <w:rPr>
          <w:i/>
          <w:lang w:val="en-AU"/>
        </w:rPr>
        <w:t>Melanesian Journal of Theology</w:t>
      </w:r>
      <w:r w:rsidRPr="00091600">
        <w:rPr>
          <w:lang w:val="en-AU"/>
        </w:rPr>
        <w:t xml:space="preserve"> 27(1), pp</w:t>
      </w:r>
      <w:r w:rsidR="00AC1EC5" w:rsidRPr="00091600">
        <w:rPr>
          <w:lang w:val="en-AU"/>
        </w:rPr>
        <w:t>.</w:t>
      </w:r>
      <w:r w:rsidRPr="00091600">
        <w:rPr>
          <w:lang w:val="en-AU"/>
        </w:rPr>
        <w:t xml:space="preserve"> 6–39.</w:t>
      </w:r>
      <w:bookmarkEnd w:id="163"/>
    </w:p>
    <w:p w:rsidR="000F4B57" w:rsidRPr="00091600" w:rsidRDefault="000F4B57" w:rsidP="006332DC">
      <w:pPr>
        <w:pStyle w:val="BodyText"/>
        <w:rPr>
          <w:rFonts w:cs="Calibri"/>
          <w:lang w:val="en-AU"/>
        </w:rPr>
      </w:pPr>
      <w:bookmarkStart w:id="164" w:name="_Hlk524691794"/>
      <w:r w:rsidRPr="00091600">
        <w:rPr>
          <w:bCs/>
          <w:lang w:val="en-AU"/>
        </w:rPr>
        <w:t>Thambu, P. (2018</w:t>
      </w:r>
      <w:r w:rsidR="009776C5" w:rsidRPr="00091600">
        <w:rPr>
          <w:bCs/>
          <w:lang w:val="en-AU"/>
        </w:rPr>
        <w:t>)</w:t>
      </w:r>
      <w:r w:rsidRPr="00091600">
        <w:rPr>
          <w:bCs/>
          <w:lang w:val="en-AU"/>
        </w:rPr>
        <w:t xml:space="preserve"> ‘Report on second phase of Curriculum Realignment Initiative (CRI): Individual course outline review, 0</w:t>
      </w:r>
      <w:r w:rsidRPr="00091600">
        <w:rPr>
          <w:rFonts w:cs="Calibri"/>
          <w:lang w:val="en-AU"/>
        </w:rPr>
        <w:t>8 to 22 April’.</w:t>
      </w:r>
      <w:bookmarkEnd w:id="164"/>
    </w:p>
    <w:p w:rsidR="000F4B57" w:rsidRPr="00091600" w:rsidDel="00893B98" w:rsidRDefault="000F4B57" w:rsidP="006332DC">
      <w:pPr>
        <w:pStyle w:val="BodyText"/>
        <w:rPr>
          <w:iCs/>
          <w:lang w:val="en-AU"/>
        </w:rPr>
      </w:pPr>
      <w:r w:rsidRPr="00091600">
        <w:rPr>
          <w:rFonts w:cs="Calibri"/>
          <w:lang w:val="en-AU"/>
        </w:rPr>
        <w:t>Turner, M. (2013</w:t>
      </w:r>
      <w:r w:rsidR="009776C5" w:rsidRPr="00091600">
        <w:rPr>
          <w:rFonts w:cs="Calibri"/>
          <w:lang w:val="en-AU"/>
        </w:rPr>
        <w:t>)</w:t>
      </w:r>
      <w:r w:rsidRPr="00091600">
        <w:rPr>
          <w:rFonts w:cs="Calibri"/>
          <w:lang w:val="en-AU"/>
        </w:rPr>
        <w:t xml:space="preserve"> ‘</w:t>
      </w:r>
      <w:r w:rsidRPr="00091600">
        <w:rPr>
          <w:lang w:val="en-AU"/>
        </w:rPr>
        <w:t>Summary report of the public sector governance reform evaluation’</w:t>
      </w:r>
      <w:r w:rsidRPr="00091600">
        <w:rPr>
          <w:rFonts w:cs="Calibri"/>
          <w:lang w:val="en-AU"/>
        </w:rPr>
        <w:t xml:space="preserve">, DFID, Sida, Irish Aid, and Oxford Policy Management. </w:t>
      </w:r>
      <w:r w:rsidRPr="00091600">
        <w:rPr>
          <w:lang w:val="en-AU"/>
        </w:rPr>
        <w:t xml:space="preserve">Available at: </w:t>
      </w:r>
      <w:hyperlink r:id="rId58" w:history="1">
        <w:r w:rsidRPr="00091600">
          <w:rPr>
            <w:rStyle w:val="Hyperlink"/>
            <w:rFonts w:cs="Calibri"/>
            <w:lang w:val="en-AU"/>
          </w:rPr>
          <w:t>www.gov.uk/government/uploads/system/uploads/attachment_data/file/199777/Public-sector- gov-reform-eval-summary.pdf</w:t>
        </w:r>
      </w:hyperlink>
      <w:r w:rsidRPr="00091600">
        <w:rPr>
          <w:rFonts w:cs="Calibri"/>
          <w:color w:val="4C1691"/>
          <w:lang w:val="en-AU"/>
        </w:rPr>
        <w:t>.</w:t>
      </w:r>
    </w:p>
    <w:p w:rsidR="000F4B57" w:rsidRPr="00091600" w:rsidRDefault="000F4B57" w:rsidP="006332DC">
      <w:pPr>
        <w:pStyle w:val="BodyText"/>
        <w:rPr>
          <w:lang w:val="en-AU"/>
        </w:rPr>
      </w:pPr>
      <w:bookmarkStart w:id="165" w:name="_Hlk524691898"/>
      <w:r w:rsidRPr="00091600">
        <w:rPr>
          <w:iCs/>
          <w:lang w:val="en-AU"/>
        </w:rPr>
        <w:t xml:space="preserve">Turner, M. and </w:t>
      </w:r>
      <w:r w:rsidR="00AC1EC5" w:rsidRPr="00091600">
        <w:rPr>
          <w:iCs/>
          <w:lang w:val="en-AU"/>
        </w:rPr>
        <w:t xml:space="preserve"> </w:t>
      </w:r>
      <w:r w:rsidRPr="00091600">
        <w:rPr>
          <w:iCs/>
          <w:lang w:val="en-AU"/>
        </w:rPr>
        <w:t>Kavanamur, D. (2009</w:t>
      </w:r>
      <w:r w:rsidR="009776C5" w:rsidRPr="00091600">
        <w:rPr>
          <w:iCs/>
          <w:lang w:val="en-AU"/>
        </w:rPr>
        <w:t>)</w:t>
      </w:r>
      <w:r w:rsidRPr="00091600">
        <w:rPr>
          <w:iCs/>
          <w:lang w:val="en-AU"/>
        </w:rPr>
        <w:t xml:space="preserve"> ‘</w:t>
      </w:r>
      <w:r w:rsidRPr="00091600">
        <w:rPr>
          <w:lang w:val="en-AU"/>
        </w:rPr>
        <w:t>Explaining public sector reform failure: Papua New Guinea 1975–2001’, in R. May (ed.),</w:t>
      </w:r>
      <w:r w:rsidRPr="00091600">
        <w:rPr>
          <w:iCs/>
          <w:lang w:val="en-AU"/>
        </w:rPr>
        <w:t xml:space="preserve"> </w:t>
      </w:r>
      <w:r w:rsidRPr="00091600">
        <w:rPr>
          <w:i/>
          <w:lang w:val="en-AU"/>
        </w:rPr>
        <w:t>Policy making and implementation: Studies from Papua New Guinea</w:t>
      </w:r>
      <w:r w:rsidRPr="00091600">
        <w:rPr>
          <w:lang w:val="en-AU"/>
        </w:rPr>
        <w:t xml:space="preserve"> (pp. 9–26), State, Society and Governance in Melanesia Program in Association with the National Research Institute in Papua New Guinea, </w:t>
      </w:r>
      <w:r w:rsidRPr="00091600">
        <w:rPr>
          <w:i/>
          <w:lang w:val="en-AU"/>
        </w:rPr>
        <w:t>Studies in State and Society in the Pacific No 5</w:t>
      </w:r>
      <w:r w:rsidR="00AC1EC5" w:rsidRPr="00091600">
        <w:rPr>
          <w:lang w:val="en-AU"/>
        </w:rPr>
        <w:t>,</w:t>
      </w:r>
      <w:r w:rsidR="00044AC5" w:rsidRPr="00091600">
        <w:rPr>
          <w:lang w:val="en-AU"/>
        </w:rPr>
        <w:t xml:space="preserve"> </w:t>
      </w:r>
      <w:r w:rsidRPr="00091600">
        <w:rPr>
          <w:lang w:val="en-AU"/>
        </w:rPr>
        <w:t xml:space="preserve"> ANU E Press</w:t>
      </w:r>
      <w:bookmarkEnd w:id="165"/>
      <w:r w:rsidRPr="00091600">
        <w:rPr>
          <w:lang w:val="en-AU"/>
        </w:rPr>
        <w:t>, Canberra.</w:t>
      </w:r>
    </w:p>
    <w:p w:rsidR="000F4B57" w:rsidRPr="00091600" w:rsidRDefault="000F4B57" w:rsidP="006332DC">
      <w:pPr>
        <w:pStyle w:val="BodyText"/>
        <w:rPr>
          <w:lang w:val="en-AU"/>
        </w:rPr>
      </w:pPr>
      <w:r w:rsidRPr="00091600">
        <w:rPr>
          <w:lang w:val="en-AU"/>
        </w:rPr>
        <w:t>UQ (2017) ‘Activity Completion Report, Leadership, Data Management and Transparency in the Extractives Sector’, March.</w:t>
      </w:r>
    </w:p>
    <w:p w:rsidR="000F4B57" w:rsidRPr="00091600" w:rsidRDefault="000F4B57" w:rsidP="006332DC">
      <w:pPr>
        <w:pStyle w:val="BodyText"/>
        <w:rPr>
          <w:lang w:val="en-AU"/>
        </w:rPr>
      </w:pPr>
      <w:r w:rsidRPr="00091600">
        <w:rPr>
          <w:lang w:val="en-AU"/>
        </w:rPr>
        <w:t>UQ (2018) ‘PNG Extractive Industry Transparency Initiative, Kavieng workshop report’, May.</w:t>
      </w:r>
    </w:p>
    <w:p w:rsidR="000F4B57" w:rsidRPr="00091600" w:rsidRDefault="000F4B57" w:rsidP="000F4B57">
      <w:pPr>
        <w:pStyle w:val="Reference"/>
        <w:rPr>
          <w:rFonts w:ascii="Roboto Light" w:hAnsi="Roboto Light"/>
          <w:iCs/>
          <w:szCs w:val="22"/>
          <w:lang w:val="en-AU"/>
        </w:rPr>
      </w:pPr>
    </w:p>
    <w:p w:rsidR="000F4B57" w:rsidRPr="00091600" w:rsidRDefault="000F4B57" w:rsidP="000F4B57">
      <w:pPr>
        <w:rPr>
          <w:rFonts w:ascii="Roboto Light" w:hAnsi="Roboto Light" w:cs="Poppins"/>
          <w:bCs/>
          <w:color w:val="0B1F51"/>
          <w:kern w:val="32"/>
          <w:lang w:val="en-AU"/>
        </w:rPr>
      </w:pPr>
      <w:r w:rsidRPr="00091600">
        <w:rPr>
          <w:rFonts w:ascii="Roboto Light" w:hAnsi="Roboto Light" w:cs="Poppins"/>
          <w:b/>
          <w:bCs/>
          <w:color w:val="0B1F51"/>
          <w:kern w:val="32"/>
          <w:lang w:val="en-AU"/>
        </w:rPr>
        <w:br w:type="page"/>
      </w:r>
    </w:p>
    <w:p w:rsidR="000F4B57" w:rsidRPr="00091600" w:rsidRDefault="000F4B57" w:rsidP="00CE3EF7">
      <w:pPr>
        <w:pStyle w:val="Annexnumberedlist"/>
      </w:pPr>
      <w:bookmarkStart w:id="166" w:name="_Ref524707936"/>
      <w:bookmarkStart w:id="167" w:name="_Toc536719923"/>
      <w:bookmarkStart w:id="168" w:name="_Toc2091563"/>
      <w:r w:rsidRPr="00091600">
        <w:t>Strategic Review methodology</w:t>
      </w:r>
      <w:bookmarkEnd w:id="166"/>
      <w:bookmarkEnd w:id="167"/>
      <w:bookmarkEnd w:id="168"/>
    </w:p>
    <w:p w:rsidR="000F4B57" w:rsidRPr="00091600" w:rsidRDefault="000F4B57" w:rsidP="000F4B57">
      <w:pPr>
        <w:pStyle w:val="BodyText"/>
        <w:rPr>
          <w:lang w:val="en-AU"/>
        </w:rPr>
      </w:pPr>
      <w:r w:rsidRPr="00091600">
        <w:rPr>
          <w:lang w:val="en-AU"/>
        </w:rPr>
        <w:t>The Strategic Review was initially designed to be an independent evaluation. However, the approach was changed in agreement with the Australian DFAT</w:t>
      </w:r>
      <w:r w:rsidR="00DF6FD1" w:rsidRPr="00091600">
        <w:rPr>
          <w:lang w:val="en-AU"/>
        </w:rPr>
        <w:t>,</w:t>
      </w:r>
      <w:r w:rsidRPr="00091600">
        <w:rPr>
          <w:lang w:val="en-AU"/>
        </w:rPr>
        <w:t xml:space="preserve"> as the short </w:t>
      </w:r>
      <w:r w:rsidR="00ED6026" w:rsidRPr="00091600">
        <w:rPr>
          <w:lang w:val="en-AU"/>
        </w:rPr>
        <w:t>timeframe</w:t>
      </w:r>
      <w:r w:rsidRPr="00091600">
        <w:rPr>
          <w:lang w:val="en-AU"/>
        </w:rPr>
        <w:t xml:space="preserve"> would not meet the more rigorous standards of evaluations according to Organisation for Economic Co-operation and Development’s Development Assistance Committee criteria. The table below provides the main review questions, which are also included in boxed text in the review.</w:t>
      </w:r>
    </w:p>
    <w:p w:rsidR="000F4B57" w:rsidRPr="00091600" w:rsidRDefault="000F4B57" w:rsidP="000F4B57">
      <w:pPr>
        <w:pStyle w:val="BodyText"/>
        <w:rPr>
          <w:lang w:val="en-AU"/>
        </w:rPr>
      </w:pPr>
      <w:r w:rsidRPr="00091600">
        <w:rPr>
          <w:lang w:val="en-AU"/>
        </w:rPr>
        <w:t>The strengths of the approach, which underpin the quality of the evidence, include the following</w:t>
      </w:r>
      <w:r w:rsidR="00F26668" w:rsidRPr="00091600">
        <w:rPr>
          <w:lang w:val="en-AU"/>
        </w:rPr>
        <w:t>.</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It</w:t>
      </w:r>
      <w:r w:rsidR="00ED6026" w:rsidRPr="00091600">
        <w:rPr>
          <w:rFonts w:ascii="Roboto Light" w:hAnsi="Roboto Light"/>
          <w:szCs w:val="22"/>
          <w:lang w:val="en-AU"/>
        </w:rPr>
        <w:t xml:space="preserve"> </w:t>
      </w:r>
      <w:r w:rsidRPr="00091600">
        <w:rPr>
          <w:rFonts w:ascii="Roboto Light" w:hAnsi="Roboto Light"/>
          <w:szCs w:val="22"/>
          <w:lang w:val="en-AU"/>
        </w:rPr>
        <w:t xml:space="preserve"> was based on a wide range of interviews (120 persons) with women and men from different stakeholder groups: Precinct management and oversight (lead </w:t>
      </w:r>
      <w:r w:rsidR="00E87298">
        <w:rPr>
          <w:rFonts w:ascii="Roboto Light" w:hAnsi="Roboto Light"/>
          <w:szCs w:val="22"/>
          <w:lang w:val="en-AU"/>
        </w:rPr>
        <w:t>PNG Government</w:t>
      </w:r>
      <w:r w:rsidRPr="00091600">
        <w:rPr>
          <w:rFonts w:ascii="Roboto Light" w:hAnsi="Roboto Light"/>
          <w:szCs w:val="22"/>
          <w:lang w:val="en-AU"/>
        </w:rPr>
        <w:t xml:space="preserve"> departments, AHC</w:t>
      </w:r>
      <w:r w:rsidR="00ED6026" w:rsidRPr="00091600">
        <w:rPr>
          <w:rFonts w:ascii="Roboto Light" w:hAnsi="Roboto Light"/>
          <w:szCs w:val="22"/>
          <w:lang w:val="en-AU"/>
        </w:rPr>
        <w:t xml:space="preserve">, </w:t>
      </w:r>
      <w:r w:rsidR="00AB5A13" w:rsidRPr="00091600">
        <w:rPr>
          <w:rFonts w:ascii="Roboto Light" w:hAnsi="Roboto Light"/>
          <w:szCs w:val="22"/>
          <w:lang w:val="en-AU"/>
        </w:rPr>
        <w:t>JSC</w:t>
      </w:r>
      <w:r w:rsidR="00ED6026" w:rsidRPr="00091600">
        <w:rPr>
          <w:rFonts w:ascii="Roboto Light" w:hAnsi="Roboto Light"/>
          <w:szCs w:val="22"/>
          <w:lang w:val="en-AU"/>
        </w:rPr>
        <w:t xml:space="preserve">, </w:t>
      </w:r>
      <w:r w:rsidRPr="00091600">
        <w:rPr>
          <w:rFonts w:ascii="Roboto Light" w:hAnsi="Roboto Light"/>
          <w:szCs w:val="22"/>
          <w:lang w:val="en-AU"/>
        </w:rPr>
        <w:t xml:space="preserve"> Board</w:t>
      </w:r>
      <w:r w:rsidR="00ED6026" w:rsidRPr="00091600">
        <w:rPr>
          <w:rFonts w:ascii="Roboto Light" w:hAnsi="Roboto Light"/>
          <w:szCs w:val="22"/>
          <w:lang w:val="en-AU"/>
        </w:rPr>
        <w:t>)</w:t>
      </w:r>
      <w:r w:rsidR="00F26668" w:rsidRPr="00091600">
        <w:rPr>
          <w:rFonts w:ascii="Roboto Light" w:hAnsi="Roboto Light"/>
          <w:szCs w:val="22"/>
          <w:lang w:val="en-AU"/>
        </w:rPr>
        <w:t>;</w:t>
      </w:r>
      <w:r w:rsidRPr="00091600">
        <w:rPr>
          <w:rFonts w:ascii="Roboto Light" w:hAnsi="Roboto Light"/>
          <w:szCs w:val="22"/>
          <w:lang w:val="en-AU"/>
        </w:rPr>
        <w:t xml:space="preserve"> program implementers (Abt PNG, ANU</w:t>
      </w:r>
      <w:r w:rsidR="00ED6026" w:rsidRPr="00091600">
        <w:rPr>
          <w:rFonts w:ascii="Roboto Light" w:hAnsi="Roboto Light"/>
          <w:szCs w:val="22"/>
          <w:lang w:val="en-AU"/>
        </w:rPr>
        <w:t>,</w:t>
      </w:r>
      <w:r w:rsidRPr="00091600">
        <w:rPr>
          <w:rFonts w:ascii="Roboto Light" w:hAnsi="Roboto Light"/>
          <w:szCs w:val="22"/>
          <w:lang w:val="en-AU"/>
        </w:rPr>
        <w:t xml:space="preserve"> UQ</w:t>
      </w:r>
      <w:r w:rsidR="00ED6026" w:rsidRPr="00091600">
        <w:rPr>
          <w:rFonts w:ascii="Roboto Light" w:hAnsi="Roboto Light"/>
          <w:szCs w:val="22"/>
          <w:lang w:val="en-AU"/>
        </w:rPr>
        <w:t>,</w:t>
      </w:r>
      <w:r w:rsidRPr="00091600">
        <w:rPr>
          <w:rFonts w:ascii="Roboto Light" w:hAnsi="Roboto Light"/>
          <w:szCs w:val="22"/>
          <w:lang w:val="en-AU"/>
        </w:rPr>
        <w:t xml:space="preserve"> APSC/CIT</w:t>
      </w:r>
      <w:r w:rsidR="00ED6026" w:rsidRPr="00091600">
        <w:rPr>
          <w:rFonts w:ascii="Roboto Light" w:hAnsi="Roboto Light"/>
          <w:szCs w:val="22"/>
          <w:lang w:val="en-AU"/>
        </w:rPr>
        <w:t>)</w:t>
      </w:r>
      <w:r w:rsidR="00F26668" w:rsidRPr="00091600">
        <w:rPr>
          <w:rFonts w:ascii="Roboto Light" w:hAnsi="Roboto Light"/>
          <w:szCs w:val="22"/>
          <w:lang w:val="en-AU"/>
        </w:rPr>
        <w:t>;</w:t>
      </w:r>
      <w:r w:rsidRPr="00091600">
        <w:rPr>
          <w:rFonts w:ascii="Roboto Light" w:hAnsi="Roboto Light"/>
          <w:szCs w:val="22"/>
          <w:lang w:val="en-AU"/>
        </w:rPr>
        <w:t xml:space="preserve"> organisational beneficiaries (UPNG, UPNG SBPP</w:t>
      </w:r>
      <w:r w:rsidR="00ED6026" w:rsidRPr="00091600">
        <w:rPr>
          <w:rFonts w:ascii="Roboto Light" w:hAnsi="Roboto Light"/>
          <w:szCs w:val="22"/>
          <w:lang w:val="en-AU"/>
        </w:rPr>
        <w:t>,</w:t>
      </w:r>
      <w:r w:rsidRPr="00091600">
        <w:rPr>
          <w:rFonts w:ascii="Roboto Light" w:hAnsi="Roboto Light"/>
          <w:szCs w:val="22"/>
          <w:lang w:val="en-AU"/>
        </w:rPr>
        <w:t xml:space="preserve"> PILAG</w:t>
      </w:r>
      <w:r w:rsidR="00ED6026" w:rsidRPr="00091600">
        <w:rPr>
          <w:rFonts w:ascii="Roboto Light" w:hAnsi="Roboto Light"/>
          <w:szCs w:val="22"/>
          <w:lang w:val="en-AU"/>
        </w:rPr>
        <w:t>)</w:t>
      </w:r>
      <w:r w:rsidR="00F26668" w:rsidRPr="00091600">
        <w:rPr>
          <w:rFonts w:ascii="Roboto Light" w:hAnsi="Roboto Light"/>
          <w:szCs w:val="22"/>
          <w:lang w:val="en-AU"/>
        </w:rPr>
        <w:t>;</w:t>
      </w:r>
      <w:r w:rsidRPr="00091600">
        <w:rPr>
          <w:rFonts w:ascii="Roboto Light" w:hAnsi="Roboto Light"/>
          <w:szCs w:val="22"/>
          <w:lang w:val="en-AU"/>
        </w:rPr>
        <w:t xml:space="preserve"> and individual beneficiaries (course participants at national and local levels), as well as some independent observers (from PNG civil society and the private sector).</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The two-day visit to East New Britain Province helped contextualise findings and recommendations at provincial and district levels.</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 xml:space="preserve">Interviews were confidential and informants were asked if they wished to be quoted. Interviews followed the same semi-structured format with questions based on the ‘strengths-based’ approach required by the </w:t>
      </w:r>
      <w:r w:rsidR="00F26668" w:rsidRPr="00091600">
        <w:rPr>
          <w:rFonts w:ascii="Roboto Light" w:hAnsi="Roboto Light"/>
          <w:szCs w:val="22"/>
          <w:lang w:val="en-AU"/>
        </w:rPr>
        <w:t>r</w:t>
      </w:r>
      <w:r w:rsidR="00ED6026" w:rsidRPr="00091600">
        <w:rPr>
          <w:rFonts w:ascii="Roboto Light" w:hAnsi="Roboto Light"/>
          <w:szCs w:val="22"/>
          <w:lang w:val="en-AU"/>
        </w:rPr>
        <w:t>eview’s</w:t>
      </w:r>
      <w:r w:rsidRPr="00091600">
        <w:rPr>
          <w:rFonts w:ascii="Roboto Light" w:hAnsi="Roboto Light"/>
          <w:szCs w:val="22"/>
          <w:lang w:val="en-AU"/>
        </w:rPr>
        <w:t xml:space="preserve"> Terms of Reference. The team wrote up interview notes and held debrief meetings on a daily basis.</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Participatory approaches were used to draw out feedback and recommendations from Precinct course participants through facilitated workshops.</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 xml:space="preserve">The </w:t>
      </w:r>
      <w:r w:rsidR="00CF45C5" w:rsidRPr="00091600">
        <w:rPr>
          <w:rFonts w:ascii="Roboto Light" w:hAnsi="Roboto Light"/>
          <w:szCs w:val="22"/>
          <w:lang w:val="en-AU"/>
        </w:rPr>
        <w:t>review</w:t>
      </w:r>
      <w:r w:rsidRPr="00091600">
        <w:rPr>
          <w:rFonts w:ascii="Roboto Light" w:hAnsi="Roboto Light"/>
          <w:szCs w:val="22"/>
          <w:lang w:val="en-AU"/>
        </w:rPr>
        <w:t xml:space="preserve"> team was able to share emerging findings on the last day of the mission with</w:t>
      </w:r>
      <w:r w:rsidR="002D55E1">
        <w:rPr>
          <w:rFonts w:ascii="Roboto Light" w:hAnsi="Roboto Light"/>
          <w:szCs w:val="22"/>
          <w:lang w:val="en-AU"/>
        </w:rPr>
        <w:t xml:space="preserve"> JSC</w:t>
      </w:r>
      <w:r w:rsidRPr="00091600">
        <w:rPr>
          <w:rFonts w:ascii="Roboto Light" w:hAnsi="Roboto Light"/>
          <w:szCs w:val="22"/>
          <w:lang w:val="en-AU"/>
        </w:rPr>
        <w:t xml:space="preserve"> members and AHC staff. Feedback was also received from AHC on the </w:t>
      </w:r>
      <w:r w:rsidRPr="00091600">
        <w:rPr>
          <w:rFonts w:ascii="Roboto Light" w:hAnsi="Roboto Light"/>
          <w:i/>
          <w:szCs w:val="22"/>
          <w:lang w:val="en-AU"/>
        </w:rPr>
        <w:t>Aide-Mémoire</w:t>
      </w:r>
      <w:r w:rsidRPr="00091600">
        <w:rPr>
          <w:rFonts w:ascii="Roboto Light" w:hAnsi="Roboto Light"/>
          <w:szCs w:val="22"/>
          <w:lang w:val="en-AU"/>
        </w:rPr>
        <w:t>.</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 xml:space="preserve">A DFAT PNG desk official joined the </w:t>
      </w:r>
      <w:r w:rsidR="00CF45C5" w:rsidRPr="00091600">
        <w:rPr>
          <w:rFonts w:ascii="Roboto Light" w:hAnsi="Roboto Light"/>
          <w:szCs w:val="22"/>
          <w:lang w:val="en-AU"/>
        </w:rPr>
        <w:t>review</w:t>
      </w:r>
      <w:r w:rsidRPr="00091600">
        <w:rPr>
          <w:rFonts w:ascii="Roboto Light" w:hAnsi="Roboto Light"/>
          <w:szCs w:val="22"/>
          <w:lang w:val="en-AU"/>
        </w:rPr>
        <w:t xml:space="preserve"> team for most meetings and team debriefs. He was able to help the </w:t>
      </w:r>
      <w:r w:rsidR="00F26668" w:rsidRPr="00091600">
        <w:rPr>
          <w:rFonts w:ascii="Roboto Light" w:hAnsi="Roboto Light"/>
          <w:szCs w:val="22"/>
          <w:lang w:val="en-AU"/>
        </w:rPr>
        <w:t>t</w:t>
      </w:r>
      <w:r w:rsidR="00ED6026" w:rsidRPr="00091600">
        <w:rPr>
          <w:rFonts w:ascii="Roboto Light" w:hAnsi="Roboto Light"/>
          <w:szCs w:val="22"/>
          <w:lang w:val="en-AU"/>
        </w:rPr>
        <w:t>eam</w:t>
      </w:r>
      <w:r w:rsidRPr="00091600">
        <w:rPr>
          <w:rFonts w:ascii="Roboto Light" w:hAnsi="Roboto Light"/>
          <w:szCs w:val="22"/>
          <w:lang w:val="en-AU"/>
        </w:rPr>
        <w:t xml:space="preserve"> contextualise findings from the Australian government perspective. The </w:t>
      </w:r>
      <w:r w:rsidR="00F26668" w:rsidRPr="00091600">
        <w:rPr>
          <w:rFonts w:ascii="Roboto Light" w:hAnsi="Roboto Light"/>
          <w:szCs w:val="22"/>
          <w:lang w:val="en-AU"/>
        </w:rPr>
        <w:t>t</w:t>
      </w:r>
      <w:r w:rsidR="00ED6026" w:rsidRPr="00091600">
        <w:rPr>
          <w:rFonts w:ascii="Roboto Light" w:hAnsi="Roboto Light"/>
          <w:szCs w:val="22"/>
          <w:lang w:val="en-AU"/>
        </w:rPr>
        <w:t>eam</w:t>
      </w:r>
      <w:r w:rsidRPr="00091600">
        <w:rPr>
          <w:rFonts w:ascii="Roboto Light" w:hAnsi="Roboto Light"/>
          <w:szCs w:val="22"/>
          <w:lang w:val="en-AU"/>
        </w:rPr>
        <w:t xml:space="preserve"> also comprised a senior PNG academic selected by </w:t>
      </w:r>
      <w:r w:rsidR="00E87298">
        <w:rPr>
          <w:rFonts w:ascii="Roboto Light" w:hAnsi="Roboto Light"/>
          <w:szCs w:val="22"/>
          <w:lang w:val="en-AU"/>
        </w:rPr>
        <w:t>the PNG Government</w:t>
      </w:r>
      <w:r w:rsidRPr="00091600">
        <w:rPr>
          <w:rFonts w:ascii="Roboto Light" w:hAnsi="Roboto Light"/>
          <w:szCs w:val="22"/>
          <w:lang w:val="en-AU"/>
        </w:rPr>
        <w:t>, who represented a PNG perspective.</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 xml:space="preserve">The </w:t>
      </w:r>
      <w:r w:rsidR="00CF45C5" w:rsidRPr="00091600">
        <w:rPr>
          <w:rFonts w:ascii="Roboto Light" w:hAnsi="Roboto Light"/>
          <w:szCs w:val="22"/>
          <w:lang w:val="en-AU"/>
        </w:rPr>
        <w:t>review</w:t>
      </w:r>
      <w:r w:rsidRPr="00091600">
        <w:rPr>
          <w:rFonts w:ascii="Roboto Light" w:hAnsi="Roboto Light"/>
          <w:szCs w:val="22"/>
          <w:lang w:val="en-AU"/>
        </w:rPr>
        <w:t xml:space="preserve"> team overlapped with a QTAG team for the first week of the mission. This helped put the Precinct in the context of the PNG Governance Partnership and the findings of its first annual review.</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A short QTAG literature review provided the team with lessons learned and evidence.</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The QTAG internal peer review process provided an external challenge function.</w:t>
      </w:r>
    </w:p>
    <w:p w:rsidR="000F4B57" w:rsidRPr="00091600" w:rsidRDefault="000F4B57" w:rsidP="000F4B57">
      <w:pPr>
        <w:pStyle w:val="BodyText"/>
        <w:spacing w:before="240"/>
        <w:rPr>
          <w:lang w:val="en-AU"/>
        </w:rPr>
      </w:pPr>
      <w:r w:rsidRPr="00091600">
        <w:rPr>
          <w:lang w:val="en-AU"/>
        </w:rPr>
        <w:t xml:space="preserve">The challenges faced by the </w:t>
      </w:r>
      <w:r w:rsidR="00CF45C5" w:rsidRPr="00091600">
        <w:rPr>
          <w:lang w:val="en-AU"/>
        </w:rPr>
        <w:t>review</w:t>
      </w:r>
      <w:r w:rsidRPr="00091600">
        <w:rPr>
          <w:lang w:val="en-AU"/>
        </w:rPr>
        <w:t xml:space="preserve"> team </w:t>
      </w:r>
      <w:r w:rsidR="00F26668" w:rsidRPr="00091600">
        <w:rPr>
          <w:lang w:val="en-AU"/>
        </w:rPr>
        <w:t>included</w:t>
      </w:r>
      <w:r w:rsidRPr="00091600">
        <w:rPr>
          <w:lang w:val="en-AU"/>
        </w:rPr>
        <w:t xml:space="preserve"> the following</w:t>
      </w:r>
      <w:r w:rsidR="00F26668" w:rsidRPr="00091600">
        <w:rPr>
          <w:lang w:val="en-AU"/>
        </w:rPr>
        <w:t>.</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 xml:space="preserve">The mission was finalised with little lead time, which meant that the schedule of meetings was still being developed as the team arrived in-country. The informants were suggested by the </w:t>
      </w:r>
      <w:r w:rsidR="002D55E1">
        <w:rPr>
          <w:rFonts w:ascii="Roboto Light" w:hAnsi="Roboto Light"/>
          <w:szCs w:val="22"/>
          <w:lang w:val="en-AU"/>
        </w:rPr>
        <w:t>JSC</w:t>
      </w:r>
      <w:r w:rsidRPr="00091600">
        <w:rPr>
          <w:rFonts w:ascii="Roboto Light" w:hAnsi="Roboto Light"/>
          <w:szCs w:val="22"/>
          <w:lang w:val="en-AU"/>
        </w:rPr>
        <w:t xml:space="preserve"> or Managing Contractor and this</w:t>
      </w:r>
      <w:r w:rsidR="00F26668" w:rsidRPr="00091600">
        <w:rPr>
          <w:rFonts w:ascii="Roboto Light" w:hAnsi="Roboto Light"/>
          <w:szCs w:val="22"/>
          <w:lang w:val="en-AU"/>
        </w:rPr>
        <w:t xml:space="preserve"> </w:t>
      </w:r>
      <w:r w:rsidRPr="00091600">
        <w:rPr>
          <w:rFonts w:ascii="Roboto Light" w:hAnsi="Roboto Light"/>
          <w:szCs w:val="22"/>
          <w:lang w:val="en-AU"/>
        </w:rPr>
        <w:t>created a potential bias, as more challenging or independent voices might have been excluded.</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 xml:space="preserve">The </w:t>
      </w:r>
      <w:r w:rsidR="00F26668" w:rsidRPr="00091600">
        <w:rPr>
          <w:rFonts w:ascii="Roboto Light" w:hAnsi="Roboto Light"/>
          <w:szCs w:val="22"/>
          <w:lang w:val="en-AU"/>
        </w:rPr>
        <w:t>t</w:t>
      </w:r>
      <w:r w:rsidR="00ED6026" w:rsidRPr="00091600">
        <w:rPr>
          <w:rFonts w:ascii="Roboto Light" w:hAnsi="Roboto Light"/>
          <w:szCs w:val="22"/>
          <w:lang w:val="en-AU"/>
        </w:rPr>
        <w:t>eam</w:t>
      </w:r>
      <w:r w:rsidRPr="00091600">
        <w:rPr>
          <w:rFonts w:ascii="Roboto Light" w:hAnsi="Roboto Light"/>
          <w:szCs w:val="22"/>
          <w:lang w:val="en-AU"/>
        </w:rPr>
        <w:t xml:space="preserve"> was sent over 200 program documents during the course of the mission. There was insufficient time during or after the mission to review all these documents thoroughly. Team members were able to triangulate interview findings with the key documents they did review. In</w:t>
      </w:r>
      <w:r w:rsidR="00ED6026" w:rsidRPr="00091600">
        <w:rPr>
          <w:rFonts w:ascii="Roboto Light" w:hAnsi="Roboto Light"/>
          <w:szCs w:val="22"/>
          <w:lang w:val="en-AU"/>
        </w:rPr>
        <w:t xml:space="preserve"> </w:t>
      </w:r>
      <w:r w:rsidRPr="00091600">
        <w:rPr>
          <w:rFonts w:ascii="Roboto Light" w:hAnsi="Roboto Light"/>
          <w:szCs w:val="22"/>
          <w:lang w:val="en-AU"/>
        </w:rPr>
        <w:t>future, QTAG teams should receive a priority set of key documents at least two weeks before arriving in-country.</w:t>
      </w:r>
    </w:p>
    <w:p w:rsidR="000F4B57" w:rsidRPr="00091600" w:rsidRDefault="000F4B57" w:rsidP="000F4B57">
      <w:pPr>
        <w:pStyle w:val="ListBullet"/>
        <w:spacing w:after="240"/>
        <w:rPr>
          <w:rFonts w:ascii="Roboto Light" w:hAnsi="Roboto Light"/>
          <w:szCs w:val="22"/>
          <w:lang w:val="en-AU"/>
        </w:rPr>
      </w:pPr>
      <w:r w:rsidRPr="00091600">
        <w:rPr>
          <w:rFonts w:ascii="Roboto Light" w:hAnsi="Roboto Light"/>
          <w:szCs w:val="22"/>
          <w:lang w:val="en-AU"/>
        </w:rPr>
        <w:t>The Precinct MEL system only generates data on the number and types of participants in Precinct activities (outputs). It does not generate qualitative data on behaviour change needed to assess progress against outcomes (in particular effective and ethical leadership). The ‘rolling’ approach to design requires more qualitative data generation to be effective and adaptive, not less. The MEL framework has, in effect, not been implemented, as the team was asked to draw on the January 2016 design and MEL framework. The program is not effectively updating its approach and MEL framework.</w:t>
      </w:r>
    </w:p>
    <w:tbl>
      <w:tblPr>
        <w:tblStyle w:val="OPMTable"/>
        <w:tblW w:w="5000" w:type="pct"/>
        <w:tblBorders>
          <w:top w:val="single" w:sz="4" w:space="0" w:color="45A7E1" w:themeColor="accent1"/>
          <w:left w:val="single" w:sz="4" w:space="0" w:color="45A7E1" w:themeColor="accent1"/>
          <w:bottom w:val="single" w:sz="4" w:space="0" w:color="45A7E1" w:themeColor="accent1"/>
          <w:right w:val="single" w:sz="4" w:space="0" w:color="45A7E1" w:themeColor="accent1"/>
          <w:insideH w:val="single" w:sz="4" w:space="0" w:color="45A7E1" w:themeColor="accent1"/>
          <w:insideV w:val="single" w:sz="4" w:space="0" w:color="45A7E1" w:themeColor="accent1"/>
        </w:tblBorders>
        <w:tblLook w:val="04A0" w:firstRow="1" w:lastRow="0" w:firstColumn="1" w:lastColumn="0" w:noHBand="0" w:noVBand="1"/>
        <w:tblCaption w:val="Review questions"/>
        <w:tblDescription w:val="This is a repetition of the questions mentioned throughout the report"/>
      </w:tblPr>
      <w:tblGrid>
        <w:gridCol w:w="1790"/>
        <w:gridCol w:w="7940"/>
      </w:tblGrid>
      <w:tr w:rsidR="000F4B57" w:rsidRPr="00091600" w:rsidTr="004F004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2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0F4B57" w:rsidRPr="00091600" w:rsidRDefault="000F4B57" w:rsidP="000F4B57">
            <w:pPr>
              <w:pStyle w:val="Tabletext"/>
              <w:rPr>
                <w:rFonts w:ascii="Roboto" w:hAnsi="Roboto" w:cs="Poppins"/>
                <w:szCs w:val="20"/>
                <w:lang w:val="en-AU"/>
              </w:rPr>
            </w:pPr>
            <w:bookmarkStart w:id="169" w:name="_Toc516215778"/>
            <w:bookmarkStart w:id="170" w:name="_Toc516237659"/>
            <w:bookmarkStart w:id="171" w:name="_Toc516237818"/>
            <w:bookmarkStart w:id="172" w:name="_Toc517692806"/>
            <w:r w:rsidRPr="00091600">
              <w:rPr>
                <w:rFonts w:ascii="Roboto" w:hAnsi="Roboto" w:cs="Poppins"/>
                <w:szCs w:val="20"/>
                <w:lang w:val="en-AU"/>
              </w:rPr>
              <w:t>#</w:t>
            </w:r>
            <w:bookmarkEnd w:id="169"/>
            <w:bookmarkEnd w:id="170"/>
            <w:bookmarkEnd w:id="171"/>
            <w:bookmarkEnd w:id="172"/>
          </w:p>
        </w:tc>
        <w:tc>
          <w:tcPr>
            <w:tcW w:w="408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0F4B57" w:rsidRPr="00091600" w:rsidRDefault="000F4B57" w:rsidP="000F4B57">
            <w:pPr>
              <w:pStyle w:val="Tabletext"/>
              <w:jc w:val="left"/>
              <w:cnfStyle w:val="100000000000" w:firstRow="1" w:lastRow="0" w:firstColumn="0" w:lastColumn="0" w:oddVBand="0" w:evenVBand="0" w:oddHBand="0" w:evenHBand="0" w:firstRowFirstColumn="0" w:firstRowLastColumn="0" w:lastRowFirstColumn="0" w:lastRowLastColumn="0"/>
              <w:rPr>
                <w:rFonts w:ascii="Roboto" w:hAnsi="Roboto"/>
                <w:szCs w:val="20"/>
                <w:lang w:val="en-AU"/>
              </w:rPr>
            </w:pPr>
            <w:bookmarkStart w:id="173" w:name="_Toc516215779"/>
            <w:bookmarkStart w:id="174" w:name="_Toc516237660"/>
            <w:bookmarkStart w:id="175" w:name="_Toc516237819"/>
            <w:bookmarkStart w:id="176" w:name="_Toc517692807"/>
            <w:r w:rsidRPr="00091600">
              <w:rPr>
                <w:rFonts w:ascii="Roboto" w:hAnsi="Roboto"/>
                <w:szCs w:val="20"/>
                <w:lang w:val="en-AU"/>
              </w:rPr>
              <w:t xml:space="preserve">Strategic Review </w:t>
            </w:r>
            <w:bookmarkEnd w:id="173"/>
            <w:bookmarkEnd w:id="174"/>
            <w:bookmarkEnd w:id="175"/>
            <w:bookmarkEnd w:id="176"/>
            <w:r w:rsidRPr="00091600">
              <w:rPr>
                <w:rFonts w:ascii="Roboto" w:hAnsi="Roboto"/>
                <w:szCs w:val="20"/>
                <w:lang w:val="en-AU"/>
              </w:rPr>
              <w:t>questions</w:t>
            </w:r>
          </w:p>
        </w:tc>
      </w:tr>
      <w:tr w:rsidR="008563E8" w:rsidRPr="00091600" w:rsidTr="0085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8563E8" w:rsidRPr="00091600" w:rsidRDefault="008563E8" w:rsidP="000F4B57">
            <w:pPr>
              <w:pStyle w:val="Tabletext"/>
              <w:rPr>
                <w:rFonts w:ascii="Roboto" w:eastAsia="Times New Roman" w:hAnsi="Roboto"/>
                <w:b w:val="0"/>
                <w:szCs w:val="20"/>
                <w:lang w:val="en-AU"/>
              </w:rPr>
            </w:pPr>
            <w:r w:rsidRPr="00091600">
              <w:rPr>
                <w:rFonts w:ascii="Roboto" w:eastAsia="Times New Roman" w:hAnsi="Roboto"/>
                <w:szCs w:val="20"/>
                <w:lang w:val="en-AU"/>
              </w:rPr>
              <w:t xml:space="preserve">Impact </w:t>
            </w:r>
          </w:p>
        </w:tc>
        <w:tc>
          <w:tcPr>
            <w:tcW w:w="4080" w:type="pct"/>
          </w:tcPr>
          <w:p w:rsidR="008563E8" w:rsidRPr="00091600" w:rsidRDefault="008563E8" w:rsidP="000F4B57">
            <w:pPr>
              <w:pStyle w:val="Tabletext"/>
              <w:cnfStyle w:val="000000100000" w:firstRow="0" w:lastRow="0" w:firstColumn="0" w:lastColumn="0" w:oddVBand="0" w:evenVBand="0" w:oddHBand="1" w:evenHBand="0" w:firstRowFirstColumn="0" w:firstRowLastColumn="0" w:lastRowFirstColumn="0" w:lastRowLastColumn="0"/>
              <w:rPr>
                <w:rFonts w:ascii="Roboto" w:eastAsia="Times New Roman" w:hAnsi="Roboto"/>
                <w:szCs w:val="20"/>
                <w:lang w:val="en-AU"/>
              </w:rPr>
            </w:pPr>
          </w:p>
        </w:tc>
      </w:tr>
      <w:tr w:rsidR="000F4B57" w:rsidRPr="00091600" w:rsidTr="008563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0F4B57" w:rsidRPr="00091600" w:rsidRDefault="000F4B57" w:rsidP="000F4B57">
            <w:pPr>
              <w:pStyle w:val="Tabletext"/>
              <w:rPr>
                <w:rFonts w:eastAsia="Times New Roman"/>
                <w:b w:val="0"/>
                <w:szCs w:val="20"/>
                <w:lang w:val="en-AU"/>
              </w:rPr>
            </w:pPr>
            <w:r w:rsidRPr="00091600">
              <w:rPr>
                <w:rFonts w:eastAsia="Times New Roman"/>
                <w:b w:val="0"/>
                <w:szCs w:val="20"/>
                <w:lang w:val="en-AU"/>
              </w:rPr>
              <w:t>1</w:t>
            </w:r>
          </w:p>
        </w:tc>
        <w:tc>
          <w:tcPr>
            <w:tcW w:w="4080" w:type="pct"/>
          </w:tcPr>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rFonts w:eastAsia="Times New Roman"/>
                <w:szCs w:val="20"/>
                <w:lang w:val="en-AU"/>
              </w:rPr>
            </w:pPr>
            <w:r w:rsidRPr="00091600">
              <w:rPr>
                <w:rFonts w:eastAsia="Times New Roman"/>
                <w:szCs w:val="20"/>
                <w:lang w:val="en-AU"/>
              </w:rPr>
              <w:t>Key: to what extent is investment in the Precinct contributing to the desired outcomes of effective and ethical leadership?</w:t>
            </w:r>
          </w:p>
        </w:tc>
      </w:tr>
      <w:tr w:rsidR="000F4B57" w:rsidRPr="00091600" w:rsidTr="0085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0F4B57" w:rsidRPr="00091600" w:rsidRDefault="000F4B57" w:rsidP="000F4B57">
            <w:pPr>
              <w:pStyle w:val="Tabletext"/>
              <w:rPr>
                <w:rFonts w:eastAsia="Times New Roman"/>
                <w:b w:val="0"/>
                <w:szCs w:val="20"/>
                <w:lang w:val="en-AU"/>
              </w:rPr>
            </w:pPr>
            <w:r w:rsidRPr="00091600">
              <w:rPr>
                <w:rFonts w:eastAsia="Times New Roman"/>
                <w:b w:val="0"/>
                <w:szCs w:val="20"/>
                <w:lang w:val="en-AU"/>
              </w:rPr>
              <w:t>2</w:t>
            </w:r>
          </w:p>
        </w:tc>
        <w:tc>
          <w:tcPr>
            <w:tcW w:w="4080" w:type="pct"/>
          </w:tcPr>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szCs w:val="20"/>
                <w:lang w:val="en-AU"/>
              </w:rPr>
            </w:pPr>
            <w:r w:rsidRPr="00091600">
              <w:rPr>
                <w:rFonts w:eastAsia="Times New Roman"/>
                <w:szCs w:val="20"/>
                <w:lang w:val="en-AU"/>
              </w:rPr>
              <w:t>What are the key achievements for each pillar of the Precinct? Are these consistent with expectations at this stage in the investment? (Are we on track?)</w:t>
            </w:r>
          </w:p>
        </w:tc>
      </w:tr>
      <w:tr w:rsidR="000F4B57" w:rsidRPr="00091600" w:rsidTr="008563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0F4B57" w:rsidRPr="00091600" w:rsidRDefault="000F4B57" w:rsidP="000F4B57">
            <w:pPr>
              <w:pStyle w:val="Tabletext"/>
              <w:rPr>
                <w:rFonts w:eastAsia="Times New Roman"/>
                <w:b w:val="0"/>
                <w:szCs w:val="20"/>
                <w:lang w:val="en-AU"/>
              </w:rPr>
            </w:pPr>
            <w:r w:rsidRPr="00091600">
              <w:rPr>
                <w:rFonts w:eastAsia="Times New Roman"/>
                <w:b w:val="0"/>
                <w:szCs w:val="20"/>
                <w:lang w:val="en-AU"/>
              </w:rPr>
              <w:t>2.a</w:t>
            </w:r>
          </w:p>
        </w:tc>
        <w:tc>
          <w:tcPr>
            <w:tcW w:w="4080" w:type="pct"/>
          </w:tcPr>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rFonts w:eastAsia="Times New Roman"/>
                <w:szCs w:val="20"/>
                <w:lang w:val="en-AU"/>
              </w:rPr>
            </w:pPr>
            <w:r w:rsidRPr="00091600">
              <w:rPr>
                <w:rFonts w:eastAsia="Times New Roman"/>
                <w:szCs w:val="20"/>
                <w:lang w:val="en-AU"/>
              </w:rPr>
              <w:t>Sub-question: to what extent have achievements been effectively communicated to priority audiences?</w:t>
            </w:r>
          </w:p>
        </w:tc>
      </w:tr>
      <w:tr w:rsidR="008563E8" w:rsidRPr="00091600" w:rsidTr="0085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8563E8" w:rsidRPr="00091600" w:rsidRDefault="008563E8" w:rsidP="000F4B57">
            <w:pPr>
              <w:pStyle w:val="Tabletext"/>
              <w:rPr>
                <w:rFonts w:ascii="Roboto" w:eastAsia="Times New Roman" w:hAnsi="Roboto"/>
                <w:b w:val="0"/>
                <w:szCs w:val="20"/>
                <w:lang w:val="en-AU"/>
              </w:rPr>
            </w:pPr>
            <w:r w:rsidRPr="00091600">
              <w:rPr>
                <w:rFonts w:ascii="Roboto" w:eastAsia="Times New Roman" w:hAnsi="Roboto"/>
                <w:szCs w:val="20"/>
                <w:lang w:val="en-AU"/>
              </w:rPr>
              <w:t>Effectiveness</w:t>
            </w:r>
          </w:p>
        </w:tc>
        <w:tc>
          <w:tcPr>
            <w:tcW w:w="4080" w:type="pct"/>
          </w:tcPr>
          <w:p w:rsidR="008563E8" w:rsidRPr="00091600" w:rsidRDefault="008563E8" w:rsidP="000F4B57">
            <w:pPr>
              <w:pStyle w:val="Tabletext"/>
              <w:cnfStyle w:val="000000100000" w:firstRow="0" w:lastRow="0" w:firstColumn="0" w:lastColumn="0" w:oddVBand="0" w:evenVBand="0" w:oddHBand="1" w:evenHBand="0" w:firstRowFirstColumn="0" w:firstRowLastColumn="0" w:lastRowFirstColumn="0" w:lastRowLastColumn="0"/>
              <w:rPr>
                <w:rFonts w:ascii="Roboto" w:eastAsia="Times New Roman" w:hAnsi="Roboto"/>
                <w:szCs w:val="20"/>
                <w:lang w:val="en-AU"/>
              </w:rPr>
            </w:pPr>
          </w:p>
        </w:tc>
      </w:tr>
      <w:tr w:rsidR="000F4B57" w:rsidRPr="00091600" w:rsidTr="008563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0F4B57" w:rsidRPr="00091600" w:rsidRDefault="000F4B57" w:rsidP="000F4B57">
            <w:pPr>
              <w:pStyle w:val="Tabletext"/>
              <w:rPr>
                <w:rFonts w:eastAsia="Times New Roman"/>
                <w:b w:val="0"/>
                <w:szCs w:val="20"/>
                <w:lang w:val="en-AU"/>
              </w:rPr>
            </w:pPr>
            <w:r w:rsidRPr="00091600">
              <w:rPr>
                <w:rFonts w:eastAsia="Times New Roman"/>
                <w:b w:val="0"/>
                <w:szCs w:val="20"/>
                <w:lang w:val="en-AU"/>
              </w:rPr>
              <w:t>3</w:t>
            </w:r>
          </w:p>
        </w:tc>
        <w:tc>
          <w:tcPr>
            <w:tcW w:w="4080" w:type="pct"/>
          </w:tcPr>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rFonts w:eastAsia="Calibri"/>
                <w:szCs w:val="20"/>
                <w:lang w:val="en-AU"/>
              </w:rPr>
            </w:pPr>
            <w:r w:rsidRPr="00091600">
              <w:rPr>
                <w:rFonts w:eastAsia="Times New Roman"/>
                <w:szCs w:val="20"/>
                <w:lang w:val="en-AU"/>
              </w:rPr>
              <w:t>What are the strengths in the Precinct approaches? What are the lessons that can be applied to Precinct activities?</w:t>
            </w:r>
          </w:p>
        </w:tc>
      </w:tr>
      <w:tr w:rsidR="000F4B57" w:rsidRPr="00091600" w:rsidTr="0085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0F4B57" w:rsidRPr="00091600" w:rsidRDefault="000F4B57" w:rsidP="000F4B57">
            <w:pPr>
              <w:pStyle w:val="Tabletext"/>
              <w:rPr>
                <w:rFonts w:eastAsia="Times New Roman"/>
                <w:b w:val="0"/>
                <w:szCs w:val="20"/>
                <w:lang w:val="en-AU"/>
              </w:rPr>
            </w:pPr>
            <w:r w:rsidRPr="00091600">
              <w:rPr>
                <w:rFonts w:eastAsia="Times New Roman"/>
                <w:b w:val="0"/>
                <w:szCs w:val="20"/>
                <w:lang w:val="en-AU"/>
              </w:rPr>
              <w:t>3.a</w:t>
            </w:r>
          </w:p>
        </w:tc>
        <w:tc>
          <w:tcPr>
            <w:tcW w:w="4080" w:type="pct"/>
          </w:tcPr>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szCs w:val="20"/>
                <w:lang w:val="en-AU"/>
              </w:rPr>
            </w:pPr>
            <w:r w:rsidRPr="00091600">
              <w:rPr>
                <w:rFonts w:eastAsia="Times New Roman"/>
                <w:szCs w:val="20"/>
                <w:lang w:val="en-AU"/>
              </w:rPr>
              <w:t>Sub-question: are there more general lessons for other future GoA investments in culturally competent higher education and ethical leadership?</w:t>
            </w:r>
          </w:p>
        </w:tc>
      </w:tr>
      <w:tr w:rsidR="000F4B57" w:rsidRPr="00091600" w:rsidTr="008563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0F4B57" w:rsidRPr="00091600" w:rsidRDefault="000F4B57" w:rsidP="000F4B57">
            <w:pPr>
              <w:pStyle w:val="Tabletext"/>
              <w:rPr>
                <w:rFonts w:eastAsia="Times New Roman"/>
                <w:b w:val="0"/>
                <w:szCs w:val="20"/>
                <w:lang w:val="en-AU"/>
              </w:rPr>
            </w:pPr>
            <w:r w:rsidRPr="00091600">
              <w:rPr>
                <w:rFonts w:eastAsia="Times New Roman"/>
                <w:b w:val="0"/>
                <w:szCs w:val="20"/>
                <w:lang w:val="en-AU"/>
              </w:rPr>
              <w:t>3.b</w:t>
            </w:r>
          </w:p>
        </w:tc>
        <w:tc>
          <w:tcPr>
            <w:tcW w:w="4080" w:type="pct"/>
          </w:tcPr>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rFonts w:eastAsia="Times New Roman"/>
                <w:szCs w:val="20"/>
                <w:lang w:val="en-AU"/>
              </w:rPr>
            </w:pPr>
            <w:r w:rsidRPr="00091600">
              <w:rPr>
                <w:rFonts w:eastAsia="Times New Roman"/>
                <w:szCs w:val="20"/>
                <w:lang w:val="en-AU"/>
              </w:rPr>
              <w:t>Sub-question: are there relevant lessons from other international situations?</w:t>
            </w:r>
          </w:p>
        </w:tc>
      </w:tr>
      <w:tr w:rsidR="000F4B57" w:rsidRPr="00091600" w:rsidTr="0085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0F4B57" w:rsidRPr="00091600" w:rsidRDefault="000F4B57" w:rsidP="000F4B57">
            <w:pPr>
              <w:pStyle w:val="Tabletext"/>
              <w:rPr>
                <w:rFonts w:eastAsia="Times New Roman"/>
                <w:b w:val="0"/>
                <w:szCs w:val="20"/>
                <w:lang w:val="en-AU"/>
              </w:rPr>
            </w:pPr>
            <w:r w:rsidRPr="00091600">
              <w:rPr>
                <w:rFonts w:eastAsia="Times New Roman"/>
                <w:b w:val="0"/>
                <w:szCs w:val="20"/>
                <w:lang w:val="en-AU"/>
              </w:rPr>
              <w:t>4</w:t>
            </w:r>
          </w:p>
        </w:tc>
        <w:tc>
          <w:tcPr>
            <w:tcW w:w="4080" w:type="pct"/>
          </w:tcPr>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szCs w:val="20"/>
                <w:lang w:val="en-AU"/>
              </w:rPr>
            </w:pPr>
            <w:r w:rsidRPr="00091600">
              <w:rPr>
                <w:rFonts w:eastAsia="Times New Roman"/>
                <w:szCs w:val="20"/>
                <w:lang w:val="en-AU"/>
              </w:rPr>
              <w:t>What are the challenges facing the Precinct approaches, and what strategies can be suggested to overcome these challenges?</w:t>
            </w:r>
          </w:p>
        </w:tc>
      </w:tr>
      <w:tr w:rsidR="000F4B57" w:rsidRPr="00091600" w:rsidTr="008563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0F4B57" w:rsidRPr="00091600" w:rsidRDefault="000F4B57" w:rsidP="000F4B57">
            <w:pPr>
              <w:pStyle w:val="Tabletext"/>
              <w:rPr>
                <w:rFonts w:eastAsia="Times New Roman"/>
                <w:b w:val="0"/>
                <w:szCs w:val="20"/>
                <w:lang w:val="en-AU"/>
              </w:rPr>
            </w:pPr>
            <w:r w:rsidRPr="00091600">
              <w:rPr>
                <w:rFonts w:eastAsia="Times New Roman"/>
                <w:b w:val="0"/>
                <w:szCs w:val="20"/>
                <w:lang w:val="en-AU"/>
              </w:rPr>
              <w:t>5</w:t>
            </w:r>
          </w:p>
        </w:tc>
        <w:tc>
          <w:tcPr>
            <w:tcW w:w="4080" w:type="pct"/>
          </w:tcPr>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rFonts w:eastAsia="Times New Roman"/>
                <w:szCs w:val="20"/>
                <w:lang w:val="en-AU"/>
              </w:rPr>
            </w:pPr>
            <w:r w:rsidRPr="00091600">
              <w:rPr>
                <w:rFonts w:eastAsia="Times New Roman"/>
                <w:szCs w:val="20"/>
                <w:lang w:val="en-AU"/>
              </w:rPr>
              <w:t xml:space="preserve">What is working, and what are the challenges facing PILAG (identify the potential support needed) in establishing itself in the medium to longer term as a quality tertiary institution, having regard to the </w:t>
            </w:r>
            <w:r w:rsidRPr="00091600">
              <w:rPr>
                <w:rFonts w:eastAsia="Times New Roman"/>
                <w:iCs/>
                <w:szCs w:val="20"/>
                <w:lang w:val="en-AU"/>
              </w:rPr>
              <w:t>PNG National Qualifications Framework</w:t>
            </w:r>
            <w:r w:rsidRPr="00091600">
              <w:rPr>
                <w:rFonts w:eastAsia="Times New Roman"/>
                <w:szCs w:val="20"/>
                <w:lang w:val="en-AU"/>
              </w:rPr>
              <w:t xml:space="preserve">, the </w:t>
            </w:r>
            <w:r w:rsidRPr="00091600">
              <w:rPr>
                <w:rFonts w:eastAsia="Times New Roman"/>
                <w:iCs/>
                <w:szCs w:val="20"/>
                <w:lang w:val="en-AU"/>
              </w:rPr>
              <w:t>Higher and Technical Education Strategic Implementation Plan (2017–38)</w:t>
            </w:r>
            <w:r w:rsidRPr="00091600">
              <w:rPr>
                <w:rFonts w:eastAsia="Times New Roman"/>
                <w:szCs w:val="20"/>
                <w:lang w:val="en-AU"/>
              </w:rPr>
              <w:t xml:space="preserve">, the road map to achieve the aims of the Higher and Technical Education Sector, and the </w:t>
            </w:r>
            <w:r w:rsidRPr="00091600">
              <w:rPr>
                <w:rFonts w:eastAsia="Times New Roman"/>
                <w:iCs/>
                <w:szCs w:val="20"/>
                <w:lang w:val="en-AU"/>
              </w:rPr>
              <w:t>Twelve Standards for Quality Assurance</w:t>
            </w:r>
            <w:r w:rsidRPr="00091600">
              <w:rPr>
                <w:rFonts w:eastAsia="Times New Roman"/>
                <w:szCs w:val="20"/>
                <w:lang w:val="en-AU"/>
              </w:rPr>
              <w:t>?</w:t>
            </w:r>
          </w:p>
        </w:tc>
      </w:tr>
      <w:tr w:rsidR="000F4B57" w:rsidRPr="00091600" w:rsidTr="0085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0F4B57" w:rsidRPr="00091600" w:rsidRDefault="000F4B57" w:rsidP="000F4B57">
            <w:pPr>
              <w:pStyle w:val="Tabletext"/>
              <w:rPr>
                <w:rFonts w:eastAsia="Times New Roman"/>
                <w:b w:val="0"/>
                <w:szCs w:val="20"/>
                <w:lang w:val="en-AU"/>
              </w:rPr>
            </w:pPr>
            <w:r w:rsidRPr="00091600">
              <w:rPr>
                <w:rFonts w:eastAsia="Times New Roman"/>
                <w:b w:val="0"/>
                <w:szCs w:val="20"/>
                <w:lang w:val="en-AU"/>
              </w:rPr>
              <w:t>6</w:t>
            </w:r>
          </w:p>
        </w:tc>
        <w:tc>
          <w:tcPr>
            <w:tcW w:w="4080" w:type="pct"/>
          </w:tcPr>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szCs w:val="20"/>
                <w:lang w:val="en-AU"/>
              </w:rPr>
            </w:pPr>
            <w:r w:rsidRPr="00091600">
              <w:rPr>
                <w:rFonts w:eastAsia="Times New Roman"/>
                <w:szCs w:val="20"/>
                <w:lang w:val="en-AU"/>
              </w:rPr>
              <w:t>Are there opportunities to augment current Precinct activities to enhance the implementation of specific public sector reforms?</w:t>
            </w:r>
          </w:p>
        </w:tc>
      </w:tr>
      <w:tr w:rsidR="000F4B57" w:rsidRPr="00091600" w:rsidTr="008563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0F4B57" w:rsidRPr="00091600" w:rsidRDefault="000F4B57" w:rsidP="000F4B57">
            <w:pPr>
              <w:pStyle w:val="Tabletext"/>
              <w:rPr>
                <w:rFonts w:eastAsia="Times New Roman"/>
                <w:b w:val="0"/>
                <w:szCs w:val="20"/>
                <w:lang w:val="en-AU"/>
              </w:rPr>
            </w:pPr>
            <w:r w:rsidRPr="00091600">
              <w:rPr>
                <w:rFonts w:eastAsia="Times New Roman"/>
                <w:b w:val="0"/>
                <w:szCs w:val="20"/>
                <w:lang w:val="en-AU"/>
              </w:rPr>
              <w:t>7</w:t>
            </w:r>
          </w:p>
        </w:tc>
        <w:tc>
          <w:tcPr>
            <w:tcW w:w="4080" w:type="pct"/>
          </w:tcPr>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rFonts w:eastAsia="Times New Roman" w:cs="Calibri"/>
                <w:szCs w:val="20"/>
                <w:lang w:val="en-AU"/>
              </w:rPr>
            </w:pPr>
            <w:r w:rsidRPr="00091600">
              <w:rPr>
                <w:rFonts w:eastAsia="Times New Roman"/>
                <w:szCs w:val="20"/>
                <w:lang w:val="en-AU"/>
              </w:rPr>
              <w:t>To what extent is the governance structure fit for purpose? If it is not, what are the options for enhancing it?</w:t>
            </w:r>
          </w:p>
        </w:tc>
      </w:tr>
      <w:tr w:rsidR="000F4B57" w:rsidRPr="00091600" w:rsidTr="0085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0F4B57" w:rsidRPr="00091600" w:rsidRDefault="000F4B57" w:rsidP="000F4B57">
            <w:pPr>
              <w:pStyle w:val="Tabletext"/>
              <w:rPr>
                <w:rFonts w:eastAsia="Times New Roman"/>
                <w:b w:val="0"/>
                <w:szCs w:val="20"/>
                <w:lang w:val="en-AU"/>
              </w:rPr>
            </w:pPr>
            <w:r w:rsidRPr="00091600">
              <w:rPr>
                <w:rFonts w:eastAsia="Times New Roman"/>
                <w:b w:val="0"/>
                <w:szCs w:val="20"/>
                <w:lang w:val="en-AU"/>
              </w:rPr>
              <w:t>8</w:t>
            </w:r>
          </w:p>
        </w:tc>
        <w:tc>
          <w:tcPr>
            <w:tcW w:w="4080" w:type="pct"/>
          </w:tcPr>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szCs w:val="20"/>
                <w:lang w:val="en-AU"/>
              </w:rPr>
            </w:pPr>
            <w:r w:rsidRPr="00091600">
              <w:rPr>
                <w:rFonts w:eastAsia="Times New Roman"/>
                <w:szCs w:val="20"/>
                <w:lang w:val="en-AU"/>
              </w:rPr>
              <w:t>Recognising that the approach for the Precinct has been a rolling design, resulting in a</w:t>
            </w:r>
            <w:r w:rsidRPr="00091600" w:rsidDel="009D48E6">
              <w:rPr>
                <w:rFonts w:eastAsia="Times New Roman"/>
                <w:szCs w:val="20"/>
                <w:lang w:val="en-AU"/>
              </w:rPr>
              <w:t xml:space="preserve"> </w:t>
            </w:r>
            <w:r w:rsidRPr="00091600">
              <w:rPr>
                <w:rFonts w:eastAsia="Times New Roman"/>
                <w:szCs w:val="20"/>
                <w:lang w:val="en-AU"/>
              </w:rPr>
              <w:t>MEL s</w:t>
            </w:r>
            <w:r w:rsidRPr="00091600" w:rsidDel="009D48E6">
              <w:rPr>
                <w:rFonts w:eastAsia="Times New Roman"/>
                <w:szCs w:val="20"/>
                <w:lang w:val="en-AU"/>
              </w:rPr>
              <w:t xml:space="preserve">ystem </w:t>
            </w:r>
            <w:r w:rsidRPr="00091600">
              <w:rPr>
                <w:rFonts w:eastAsia="Times New Roman"/>
                <w:szCs w:val="20"/>
                <w:lang w:val="en-AU"/>
              </w:rPr>
              <w:t>(</w:t>
            </w:r>
            <w:r w:rsidRPr="00091600" w:rsidDel="009D48E6">
              <w:rPr>
                <w:rFonts w:eastAsia="Times New Roman"/>
                <w:szCs w:val="20"/>
                <w:lang w:val="en-AU"/>
              </w:rPr>
              <w:t>i.e.</w:t>
            </w:r>
            <w:r w:rsidRPr="00091600">
              <w:rPr>
                <w:rFonts w:eastAsia="Times New Roman"/>
                <w:szCs w:val="20"/>
                <w:lang w:val="en-AU"/>
              </w:rPr>
              <w:t xml:space="preserve"> the Performance Assessment Framework;</w:t>
            </w:r>
            <w:r w:rsidRPr="00091600" w:rsidDel="009D48E6">
              <w:rPr>
                <w:rFonts w:eastAsia="Times New Roman"/>
                <w:szCs w:val="20"/>
                <w:lang w:val="en-AU"/>
              </w:rPr>
              <w:t xml:space="preserve"> theory of change</w:t>
            </w:r>
            <w:r w:rsidRPr="00091600">
              <w:rPr>
                <w:rFonts w:eastAsia="Times New Roman"/>
                <w:szCs w:val="20"/>
                <w:lang w:val="en-AU"/>
              </w:rPr>
              <w:t>;</w:t>
            </w:r>
            <w:r w:rsidRPr="00091600" w:rsidDel="009D48E6">
              <w:rPr>
                <w:rFonts w:eastAsia="Times New Roman"/>
                <w:szCs w:val="20"/>
                <w:lang w:val="en-AU"/>
              </w:rPr>
              <w:t xml:space="preserve"> outcome statements</w:t>
            </w:r>
            <w:r w:rsidRPr="00091600">
              <w:rPr>
                <w:rFonts w:eastAsia="Times New Roman"/>
                <w:szCs w:val="20"/>
                <w:lang w:val="en-AU"/>
              </w:rPr>
              <w:t>;</w:t>
            </w:r>
            <w:r w:rsidRPr="00091600" w:rsidDel="009D48E6">
              <w:rPr>
                <w:rFonts w:eastAsia="Times New Roman"/>
                <w:szCs w:val="20"/>
                <w:lang w:val="en-AU"/>
              </w:rPr>
              <w:t xml:space="preserve"> assumptions</w:t>
            </w:r>
            <w:r w:rsidRPr="00091600">
              <w:rPr>
                <w:rFonts w:eastAsia="Times New Roman"/>
                <w:szCs w:val="20"/>
                <w:lang w:val="en-AU"/>
              </w:rPr>
              <w:t>;</w:t>
            </w:r>
            <w:r w:rsidRPr="00091600" w:rsidDel="009D48E6">
              <w:rPr>
                <w:rFonts w:eastAsia="Times New Roman"/>
                <w:szCs w:val="20"/>
                <w:lang w:val="en-AU"/>
              </w:rPr>
              <w:t xml:space="preserve"> data collection methods</w:t>
            </w:r>
            <w:r w:rsidRPr="00091600">
              <w:rPr>
                <w:rFonts w:eastAsia="Times New Roman"/>
                <w:szCs w:val="20"/>
                <w:lang w:val="en-AU"/>
              </w:rPr>
              <w:t>;</w:t>
            </w:r>
            <w:r w:rsidRPr="00091600" w:rsidDel="009D48E6">
              <w:rPr>
                <w:rFonts w:eastAsia="Times New Roman"/>
                <w:szCs w:val="20"/>
                <w:lang w:val="en-AU"/>
              </w:rPr>
              <w:t xml:space="preserve"> and </w:t>
            </w:r>
            <w:r w:rsidRPr="00091600">
              <w:rPr>
                <w:rFonts w:eastAsia="Times New Roman"/>
                <w:szCs w:val="20"/>
                <w:lang w:val="en-AU"/>
              </w:rPr>
              <w:t xml:space="preserve">the </w:t>
            </w:r>
            <w:r w:rsidRPr="00091600" w:rsidDel="009D48E6">
              <w:rPr>
                <w:rFonts w:eastAsia="Times New Roman"/>
                <w:szCs w:val="20"/>
                <w:lang w:val="en-AU"/>
              </w:rPr>
              <w:t>approach to inquiry</w:t>
            </w:r>
            <w:r w:rsidRPr="00091600">
              <w:rPr>
                <w:rFonts w:eastAsia="Times New Roman"/>
                <w:szCs w:val="20"/>
                <w:lang w:val="en-AU"/>
              </w:rPr>
              <w:t>) that has evolved as the partnership has developed, how can the</w:t>
            </w:r>
            <w:r w:rsidRPr="00091600" w:rsidDel="009D48E6">
              <w:rPr>
                <w:rFonts w:eastAsia="Times New Roman"/>
                <w:szCs w:val="20"/>
                <w:lang w:val="en-AU"/>
              </w:rPr>
              <w:t xml:space="preserve"> </w:t>
            </w:r>
            <w:r w:rsidRPr="00091600">
              <w:rPr>
                <w:rFonts w:eastAsia="Times New Roman"/>
                <w:szCs w:val="20"/>
                <w:lang w:val="en-AU"/>
              </w:rPr>
              <w:t>system be strengthened moving forward?</w:t>
            </w:r>
          </w:p>
        </w:tc>
      </w:tr>
      <w:tr w:rsidR="008563E8" w:rsidRPr="00091600" w:rsidTr="008563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8563E8" w:rsidRPr="00091600" w:rsidRDefault="008563E8" w:rsidP="000F4B57">
            <w:pPr>
              <w:pStyle w:val="Tabletext"/>
              <w:rPr>
                <w:rFonts w:ascii="Roboto" w:eastAsia="Times New Roman" w:hAnsi="Roboto"/>
                <w:b w:val="0"/>
                <w:szCs w:val="20"/>
                <w:lang w:val="en-AU"/>
              </w:rPr>
            </w:pPr>
            <w:r w:rsidRPr="00091600">
              <w:rPr>
                <w:rFonts w:ascii="Roboto" w:eastAsia="Times New Roman" w:hAnsi="Roboto"/>
                <w:szCs w:val="20"/>
                <w:lang w:val="en-AU"/>
              </w:rPr>
              <w:t>Relevance</w:t>
            </w:r>
          </w:p>
        </w:tc>
        <w:tc>
          <w:tcPr>
            <w:tcW w:w="4080" w:type="pct"/>
          </w:tcPr>
          <w:p w:rsidR="008563E8" w:rsidRPr="00091600" w:rsidRDefault="008563E8" w:rsidP="000F4B57">
            <w:pPr>
              <w:pStyle w:val="Tabletext"/>
              <w:cnfStyle w:val="000000010000" w:firstRow="0" w:lastRow="0" w:firstColumn="0" w:lastColumn="0" w:oddVBand="0" w:evenVBand="0" w:oddHBand="0" w:evenHBand="1" w:firstRowFirstColumn="0" w:firstRowLastColumn="0" w:lastRowFirstColumn="0" w:lastRowLastColumn="0"/>
              <w:rPr>
                <w:rFonts w:ascii="Roboto" w:eastAsia="Times New Roman" w:hAnsi="Roboto"/>
                <w:szCs w:val="20"/>
                <w:lang w:val="en-AU"/>
              </w:rPr>
            </w:pPr>
          </w:p>
        </w:tc>
      </w:tr>
      <w:tr w:rsidR="000F4B57" w:rsidRPr="00091600" w:rsidTr="0085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0F4B57" w:rsidRPr="00091600" w:rsidRDefault="000F4B57" w:rsidP="000F4B57">
            <w:pPr>
              <w:pStyle w:val="Tabletext"/>
              <w:rPr>
                <w:rFonts w:eastAsia="Times New Roman"/>
                <w:b w:val="0"/>
                <w:szCs w:val="20"/>
                <w:lang w:val="en-AU"/>
              </w:rPr>
            </w:pPr>
            <w:r w:rsidRPr="00091600">
              <w:rPr>
                <w:rFonts w:eastAsia="Times New Roman"/>
                <w:b w:val="0"/>
                <w:szCs w:val="20"/>
                <w:lang w:val="en-AU"/>
              </w:rPr>
              <w:t>9</w:t>
            </w:r>
          </w:p>
        </w:tc>
        <w:tc>
          <w:tcPr>
            <w:tcW w:w="4080" w:type="pct"/>
          </w:tcPr>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rFonts w:eastAsia="Calibri"/>
                <w:szCs w:val="20"/>
                <w:lang w:val="en-AU"/>
              </w:rPr>
            </w:pPr>
            <w:r w:rsidRPr="00091600">
              <w:rPr>
                <w:rFonts w:eastAsia="Times New Roman"/>
                <w:szCs w:val="20"/>
                <w:lang w:val="en-AU"/>
              </w:rPr>
              <w:t>To what extent has there been bureaucratic and political support for the Precinct within PNG?</w:t>
            </w:r>
          </w:p>
        </w:tc>
      </w:tr>
      <w:tr w:rsidR="000F4B57" w:rsidRPr="00091600" w:rsidTr="008563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0F4B57" w:rsidRPr="00091600" w:rsidRDefault="000F4B57" w:rsidP="000F4B57">
            <w:pPr>
              <w:pStyle w:val="Tabletext"/>
              <w:rPr>
                <w:rFonts w:eastAsia="Times New Roman"/>
                <w:b w:val="0"/>
                <w:szCs w:val="20"/>
                <w:lang w:val="en-AU"/>
              </w:rPr>
            </w:pPr>
            <w:r w:rsidRPr="00091600">
              <w:rPr>
                <w:rFonts w:eastAsia="Times New Roman"/>
                <w:b w:val="0"/>
                <w:szCs w:val="20"/>
                <w:lang w:val="en-AU"/>
              </w:rPr>
              <w:t>9.a</w:t>
            </w:r>
          </w:p>
        </w:tc>
        <w:tc>
          <w:tcPr>
            <w:tcW w:w="4080" w:type="pct"/>
          </w:tcPr>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rFonts w:eastAsia="Times New Roman"/>
                <w:szCs w:val="20"/>
                <w:lang w:val="en-AU"/>
              </w:rPr>
            </w:pPr>
            <w:r w:rsidRPr="00091600">
              <w:rPr>
                <w:rFonts w:eastAsia="Times New Roman"/>
                <w:szCs w:val="20"/>
                <w:lang w:val="en-AU"/>
              </w:rPr>
              <w:t>Sub-question: how can the Precinct support a whole-of-government approach to strengthening ethical leadership?</w:t>
            </w:r>
          </w:p>
        </w:tc>
      </w:tr>
      <w:tr w:rsidR="000F4B57" w:rsidRPr="00091600" w:rsidTr="0085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0F4B57" w:rsidRPr="00091600" w:rsidRDefault="000F4B57" w:rsidP="000F4B57">
            <w:pPr>
              <w:pStyle w:val="Tabletext"/>
              <w:rPr>
                <w:rFonts w:eastAsia="Times New Roman"/>
                <w:b w:val="0"/>
                <w:szCs w:val="20"/>
                <w:lang w:val="en-AU"/>
              </w:rPr>
            </w:pPr>
            <w:r w:rsidRPr="00091600">
              <w:rPr>
                <w:rFonts w:eastAsia="Times New Roman"/>
                <w:b w:val="0"/>
                <w:szCs w:val="20"/>
                <w:lang w:val="en-AU"/>
              </w:rPr>
              <w:t>9.b</w:t>
            </w:r>
          </w:p>
        </w:tc>
        <w:tc>
          <w:tcPr>
            <w:tcW w:w="4080" w:type="pct"/>
          </w:tcPr>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szCs w:val="20"/>
                <w:lang w:val="en-AU"/>
              </w:rPr>
            </w:pPr>
            <w:r w:rsidRPr="00091600">
              <w:rPr>
                <w:rFonts w:eastAsia="Times New Roman"/>
                <w:szCs w:val="20"/>
                <w:lang w:val="en-AU"/>
              </w:rPr>
              <w:t>Sub-question: is the Precinct effectively aligned with other relevant PNG and Australian investments? Are there opportunities for further alignment with Australian investments?</w:t>
            </w:r>
          </w:p>
        </w:tc>
      </w:tr>
      <w:tr w:rsidR="008563E8" w:rsidRPr="00091600" w:rsidTr="008563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8563E8" w:rsidRPr="008B223D" w:rsidRDefault="008563E8" w:rsidP="000F4B57">
            <w:pPr>
              <w:pStyle w:val="Tabletext"/>
              <w:rPr>
                <w:rFonts w:ascii="Roboto" w:eastAsia="Times New Roman" w:hAnsi="Roboto"/>
                <w:b w:val="0"/>
                <w:szCs w:val="20"/>
                <w:lang w:val="en-AU"/>
              </w:rPr>
            </w:pPr>
            <w:r w:rsidRPr="008B223D">
              <w:rPr>
                <w:rFonts w:ascii="Roboto" w:eastAsia="Times New Roman" w:hAnsi="Roboto"/>
                <w:szCs w:val="20"/>
                <w:lang w:val="en-AU"/>
              </w:rPr>
              <w:t>GESI</w:t>
            </w:r>
          </w:p>
        </w:tc>
        <w:tc>
          <w:tcPr>
            <w:tcW w:w="4080" w:type="pct"/>
          </w:tcPr>
          <w:p w:rsidR="008563E8" w:rsidRPr="008B223D" w:rsidRDefault="008563E8" w:rsidP="000F4B57">
            <w:pPr>
              <w:pStyle w:val="Tabletext"/>
              <w:cnfStyle w:val="000000010000" w:firstRow="0" w:lastRow="0" w:firstColumn="0" w:lastColumn="0" w:oddVBand="0" w:evenVBand="0" w:oddHBand="0" w:evenHBand="1" w:firstRowFirstColumn="0" w:firstRowLastColumn="0" w:lastRowFirstColumn="0" w:lastRowLastColumn="0"/>
              <w:rPr>
                <w:rFonts w:ascii="Roboto" w:eastAsia="Times New Roman" w:hAnsi="Roboto"/>
                <w:szCs w:val="20"/>
                <w:lang w:val="en-AU"/>
              </w:rPr>
            </w:pPr>
          </w:p>
        </w:tc>
      </w:tr>
      <w:tr w:rsidR="000F4B57" w:rsidRPr="00091600" w:rsidTr="0085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0F4B57" w:rsidRPr="00091600" w:rsidRDefault="000F4B57" w:rsidP="000F4B57">
            <w:pPr>
              <w:pStyle w:val="Tabletext"/>
              <w:rPr>
                <w:rFonts w:eastAsia="Times New Roman"/>
                <w:b w:val="0"/>
                <w:szCs w:val="20"/>
                <w:lang w:val="en-AU"/>
              </w:rPr>
            </w:pPr>
            <w:r w:rsidRPr="00091600">
              <w:rPr>
                <w:rFonts w:eastAsia="Times New Roman"/>
                <w:b w:val="0"/>
                <w:szCs w:val="20"/>
                <w:lang w:val="en-AU"/>
              </w:rPr>
              <w:t>10</w:t>
            </w:r>
          </w:p>
        </w:tc>
        <w:tc>
          <w:tcPr>
            <w:tcW w:w="4080" w:type="pct"/>
          </w:tcPr>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szCs w:val="20"/>
                <w:lang w:val="en-AU"/>
              </w:rPr>
            </w:pPr>
            <w:r w:rsidRPr="00091600">
              <w:rPr>
                <w:rFonts w:eastAsia="Times New Roman"/>
                <w:szCs w:val="20"/>
                <w:lang w:val="en-AU"/>
              </w:rPr>
              <w:t xml:space="preserve">Understanding that Australia’s support for the </w:t>
            </w:r>
            <w:r w:rsidR="00E87298">
              <w:rPr>
                <w:rFonts w:eastAsia="Times New Roman"/>
                <w:szCs w:val="20"/>
                <w:lang w:val="en-AU"/>
              </w:rPr>
              <w:t>PNG Government</w:t>
            </w:r>
            <w:r w:rsidRPr="00091600">
              <w:rPr>
                <w:rFonts w:eastAsia="Times New Roman"/>
                <w:szCs w:val="20"/>
                <w:lang w:val="en-AU"/>
              </w:rPr>
              <w:t xml:space="preserve"> GESI Policy sits outside the Precinct, to what extent are appropriate gender equity and social inclusion considerations effectively integrated into Precinct planning and delivery?</w:t>
            </w:r>
          </w:p>
        </w:tc>
      </w:tr>
      <w:tr w:rsidR="008563E8" w:rsidRPr="00091600" w:rsidTr="008563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8563E8" w:rsidRPr="00091600" w:rsidRDefault="008563E8" w:rsidP="000F4B57">
            <w:pPr>
              <w:pStyle w:val="Tabletext"/>
              <w:rPr>
                <w:rFonts w:ascii="Roboto" w:eastAsia="Times New Roman" w:hAnsi="Roboto"/>
                <w:b w:val="0"/>
                <w:szCs w:val="20"/>
                <w:lang w:val="en-AU"/>
              </w:rPr>
            </w:pPr>
            <w:r w:rsidRPr="00091600">
              <w:rPr>
                <w:rFonts w:ascii="Roboto" w:eastAsia="Times New Roman" w:hAnsi="Roboto"/>
                <w:szCs w:val="20"/>
                <w:lang w:val="en-AU"/>
              </w:rPr>
              <w:t xml:space="preserve">Questions that may be additionally asked by </w:t>
            </w:r>
            <w:r>
              <w:rPr>
                <w:rFonts w:ascii="Roboto" w:eastAsia="Times New Roman" w:hAnsi="Roboto"/>
                <w:szCs w:val="20"/>
                <w:lang w:val="en-AU"/>
              </w:rPr>
              <w:t>the PNG Government</w:t>
            </w:r>
          </w:p>
        </w:tc>
        <w:tc>
          <w:tcPr>
            <w:tcW w:w="4080" w:type="pct"/>
          </w:tcPr>
          <w:p w:rsidR="008563E8" w:rsidRPr="00091600" w:rsidRDefault="008563E8" w:rsidP="000F4B57">
            <w:pPr>
              <w:pStyle w:val="Tabletext"/>
              <w:cnfStyle w:val="000000010000" w:firstRow="0" w:lastRow="0" w:firstColumn="0" w:lastColumn="0" w:oddVBand="0" w:evenVBand="0" w:oddHBand="0" w:evenHBand="1" w:firstRowFirstColumn="0" w:firstRowLastColumn="0" w:lastRowFirstColumn="0" w:lastRowLastColumn="0"/>
              <w:rPr>
                <w:rFonts w:ascii="Roboto" w:eastAsia="Times New Roman" w:hAnsi="Roboto"/>
                <w:szCs w:val="20"/>
                <w:lang w:val="en-AU"/>
              </w:rPr>
            </w:pPr>
          </w:p>
        </w:tc>
      </w:tr>
      <w:tr w:rsidR="000F4B57" w:rsidRPr="00091600" w:rsidTr="0085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0F4B57" w:rsidRPr="00091600" w:rsidRDefault="000F4B57" w:rsidP="000F4B57">
            <w:pPr>
              <w:pStyle w:val="Tabletext"/>
              <w:rPr>
                <w:rFonts w:eastAsia="Times New Roman"/>
                <w:b w:val="0"/>
                <w:szCs w:val="20"/>
                <w:lang w:val="en-AU"/>
              </w:rPr>
            </w:pPr>
            <w:r w:rsidRPr="00091600">
              <w:rPr>
                <w:rFonts w:eastAsia="Times New Roman"/>
                <w:b w:val="0"/>
                <w:szCs w:val="20"/>
                <w:lang w:val="en-AU"/>
              </w:rPr>
              <w:t>11</w:t>
            </w:r>
          </w:p>
        </w:tc>
        <w:tc>
          <w:tcPr>
            <w:tcW w:w="4080" w:type="pct"/>
          </w:tcPr>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val="en-AU"/>
              </w:rPr>
            </w:pPr>
            <w:r w:rsidRPr="00091600">
              <w:rPr>
                <w:rFonts w:eastAsia="Times New Roman"/>
                <w:color w:val="000000"/>
                <w:szCs w:val="20"/>
                <w:lang w:val="en-AU"/>
              </w:rPr>
              <w:t xml:space="preserve">To what extent has the Precinct supported </w:t>
            </w:r>
            <w:r w:rsidR="00E87298">
              <w:rPr>
                <w:rFonts w:eastAsia="Times New Roman"/>
                <w:color w:val="000000"/>
                <w:szCs w:val="20"/>
                <w:lang w:val="en-AU"/>
              </w:rPr>
              <w:t>the PNG Government</w:t>
            </w:r>
            <w:r w:rsidRPr="00091600">
              <w:rPr>
                <w:rFonts w:eastAsia="Times New Roman"/>
                <w:color w:val="000000"/>
                <w:szCs w:val="20"/>
                <w:lang w:val="en-AU"/>
              </w:rPr>
              <w:t>’s decentralisation agenda?</w:t>
            </w:r>
          </w:p>
        </w:tc>
      </w:tr>
      <w:tr w:rsidR="000F4B57" w:rsidRPr="00091600" w:rsidTr="008563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0F4B57" w:rsidRPr="00091600" w:rsidRDefault="000F4B57" w:rsidP="000F4B57">
            <w:pPr>
              <w:pStyle w:val="Tabletext"/>
              <w:rPr>
                <w:rFonts w:eastAsia="Times New Roman"/>
                <w:b w:val="0"/>
                <w:szCs w:val="20"/>
                <w:lang w:val="en-AU"/>
              </w:rPr>
            </w:pPr>
            <w:r w:rsidRPr="00091600">
              <w:rPr>
                <w:rFonts w:eastAsia="Times New Roman"/>
                <w:b w:val="0"/>
                <w:szCs w:val="20"/>
                <w:lang w:val="en-AU"/>
              </w:rPr>
              <w:t>12</w:t>
            </w:r>
          </w:p>
        </w:tc>
        <w:tc>
          <w:tcPr>
            <w:tcW w:w="4080" w:type="pct"/>
          </w:tcPr>
          <w:p w:rsidR="000F4B57" w:rsidRPr="00091600" w:rsidRDefault="000F4B57" w:rsidP="000F4B57">
            <w:pPr>
              <w:pStyle w:val="Tabletext"/>
              <w:jc w:val="left"/>
              <w:cnfStyle w:val="000000010000" w:firstRow="0" w:lastRow="0" w:firstColumn="0" w:lastColumn="0" w:oddVBand="0" w:evenVBand="0" w:oddHBand="0" w:evenHBand="1" w:firstRowFirstColumn="0" w:firstRowLastColumn="0" w:lastRowFirstColumn="0" w:lastRowLastColumn="0"/>
              <w:rPr>
                <w:rFonts w:eastAsia="Times New Roman"/>
                <w:color w:val="000000"/>
                <w:szCs w:val="20"/>
                <w:lang w:val="en-AU"/>
              </w:rPr>
            </w:pPr>
            <w:r w:rsidRPr="00091600">
              <w:rPr>
                <w:rFonts w:eastAsia="Times New Roman"/>
                <w:color w:val="000000"/>
                <w:szCs w:val="20"/>
                <w:lang w:val="en-AU"/>
              </w:rPr>
              <w:t>To what extent has the Precinct targeted certain sectors? What are the opportunities for focusing on improved service delivery and economic growth?</w:t>
            </w:r>
          </w:p>
        </w:tc>
      </w:tr>
      <w:tr w:rsidR="000F4B57" w:rsidRPr="00091600" w:rsidTr="0085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rsidR="000F4B57" w:rsidRPr="00091600" w:rsidRDefault="000F4B57" w:rsidP="000F4B57">
            <w:pPr>
              <w:pStyle w:val="Tabletext"/>
              <w:rPr>
                <w:rFonts w:eastAsia="Times New Roman"/>
                <w:b w:val="0"/>
                <w:szCs w:val="20"/>
                <w:lang w:val="en-AU"/>
              </w:rPr>
            </w:pPr>
            <w:r w:rsidRPr="00091600">
              <w:rPr>
                <w:rFonts w:eastAsia="Times New Roman"/>
                <w:b w:val="0"/>
                <w:szCs w:val="20"/>
                <w:lang w:val="en-AU"/>
              </w:rPr>
              <w:t>13</w:t>
            </w:r>
          </w:p>
        </w:tc>
        <w:tc>
          <w:tcPr>
            <w:tcW w:w="4080" w:type="pct"/>
          </w:tcPr>
          <w:p w:rsidR="000F4B57" w:rsidRPr="00091600" w:rsidRDefault="000F4B57" w:rsidP="000F4B57">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val="en-AU"/>
              </w:rPr>
            </w:pPr>
            <w:r w:rsidRPr="00091600">
              <w:rPr>
                <w:rFonts w:eastAsia="Times New Roman"/>
                <w:color w:val="000000"/>
                <w:szCs w:val="20"/>
                <w:lang w:val="en-AU"/>
              </w:rPr>
              <w:t>To what extent can the Precinct support unified nation-building—in other words, one public service for all people that will counter any ‘ethnic grouping trends’?</w:t>
            </w:r>
          </w:p>
        </w:tc>
      </w:tr>
    </w:tbl>
    <w:p w:rsidR="000F4B57" w:rsidRPr="00091600" w:rsidRDefault="000F4B57" w:rsidP="000F4B57">
      <w:pPr>
        <w:rPr>
          <w:rFonts w:ascii="Roboto Light" w:hAnsi="Roboto Light"/>
          <w:szCs w:val="20"/>
          <w:lang w:val="en-AU"/>
        </w:rPr>
      </w:pPr>
    </w:p>
    <w:p w:rsidR="000F4B57" w:rsidRPr="00091600" w:rsidRDefault="000F4B57" w:rsidP="000F4B57">
      <w:pPr>
        <w:rPr>
          <w:rFonts w:ascii="Roboto Light" w:hAnsi="Roboto Light" w:cs="Poppins"/>
          <w:b/>
          <w:bCs/>
          <w:color w:val="0B1F51"/>
          <w:kern w:val="32"/>
          <w:sz w:val="28"/>
          <w:szCs w:val="28"/>
          <w:lang w:val="en-AU"/>
        </w:rPr>
      </w:pPr>
      <w:r w:rsidRPr="00091600">
        <w:rPr>
          <w:rFonts w:ascii="Roboto Light" w:hAnsi="Roboto Light"/>
          <w:lang w:val="en-AU"/>
        </w:rPr>
        <w:br w:type="page"/>
      </w:r>
    </w:p>
    <w:p w:rsidR="000F4B57" w:rsidRPr="00091600" w:rsidRDefault="000F4B57" w:rsidP="000F4B57">
      <w:pPr>
        <w:pStyle w:val="Heading1NONUM"/>
        <w:rPr>
          <w:rFonts w:ascii="Roboto Light" w:hAnsi="Roboto Light"/>
          <w:lang w:val="en-AU"/>
        </w:rPr>
        <w:sectPr w:rsidR="000F4B57" w:rsidRPr="00091600" w:rsidSect="0004004F">
          <w:headerReference w:type="even" r:id="rId59"/>
          <w:headerReference w:type="default" r:id="rId60"/>
          <w:headerReference w:type="first" r:id="rId61"/>
          <w:type w:val="continuous"/>
          <w:pgSz w:w="11900" w:h="16820"/>
          <w:pgMar w:top="1440" w:right="1080" w:bottom="1440" w:left="1080" w:header="709" w:footer="709" w:gutter="0"/>
          <w:cols w:space="708"/>
          <w:titlePg/>
          <w:docGrid w:linePitch="360"/>
        </w:sectPr>
      </w:pPr>
    </w:p>
    <w:p w:rsidR="000F4B57" w:rsidRPr="00091600" w:rsidRDefault="000F4B57" w:rsidP="00CE3EF7">
      <w:pPr>
        <w:pStyle w:val="Annexnumberedlist"/>
      </w:pPr>
      <w:bookmarkStart w:id="177" w:name="_Ref524707949"/>
      <w:bookmarkStart w:id="178" w:name="_Toc536719924"/>
      <w:bookmarkStart w:id="179" w:name="_Toc2091564"/>
      <w:r w:rsidRPr="00091600">
        <w:t>Precinct SBPP and PILAG progress assessment</w:t>
      </w:r>
      <w:bookmarkEnd w:id="177"/>
      <w:bookmarkEnd w:id="178"/>
      <w:bookmarkEnd w:id="179"/>
    </w:p>
    <w:p w:rsidR="000F4B57" w:rsidRPr="00091600" w:rsidRDefault="000F4B57" w:rsidP="000F4B57">
      <w:pPr>
        <w:pStyle w:val="BodyText"/>
        <w:rPr>
          <w:lang w:val="en-AU"/>
        </w:rPr>
      </w:pPr>
      <w:r w:rsidRPr="00091600">
        <w:rPr>
          <w:lang w:val="en-AU"/>
        </w:rPr>
        <w:t xml:space="preserve">This </w:t>
      </w:r>
      <w:r w:rsidR="000A21CE" w:rsidRPr="00091600">
        <w:rPr>
          <w:lang w:val="en-AU"/>
        </w:rPr>
        <w:t>a</w:t>
      </w:r>
      <w:r w:rsidR="00D36E86" w:rsidRPr="00091600">
        <w:rPr>
          <w:lang w:val="en-AU"/>
        </w:rPr>
        <w:t>nnex</w:t>
      </w:r>
      <w:r w:rsidRPr="00091600">
        <w:rPr>
          <w:lang w:val="en-AU"/>
        </w:rPr>
        <w:t xml:space="preserve"> assesses progress against the two results frameworks developed for UPNG SBPP and PNG IPA</w:t>
      </w:r>
      <w:r w:rsidR="00D36E86" w:rsidRPr="00091600">
        <w:rPr>
          <w:lang w:val="en-AU"/>
        </w:rPr>
        <w:t>/</w:t>
      </w:r>
      <w:r w:rsidRPr="00091600">
        <w:rPr>
          <w:lang w:val="en-AU"/>
        </w:rPr>
        <w:t xml:space="preserve">PILAG in the January 2016 </w:t>
      </w:r>
      <w:r w:rsidR="009F5553" w:rsidRPr="00091600">
        <w:rPr>
          <w:lang w:val="en-AU"/>
        </w:rPr>
        <w:t>u</w:t>
      </w:r>
      <w:r w:rsidR="00D36E86" w:rsidRPr="00091600">
        <w:rPr>
          <w:lang w:val="en-AU"/>
        </w:rPr>
        <w:t>pdate</w:t>
      </w:r>
      <w:r w:rsidRPr="00091600">
        <w:rPr>
          <w:lang w:val="en-AU"/>
        </w:rPr>
        <w:t xml:space="preserve">. The overall framework (including the goal and long-term outcomes) can be found at </w:t>
      </w:r>
      <w:r w:rsidRPr="00091600">
        <w:rPr>
          <w:lang w:val="en-AU"/>
        </w:rPr>
        <w:fldChar w:fldCharType="begin"/>
      </w:r>
      <w:r w:rsidRPr="00091600">
        <w:rPr>
          <w:lang w:val="en-AU"/>
        </w:rPr>
        <w:instrText xml:space="preserve"> REF _Ref524708065 \h  \* MERGEFORMAT </w:instrText>
      </w:r>
      <w:r w:rsidRPr="00091600">
        <w:rPr>
          <w:lang w:val="en-AU"/>
        </w:rPr>
      </w:r>
      <w:r w:rsidRPr="00091600">
        <w:rPr>
          <w:lang w:val="en-AU"/>
        </w:rPr>
        <w:fldChar w:fldCharType="separate"/>
      </w:r>
      <w:r w:rsidR="004964E9" w:rsidRPr="00091600">
        <w:rPr>
          <w:lang w:val="en-AU"/>
        </w:rPr>
        <w:t xml:space="preserve">Figure </w:t>
      </w:r>
      <w:r w:rsidR="004964E9">
        <w:rPr>
          <w:lang w:val="en-AU"/>
        </w:rPr>
        <w:t>11</w:t>
      </w:r>
      <w:r w:rsidRPr="00091600">
        <w:rPr>
          <w:lang w:val="en-AU"/>
        </w:rPr>
        <w:fldChar w:fldCharType="end"/>
      </w:r>
      <w:r w:rsidRPr="00091600">
        <w:rPr>
          <w:lang w:val="en-AU"/>
        </w:rPr>
        <w:t xml:space="preserve">. </w:t>
      </w:r>
    </w:p>
    <w:p w:rsidR="000F4B57" w:rsidRPr="00091600" w:rsidRDefault="000F4B57" w:rsidP="000F4B57">
      <w:pPr>
        <w:pStyle w:val="BodyText"/>
        <w:rPr>
          <w:color w:val="000000" w:themeColor="text1"/>
          <w:szCs w:val="20"/>
          <w:lang w:val="en-AU"/>
        </w:rPr>
      </w:pPr>
      <w:r w:rsidRPr="00091600">
        <w:rPr>
          <w:lang w:val="en-AU"/>
        </w:rPr>
        <w:t xml:space="preserve">The 2016 Update </w:t>
      </w:r>
      <w:r w:rsidR="000A21CE" w:rsidRPr="00091600">
        <w:rPr>
          <w:lang w:val="en-AU"/>
        </w:rPr>
        <w:t>a</w:t>
      </w:r>
      <w:r w:rsidR="00D36E86" w:rsidRPr="00091600">
        <w:rPr>
          <w:lang w:val="en-AU"/>
        </w:rPr>
        <w:t>nnex</w:t>
      </w:r>
      <w:r w:rsidRPr="00091600">
        <w:rPr>
          <w:lang w:val="en-AU"/>
        </w:rPr>
        <w:t xml:space="preserve"> does not include the results framework for the Pathways/Precinct component. </w:t>
      </w:r>
      <w:r w:rsidR="00D36E86" w:rsidRPr="00091600">
        <w:rPr>
          <w:lang w:val="en-AU"/>
        </w:rPr>
        <w:t>G</w:t>
      </w:r>
      <w:r w:rsidR="00780A6F" w:rsidRPr="00091600">
        <w:rPr>
          <w:lang w:val="en-AU"/>
        </w:rPr>
        <w:t>ESI</w:t>
      </w:r>
      <w:r w:rsidR="00D36E86" w:rsidRPr="00091600">
        <w:rPr>
          <w:lang w:val="en-AU"/>
        </w:rPr>
        <w:t xml:space="preserve"> ha</w:t>
      </w:r>
      <w:r w:rsidR="00780A6F" w:rsidRPr="00091600">
        <w:rPr>
          <w:lang w:val="en-AU"/>
        </w:rPr>
        <w:t>s</w:t>
      </w:r>
      <w:r w:rsidRPr="00091600">
        <w:rPr>
          <w:lang w:val="en-AU"/>
        </w:rPr>
        <w:t xml:space="preserve"> not been systematically mainstreamed in the medium-term</w:t>
      </w:r>
      <w:r w:rsidR="00112876" w:rsidRPr="00091600">
        <w:rPr>
          <w:lang w:val="en-AU"/>
        </w:rPr>
        <w:t xml:space="preserve"> </w:t>
      </w:r>
      <w:r w:rsidRPr="00091600">
        <w:rPr>
          <w:lang w:val="en-AU"/>
        </w:rPr>
        <w:t>and short-term</w:t>
      </w:r>
      <w:r w:rsidR="00112876" w:rsidRPr="00091600">
        <w:rPr>
          <w:lang w:val="en-AU"/>
        </w:rPr>
        <w:t xml:space="preserve"> </w:t>
      </w:r>
      <w:r w:rsidRPr="00091600">
        <w:rPr>
          <w:lang w:val="en-AU"/>
        </w:rPr>
        <w:t>outcome statements.</w:t>
      </w:r>
    </w:p>
    <w:p w:rsidR="000F4B57" w:rsidRPr="00091600" w:rsidRDefault="000F4B57" w:rsidP="000F4B57">
      <w:pPr>
        <w:pStyle w:val="BodyText"/>
        <w:rPr>
          <w:lang w:val="en-AU"/>
        </w:rPr>
      </w:pPr>
      <w:r w:rsidRPr="00120D55">
        <w:rPr>
          <w:rFonts w:ascii="Roboto" w:hAnsi="Roboto"/>
          <w:bCs/>
          <w:color w:val="000000" w:themeColor="text1"/>
          <w:lang w:val="en-AU"/>
        </w:rPr>
        <w:t>Green</w:t>
      </w:r>
      <w:r w:rsidRPr="00120D55">
        <w:rPr>
          <w:bCs/>
          <w:color w:val="000000" w:themeColor="text1"/>
          <w:lang w:val="en-AU"/>
        </w:rPr>
        <w:t xml:space="preserve"> indicates that the </w:t>
      </w:r>
      <w:r w:rsidR="00CF45C5" w:rsidRPr="00120D55">
        <w:rPr>
          <w:bCs/>
          <w:color w:val="000000" w:themeColor="text1"/>
          <w:lang w:val="en-AU"/>
        </w:rPr>
        <w:t>review</w:t>
      </w:r>
      <w:r w:rsidRPr="00120D55">
        <w:rPr>
          <w:bCs/>
          <w:color w:val="000000" w:themeColor="text1"/>
          <w:lang w:val="en-AU"/>
        </w:rPr>
        <w:t xml:space="preserve"> team has found good progress, and that the outcome area is on track</w:t>
      </w:r>
      <w:r w:rsidR="000A21CE" w:rsidRPr="00120D55">
        <w:rPr>
          <w:bCs/>
          <w:color w:val="000000" w:themeColor="text1"/>
          <w:lang w:val="en-AU"/>
        </w:rPr>
        <w:t>.</w:t>
      </w:r>
      <w:r w:rsidR="00D36E86" w:rsidRPr="00120D55">
        <w:rPr>
          <w:bCs/>
          <w:color w:val="000000" w:themeColor="text1"/>
          <w:lang w:val="en-AU"/>
        </w:rPr>
        <w:t xml:space="preserve"> </w:t>
      </w:r>
      <w:r w:rsidR="000A21CE" w:rsidRPr="00120D55">
        <w:rPr>
          <w:rFonts w:ascii="Roboto" w:hAnsi="Roboto"/>
          <w:bCs/>
          <w:color w:val="000000" w:themeColor="text1"/>
          <w:lang w:val="en-AU"/>
        </w:rPr>
        <w:t>O</w:t>
      </w:r>
      <w:r w:rsidR="00D36E86" w:rsidRPr="00120D55">
        <w:rPr>
          <w:rFonts w:ascii="Roboto" w:hAnsi="Roboto"/>
          <w:bCs/>
          <w:color w:val="000000" w:themeColor="text1"/>
          <w:lang w:val="en-AU"/>
        </w:rPr>
        <w:t>range</w:t>
      </w:r>
      <w:r w:rsidR="00D36E86" w:rsidRPr="00120D55">
        <w:rPr>
          <w:bCs/>
          <w:color w:val="000000" w:themeColor="text1"/>
          <w:lang w:val="en-AU"/>
        </w:rPr>
        <w:t xml:space="preserve"> </w:t>
      </w:r>
      <w:r w:rsidRPr="00120D55">
        <w:rPr>
          <w:bCs/>
          <w:color w:val="000000" w:themeColor="text1"/>
          <w:lang w:val="en-AU"/>
        </w:rPr>
        <w:t xml:space="preserve">means there has been some progress, but also a number of challenges. </w:t>
      </w:r>
      <w:r w:rsidR="000A21CE" w:rsidRPr="00120D55">
        <w:rPr>
          <w:rFonts w:ascii="Roboto" w:hAnsi="Roboto"/>
          <w:bCs/>
          <w:color w:val="000000" w:themeColor="text1"/>
          <w:lang w:val="en-AU"/>
        </w:rPr>
        <w:t>R</w:t>
      </w:r>
      <w:r w:rsidR="00D36E86" w:rsidRPr="00120D55">
        <w:rPr>
          <w:rFonts w:ascii="Roboto" w:hAnsi="Roboto"/>
          <w:bCs/>
          <w:color w:val="000000" w:themeColor="text1"/>
          <w:lang w:val="en-AU"/>
        </w:rPr>
        <w:t>ed</w:t>
      </w:r>
      <w:r w:rsidR="00D36E86" w:rsidRPr="00120D55">
        <w:rPr>
          <w:bCs/>
          <w:color w:val="000000" w:themeColor="text1"/>
          <w:lang w:val="en-AU"/>
        </w:rPr>
        <w:t xml:space="preserve"> </w:t>
      </w:r>
      <w:r w:rsidRPr="00120D55">
        <w:rPr>
          <w:bCs/>
          <w:color w:val="000000" w:themeColor="text1"/>
          <w:lang w:val="en-AU"/>
        </w:rPr>
        <w:t>means</w:t>
      </w:r>
      <w:r w:rsidRPr="00120D55">
        <w:rPr>
          <w:color w:val="000000" w:themeColor="text1"/>
          <w:lang w:val="en-AU"/>
        </w:rPr>
        <w:t xml:space="preserve"> </w:t>
      </w:r>
      <w:r w:rsidRPr="00091600">
        <w:rPr>
          <w:lang w:val="en-AU"/>
        </w:rPr>
        <w:t xml:space="preserve">the outcome area is off-track, or that no satisfactory evidence of progress has been provided to the </w:t>
      </w:r>
      <w:r w:rsidR="00CF45C5" w:rsidRPr="00091600">
        <w:rPr>
          <w:lang w:val="en-AU"/>
        </w:rPr>
        <w:t>review</w:t>
      </w:r>
      <w:r w:rsidRPr="00091600">
        <w:rPr>
          <w:lang w:val="en-AU"/>
        </w:rPr>
        <w:t xml:space="preserve"> team</w:t>
      </w:r>
      <w:r w:rsidR="00D36E86" w:rsidRPr="00091600">
        <w:rPr>
          <w:lang w:val="en-AU"/>
        </w:rPr>
        <w:t>.</w:t>
      </w:r>
    </w:p>
    <w:p w:rsidR="000F4B57" w:rsidRPr="00091600" w:rsidRDefault="000F4B57" w:rsidP="000F4B57">
      <w:pPr>
        <w:rPr>
          <w:rFonts w:ascii="Roboto Light" w:hAnsi="Roboto Light"/>
          <w:i/>
          <w:color w:val="000000" w:themeColor="text1"/>
          <w:sz w:val="20"/>
          <w:szCs w:val="20"/>
          <w:lang w:val="en-AU"/>
        </w:rPr>
        <w:sectPr w:rsidR="000F4B57" w:rsidRPr="00091600" w:rsidSect="0004004F">
          <w:type w:val="continuous"/>
          <w:pgSz w:w="11900" w:h="16820"/>
          <w:pgMar w:top="1440" w:right="1080" w:bottom="1440" w:left="1080" w:header="709" w:footer="709" w:gutter="0"/>
          <w:cols w:space="708"/>
          <w:docGrid w:linePitch="360"/>
        </w:sectPr>
      </w:pPr>
    </w:p>
    <w:p w:rsidR="000F4B57" w:rsidRPr="00091600" w:rsidRDefault="00CA7E32" w:rsidP="000F4B57">
      <w:pPr>
        <w:pStyle w:val="Caption"/>
        <w:rPr>
          <w:lang w:val="en-AU"/>
        </w:rPr>
      </w:pPr>
      <w:bookmarkStart w:id="180" w:name="_Ref524708065"/>
      <w:bookmarkStart w:id="181" w:name="_Toc536627422"/>
      <w:bookmarkStart w:id="182" w:name="_Toc536627433"/>
      <w:bookmarkStart w:id="183" w:name="_Toc2089255"/>
      <w:r w:rsidRPr="00CA7E32">
        <w:rPr>
          <w:noProof/>
          <w:lang w:val="en-AU" w:eastAsia="en-AU"/>
        </w:rPr>
        <w:drawing>
          <wp:anchor distT="0" distB="0" distL="114300" distR="114300" simplePos="0" relativeHeight="251632640" behindDoc="0" locked="0" layoutInCell="1" allowOverlap="1" wp14:anchorId="66C5355C" wp14:editId="5EDC8622">
            <wp:simplePos x="0" y="0"/>
            <wp:positionH relativeFrom="margin">
              <wp:posOffset>-635</wp:posOffset>
            </wp:positionH>
            <wp:positionV relativeFrom="paragraph">
              <wp:posOffset>399415</wp:posOffset>
            </wp:positionV>
            <wp:extent cx="8489950" cy="4777105"/>
            <wp:effectExtent l="0" t="0" r="6350" b="4445"/>
            <wp:wrapTopAndBottom/>
            <wp:docPr id="26" name="Picture 26" descr="This is just a visual illustration of the theory of change described in this chapter." title="Results framework for the Pacific Leadership and Governance Precinc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489950" cy="477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4B57" w:rsidRPr="00091600">
        <w:rPr>
          <w:lang w:val="en-AU"/>
        </w:rPr>
        <w:t xml:space="preserve">Figure </w:t>
      </w:r>
      <w:r w:rsidR="001C457F">
        <w:rPr>
          <w:lang w:val="en-AU"/>
        </w:rPr>
        <w:fldChar w:fldCharType="begin"/>
      </w:r>
      <w:r w:rsidR="001C457F">
        <w:rPr>
          <w:lang w:val="en-AU"/>
        </w:rPr>
        <w:instrText xml:space="preserve"> SEQ Figure \* ARABIC </w:instrText>
      </w:r>
      <w:r w:rsidR="001C457F">
        <w:rPr>
          <w:lang w:val="en-AU"/>
        </w:rPr>
        <w:fldChar w:fldCharType="separate"/>
      </w:r>
      <w:r w:rsidR="004964E9">
        <w:rPr>
          <w:noProof/>
          <w:lang w:val="en-AU"/>
        </w:rPr>
        <w:t>11</w:t>
      </w:r>
      <w:r w:rsidR="001C457F">
        <w:rPr>
          <w:lang w:val="en-AU"/>
        </w:rPr>
        <w:fldChar w:fldCharType="end"/>
      </w:r>
      <w:bookmarkEnd w:id="180"/>
      <w:r w:rsidR="000F4B57" w:rsidRPr="00091600">
        <w:rPr>
          <w:lang w:val="en-AU"/>
        </w:rPr>
        <w:t>:</w:t>
      </w:r>
      <w:r w:rsidR="000F4B57" w:rsidRPr="00091600">
        <w:rPr>
          <w:lang w:val="en-AU"/>
        </w:rPr>
        <w:tab/>
        <w:t xml:space="preserve">Results </w:t>
      </w:r>
      <w:r w:rsidR="000A21CE" w:rsidRPr="00091600">
        <w:rPr>
          <w:lang w:val="en-AU"/>
        </w:rPr>
        <w:t>f</w:t>
      </w:r>
      <w:r w:rsidR="00D36E86" w:rsidRPr="00091600">
        <w:rPr>
          <w:lang w:val="en-AU"/>
        </w:rPr>
        <w:t>ramework</w:t>
      </w:r>
      <w:r w:rsidR="000F4B57" w:rsidRPr="00091600">
        <w:rPr>
          <w:lang w:val="en-AU"/>
        </w:rPr>
        <w:t xml:space="preserve"> for the Pacific Leadership and Governance Precinct (2016 Update annex)</w:t>
      </w:r>
      <w:bookmarkEnd w:id="181"/>
      <w:bookmarkEnd w:id="182"/>
      <w:bookmarkEnd w:id="183"/>
    </w:p>
    <w:p w:rsidR="00D36E86" w:rsidRDefault="00DF6FD1">
      <w:pPr>
        <w:pStyle w:val="Heading3NONUM"/>
        <w:rPr>
          <w:rFonts w:ascii="Poppins" w:hAnsi="Poppins" w:cs="Poppins"/>
          <w:lang w:val="en-AU"/>
        </w:rPr>
      </w:pPr>
      <w:r w:rsidRPr="00091600">
        <w:rPr>
          <w:rFonts w:ascii="Poppins" w:hAnsi="Poppins" w:cs="Poppins"/>
          <w:lang w:val="en-AU"/>
        </w:rPr>
        <w:t>UPNG SBPP</w:t>
      </w:r>
    </w:p>
    <w:tbl>
      <w:tblPr>
        <w:tblStyle w:val="OPMTable"/>
        <w:tblW w:w="5000" w:type="pct"/>
        <w:tblBorders>
          <w:top w:val="single" w:sz="4" w:space="0" w:color="45A7E1" w:themeColor="accent1"/>
          <w:left w:val="single" w:sz="4" w:space="0" w:color="45A7E1" w:themeColor="accent1"/>
          <w:bottom w:val="single" w:sz="4" w:space="0" w:color="45A7E1" w:themeColor="accent1"/>
          <w:right w:val="single" w:sz="4" w:space="0" w:color="45A7E1" w:themeColor="accent1"/>
          <w:insideH w:val="single" w:sz="4" w:space="0" w:color="45A7E1" w:themeColor="accent1"/>
          <w:insideV w:val="single" w:sz="4" w:space="0" w:color="45A7E1" w:themeColor="accent1"/>
        </w:tblBorders>
        <w:tblLook w:val="04A0" w:firstRow="1" w:lastRow="0" w:firstColumn="1" w:lastColumn="0" w:noHBand="0" w:noVBand="1"/>
        <w:tblCaption w:val="UPNG SBPP"/>
        <w:tblDescription w:val="This is a table of traffic lights against the outcome statement"/>
      </w:tblPr>
      <w:tblGrid>
        <w:gridCol w:w="2164"/>
        <w:gridCol w:w="10163"/>
        <w:gridCol w:w="1081"/>
      </w:tblGrid>
      <w:tr w:rsidR="001815D8" w:rsidRPr="001815D8" w:rsidTr="004F0042">
        <w:trPr>
          <w:cnfStyle w:val="100000000000" w:firstRow="1" w:lastRow="0" w:firstColumn="0" w:lastColumn="0" w:oddVBand="0" w:evenVBand="0" w:oddHBand="0" w:evenHBand="0" w:firstRowFirstColumn="0" w:firstRowLastColumn="0" w:lastRowFirstColumn="0" w:lastRowLastColumn="0"/>
          <w:trHeight w:val="554"/>
          <w:tblHeader/>
        </w:trPr>
        <w:tc>
          <w:tcPr>
            <w:cnfStyle w:val="001000000100" w:firstRow="0" w:lastRow="0" w:firstColumn="1" w:lastColumn="0" w:oddVBand="0" w:evenVBand="0" w:oddHBand="0" w:evenHBand="0" w:firstRowFirstColumn="1" w:firstRowLastColumn="0" w:lastRowFirstColumn="0" w:lastRowLastColumn="0"/>
            <w:tcW w:w="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1815D8" w:rsidRPr="001815D8" w:rsidRDefault="001815D8" w:rsidP="001815D8">
            <w:pPr>
              <w:spacing w:after="0" w:line="240" w:lineRule="auto"/>
              <w:rPr>
                <w:rFonts w:ascii="Roboto Light" w:eastAsia="Times New Roman" w:hAnsi="Roboto Light" w:cs="Times New Roman"/>
                <w:bCs/>
                <w:color w:val="0A1F50" w:themeColor="text2"/>
                <w:sz w:val="20"/>
                <w:szCs w:val="20"/>
                <w:lang w:val="en-AU" w:eastAsia="en-US"/>
              </w:rPr>
            </w:pPr>
            <w:r w:rsidRPr="001815D8">
              <w:rPr>
                <w:rFonts w:ascii="Roboto" w:eastAsia="Times New Roman" w:hAnsi="Roboto" w:cs="Times New Roman"/>
                <w:b w:val="0"/>
                <w:bCs/>
                <w:color w:val="0A1F50" w:themeColor="text2"/>
                <w:sz w:val="20"/>
                <w:szCs w:val="20"/>
                <w:lang w:val="en-AU" w:eastAsia="en-US"/>
              </w:rPr>
              <w:t>Medium-term outcomes (5–7 years)</w:t>
            </w:r>
          </w:p>
        </w:tc>
        <w:tc>
          <w:tcPr>
            <w:tcW w:w="379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1815D8" w:rsidRPr="001815D8" w:rsidRDefault="001815D8" w:rsidP="001815D8">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Roboto Light" w:eastAsia="Times New Roman" w:hAnsi="Roboto Light" w:cs="Times New Roman"/>
                <w:bCs/>
                <w:color w:val="0A1F50" w:themeColor="text2"/>
                <w:sz w:val="20"/>
                <w:szCs w:val="20"/>
                <w:lang w:val="en-AU" w:eastAsia="en-US"/>
              </w:rPr>
            </w:pPr>
            <w:r w:rsidRPr="001815D8">
              <w:rPr>
                <w:rFonts w:ascii="Roboto" w:eastAsia="Times New Roman" w:hAnsi="Roboto" w:cs="Times New Roman"/>
                <w:b w:val="0"/>
                <w:bCs/>
                <w:color w:val="0A1F50" w:themeColor="text2"/>
                <w:sz w:val="20"/>
                <w:szCs w:val="20"/>
                <w:lang w:val="en-AU" w:eastAsia="en-US"/>
              </w:rPr>
              <w:t>Immediate outcomes (2 years)</w:t>
            </w:r>
          </w:p>
        </w:tc>
        <w:tc>
          <w:tcPr>
            <w:tcW w:w="40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1815D8" w:rsidRPr="001815D8" w:rsidRDefault="001815D8" w:rsidP="001815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Times New Roman"/>
                <w:b w:val="0"/>
                <w:bCs/>
                <w:color w:val="0A1F50" w:themeColor="text2"/>
                <w:sz w:val="20"/>
                <w:szCs w:val="20"/>
                <w:lang w:val="en-AU" w:eastAsia="en-US"/>
              </w:rPr>
            </w:pPr>
          </w:p>
        </w:tc>
      </w:tr>
      <w:tr w:rsidR="00120D55" w:rsidRPr="001815D8" w:rsidTr="006B4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120D55" w:rsidRPr="001815D8" w:rsidRDefault="00120D55" w:rsidP="001815D8">
            <w:pPr>
              <w:spacing w:after="0" w:line="240" w:lineRule="auto"/>
              <w:rPr>
                <w:rFonts w:ascii="Roboto" w:eastAsia="Times New Roman" w:hAnsi="Roboto" w:cs="Times New Roman"/>
                <w:b w:val="0"/>
                <w:bCs/>
                <w:color w:val="000000" w:themeColor="text1"/>
                <w:sz w:val="20"/>
                <w:szCs w:val="20"/>
                <w:lang w:val="en-AU" w:eastAsia="en-US"/>
              </w:rPr>
            </w:pPr>
          </w:p>
          <w:p w:rsidR="00120D55" w:rsidRPr="001815D8" w:rsidRDefault="00120D55" w:rsidP="001815D8">
            <w:pPr>
              <w:spacing w:after="0" w:line="240" w:lineRule="auto"/>
              <w:rPr>
                <w:rFonts w:ascii="Roboto" w:eastAsia="Times New Roman" w:hAnsi="Roboto" w:cs="Times New Roman"/>
                <w:b w:val="0"/>
                <w:bCs/>
                <w:color w:val="000000" w:themeColor="text1"/>
                <w:sz w:val="20"/>
                <w:szCs w:val="20"/>
                <w:lang w:val="en-AU" w:eastAsia="en-US"/>
              </w:rPr>
            </w:pPr>
            <w:r w:rsidRPr="001815D8">
              <w:rPr>
                <w:rFonts w:ascii="Roboto" w:eastAsia="Times New Roman" w:hAnsi="Roboto" w:cs="Times New Roman"/>
                <w:b w:val="0"/>
                <w:bCs/>
                <w:color w:val="000000" w:themeColor="text1"/>
                <w:sz w:val="20"/>
                <w:szCs w:val="20"/>
                <w:lang w:val="en-AU" w:eastAsia="en-US"/>
              </w:rPr>
              <w:t>1. Improved quality of delivery of SBPP teaching, research and public outreach in partnership with ANU.</w:t>
            </w:r>
          </w:p>
          <w:p w:rsidR="00120D55" w:rsidRPr="001815D8" w:rsidRDefault="00120D55" w:rsidP="001815D8">
            <w:pPr>
              <w:spacing w:after="0" w:line="240" w:lineRule="auto"/>
              <w:rPr>
                <w:rFonts w:ascii="Roboto" w:eastAsia="Times New Roman" w:hAnsi="Roboto" w:cs="Times New Roman"/>
                <w:b w:val="0"/>
                <w:bCs/>
                <w:color w:val="000000" w:themeColor="text1"/>
                <w:sz w:val="20"/>
                <w:szCs w:val="20"/>
                <w:lang w:val="en-AU" w:eastAsia="en-US"/>
              </w:rPr>
            </w:pPr>
            <w:r w:rsidRPr="001815D8">
              <w:rPr>
                <w:rFonts w:ascii="Roboto" w:eastAsia="Times New Roman" w:hAnsi="Roboto" w:cs="Times New Roman"/>
                <w:bCs/>
                <w:noProof/>
                <w:color w:val="000000" w:themeColor="text1"/>
                <w:sz w:val="20"/>
                <w:szCs w:val="20"/>
                <w:lang w:val="en-AU" w:eastAsia="en-AU"/>
              </w:rPr>
              <mc:AlternateContent>
                <mc:Choice Requires="wps">
                  <w:drawing>
                    <wp:anchor distT="0" distB="0" distL="114300" distR="114300" simplePos="0" relativeHeight="252101632" behindDoc="0" locked="0" layoutInCell="1" allowOverlap="1" wp14:anchorId="4DC0A844" wp14:editId="0636AC1D">
                      <wp:simplePos x="0" y="0"/>
                      <wp:positionH relativeFrom="column">
                        <wp:posOffset>478058</wp:posOffset>
                      </wp:positionH>
                      <wp:positionV relativeFrom="paragraph">
                        <wp:posOffset>93834</wp:posOffset>
                      </wp:positionV>
                      <wp:extent cx="228600" cy="238125"/>
                      <wp:effectExtent l="0" t="0" r="19050" b="28575"/>
                      <wp:wrapNone/>
                      <wp:docPr id="27" name="Oval 27" descr="Green." title="Improved quality of delivery of SBPP teaching, research and public outreach in partnership with ANU">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92D05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B5D992" id="Oval 27" o:spid="_x0000_s1026" alt="Title: Improved quality of delivery of SBPP teaching, research and public outreach in partnership with ANU - Description: Green." style="position:absolute;margin-left:37.65pt;margin-top:7.4pt;width:18pt;height:18.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" fillcolor="#92d050" strokecolor="#307aa5" strokeweight="1pt">
                      <v:stroke joinstyle="miter"/>
                    </v:oval>
                  </w:pict>
                </mc:Fallback>
              </mc:AlternateContent>
            </w:r>
          </w:p>
          <w:p w:rsidR="00120D55" w:rsidRPr="001815D8" w:rsidRDefault="00120D55" w:rsidP="001815D8">
            <w:pPr>
              <w:spacing w:after="0" w:line="240" w:lineRule="auto"/>
              <w:rPr>
                <w:rFonts w:ascii="Roboto" w:eastAsia="Times New Roman" w:hAnsi="Roboto" w:cs="Times New Roman"/>
                <w:b w:val="0"/>
                <w:bCs/>
                <w:color w:val="000000" w:themeColor="text1"/>
                <w:sz w:val="20"/>
                <w:szCs w:val="20"/>
                <w:lang w:val="en-AU" w:eastAsia="en-US"/>
              </w:rPr>
            </w:pPr>
            <w:r w:rsidRPr="001815D8">
              <w:rPr>
                <w:rFonts w:ascii="Roboto" w:eastAsia="Times New Roman" w:hAnsi="Roboto" w:cs="Times New Roman"/>
                <w:b w:val="0"/>
                <w:bCs/>
                <w:color w:val="000000" w:themeColor="text1"/>
                <w:sz w:val="20"/>
                <w:szCs w:val="20"/>
                <w:lang w:val="en-AU" w:eastAsia="en-US"/>
              </w:rPr>
              <w:t xml:space="preserve"> </w:t>
            </w:r>
          </w:p>
          <w:p w:rsidR="00120D55" w:rsidRPr="001815D8" w:rsidRDefault="00120D55" w:rsidP="001815D8">
            <w:pPr>
              <w:spacing w:after="0" w:line="240" w:lineRule="auto"/>
              <w:rPr>
                <w:rFonts w:ascii="Roboto" w:eastAsia="Times New Roman" w:hAnsi="Roboto" w:cs="Times New Roman"/>
                <w:b w:val="0"/>
                <w:bCs/>
                <w:color w:val="000000" w:themeColor="text1"/>
                <w:sz w:val="20"/>
                <w:szCs w:val="20"/>
                <w:lang w:val="en-AU" w:eastAsia="en-US"/>
              </w:rPr>
            </w:pPr>
          </w:p>
        </w:tc>
        <w:tc>
          <w:tcPr>
            <w:tcW w:w="3790" w:type="pct"/>
          </w:tcPr>
          <w:p w:rsidR="00120D55" w:rsidRPr="001815D8" w:rsidRDefault="00120D55" w:rsidP="001815D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color w:val="000000" w:themeColor="text1"/>
                <w:sz w:val="20"/>
                <w:szCs w:val="20"/>
                <w:lang w:val="en-AU" w:eastAsia="en-US"/>
              </w:rPr>
              <w:t>1.1 Improved quality of teaching at SBPP contributes to better quality student learning.</w:t>
            </w:r>
          </w:p>
          <w:p w:rsidR="00120D55" w:rsidRPr="001815D8" w:rsidRDefault="00120D55" w:rsidP="001815D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bCs/>
                <w:i/>
                <w:color w:val="000000" w:themeColor="text1"/>
                <w:sz w:val="20"/>
                <w:szCs w:val="20"/>
                <w:lang w:val="en-AU" w:eastAsia="en-US"/>
              </w:rPr>
            </w:pPr>
          </w:p>
        </w:tc>
        <w:tc>
          <w:tcPr>
            <w:tcW w:w="403" w:type="pct"/>
          </w:tcPr>
          <w:p w:rsidR="00120D55" w:rsidRPr="001815D8" w:rsidRDefault="00120D55" w:rsidP="001815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noProof/>
                <w:color w:val="000000" w:themeColor="text1"/>
                <w:sz w:val="20"/>
                <w:szCs w:val="20"/>
                <w:lang w:val="en-AU" w:eastAsia="en-AU"/>
              </w:rPr>
              <mc:AlternateContent>
                <mc:Choice Requires="wps">
                  <w:drawing>
                    <wp:anchor distT="0" distB="0" distL="114300" distR="114300" simplePos="0" relativeHeight="252102656" behindDoc="0" locked="0" layoutInCell="1" allowOverlap="1" wp14:anchorId="7C6B05A2" wp14:editId="264C45FD">
                      <wp:simplePos x="0" y="0"/>
                      <wp:positionH relativeFrom="column">
                        <wp:posOffset>118110</wp:posOffset>
                      </wp:positionH>
                      <wp:positionV relativeFrom="paragraph">
                        <wp:posOffset>-14605</wp:posOffset>
                      </wp:positionV>
                      <wp:extent cx="228600" cy="238125"/>
                      <wp:effectExtent l="0" t="0" r="19050" b="28575"/>
                      <wp:wrapNone/>
                      <wp:docPr id="3" name="Oval 3" descr="Green" title="Improved quality of teaching at SBPP cntributes to better quality student learnin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92D05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48176" id="Oval 3" o:spid="_x0000_s1026" alt="Title: Improved quality of teaching at SBPP cntributes to better quality student learning - Description: Green" style="position:absolute;margin-left:9.3pt;margin-top:-1.15pt;width:18pt;height:18.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" fillcolor="#92d050" strokecolor="#307aa5" strokeweight="1pt">
                      <v:stroke joinstyle="miter"/>
                    </v:oval>
                  </w:pict>
                </mc:Fallback>
              </mc:AlternateContent>
            </w:r>
          </w:p>
        </w:tc>
      </w:tr>
      <w:tr w:rsidR="00120D55" w:rsidRPr="001815D8" w:rsidTr="006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120D55" w:rsidRPr="001815D8" w:rsidRDefault="00120D55" w:rsidP="001815D8">
            <w:pPr>
              <w:spacing w:after="0" w:line="240" w:lineRule="auto"/>
              <w:rPr>
                <w:rFonts w:ascii="Roboto" w:eastAsia="Times New Roman" w:hAnsi="Roboto" w:cs="Times New Roman"/>
                <w:b w:val="0"/>
                <w:bCs/>
                <w:color w:val="000000" w:themeColor="text1"/>
                <w:sz w:val="20"/>
                <w:szCs w:val="20"/>
                <w:lang w:val="en-AU" w:eastAsia="en-US"/>
              </w:rPr>
            </w:pPr>
          </w:p>
        </w:tc>
        <w:tc>
          <w:tcPr>
            <w:tcW w:w="3790" w:type="pct"/>
          </w:tcPr>
          <w:p w:rsidR="00120D55" w:rsidRPr="001815D8" w:rsidRDefault="00120D55" w:rsidP="001815D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color w:val="000000" w:themeColor="text1"/>
                <w:sz w:val="20"/>
                <w:szCs w:val="20"/>
                <w:lang w:val="en-AU" w:eastAsia="en-US"/>
              </w:rPr>
              <w:t>1.2 Improved quality and quantity of research produced by SBPP.</w:t>
            </w:r>
          </w:p>
          <w:p w:rsidR="00120D55" w:rsidRPr="001815D8" w:rsidRDefault="00120D55" w:rsidP="001815D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p>
        </w:tc>
        <w:tc>
          <w:tcPr>
            <w:tcW w:w="403" w:type="pct"/>
          </w:tcPr>
          <w:p w:rsidR="00120D55" w:rsidRPr="001815D8" w:rsidRDefault="00120D55" w:rsidP="001815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noProof/>
                <w:color w:val="000000" w:themeColor="text1"/>
                <w:sz w:val="20"/>
                <w:szCs w:val="20"/>
                <w:lang w:val="en-AU" w:eastAsia="en-AU"/>
              </w:rPr>
              <mc:AlternateContent>
                <mc:Choice Requires="wps">
                  <w:drawing>
                    <wp:anchor distT="0" distB="0" distL="114300" distR="114300" simplePos="0" relativeHeight="252103680" behindDoc="0" locked="0" layoutInCell="1" allowOverlap="1" wp14:anchorId="6CD32EBA" wp14:editId="291B0782">
                      <wp:simplePos x="0" y="0"/>
                      <wp:positionH relativeFrom="column">
                        <wp:posOffset>102870</wp:posOffset>
                      </wp:positionH>
                      <wp:positionV relativeFrom="paragraph">
                        <wp:posOffset>37465</wp:posOffset>
                      </wp:positionV>
                      <wp:extent cx="219710" cy="238125"/>
                      <wp:effectExtent l="0" t="0" r="27940" b="28575"/>
                      <wp:wrapNone/>
                      <wp:docPr id="30" name="Oval 30" descr="Amber" title="Improved quality and quantity of research produced by SBPP">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710" cy="238125"/>
                              </a:xfrm>
                              <a:prstGeom prst="ellipse">
                                <a:avLst/>
                              </a:prstGeom>
                              <a:solidFill>
                                <a:srgbClr val="FFC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BE6CDD" id="Oval 30" o:spid="_x0000_s1026" alt="Title: Improved quality and quantity of research produced by SBPP - Description: Amber" style="position:absolute;margin-left:8.1pt;margin-top:2.95pt;width:17.3pt;height:18.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" fillcolor="#ffc000" strokecolor="#307aa5" strokeweight="1pt">
                      <v:stroke joinstyle="miter"/>
                    </v:oval>
                  </w:pict>
                </mc:Fallback>
              </mc:AlternateContent>
            </w:r>
          </w:p>
        </w:tc>
      </w:tr>
      <w:tr w:rsidR="00120D55" w:rsidRPr="001815D8" w:rsidTr="006B4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120D55" w:rsidRPr="001815D8" w:rsidRDefault="00120D55" w:rsidP="001815D8">
            <w:pPr>
              <w:spacing w:after="0" w:line="240" w:lineRule="auto"/>
              <w:rPr>
                <w:rFonts w:ascii="Roboto" w:eastAsia="Times New Roman" w:hAnsi="Roboto" w:cs="Times New Roman"/>
                <w:b w:val="0"/>
                <w:bCs/>
                <w:color w:val="000000" w:themeColor="text1"/>
                <w:sz w:val="20"/>
                <w:szCs w:val="20"/>
                <w:lang w:val="en-AU" w:eastAsia="en-US"/>
              </w:rPr>
            </w:pPr>
          </w:p>
        </w:tc>
        <w:tc>
          <w:tcPr>
            <w:tcW w:w="3790" w:type="pct"/>
          </w:tcPr>
          <w:p w:rsidR="00120D55" w:rsidRPr="001815D8" w:rsidRDefault="00120D55" w:rsidP="001815D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color w:val="000000" w:themeColor="text1"/>
                <w:sz w:val="20"/>
                <w:szCs w:val="20"/>
                <w:lang w:val="en-AU" w:eastAsia="en-US"/>
              </w:rPr>
              <w:t>1.3 Increased capacity of students to apply problem-solving and critical thinking skills in economics and public policy.</w:t>
            </w:r>
          </w:p>
        </w:tc>
        <w:tc>
          <w:tcPr>
            <w:tcW w:w="403" w:type="pct"/>
          </w:tcPr>
          <w:p w:rsidR="00120D55" w:rsidRPr="001815D8" w:rsidRDefault="00120D55" w:rsidP="001815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noProof/>
                <w:color w:val="000000" w:themeColor="text1"/>
                <w:sz w:val="20"/>
                <w:szCs w:val="20"/>
                <w:lang w:val="en-AU" w:eastAsia="en-AU"/>
              </w:rPr>
              <mc:AlternateContent>
                <mc:Choice Requires="wps">
                  <w:drawing>
                    <wp:anchor distT="0" distB="0" distL="114300" distR="114300" simplePos="0" relativeHeight="252105728" behindDoc="0" locked="0" layoutInCell="1" allowOverlap="1" wp14:anchorId="37303B43" wp14:editId="5B564FCD">
                      <wp:simplePos x="0" y="0"/>
                      <wp:positionH relativeFrom="column">
                        <wp:posOffset>113030</wp:posOffset>
                      </wp:positionH>
                      <wp:positionV relativeFrom="paragraph">
                        <wp:posOffset>-29210</wp:posOffset>
                      </wp:positionV>
                      <wp:extent cx="228600" cy="238125"/>
                      <wp:effectExtent l="0" t="0" r="19050" b="28575"/>
                      <wp:wrapNone/>
                      <wp:docPr id="31" name="Oval 31" descr="Green" title="1.3 Increased capacity of students to apply problem-solving and critical thinking skills in economics and public policy.">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92D05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9F35B7" id="Oval 31" o:spid="_x0000_s1026" alt="Title: 1.3 Increased capacity of students to apply problem-solving and critical thinking skills in economics and public policy. - Description: Green" style="position:absolute;margin-left:8.9pt;margin-top:-2.3pt;width:18pt;height:18.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" fillcolor="#92d050" strokecolor="#307aa5" strokeweight="1pt">
                      <v:stroke joinstyle="miter"/>
                    </v:oval>
                  </w:pict>
                </mc:Fallback>
              </mc:AlternateContent>
            </w:r>
          </w:p>
        </w:tc>
      </w:tr>
      <w:tr w:rsidR="00120D55" w:rsidRPr="001815D8" w:rsidTr="006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120D55" w:rsidRPr="001815D8" w:rsidRDefault="00120D55" w:rsidP="001815D8">
            <w:pPr>
              <w:spacing w:after="0" w:line="240" w:lineRule="auto"/>
              <w:rPr>
                <w:rFonts w:ascii="Roboto" w:eastAsia="Times New Roman" w:hAnsi="Roboto" w:cs="Times New Roman"/>
                <w:b w:val="0"/>
                <w:bCs/>
                <w:color w:val="000000" w:themeColor="text1"/>
                <w:sz w:val="20"/>
                <w:szCs w:val="20"/>
                <w:lang w:val="en-AU" w:eastAsia="en-US"/>
              </w:rPr>
            </w:pPr>
          </w:p>
        </w:tc>
        <w:tc>
          <w:tcPr>
            <w:tcW w:w="3790" w:type="pct"/>
          </w:tcPr>
          <w:p w:rsidR="00120D55" w:rsidRPr="001815D8" w:rsidRDefault="00120D55" w:rsidP="001815D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color w:val="000000" w:themeColor="text1"/>
                <w:sz w:val="20"/>
                <w:szCs w:val="20"/>
                <w:lang w:val="en-AU" w:eastAsia="en-US"/>
              </w:rPr>
              <w:t>1.4 Increase in quality and quantity of public outreach undertaken by SBPP.</w:t>
            </w:r>
          </w:p>
        </w:tc>
        <w:tc>
          <w:tcPr>
            <w:tcW w:w="403" w:type="pct"/>
          </w:tcPr>
          <w:p w:rsidR="00120D55" w:rsidRPr="001815D8" w:rsidRDefault="00120D55" w:rsidP="001815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noProof/>
                <w:color w:val="000000" w:themeColor="text1"/>
                <w:sz w:val="20"/>
                <w:szCs w:val="20"/>
                <w:lang w:val="en-AU" w:eastAsia="en-AU"/>
              </w:rPr>
              <mc:AlternateContent>
                <mc:Choice Requires="wps">
                  <w:drawing>
                    <wp:anchor distT="0" distB="0" distL="114300" distR="114300" simplePos="0" relativeHeight="252104704" behindDoc="0" locked="0" layoutInCell="1" allowOverlap="1" wp14:anchorId="4A850198" wp14:editId="459C97C7">
                      <wp:simplePos x="0" y="0"/>
                      <wp:positionH relativeFrom="column">
                        <wp:posOffset>114935</wp:posOffset>
                      </wp:positionH>
                      <wp:positionV relativeFrom="paragraph">
                        <wp:posOffset>12700</wp:posOffset>
                      </wp:positionV>
                      <wp:extent cx="219710" cy="238125"/>
                      <wp:effectExtent l="0" t="0" r="27940" b="28575"/>
                      <wp:wrapNone/>
                      <wp:docPr id="33" name="Oval 33" descr="Amber" title="1.4 Increase in quality and quantity of public outreach undertaken by SBPP.">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710" cy="238125"/>
                              </a:xfrm>
                              <a:prstGeom prst="ellipse">
                                <a:avLst/>
                              </a:prstGeom>
                              <a:solidFill>
                                <a:srgbClr val="FFC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9BD66" id="Oval 33" o:spid="_x0000_s1026" alt="Title: 1.4 Increase in quality and quantity of public outreach undertaken by SBPP. - Description: Amber" style="position:absolute;margin-left:9.05pt;margin-top:1pt;width:17.3pt;height:18.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" fillcolor="#ffc000" strokecolor="#307aa5" strokeweight="1pt">
                      <v:stroke joinstyle="miter"/>
                    </v:oval>
                  </w:pict>
                </mc:Fallback>
              </mc:AlternateContent>
            </w:r>
          </w:p>
        </w:tc>
      </w:tr>
      <w:tr w:rsidR="00120D55" w:rsidRPr="001815D8" w:rsidTr="006B46A5">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807" w:type="pct"/>
          </w:tcPr>
          <w:p w:rsidR="00120D55" w:rsidRPr="001815D8" w:rsidRDefault="00120D55" w:rsidP="001815D8">
            <w:pPr>
              <w:spacing w:after="0" w:line="240" w:lineRule="auto"/>
              <w:rPr>
                <w:rFonts w:ascii="Roboto" w:eastAsia="Times New Roman" w:hAnsi="Roboto" w:cs="Times New Roman"/>
                <w:b w:val="0"/>
                <w:bCs/>
                <w:color w:val="000000" w:themeColor="text1"/>
                <w:sz w:val="20"/>
                <w:szCs w:val="20"/>
                <w:lang w:val="en-AU" w:eastAsia="en-US"/>
              </w:rPr>
            </w:pPr>
          </w:p>
          <w:p w:rsidR="00120D55" w:rsidRPr="001815D8" w:rsidRDefault="00120D55" w:rsidP="001815D8">
            <w:pPr>
              <w:spacing w:after="0" w:line="240" w:lineRule="auto"/>
              <w:rPr>
                <w:rFonts w:ascii="Roboto" w:eastAsia="Times New Roman" w:hAnsi="Roboto" w:cs="Times New Roman"/>
                <w:b w:val="0"/>
                <w:bCs/>
                <w:color w:val="000000" w:themeColor="text1"/>
                <w:sz w:val="20"/>
                <w:szCs w:val="20"/>
                <w:lang w:val="en-AU" w:eastAsia="en-US"/>
              </w:rPr>
            </w:pPr>
            <w:r w:rsidRPr="001815D8">
              <w:rPr>
                <w:rFonts w:ascii="Roboto" w:eastAsia="Times New Roman" w:hAnsi="Roboto" w:cs="Times New Roman"/>
                <w:bCs/>
                <w:noProof/>
                <w:color w:val="000000" w:themeColor="text1"/>
                <w:sz w:val="20"/>
                <w:szCs w:val="20"/>
                <w:lang w:val="en-AU" w:eastAsia="en-AU"/>
              </w:rPr>
              <mc:AlternateContent>
                <mc:Choice Requires="wps">
                  <w:drawing>
                    <wp:anchor distT="0" distB="0" distL="114300" distR="114300" simplePos="0" relativeHeight="252107776" behindDoc="0" locked="0" layoutInCell="1" allowOverlap="1" wp14:anchorId="347312BA" wp14:editId="35877DC8">
                      <wp:simplePos x="0" y="0"/>
                      <wp:positionH relativeFrom="column">
                        <wp:posOffset>982980</wp:posOffset>
                      </wp:positionH>
                      <wp:positionV relativeFrom="paragraph">
                        <wp:posOffset>715010</wp:posOffset>
                      </wp:positionV>
                      <wp:extent cx="228600" cy="248285"/>
                      <wp:effectExtent l="0" t="0" r="19050" b="18415"/>
                      <wp:wrapNone/>
                      <wp:docPr id="34" name="Oval 34" descr="Red" title="Improved public policy informed by ethics and values-based leadership and management capabilities and GESI principle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9C7E14" id="Oval 34" o:spid="_x0000_s1026" alt="Title: Improved public policy informed by ethics and values-based leadership and management capabilities and GESI principles - Description: Red" style="position:absolute;margin-left:77.4pt;margin-top:56.3pt;width:18pt;height:19.55pt;flip:x 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" fillcolor="red" strokecolor="#307aa5" strokeweight="1pt">
                      <v:stroke joinstyle="miter"/>
                    </v:oval>
                  </w:pict>
                </mc:Fallback>
              </mc:AlternateContent>
            </w:r>
            <w:r w:rsidRPr="001815D8">
              <w:rPr>
                <w:rFonts w:ascii="Roboto" w:eastAsia="Times New Roman" w:hAnsi="Roboto" w:cs="Times New Roman"/>
                <w:b w:val="0"/>
                <w:bCs/>
                <w:color w:val="000000" w:themeColor="text1"/>
                <w:sz w:val="20"/>
                <w:szCs w:val="20"/>
                <w:lang w:val="en-AU" w:eastAsia="en-US"/>
              </w:rPr>
              <w:t>2. Improved public policy informed by ethics and values-based leadership and management capabilities and GESI principles.</w:t>
            </w:r>
          </w:p>
          <w:p w:rsidR="00120D55" w:rsidRPr="001815D8" w:rsidRDefault="00120D55" w:rsidP="001815D8">
            <w:pPr>
              <w:spacing w:after="0" w:line="240" w:lineRule="auto"/>
              <w:rPr>
                <w:rFonts w:ascii="Roboto" w:eastAsia="Times New Roman" w:hAnsi="Roboto" w:cs="Times New Roman"/>
                <w:b w:val="0"/>
                <w:bCs/>
                <w:color w:val="000000" w:themeColor="text1"/>
                <w:sz w:val="20"/>
                <w:szCs w:val="20"/>
                <w:lang w:val="en-AU" w:eastAsia="en-US"/>
              </w:rPr>
            </w:pPr>
          </w:p>
        </w:tc>
        <w:tc>
          <w:tcPr>
            <w:tcW w:w="3790" w:type="pct"/>
          </w:tcPr>
          <w:p w:rsidR="00120D55" w:rsidRPr="001815D8" w:rsidRDefault="00120D55" w:rsidP="001815D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color w:val="000000" w:themeColor="text1"/>
                <w:sz w:val="20"/>
                <w:szCs w:val="20"/>
                <w:lang w:val="en-AU" w:eastAsia="en-US"/>
              </w:rPr>
              <w:t>2.1 SBPP improves the mainstreaming of the Ethics and Values Based Leadership and Management Capabilities Framework (LCF) and National Public Service Gender Equity and Social Inclusion (GESI) Policy.</w:t>
            </w:r>
          </w:p>
          <w:p w:rsidR="00120D55" w:rsidRPr="001815D8" w:rsidRDefault="00120D55" w:rsidP="001815D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p>
        </w:tc>
        <w:tc>
          <w:tcPr>
            <w:tcW w:w="403" w:type="pct"/>
          </w:tcPr>
          <w:p w:rsidR="00120D55" w:rsidRPr="001815D8" w:rsidRDefault="00120D55" w:rsidP="001815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noProof/>
                <w:color w:val="000000" w:themeColor="text1"/>
                <w:sz w:val="20"/>
                <w:szCs w:val="20"/>
                <w:lang w:val="en-AU" w:eastAsia="en-AU"/>
              </w:rPr>
              <mc:AlternateContent>
                <mc:Choice Requires="wps">
                  <w:drawing>
                    <wp:anchor distT="0" distB="0" distL="114300" distR="114300" simplePos="0" relativeHeight="252108800" behindDoc="0" locked="0" layoutInCell="1" allowOverlap="1" wp14:anchorId="112F90CA" wp14:editId="300FAFD7">
                      <wp:simplePos x="0" y="0"/>
                      <wp:positionH relativeFrom="column">
                        <wp:posOffset>115570</wp:posOffset>
                      </wp:positionH>
                      <wp:positionV relativeFrom="paragraph">
                        <wp:posOffset>-36195</wp:posOffset>
                      </wp:positionV>
                      <wp:extent cx="228600" cy="248285"/>
                      <wp:effectExtent l="0" t="0" r="19050" b="18415"/>
                      <wp:wrapNone/>
                      <wp:docPr id="41" name="Oval 41" descr="Red" title="2.1 SBPP improves the mainstreaming of the Ethics and Values Based Leadership and Management Capabilities Framework (LCF) and National Public Service Gender Equity and Social Inclusion (GESI) Policy.">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76D80" id="Oval 41" o:spid="_x0000_s1026" alt="Title: 2.1 SBPP improves the mainstreaming of the Ethics and Values Based Leadership and Management Capabilities Framework (LCF) and National Public Service Gender Equity and Social Inclusion (GESI) Policy. - Description: Red" style="position:absolute;margin-left:9.1pt;margin-top:-2.85pt;width:18pt;height:19.55pt;flip:x 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" fillcolor="red" strokecolor="#307aa5" strokeweight="1pt">
                      <v:stroke joinstyle="miter"/>
                    </v:oval>
                  </w:pict>
                </mc:Fallback>
              </mc:AlternateContent>
            </w:r>
          </w:p>
        </w:tc>
      </w:tr>
      <w:tr w:rsidR="00120D55" w:rsidRPr="001815D8" w:rsidTr="006B46A5">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07" w:type="pct"/>
          </w:tcPr>
          <w:p w:rsidR="00120D55" w:rsidRPr="001815D8" w:rsidRDefault="00120D55" w:rsidP="001815D8">
            <w:pPr>
              <w:spacing w:after="0" w:line="240" w:lineRule="auto"/>
              <w:rPr>
                <w:rFonts w:ascii="Roboto" w:eastAsia="Times New Roman" w:hAnsi="Roboto" w:cs="Times New Roman"/>
                <w:b w:val="0"/>
                <w:bCs/>
                <w:color w:val="000000" w:themeColor="text1"/>
                <w:sz w:val="20"/>
                <w:szCs w:val="20"/>
                <w:lang w:val="en-AU" w:eastAsia="en-US"/>
              </w:rPr>
            </w:pPr>
          </w:p>
        </w:tc>
        <w:tc>
          <w:tcPr>
            <w:tcW w:w="3790" w:type="pct"/>
          </w:tcPr>
          <w:p w:rsidR="00120D55" w:rsidRPr="001815D8" w:rsidRDefault="00120D55" w:rsidP="001815D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color w:val="000000" w:themeColor="text1"/>
                <w:sz w:val="20"/>
                <w:szCs w:val="20"/>
                <w:lang w:val="en-AU" w:eastAsia="en-US"/>
              </w:rPr>
              <w:t>2.2 ELP improves the skills, knowledge and attitudes of public sector employees leading to behavioural changes consistent with LCF and GESI principles.</w:t>
            </w:r>
          </w:p>
          <w:p w:rsidR="00120D55" w:rsidRPr="001815D8" w:rsidRDefault="00120D55" w:rsidP="001815D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p>
        </w:tc>
        <w:tc>
          <w:tcPr>
            <w:tcW w:w="403" w:type="pct"/>
          </w:tcPr>
          <w:p w:rsidR="00120D55" w:rsidRPr="001815D8" w:rsidRDefault="00120D55" w:rsidP="001815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noProof/>
                <w:color w:val="000000" w:themeColor="text1"/>
                <w:sz w:val="20"/>
                <w:szCs w:val="20"/>
                <w:lang w:val="en-AU" w:eastAsia="en-AU"/>
              </w:rPr>
              <mc:AlternateContent>
                <mc:Choice Requires="wps">
                  <w:drawing>
                    <wp:anchor distT="0" distB="0" distL="114300" distR="114300" simplePos="0" relativeHeight="252109824" behindDoc="0" locked="0" layoutInCell="1" allowOverlap="1" wp14:anchorId="69330FB5" wp14:editId="434C9878">
                      <wp:simplePos x="0" y="0"/>
                      <wp:positionH relativeFrom="column">
                        <wp:posOffset>111125</wp:posOffset>
                      </wp:positionH>
                      <wp:positionV relativeFrom="paragraph">
                        <wp:posOffset>-51435</wp:posOffset>
                      </wp:positionV>
                      <wp:extent cx="228600" cy="248285"/>
                      <wp:effectExtent l="0" t="0" r="19050" b="18415"/>
                      <wp:wrapNone/>
                      <wp:docPr id="47" name="Oval 47" descr="Red" title="ELP improves the skills, knowledge and attitudes of public sector employees leading to behavioural changes consistent with LCF and GESI principle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58633B" id="Oval 47" o:spid="_x0000_s1026" alt="Title: ELP improves the skills, knowledge and attitudes of public sector employees leading to behavioural changes consistent with LCF and GESI principles. - Description: Red" style="position:absolute;margin-left:8.75pt;margin-top:-4.05pt;width:18pt;height:19.55pt;flip:x 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" fillcolor="red" strokecolor="#307aa5" strokeweight="1pt">
                      <v:stroke joinstyle="miter"/>
                    </v:oval>
                  </w:pict>
                </mc:Fallback>
              </mc:AlternateContent>
            </w:r>
          </w:p>
        </w:tc>
      </w:tr>
      <w:tr w:rsidR="00120D55" w:rsidRPr="001815D8" w:rsidTr="006B46A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07" w:type="pct"/>
          </w:tcPr>
          <w:p w:rsidR="00120D55" w:rsidRPr="001815D8" w:rsidRDefault="00120D55" w:rsidP="001815D8">
            <w:pPr>
              <w:spacing w:after="0" w:line="240" w:lineRule="auto"/>
              <w:rPr>
                <w:rFonts w:ascii="Roboto" w:eastAsia="Times New Roman" w:hAnsi="Roboto" w:cs="Times New Roman"/>
                <w:b w:val="0"/>
                <w:bCs/>
                <w:color w:val="000000" w:themeColor="text1"/>
                <w:sz w:val="20"/>
                <w:szCs w:val="20"/>
                <w:lang w:val="en-AU" w:eastAsia="en-US"/>
              </w:rPr>
            </w:pPr>
          </w:p>
        </w:tc>
        <w:tc>
          <w:tcPr>
            <w:tcW w:w="3790" w:type="pct"/>
          </w:tcPr>
          <w:p w:rsidR="00120D55" w:rsidRPr="001815D8" w:rsidRDefault="00120D55" w:rsidP="001815D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color w:val="000000" w:themeColor="text1"/>
                <w:sz w:val="20"/>
                <w:szCs w:val="20"/>
                <w:lang w:val="en-AU" w:eastAsia="en-US"/>
              </w:rPr>
              <w:t>2.3 More female teachers and students participating in SBPP courses.</w:t>
            </w:r>
          </w:p>
        </w:tc>
        <w:tc>
          <w:tcPr>
            <w:tcW w:w="403" w:type="pct"/>
          </w:tcPr>
          <w:p w:rsidR="00120D55" w:rsidRPr="001815D8" w:rsidRDefault="00120D55" w:rsidP="001815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noProof/>
                <w:color w:val="000000" w:themeColor="text1"/>
                <w:sz w:val="20"/>
                <w:szCs w:val="20"/>
                <w:lang w:val="en-AU" w:eastAsia="en-AU"/>
              </w:rPr>
              <mc:AlternateContent>
                <mc:Choice Requires="wps">
                  <w:drawing>
                    <wp:anchor distT="0" distB="0" distL="114300" distR="114300" simplePos="0" relativeHeight="252110848" behindDoc="0" locked="0" layoutInCell="1" allowOverlap="1" wp14:anchorId="68A29D05" wp14:editId="5637BE39">
                      <wp:simplePos x="0" y="0"/>
                      <wp:positionH relativeFrom="column">
                        <wp:posOffset>118110</wp:posOffset>
                      </wp:positionH>
                      <wp:positionV relativeFrom="paragraph">
                        <wp:posOffset>-38735</wp:posOffset>
                      </wp:positionV>
                      <wp:extent cx="228600" cy="248285"/>
                      <wp:effectExtent l="0" t="0" r="19050" b="18415"/>
                      <wp:wrapNone/>
                      <wp:docPr id="54" name="Oval 54" descr="Red" title="More female teachers and students participating in SBPP course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B67276" id="Oval 54" o:spid="_x0000_s1026" alt="Title: More female teachers and students participating in SBPP courses. - Description: Red" style="position:absolute;margin-left:9.3pt;margin-top:-3.05pt;width:18pt;height:19.55pt;flip:x y;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" fillcolor="red" strokecolor="#307aa5" strokeweight="1pt">
                      <v:stroke joinstyle="miter"/>
                    </v:oval>
                  </w:pict>
                </mc:Fallback>
              </mc:AlternateContent>
            </w:r>
          </w:p>
        </w:tc>
      </w:tr>
      <w:tr w:rsidR="00120D55" w:rsidRPr="001815D8" w:rsidTr="006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120D55" w:rsidRPr="001815D8" w:rsidRDefault="00120D55" w:rsidP="001815D8">
            <w:pPr>
              <w:spacing w:after="0" w:line="240" w:lineRule="auto"/>
              <w:rPr>
                <w:rFonts w:ascii="Roboto" w:eastAsia="Times New Roman" w:hAnsi="Roboto" w:cs="Times New Roman"/>
                <w:b w:val="0"/>
                <w:bCs/>
                <w:color w:val="000000" w:themeColor="text1"/>
                <w:sz w:val="20"/>
                <w:szCs w:val="20"/>
                <w:lang w:val="en-AU" w:eastAsia="en-US"/>
              </w:rPr>
            </w:pPr>
          </w:p>
          <w:p w:rsidR="00120D55" w:rsidRPr="001815D8" w:rsidRDefault="00120D55" w:rsidP="001815D8">
            <w:pPr>
              <w:spacing w:after="0" w:line="240" w:lineRule="auto"/>
              <w:rPr>
                <w:rFonts w:ascii="Roboto" w:eastAsia="Times New Roman" w:hAnsi="Roboto" w:cs="Times New Roman"/>
                <w:b w:val="0"/>
                <w:bCs/>
                <w:color w:val="000000" w:themeColor="text1"/>
                <w:sz w:val="20"/>
                <w:szCs w:val="20"/>
                <w:lang w:val="en-AU" w:eastAsia="en-US"/>
              </w:rPr>
            </w:pPr>
            <w:r w:rsidRPr="001815D8">
              <w:rPr>
                <w:rFonts w:ascii="Roboto" w:eastAsia="Times New Roman" w:hAnsi="Roboto" w:cs="Times New Roman"/>
                <w:bCs/>
                <w:noProof/>
                <w:color w:val="000000" w:themeColor="text1"/>
                <w:sz w:val="20"/>
                <w:szCs w:val="20"/>
                <w:lang w:val="en-AU" w:eastAsia="en-AU"/>
              </w:rPr>
              <mc:AlternateContent>
                <mc:Choice Requires="wps">
                  <w:drawing>
                    <wp:anchor distT="0" distB="0" distL="114300" distR="114300" simplePos="0" relativeHeight="252112896" behindDoc="0" locked="0" layoutInCell="1" allowOverlap="1" wp14:anchorId="4FBB722A" wp14:editId="162E9342">
                      <wp:simplePos x="0" y="0"/>
                      <wp:positionH relativeFrom="column">
                        <wp:posOffset>944245</wp:posOffset>
                      </wp:positionH>
                      <wp:positionV relativeFrom="paragraph">
                        <wp:posOffset>650240</wp:posOffset>
                      </wp:positionV>
                      <wp:extent cx="228600" cy="248285"/>
                      <wp:effectExtent l="0" t="0" r="19050" b="18415"/>
                      <wp:wrapNone/>
                      <wp:docPr id="56" name="Oval 56" descr="Red" title="SBPP increases its interaction with, and relevance to, the PNG Government in public policy">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93039A" id="Oval 56" o:spid="_x0000_s1026" alt="Title: SBPP increases its interaction with, and relevance to, the PNG Government in public policy - Description: Red" style="position:absolute;margin-left:74.35pt;margin-top:51.2pt;width:18pt;height:19.55pt;flip:x y;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" fillcolor="red" strokecolor="#307aa5" strokeweight="1pt">
                      <v:stroke joinstyle="miter"/>
                    </v:oval>
                  </w:pict>
                </mc:Fallback>
              </mc:AlternateContent>
            </w:r>
            <w:r w:rsidRPr="001815D8">
              <w:rPr>
                <w:rFonts w:ascii="Roboto" w:eastAsia="Times New Roman" w:hAnsi="Roboto" w:cs="Times New Roman"/>
                <w:b w:val="0"/>
                <w:bCs/>
                <w:color w:val="000000" w:themeColor="text1"/>
                <w:sz w:val="20"/>
                <w:szCs w:val="20"/>
                <w:lang w:val="en-AU" w:eastAsia="en-US"/>
              </w:rPr>
              <w:t xml:space="preserve">3. SBPP increases its interaction with, and relevance to, </w:t>
            </w:r>
            <w:r>
              <w:rPr>
                <w:rFonts w:ascii="Roboto" w:eastAsia="Times New Roman" w:hAnsi="Roboto" w:cs="Times New Roman"/>
                <w:b w:val="0"/>
                <w:bCs/>
                <w:color w:val="000000" w:themeColor="text1"/>
                <w:sz w:val="20"/>
                <w:szCs w:val="20"/>
                <w:lang w:val="en-AU" w:eastAsia="en-US"/>
              </w:rPr>
              <w:t>the PNG Government</w:t>
            </w:r>
            <w:r w:rsidRPr="001815D8">
              <w:rPr>
                <w:rFonts w:ascii="Roboto" w:eastAsia="Times New Roman" w:hAnsi="Roboto" w:cs="Times New Roman"/>
                <w:b w:val="0"/>
                <w:bCs/>
                <w:color w:val="000000" w:themeColor="text1"/>
                <w:sz w:val="20"/>
                <w:szCs w:val="20"/>
                <w:lang w:val="en-AU" w:eastAsia="en-US"/>
              </w:rPr>
              <w:t xml:space="preserve"> in public policy.</w:t>
            </w:r>
          </w:p>
          <w:p w:rsidR="00120D55" w:rsidRPr="001815D8" w:rsidRDefault="00120D55" w:rsidP="001815D8">
            <w:pPr>
              <w:spacing w:after="0" w:line="240" w:lineRule="auto"/>
              <w:rPr>
                <w:rFonts w:ascii="Roboto" w:eastAsia="Times New Roman" w:hAnsi="Roboto" w:cs="Times New Roman"/>
                <w:b w:val="0"/>
                <w:bCs/>
                <w:color w:val="000000" w:themeColor="text1"/>
                <w:sz w:val="20"/>
                <w:szCs w:val="20"/>
                <w:lang w:val="en-AU" w:eastAsia="en-US"/>
              </w:rPr>
            </w:pPr>
          </w:p>
          <w:p w:rsidR="00120D55" w:rsidRPr="001815D8" w:rsidRDefault="00120D55" w:rsidP="001815D8">
            <w:pPr>
              <w:spacing w:after="0" w:line="240" w:lineRule="auto"/>
              <w:rPr>
                <w:rFonts w:ascii="Roboto" w:eastAsia="Times New Roman" w:hAnsi="Roboto" w:cs="Times New Roman"/>
                <w:b w:val="0"/>
                <w:bCs/>
                <w:color w:val="000000" w:themeColor="text1"/>
                <w:sz w:val="20"/>
                <w:szCs w:val="20"/>
                <w:lang w:val="en-AU" w:eastAsia="en-US"/>
              </w:rPr>
            </w:pPr>
          </w:p>
          <w:p w:rsidR="00120D55" w:rsidRPr="001815D8" w:rsidRDefault="00120D55" w:rsidP="001815D8">
            <w:pPr>
              <w:spacing w:after="0" w:line="240" w:lineRule="auto"/>
              <w:rPr>
                <w:rFonts w:ascii="Roboto" w:eastAsia="Times New Roman" w:hAnsi="Roboto" w:cs="Times New Roman"/>
                <w:b w:val="0"/>
                <w:bCs/>
                <w:color w:val="000000" w:themeColor="text1"/>
                <w:sz w:val="20"/>
                <w:szCs w:val="20"/>
                <w:lang w:val="en-AU" w:eastAsia="en-US"/>
              </w:rPr>
            </w:pPr>
          </w:p>
        </w:tc>
        <w:tc>
          <w:tcPr>
            <w:tcW w:w="3790" w:type="pct"/>
          </w:tcPr>
          <w:p w:rsidR="00120D55" w:rsidRPr="001815D8" w:rsidRDefault="00120D55" w:rsidP="001815D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color w:val="000000" w:themeColor="text1"/>
                <w:sz w:val="20"/>
                <w:szCs w:val="20"/>
                <w:lang w:val="en-AU" w:eastAsia="en-US"/>
              </w:rPr>
              <w:t>3.1 SBPP implements and reports on their Strategic Plan.</w:t>
            </w:r>
          </w:p>
          <w:p w:rsidR="00120D55" w:rsidRPr="001815D8" w:rsidRDefault="00120D55" w:rsidP="001815D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p>
        </w:tc>
        <w:tc>
          <w:tcPr>
            <w:tcW w:w="403" w:type="pct"/>
          </w:tcPr>
          <w:p w:rsidR="00120D55" w:rsidRPr="001815D8" w:rsidRDefault="00120D55" w:rsidP="001815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noProof/>
                <w:color w:val="000000" w:themeColor="text1"/>
                <w:sz w:val="20"/>
                <w:szCs w:val="20"/>
                <w:lang w:val="en-AU" w:eastAsia="en-AU"/>
              </w:rPr>
              <mc:AlternateContent>
                <mc:Choice Requires="wps">
                  <w:drawing>
                    <wp:anchor distT="0" distB="0" distL="114300" distR="114300" simplePos="0" relativeHeight="252113920" behindDoc="0" locked="0" layoutInCell="1" allowOverlap="1" wp14:anchorId="53B7054E" wp14:editId="0C0C8927">
                      <wp:simplePos x="0" y="0"/>
                      <wp:positionH relativeFrom="column">
                        <wp:posOffset>96520</wp:posOffset>
                      </wp:positionH>
                      <wp:positionV relativeFrom="paragraph">
                        <wp:posOffset>43180</wp:posOffset>
                      </wp:positionV>
                      <wp:extent cx="228600" cy="238125"/>
                      <wp:effectExtent l="0" t="0" r="19050" b="28575"/>
                      <wp:wrapNone/>
                      <wp:docPr id="58" name="Oval 58" descr="Amber" title="3.1 SBPP implements and reports on their Strategic Pla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C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85586E" id="Oval 58" o:spid="_x0000_s1026" alt="Title: 3.1 SBPP implements and reports on their Strategic Plan. - Description: Amber" style="position:absolute;margin-left:7.6pt;margin-top:3.4pt;width:18pt;height:18.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" fillcolor="#ffc000" strokecolor="#307aa5" strokeweight="1pt">
                      <v:stroke joinstyle="miter"/>
                    </v:oval>
                  </w:pict>
                </mc:Fallback>
              </mc:AlternateContent>
            </w:r>
          </w:p>
        </w:tc>
      </w:tr>
      <w:tr w:rsidR="00120D55" w:rsidRPr="001815D8" w:rsidTr="006B4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120D55" w:rsidRPr="001815D8" w:rsidRDefault="00120D55" w:rsidP="001815D8">
            <w:pPr>
              <w:spacing w:after="0" w:line="240" w:lineRule="auto"/>
              <w:rPr>
                <w:rFonts w:ascii="Roboto" w:eastAsia="Times New Roman" w:hAnsi="Roboto" w:cs="Times New Roman"/>
                <w:b w:val="0"/>
                <w:bCs/>
                <w:color w:val="000000" w:themeColor="text1"/>
                <w:sz w:val="20"/>
                <w:szCs w:val="20"/>
                <w:lang w:val="en-AU" w:eastAsia="en-US"/>
              </w:rPr>
            </w:pPr>
          </w:p>
        </w:tc>
        <w:tc>
          <w:tcPr>
            <w:tcW w:w="3790" w:type="pct"/>
          </w:tcPr>
          <w:p w:rsidR="00120D55" w:rsidRPr="001815D8" w:rsidRDefault="00120D55" w:rsidP="001815D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color w:val="000000" w:themeColor="text1"/>
                <w:sz w:val="20"/>
                <w:szCs w:val="20"/>
                <w:lang w:val="en-AU" w:eastAsia="en-US"/>
              </w:rPr>
              <w:t>3.2 The SBPP reform process is open and inclusive.</w:t>
            </w:r>
          </w:p>
          <w:p w:rsidR="00120D55" w:rsidRPr="001815D8" w:rsidRDefault="00120D55" w:rsidP="001815D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p>
        </w:tc>
        <w:tc>
          <w:tcPr>
            <w:tcW w:w="403" w:type="pct"/>
          </w:tcPr>
          <w:p w:rsidR="00120D55" w:rsidRPr="001815D8" w:rsidRDefault="00120D55" w:rsidP="001815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noProof/>
                <w:color w:val="000000" w:themeColor="text1"/>
                <w:sz w:val="20"/>
                <w:szCs w:val="20"/>
                <w:lang w:val="en-AU" w:eastAsia="en-AU"/>
              </w:rPr>
              <mc:AlternateContent>
                <mc:Choice Requires="wps">
                  <w:drawing>
                    <wp:anchor distT="0" distB="0" distL="114300" distR="114300" simplePos="0" relativeHeight="252115968" behindDoc="0" locked="0" layoutInCell="1" allowOverlap="1" wp14:anchorId="2D75CCA8" wp14:editId="618C8E9C">
                      <wp:simplePos x="0" y="0"/>
                      <wp:positionH relativeFrom="column">
                        <wp:posOffset>117475</wp:posOffset>
                      </wp:positionH>
                      <wp:positionV relativeFrom="paragraph">
                        <wp:posOffset>41910</wp:posOffset>
                      </wp:positionV>
                      <wp:extent cx="228600" cy="248285"/>
                      <wp:effectExtent l="12700" t="12700" r="12700" b="18415"/>
                      <wp:wrapNone/>
                      <wp:docPr id="59" name="Oval 59" descr="Red" title="3.2 The SBPP reform process is open and inclus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38247" id="Oval 59" o:spid="_x0000_s1026" alt="Title: 3.2 The SBPP reform process is open and inclusive. - Description: Red" style="position:absolute;margin-left:9.25pt;margin-top:3.3pt;width:18pt;height:19.55pt;flip:x 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" fillcolor="red" strokecolor="#307aa5" strokeweight="1pt">
                      <v:stroke joinstyle="miter"/>
                    </v:oval>
                  </w:pict>
                </mc:Fallback>
              </mc:AlternateContent>
            </w:r>
          </w:p>
        </w:tc>
      </w:tr>
      <w:tr w:rsidR="00120D55" w:rsidRPr="001815D8" w:rsidTr="006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120D55" w:rsidRPr="001815D8" w:rsidRDefault="00120D55" w:rsidP="001815D8">
            <w:pPr>
              <w:spacing w:after="0" w:line="240" w:lineRule="auto"/>
              <w:rPr>
                <w:rFonts w:ascii="Roboto" w:eastAsia="Times New Roman" w:hAnsi="Roboto" w:cs="Times New Roman"/>
                <w:b w:val="0"/>
                <w:bCs/>
                <w:color w:val="000000" w:themeColor="text1"/>
                <w:sz w:val="20"/>
                <w:szCs w:val="20"/>
                <w:lang w:val="en-AU" w:eastAsia="en-US"/>
              </w:rPr>
            </w:pPr>
          </w:p>
        </w:tc>
        <w:tc>
          <w:tcPr>
            <w:tcW w:w="3790" w:type="pct"/>
          </w:tcPr>
          <w:p w:rsidR="00120D55" w:rsidRPr="001815D8" w:rsidRDefault="00120D55" w:rsidP="001815D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color w:val="000000" w:themeColor="text1"/>
                <w:sz w:val="20"/>
                <w:szCs w:val="20"/>
                <w:lang w:val="en-AU" w:eastAsia="en-US"/>
              </w:rPr>
              <w:t>3.3 SBPP Strategic Plan is aligned to and enhances the UPNG broader reform process.</w:t>
            </w:r>
          </w:p>
          <w:p w:rsidR="00120D55" w:rsidRPr="001815D8" w:rsidRDefault="00120D55" w:rsidP="001815D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p>
        </w:tc>
        <w:tc>
          <w:tcPr>
            <w:tcW w:w="403" w:type="pct"/>
          </w:tcPr>
          <w:p w:rsidR="00120D55" w:rsidRPr="001815D8" w:rsidRDefault="00120D55" w:rsidP="001815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noProof/>
                <w:color w:val="000000" w:themeColor="text1"/>
                <w:sz w:val="20"/>
                <w:szCs w:val="20"/>
                <w:lang w:val="en-AU" w:eastAsia="en-AU"/>
              </w:rPr>
              <mc:AlternateContent>
                <mc:Choice Requires="wps">
                  <w:drawing>
                    <wp:anchor distT="0" distB="0" distL="114300" distR="114300" simplePos="0" relativeHeight="252114944" behindDoc="0" locked="0" layoutInCell="1" allowOverlap="1" wp14:anchorId="7874A845" wp14:editId="620C1BF3">
                      <wp:simplePos x="0" y="0"/>
                      <wp:positionH relativeFrom="column">
                        <wp:posOffset>104140</wp:posOffset>
                      </wp:positionH>
                      <wp:positionV relativeFrom="paragraph">
                        <wp:posOffset>2540</wp:posOffset>
                      </wp:positionV>
                      <wp:extent cx="228600" cy="248285"/>
                      <wp:effectExtent l="0" t="0" r="19050" b="18415"/>
                      <wp:wrapNone/>
                      <wp:docPr id="60" name="Oval 60" descr="Red" title="SBPP Strategic Plan is aligned to and enhances the UPNG broader reform proce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C2D83" id="Oval 60" o:spid="_x0000_s1026" alt="Title: SBPP Strategic Plan is aligned to and enhances the UPNG broader reform process. - Description: Red" style="position:absolute;margin-left:8.2pt;margin-top:.2pt;width:18pt;height:19.55pt;flip:x 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" fillcolor="red" strokecolor="#307aa5" strokeweight="1pt">
                      <v:stroke joinstyle="miter"/>
                    </v:oval>
                  </w:pict>
                </mc:Fallback>
              </mc:AlternateContent>
            </w:r>
          </w:p>
        </w:tc>
      </w:tr>
      <w:tr w:rsidR="00120D55" w:rsidRPr="001815D8" w:rsidTr="006B4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120D55" w:rsidRPr="001815D8" w:rsidRDefault="00120D55" w:rsidP="001815D8">
            <w:pPr>
              <w:spacing w:after="0" w:line="240" w:lineRule="auto"/>
              <w:rPr>
                <w:rFonts w:ascii="Roboto" w:eastAsia="Times New Roman" w:hAnsi="Roboto" w:cs="Times New Roman"/>
                <w:b w:val="0"/>
                <w:bCs/>
                <w:color w:val="000000" w:themeColor="text1"/>
                <w:sz w:val="20"/>
                <w:szCs w:val="20"/>
                <w:lang w:val="en-AU" w:eastAsia="en-US"/>
              </w:rPr>
            </w:pPr>
          </w:p>
        </w:tc>
        <w:tc>
          <w:tcPr>
            <w:tcW w:w="3790" w:type="pct"/>
          </w:tcPr>
          <w:p w:rsidR="00120D55" w:rsidRPr="001815D8" w:rsidRDefault="00120D55" w:rsidP="001815D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color w:val="000000" w:themeColor="text1"/>
                <w:sz w:val="20"/>
                <w:szCs w:val="20"/>
                <w:lang w:val="en-AU" w:eastAsia="en-US"/>
              </w:rPr>
              <w:t>3.4 Increased participation of women in SBPP leadership and decision-making groups.</w:t>
            </w:r>
          </w:p>
          <w:p w:rsidR="00120D55" w:rsidRPr="001815D8" w:rsidRDefault="00120D55" w:rsidP="001815D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p>
        </w:tc>
        <w:tc>
          <w:tcPr>
            <w:tcW w:w="403" w:type="pct"/>
          </w:tcPr>
          <w:p w:rsidR="00120D55" w:rsidRPr="001815D8" w:rsidRDefault="00120D55" w:rsidP="001815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noProof/>
                <w:color w:val="000000" w:themeColor="text1"/>
                <w:sz w:val="20"/>
                <w:szCs w:val="20"/>
                <w:lang w:val="en-AU" w:eastAsia="en-AU"/>
              </w:rPr>
              <mc:AlternateContent>
                <mc:Choice Requires="wps">
                  <w:drawing>
                    <wp:anchor distT="0" distB="0" distL="114300" distR="114300" simplePos="0" relativeHeight="252116992" behindDoc="0" locked="0" layoutInCell="1" allowOverlap="1" wp14:anchorId="72CB8674" wp14:editId="4AA0C72A">
                      <wp:simplePos x="0" y="0"/>
                      <wp:positionH relativeFrom="column">
                        <wp:posOffset>63500</wp:posOffset>
                      </wp:positionH>
                      <wp:positionV relativeFrom="paragraph">
                        <wp:posOffset>22225</wp:posOffset>
                      </wp:positionV>
                      <wp:extent cx="228600" cy="248285"/>
                      <wp:effectExtent l="12700" t="12700" r="12700" b="18415"/>
                      <wp:wrapNone/>
                      <wp:docPr id="62" name="Oval 62" descr="Red" title="3.4 Increased participation of women in SBPP leadership and decision-making group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49852" id="Oval 62" o:spid="_x0000_s1026" alt="Title: 3.4 Increased participation of women in SBPP leadership and decision-making groups. - Description: Red" style="position:absolute;margin-left:5pt;margin-top:1.75pt;width:18pt;height:19.55pt;flip:x 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" fillcolor="red" strokecolor="#307aa5" strokeweight="1pt">
                      <v:stroke joinstyle="miter"/>
                    </v:oval>
                  </w:pict>
                </mc:Fallback>
              </mc:AlternateContent>
            </w:r>
          </w:p>
        </w:tc>
      </w:tr>
      <w:tr w:rsidR="001815D8" w:rsidRPr="001815D8" w:rsidTr="006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rsidR="001815D8" w:rsidRPr="001815D8" w:rsidRDefault="001815D8" w:rsidP="001815D8">
            <w:pPr>
              <w:spacing w:after="0" w:line="240" w:lineRule="auto"/>
              <w:rPr>
                <w:rFonts w:ascii="Roboto" w:eastAsia="Times New Roman" w:hAnsi="Roboto" w:cs="Times New Roman"/>
                <w:b w:val="0"/>
                <w:bCs/>
                <w:color w:val="000000" w:themeColor="text1"/>
                <w:sz w:val="20"/>
                <w:szCs w:val="20"/>
                <w:lang w:val="en-AU" w:eastAsia="en-US"/>
              </w:rPr>
            </w:pPr>
          </w:p>
          <w:p w:rsidR="001815D8" w:rsidRPr="001815D8" w:rsidRDefault="001815D8" w:rsidP="001815D8">
            <w:pPr>
              <w:spacing w:after="0" w:line="240" w:lineRule="auto"/>
              <w:rPr>
                <w:rFonts w:ascii="Roboto" w:eastAsia="Times New Roman" w:hAnsi="Roboto" w:cs="Times New Roman"/>
                <w:b w:val="0"/>
                <w:bCs/>
                <w:color w:val="000000" w:themeColor="text1"/>
                <w:sz w:val="20"/>
                <w:szCs w:val="20"/>
                <w:lang w:val="en-AU" w:eastAsia="en-US"/>
              </w:rPr>
            </w:pPr>
            <w:r w:rsidRPr="001815D8">
              <w:rPr>
                <w:rFonts w:ascii="Roboto" w:eastAsia="Times New Roman" w:hAnsi="Roboto" w:cs="Times New Roman"/>
                <w:b w:val="0"/>
                <w:bCs/>
                <w:color w:val="000000" w:themeColor="text1"/>
                <w:sz w:val="20"/>
                <w:szCs w:val="20"/>
                <w:lang w:val="en-AU" w:eastAsia="en-US"/>
              </w:rPr>
              <w:t>4. SBPP new facility leads to increased access, improved quality of teaching, learning and research.</w:t>
            </w:r>
          </w:p>
          <w:p w:rsidR="001815D8" w:rsidRPr="001815D8" w:rsidRDefault="001815D8" w:rsidP="001815D8">
            <w:pPr>
              <w:spacing w:after="0" w:line="240" w:lineRule="auto"/>
              <w:rPr>
                <w:rFonts w:ascii="Roboto" w:eastAsia="Times New Roman" w:hAnsi="Roboto" w:cs="Times New Roman"/>
                <w:b w:val="0"/>
                <w:bCs/>
                <w:color w:val="000000" w:themeColor="text1"/>
                <w:sz w:val="20"/>
                <w:szCs w:val="20"/>
                <w:lang w:val="en-AU" w:eastAsia="en-US"/>
              </w:rPr>
            </w:pPr>
            <w:r w:rsidRPr="001815D8">
              <w:rPr>
                <w:rFonts w:ascii="Roboto" w:eastAsia="Times New Roman" w:hAnsi="Roboto" w:cs="Times New Roman"/>
                <w:bCs/>
                <w:noProof/>
                <w:color w:val="000000" w:themeColor="text1"/>
                <w:sz w:val="20"/>
                <w:szCs w:val="20"/>
                <w:lang w:val="en-AU" w:eastAsia="en-AU"/>
              </w:rPr>
              <mc:AlternateContent>
                <mc:Choice Requires="wps">
                  <w:drawing>
                    <wp:anchor distT="0" distB="0" distL="114300" distR="114300" simplePos="0" relativeHeight="251804672" behindDoc="0" locked="0" layoutInCell="1" allowOverlap="1" wp14:anchorId="5161E011" wp14:editId="5891EF23">
                      <wp:simplePos x="0" y="0"/>
                      <wp:positionH relativeFrom="column">
                        <wp:posOffset>498779</wp:posOffset>
                      </wp:positionH>
                      <wp:positionV relativeFrom="paragraph">
                        <wp:posOffset>35394</wp:posOffset>
                      </wp:positionV>
                      <wp:extent cx="228600" cy="238125"/>
                      <wp:effectExtent l="0" t="0" r="19050" b="28575"/>
                      <wp:wrapNone/>
                      <wp:docPr id="65" name="Oval 65" descr="Amber" title=". SBPP new facility leads to increased access, improved quality of teaching, learning and research.">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C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0022D" id="Oval 65" o:spid="_x0000_s1026" alt="Title: . SBPP new facility leads to increased access, improved quality of teaching, learning and research. - Description: Amber" style="position:absolute;margin-left:39.25pt;margin-top:2.8pt;width:18pt;height:18.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" fillcolor="#ffc000" strokecolor="#307aa5" strokeweight="1pt">
                      <v:stroke joinstyle="miter"/>
                    </v:oval>
                  </w:pict>
                </mc:Fallback>
              </mc:AlternateContent>
            </w:r>
          </w:p>
          <w:p w:rsidR="001815D8" w:rsidRPr="001815D8" w:rsidRDefault="001815D8" w:rsidP="001815D8">
            <w:pPr>
              <w:spacing w:after="0" w:line="240" w:lineRule="auto"/>
              <w:rPr>
                <w:rFonts w:ascii="Roboto" w:eastAsia="Times New Roman" w:hAnsi="Roboto" w:cs="Times New Roman"/>
                <w:b w:val="0"/>
                <w:bCs/>
                <w:color w:val="000000" w:themeColor="text1"/>
                <w:sz w:val="20"/>
                <w:szCs w:val="20"/>
                <w:lang w:val="en-AU" w:eastAsia="en-US"/>
              </w:rPr>
            </w:pPr>
          </w:p>
          <w:p w:rsidR="001815D8" w:rsidRPr="001815D8" w:rsidRDefault="001815D8" w:rsidP="001815D8">
            <w:pPr>
              <w:spacing w:after="0" w:line="240" w:lineRule="auto"/>
              <w:rPr>
                <w:rFonts w:ascii="Roboto" w:eastAsia="Times New Roman" w:hAnsi="Roboto" w:cs="Times New Roman"/>
                <w:b w:val="0"/>
                <w:bCs/>
                <w:color w:val="000000" w:themeColor="text1"/>
                <w:sz w:val="20"/>
                <w:szCs w:val="20"/>
                <w:lang w:val="en-AU" w:eastAsia="en-US"/>
              </w:rPr>
            </w:pPr>
          </w:p>
        </w:tc>
        <w:tc>
          <w:tcPr>
            <w:tcW w:w="3790" w:type="pct"/>
          </w:tcPr>
          <w:p w:rsidR="001815D8" w:rsidRPr="001815D8" w:rsidRDefault="001815D8" w:rsidP="001815D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color w:val="000000" w:themeColor="text1"/>
                <w:sz w:val="20"/>
                <w:szCs w:val="20"/>
                <w:lang w:val="en-AU" w:eastAsia="en-US"/>
              </w:rPr>
              <w:t>4.1 SBBP uses a collaborative approach to planning the facility.</w:t>
            </w:r>
          </w:p>
          <w:p w:rsidR="001815D8" w:rsidRPr="001815D8" w:rsidRDefault="001815D8" w:rsidP="001815D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bCs/>
                <w:i/>
                <w:color w:val="000000" w:themeColor="text1"/>
                <w:sz w:val="20"/>
                <w:szCs w:val="20"/>
                <w:lang w:val="en-AU" w:eastAsia="en-US"/>
              </w:rPr>
            </w:pPr>
          </w:p>
        </w:tc>
        <w:tc>
          <w:tcPr>
            <w:tcW w:w="403" w:type="pct"/>
          </w:tcPr>
          <w:p w:rsidR="001815D8" w:rsidRPr="001815D8" w:rsidRDefault="001815D8" w:rsidP="001815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noProof/>
                <w:color w:val="000000" w:themeColor="text1"/>
                <w:sz w:val="20"/>
                <w:szCs w:val="20"/>
                <w:lang w:val="en-AU" w:eastAsia="en-AU"/>
              </w:rPr>
              <mc:AlternateContent>
                <mc:Choice Requires="wps">
                  <w:drawing>
                    <wp:anchor distT="0" distB="0" distL="114300" distR="114300" simplePos="0" relativeHeight="251829248" behindDoc="0" locked="0" layoutInCell="1" allowOverlap="1" wp14:anchorId="042FD488" wp14:editId="0B340C42">
                      <wp:simplePos x="0" y="0"/>
                      <wp:positionH relativeFrom="column">
                        <wp:posOffset>56515</wp:posOffset>
                      </wp:positionH>
                      <wp:positionV relativeFrom="paragraph">
                        <wp:posOffset>59690</wp:posOffset>
                      </wp:positionV>
                      <wp:extent cx="228600" cy="238125"/>
                      <wp:effectExtent l="0" t="0" r="19050" b="28575"/>
                      <wp:wrapNone/>
                      <wp:docPr id="66" name="Oval 66" descr="Amber" title="SBBP uses a collaborative approach to planning the facility.">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C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85B74C" id="Oval 66" o:spid="_x0000_s1026" alt="Title: SBBP uses a collaborative approach to planning the facility. - Description: Amber" style="position:absolute;margin-left:4.45pt;margin-top:4.7pt;width:18pt;height:18.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" fillcolor="#ffc000" strokecolor="#307aa5" strokeweight="1pt">
                      <v:stroke joinstyle="miter"/>
                    </v:oval>
                  </w:pict>
                </mc:Fallback>
              </mc:AlternateContent>
            </w:r>
          </w:p>
        </w:tc>
      </w:tr>
      <w:tr w:rsidR="001815D8" w:rsidRPr="001815D8" w:rsidTr="006B46A5">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07" w:type="pct"/>
          </w:tcPr>
          <w:p w:rsidR="001815D8" w:rsidRPr="001815D8" w:rsidRDefault="001815D8" w:rsidP="001815D8">
            <w:pPr>
              <w:spacing w:after="0" w:line="240" w:lineRule="auto"/>
              <w:rPr>
                <w:rFonts w:ascii="Roboto" w:eastAsia="Times New Roman" w:hAnsi="Roboto" w:cs="Times New Roman"/>
                <w:b w:val="0"/>
                <w:bCs/>
                <w:color w:val="000000" w:themeColor="text1"/>
                <w:sz w:val="20"/>
                <w:szCs w:val="20"/>
                <w:lang w:val="en-AU" w:eastAsia="en-US"/>
              </w:rPr>
            </w:pPr>
          </w:p>
        </w:tc>
        <w:tc>
          <w:tcPr>
            <w:tcW w:w="3790" w:type="pct"/>
          </w:tcPr>
          <w:p w:rsidR="001815D8" w:rsidRPr="001815D8" w:rsidRDefault="001815D8" w:rsidP="001815D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color w:val="000000" w:themeColor="text1"/>
                <w:sz w:val="20"/>
                <w:szCs w:val="20"/>
                <w:lang w:val="en-AU" w:eastAsia="en-US"/>
              </w:rPr>
              <w:t>4.2 Facility design is conducive to quality teaching, learning, research and public outreach.</w:t>
            </w:r>
          </w:p>
          <w:p w:rsidR="001815D8" w:rsidRPr="001815D8" w:rsidRDefault="001815D8" w:rsidP="001815D8">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p>
        </w:tc>
        <w:tc>
          <w:tcPr>
            <w:tcW w:w="403" w:type="pct"/>
          </w:tcPr>
          <w:p w:rsidR="001815D8" w:rsidRPr="001815D8" w:rsidRDefault="001815D8" w:rsidP="001815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noProof/>
                <w:color w:val="000000" w:themeColor="text1"/>
                <w:sz w:val="20"/>
                <w:szCs w:val="20"/>
                <w:lang w:val="en-AU" w:eastAsia="en-AU"/>
              </w:rPr>
              <mc:AlternateContent>
                <mc:Choice Requires="wps">
                  <w:drawing>
                    <wp:anchor distT="0" distB="0" distL="114300" distR="114300" simplePos="0" relativeHeight="251816960" behindDoc="0" locked="0" layoutInCell="1" allowOverlap="1" wp14:anchorId="21DDE310" wp14:editId="6A2C5004">
                      <wp:simplePos x="0" y="0"/>
                      <wp:positionH relativeFrom="column">
                        <wp:posOffset>59055</wp:posOffset>
                      </wp:positionH>
                      <wp:positionV relativeFrom="paragraph">
                        <wp:posOffset>44450</wp:posOffset>
                      </wp:positionV>
                      <wp:extent cx="228600" cy="238125"/>
                      <wp:effectExtent l="0" t="0" r="19050" b="28575"/>
                      <wp:wrapNone/>
                      <wp:docPr id="68" name="Oval 68" descr="Amber" title="4.2 Facility design is conducive to quality teaching, learning, research and public outreach.">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C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A04F2" id="Oval 68" o:spid="_x0000_s1026" alt="Title: 4.2 Facility design is conducive to quality teaching, learning, research and public outreach. - Description: Amber" style="position:absolute;margin-left:4.65pt;margin-top:3.5pt;width:18pt;height:18.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" fillcolor="#ffc000" strokecolor="#307aa5" strokeweight="1pt">
                      <v:stroke joinstyle="miter"/>
                    </v:oval>
                  </w:pict>
                </mc:Fallback>
              </mc:AlternateContent>
            </w:r>
          </w:p>
        </w:tc>
      </w:tr>
      <w:tr w:rsidR="001815D8" w:rsidRPr="001815D8" w:rsidTr="006B46A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07" w:type="pct"/>
          </w:tcPr>
          <w:p w:rsidR="001815D8" w:rsidRPr="001815D8" w:rsidRDefault="001815D8" w:rsidP="001815D8">
            <w:pPr>
              <w:spacing w:after="0" w:line="240" w:lineRule="auto"/>
              <w:rPr>
                <w:rFonts w:ascii="Roboto" w:eastAsia="Times New Roman" w:hAnsi="Roboto" w:cs="Times New Roman"/>
                <w:b w:val="0"/>
                <w:bCs/>
                <w:color w:val="000000" w:themeColor="text1"/>
                <w:sz w:val="20"/>
                <w:szCs w:val="20"/>
                <w:lang w:val="en-AU" w:eastAsia="en-US"/>
              </w:rPr>
            </w:pPr>
          </w:p>
        </w:tc>
        <w:tc>
          <w:tcPr>
            <w:tcW w:w="3790" w:type="pct"/>
          </w:tcPr>
          <w:p w:rsidR="001815D8" w:rsidRPr="001815D8" w:rsidRDefault="001815D8" w:rsidP="001815D8">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color w:val="000000" w:themeColor="text1"/>
                <w:sz w:val="20"/>
                <w:szCs w:val="20"/>
                <w:lang w:val="en-AU" w:eastAsia="en-US"/>
              </w:rPr>
              <w:t>4.3 SBPP secures sufficient budget for construction and recurring maintenance of the facility.</w:t>
            </w:r>
          </w:p>
        </w:tc>
        <w:tc>
          <w:tcPr>
            <w:tcW w:w="403" w:type="pct"/>
          </w:tcPr>
          <w:p w:rsidR="001815D8" w:rsidRPr="001815D8" w:rsidRDefault="001815D8" w:rsidP="001815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bCs/>
                <w:color w:val="000000" w:themeColor="text1"/>
                <w:sz w:val="20"/>
                <w:szCs w:val="20"/>
                <w:lang w:val="en-AU" w:eastAsia="en-US"/>
              </w:rPr>
            </w:pPr>
            <w:r w:rsidRPr="001815D8">
              <w:rPr>
                <w:rFonts w:ascii="Roboto Light" w:eastAsia="Times New Roman" w:hAnsi="Roboto Light" w:cs="Times New Roman"/>
                <w:bCs/>
                <w:noProof/>
                <w:color w:val="000000" w:themeColor="text1"/>
                <w:sz w:val="20"/>
                <w:szCs w:val="20"/>
                <w:lang w:val="en-AU" w:eastAsia="en-AU"/>
              </w:rPr>
              <mc:AlternateContent>
                <mc:Choice Requires="wps">
                  <w:drawing>
                    <wp:anchor distT="0" distB="0" distL="114300" distR="114300" simplePos="0" relativeHeight="251841536" behindDoc="0" locked="0" layoutInCell="1" allowOverlap="1" wp14:anchorId="75DB2D3A" wp14:editId="3355F3D9">
                      <wp:simplePos x="0" y="0"/>
                      <wp:positionH relativeFrom="column">
                        <wp:posOffset>49530</wp:posOffset>
                      </wp:positionH>
                      <wp:positionV relativeFrom="paragraph">
                        <wp:posOffset>25400</wp:posOffset>
                      </wp:positionV>
                      <wp:extent cx="228600" cy="248285"/>
                      <wp:effectExtent l="12700" t="12700" r="12700" b="18415"/>
                      <wp:wrapNone/>
                      <wp:docPr id="69" name="Oval 69" descr="Red" title="SBPP secures sufficient budget for construction and recurring maintenance of the facility.">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EF26D6" id="Oval 69" o:spid="_x0000_s1026" alt="Title: SBPP secures sufficient budget for construction and recurring maintenance of the facility. - Description: Red" style="position:absolute;margin-left:3.9pt;margin-top:2pt;width:18pt;height:19.55pt;flip:x 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" fillcolor="red" strokecolor="#307aa5" strokeweight="1pt">
                      <v:stroke joinstyle="miter"/>
                    </v:oval>
                  </w:pict>
                </mc:Fallback>
              </mc:AlternateContent>
            </w:r>
          </w:p>
        </w:tc>
      </w:tr>
    </w:tbl>
    <w:p w:rsidR="009F5992" w:rsidRPr="001815D8" w:rsidRDefault="009F5992" w:rsidP="009F5992">
      <w:pPr>
        <w:rPr>
          <w:lang w:eastAsia="en-US"/>
        </w:rPr>
      </w:pPr>
    </w:p>
    <w:p w:rsidR="00B42E27" w:rsidRPr="00B42E27" w:rsidRDefault="00B42E27" w:rsidP="00B42E27">
      <w:pPr>
        <w:pStyle w:val="BodyText"/>
        <w:rPr>
          <w:lang w:val="en-AU" w:eastAsia="en-US"/>
        </w:rPr>
      </w:pPr>
    </w:p>
    <w:p w:rsidR="000F4B57" w:rsidRPr="00091600" w:rsidRDefault="000F4B57" w:rsidP="000F4B57">
      <w:pPr>
        <w:pStyle w:val="Heading2NONUM"/>
        <w:spacing w:after="360"/>
        <w:rPr>
          <w:rFonts w:ascii="Roboto Light" w:hAnsi="Roboto Light"/>
          <w:b w:val="0"/>
          <w:color w:val="000000" w:themeColor="text1"/>
          <w:sz w:val="22"/>
          <w:szCs w:val="20"/>
          <w:lang w:val="en-AU"/>
        </w:rPr>
      </w:pPr>
    </w:p>
    <w:p w:rsidR="000F4B57" w:rsidRPr="00091600" w:rsidRDefault="000F4B57" w:rsidP="000F4B57">
      <w:pPr>
        <w:pStyle w:val="BodyText"/>
        <w:rPr>
          <w:lang w:val="en-AU"/>
        </w:rPr>
      </w:pPr>
      <w:r w:rsidRPr="00091600">
        <w:rPr>
          <w:lang w:val="en-AU"/>
        </w:rPr>
        <w:br w:type="page"/>
      </w:r>
    </w:p>
    <w:p w:rsidR="000F4B57" w:rsidRPr="00091600" w:rsidRDefault="000F4B57" w:rsidP="000F4B57">
      <w:pPr>
        <w:pStyle w:val="Heading3NONUM"/>
        <w:rPr>
          <w:rFonts w:ascii="Poppins" w:hAnsi="Poppins" w:cs="Poppins"/>
          <w:lang w:val="en-AU"/>
        </w:rPr>
      </w:pPr>
      <w:bookmarkStart w:id="184" w:name="_Toc536719926"/>
      <w:r w:rsidRPr="00091600">
        <w:rPr>
          <w:rFonts w:ascii="Poppins" w:hAnsi="Poppins" w:cs="Poppins"/>
          <w:lang w:val="en-AU"/>
        </w:rPr>
        <w:t>PNG IPA/PILAG</w:t>
      </w:r>
      <w:bookmarkEnd w:id="184"/>
    </w:p>
    <w:tbl>
      <w:tblPr>
        <w:tblStyle w:val="OPMTable"/>
        <w:tblW w:w="5000" w:type="pct"/>
        <w:tblBorders>
          <w:top w:val="single" w:sz="4" w:space="0" w:color="45A7E1" w:themeColor="accent1"/>
          <w:left w:val="single" w:sz="4" w:space="0" w:color="45A7E1" w:themeColor="accent1"/>
          <w:bottom w:val="single" w:sz="4" w:space="0" w:color="45A7E1" w:themeColor="accent1"/>
          <w:right w:val="single" w:sz="4" w:space="0" w:color="45A7E1" w:themeColor="accent1"/>
          <w:insideH w:val="single" w:sz="4" w:space="0" w:color="45A7E1" w:themeColor="accent1"/>
          <w:insideV w:val="single" w:sz="4" w:space="0" w:color="45A7E1" w:themeColor="accent1"/>
        </w:tblBorders>
        <w:tblLook w:val="04A0" w:firstRow="1" w:lastRow="0" w:firstColumn="1" w:lastColumn="0" w:noHBand="0" w:noVBand="1"/>
        <w:tblCaption w:val="PNG IPA/PILAG"/>
        <w:tblDescription w:val="This table has a traffic light of progress against medium and immediate outcomes"/>
      </w:tblPr>
      <w:tblGrid>
        <w:gridCol w:w="2043"/>
        <w:gridCol w:w="10284"/>
        <w:gridCol w:w="1081"/>
      </w:tblGrid>
      <w:tr w:rsidR="003C3C3A" w:rsidRPr="003C3C3A" w:rsidTr="004F004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6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3C3C3A" w:rsidRPr="003C3C3A" w:rsidRDefault="003C3C3A" w:rsidP="003C3C3A">
            <w:pPr>
              <w:spacing w:before="40" w:after="40" w:line="240" w:lineRule="auto"/>
              <w:ind w:left="113" w:right="113"/>
              <w:rPr>
                <w:rFonts w:ascii="Roboto Light" w:hAnsi="Roboto Light"/>
                <w:sz w:val="20"/>
                <w:lang w:val="en-AU" w:eastAsia="en-US"/>
              </w:rPr>
            </w:pPr>
            <w:r w:rsidRPr="003C3C3A">
              <w:rPr>
                <w:rFonts w:ascii="Roboto" w:hAnsi="Roboto"/>
                <w:b w:val="0"/>
                <w:sz w:val="20"/>
                <w:lang w:val="en-AU" w:eastAsia="en-US"/>
              </w:rPr>
              <w:t>Medium-term outcomes (5–7 years)</w:t>
            </w:r>
          </w:p>
        </w:tc>
        <w:tc>
          <w:tcPr>
            <w:tcW w:w="383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3C3C3A" w:rsidRPr="003C3C3A" w:rsidRDefault="003C3C3A" w:rsidP="003C3C3A">
            <w:pPr>
              <w:spacing w:before="40" w:after="40" w:line="240" w:lineRule="auto"/>
              <w:ind w:left="113" w:right="113"/>
              <w:jc w:val="left"/>
              <w:cnfStyle w:val="100000000000" w:firstRow="1" w:lastRow="0" w:firstColumn="0" w:lastColumn="0" w:oddVBand="0" w:evenVBand="0" w:oddHBand="0" w:evenHBand="0" w:firstRowFirstColumn="0" w:firstRowLastColumn="0" w:lastRowFirstColumn="0" w:lastRowLastColumn="0"/>
              <w:rPr>
                <w:rFonts w:ascii="Roboto Light" w:hAnsi="Roboto Light"/>
                <w:color w:val="000000" w:themeColor="text1"/>
                <w:sz w:val="20"/>
                <w:szCs w:val="20"/>
                <w:lang w:val="en-AU" w:eastAsia="en-US"/>
              </w:rPr>
            </w:pPr>
            <w:r w:rsidRPr="003C3C3A">
              <w:rPr>
                <w:rFonts w:ascii="Roboto" w:hAnsi="Roboto"/>
                <w:b w:val="0"/>
                <w:sz w:val="20"/>
                <w:lang w:val="en-AU" w:eastAsia="en-US"/>
              </w:rPr>
              <w:t>Immediate outcomes (2 years)</w:t>
            </w:r>
          </w:p>
        </w:tc>
        <w:tc>
          <w:tcPr>
            <w:tcW w:w="40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3C3C3A" w:rsidRPr="003C3C3A" w:rsidRDefault="003C3C3A" w:rsidP="003C3C3A">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Roboto" w:eastAsia="Times New Roman" w:hAnsi="Roboto" w:cs="Times New Roman"/>
                <w:b w:val="0"/>
                <w:color w:val="000000" w:themeColor="text1"/>
                <w:sz w:val="20"/>
                <w:szCs w:val="20"/>
                <w:lang w:val="en-AU" w:eastAsia="en-US"/>
              </w:rPr>
            </w:pPr>
          </w:p>
        </w:tc>
      </w:tr>
      <w:tr w:rsidR="00120D55" w:rsidRPr="003C3C3A" w:rsidTr="006B4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Pr>
          <w:p w:rsidR="00120D55" w:rsidRPr="003C3C3A" w:rsidRDefault="00120D55" w:rsidP="003C3C3A">
            <w:pPr>
              <w:spacing w:after="0" w:line="240" w:lineRule="auto"/>
              <w:rPr>
                <w:rFonts w:ascii="Roboto" w:eastAsia="Times New Roman" w:hAnsi="Roboto" w:cs="Times New Roman"/>
                <w:b w:val="0"/>
                <w:color w:val="000000" w:themeColor="text1"/>
                <w:sz w:val="20"/>
                <w:szCs w:val="20"/>
                <w:lang w:val="en-AU" w:eastAsia="en-US"/>
              </w:rPr>
            </w:pPr>
          </w:p>
          <w:p w:rsidR="00120D55" w:rsidRPr="003C3C3A" w:rsidRDefault="00120D55" w:rsidP="003C3C3A">
            <w:pPr>
              <w:spacing w:after="0" w:line="240" w:lineRule="auto"/>
              <w:rPr>
                <w:rFonts w:ascii="Roboto" w:eastAsia="Times New Roman" w:hAnsi="Roboto" w:cs="Times New Roman"/>
                <w:b w:val="0"/>
                <w:color w:val="000000" w:themeColor="text1"/>
                <w:sz w:val="20"/>
                <w:szCs w:val="20"/>
                <w:lang w:val="en-AU" w:eastAsia="en-US"/>
              </w:rPr>
            </w:pPr>
            <w:r w:rsidRPr="003C3C3A">
              <w:rPr>
                <w:rFonts w:ascii="Roboto" w:eastAsia="Times New Roman" w:hAnsi="Roboto" w:cs="Times New Roman"/>
                <w:noProof/>
                <w:color w:val="000000" w:themeColor="text1"/>
                <w:sz w:val="20"/>
                <w:szCs w:val="20"/>
                <w:lang w:val="en-AU" w:eastAsia="en-AU"/>
              </w:rPr>
              <mc:AlternateContent>
                <mc:Choice Requires="wps">
                  <w:drawing>
                    <wp:anchor distT="0" distB="0" distL="114300" distR="114300" simplePos="0" relativeHeight="252120064" behindDoc="0" locked="0" layoutInCell="1" allowOverlap="1" wp14:anchorId="2565FAA1" wp14:editId="79C43993">
                      <wp:simplePos x="0" y="0"/>
                      <wp:positionH relativeFrom="column">
                        <wp:posOffset>509270</wp:posOffset>
                      </wp:positionH>
                      <wp:positionV relativeFrom="paragraph">
                        <wp:posOffset>655320</wp:posOffset>
                      </wp:positionV>
                      <wp:extent cx="228600" cy="238125"/>
                      <wp:effectExtent l="0" t="0" r="19050" b="28575"/>
                      <wp:wrapNone/>
                      <wp:docPr id="86" name="Oval 86" descr="Amber" title="PNG IPA courses are relevant, effective and have a broad reach">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C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79314B" id="Oval 86" o:spid="_x0000_s1026" alt="Title: PNG IPA courses are relevant, effective and have a broad reach - Description: Amber" style="position:absolute;margin-left:40.1pt;margin-top:51.6pt;width:18pt;height:18.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" fillcolor="#ffc000" strokecolor="#307aa5" strokeweight="1pt">
                      <v:stroke joinstyle="miter"/>
                    </v:oval>
                  </w:pict>
                </mc:Fallback>
              </mc:AlternateContent>
            </w:r>
            <w:r w:rsidRPr="003C3C3A">
              <w:rPr>
                <w:rFonts w:ascii="Roboto" w:eastAsia="Times New Roman" w:hAnsi="Roboto" w:cs="Times New Roman"/>
                <w:b w:val="0"/>
                <w:color w:val="000000" w:themeColor="text1"/>
                <w:sz w:val="20"/>
                <w:szCs w:val="20"/>
                <w:lang w:val="en-AU" w:eastAsia="en-US"/>
              </w:rPr>
              <w:t>1. PNG IPA courses are relevant, effective and have a broad reach.</w:t>
            </w:r>
          </w:p>
          <w:p w:rsidR="00120D55" w:rsidRPr="003C3C3A" w:rsidRDefault="00120D55" w:rsidP="003C3C3A">
            <w:pPr>
              <w:spacing w:after="0" w:line="240" w:lineRule="auto"/>
              <w:rPr>
                <w:rFonts w:ascii="Roboto" w:eastAsia="Times New Roman" w:hAnsi="Roboto" w:cs="Times New Roman"/>
                <w:b w:val="0"/>
                <w:color w:val="000000" w:themeColor="text1"/>
                <w:sz w:val="20"/>
                <w:szCs w:val="20"/>
                <w:lang w:val="en-AU" w:eastAsia="en-US"/>
              </w:rPr>
            </w:pPr>
          </w:p>
        </w:tc>
        <w:tc>
          <w:tcPr>
            <w:tcW w:w="3835" w:type="pct"/>
          </w:tcPr>
          <w:p w:rsidR="00120D55" w:rsidRPr="003C3C3A" w:rsidRDefault="00120D55"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US"/>
              </w:rPr>
            </w:pPr>
            <w:r w:rsidRPr="003C3C3A">
              <w:rPr>
                <w:rFonts w:ascii="Roboto Light" w:eastAsia="Times New Roman" w:hAnsi="Roboto Light" w:cs="Times New Roman"/>
                <w:color w:val="000000" w:themeColor="text1"/>
                <w:sz w:val="20"/>
                <w:szCs w:val="20"/>
                <w:lang w:val="en-AU" w:eastAsia="en-US"/>
              </w:rPr>
              <w:t>1.1 PNG IPA courses more effectively promote strong, ethical leadership, and competent, inclusive management.</w:t>
            </w:r>
          </w:p>
          <w:p w:rsidR="00120D55" w:rsidRPr="003C3C3A" w:rsidRDefault="00120D55"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i/>
                <w:color w:val="000000" w:themeColor="text1"/>
                <w:sz w:val="20"/>
                <w:szCs w:val="20"/>
                <w:lang w:val="en-AU" w:eastAsia="en-US"/>
              </w:rPr>
            </w:pPr>
          </w:p>
        </w:tc>
        <w:tc>
          <w:tcPr>
            <w:tcW w:w="403" w:type="pct"/>
          </w:tcPr>
          <w:p w:rsidR="00120D55" w:rsidRPr="003C3C3A" w:rsidRDefault="00120D55"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US"/>
              </w:rPr>
            </w:pPr>
            <w:r w:rsidRPr="003C3C3A">
              <w:rPr>
                <w:rFonts w:ascii="Roboto Light" w:eastAsia="Times New Roman" w:hAnsi="Roboto Light" w:cs="Times New Roman"/>
                <w:noProof/>
                <w:color w:val="000000" w:themeColor="text1"/>
                <w:sz w:val="20"/>
                <w:szCs w:val="20"/>
                <w:lang w:val="en-AU" w:eastAsia="en-AU"/>
              </w:rPr>
              <mc:AlternateContent>
                <mc:Choice Requires="wps">
                  <w:drawing>
                    <wp:anchor distT="0" distB="0" distL="114300" distR="114300" simplePos="0" relativeHeight="252121088" behindDoc="0" locked="0" layoutInCell="1" allowOverlap="1" wp14:anchorId="1E36C77F" wp14:editId="7970D4AE">
                      <wp:simplePos x="0" y="0"/>
                      <wp:positionH relativeFrom="column">
                        <wp:posOffset>71755</wp:posOffset>
                      </wp:positionH>
                      <wp:positionV relativeFrom="paragraph">
                        <wp:posOffset>12700</wp:posOffset>
                      </wp:positionV>
                      <wp:extent cx="228600" cy="238125"/>
                      <wp:effectExtent l="0" t="0" r="19050" b="28575"/>
                      <wp:wrapNone/>
                      <wp:docPr id="85" name="Oval 85" descr="Amber" title="1 PNG IPA courses more effectively promote strong, ethical leadership, and competent, inclusive managemen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C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8D9B1E" id="Oval 85" o:spid="_x0000_s1026" alt="Title: 1 PNG IPA courses more effectively promote strong, ethical leadership, and competent, inclusive management. - Description: Amber" style="position:absolute;margin-left:5.65pt;margin-top:1pt;width:18pt;height:18.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" fillcolor="#ffc000" strokecolor="#307aa5" strokeweight="1pt">
                      <v:stroke joinstyle="miter"/>
                    </v:oval>
                  </w:pict>
                </mc:Fallback>
              </mc:AlternateContent>
            </w:r>
          </w:p>
        </w:tc>
      </w:tr>
      <w:tr w:rsidR="00120D55" w:rsidRPr="003C3C3A" w:rsidTr="006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Pr>
          <w:p w:rsidR="00120D55" w:rsidRPr="003C3C3A" w:rsidRDefault="00120D55" w:rsidP="003C3C3A">
            <w:pPr>
              <w:spacing w:after="0" w:line="240" w:lineRule="auto"/>
              <w:rPr>
                <w:rFonts w:ascii="Roboto" w:eastAsia="Times New Roman" w:hAnsi="Roboto" w:cs="Times New Roman"/>
                <w:b w:val="0"/>
                <w:color w:val="000000" w:themeColor="text1"/>
                <w:sz w:val="20"/>
                <w:szCs w:val="20"/>
                <w:lang w:val="en-AU" w:eastAsia="en-US"/>
              </w:rPr>
            </w:pPr>
          </w:p>
        </w:tc>
        <w:tc>
          <w:tcPr>
            <w:tcW w:w="3835" w:type="pct"/>
          </w:tcPr>
          <w:p w:rsidR="00120D55" w:rsidRPr="003C3C3A" w:rsidRDefault="00120D55"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US"/>
              </w:rPr>
            </w:pPr>
            <w:r w:rsidRPr="003C3C3A">
              <w:rPr>
                <w:rFonts w:ascii="Roboto Light" w:eastAsia="Times New Roman" w:hAnsi="Roboto Light" w:cs="Times New Roman"/>
                <w:color w:val="000000" w:themeColor="text1"/>
                <w:sz w:val="20"/>
                <w:szCs w:val="20"/>
                <w:lang w:val="en-AU" w:eastAsia="en-US"/>
              </w:rPr>
              <w:t>1.2 Access to PNG IPA training services is expanded and includes more women, more people with disabilities and more sub-national participants.</w:t>
            </w:r>
          </w:p>
          <w:p w:rsidR="00120D55" w:rsidRPr="003C3C3A" w:rsidRDefault="00120D55" w:rsidP="003C3C3A">
            <w:pPr>
              <w:spacing w:line="240" w:lineRule="auto"/>
              <w:cnfStyle w:val="000000010000" w:firstRow="0" w:lastRow="0" w:firstColumn="0" w:lastColumn="0" w:oddVBand="0" w:evenVBand="0" w:oddHBand="0" w:evenHBand="1" w:firstRowFirstColumn="0" w:firstRowLastColumn="0" w:lastRowFirstColumn="0" w:lastRowLastColumn="0"/>
              <w:rPr>
                <w:rFonts w:ascii="Roboto Light" w:hAnsi="Roboto Light"/>
                <w:lang w:val="en-AU"/>
              </w:rPr>
            </w:pPr>
          </w:p>
        </w:tc>
        <w:tc>
          <w:tcPr>
            <w:tcW w:w="403" w:type="pct"/>
          </w:tcPr>
          <w:p w:rsidR="00120D55" w:rsidRPr="003C3C3A" w:rsidRDefault="00120D55"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US"/>
              </w:rPr>
            </w:pPr>
            <w:r w:rsidRPr="003C3C3A">
              <w:rPr>
                <w:rFonts w:ascii="Roboto Light" w:eastAsia="Times New Roman" w:hAnsi="Roboto Light" w:cs="Times New Roman"/>
                <w:noProof/>
                <w:color w:val="000000" w:themeColor="text1"/>
                <w:sz w:val="20"/>
                <w:szCs w:val="20"/>
                <w:lang w:val="en-AU" w:eastAsia="en-AU"/>
              </w:rPr>
              <mc:AlternateContent>
                <mc:Choice Requires="wps">
                  <w:drawing>
                    <wp:anchor distT="0" distB="0" distL="114300" distR="114300" simplePos="0" relativeHeight="252123136" behindDoc="0" locked="0" layoutInCell="1" allowOverlap="1" wp14:anchorId="502951E3" wp14:editId="1F750615">
                      <wp:simplePos x="0" y="0"/>
                      <wp:positionH relativeFrom="column">
                        <wp:posOffset>72390</wp:posOffset>
                      </wp:positionH>
                      <wp:positionV relativeFrom="paragraph">
                        <wp:posOffset>-31750</wp:posOffset>
                      </wp:positionV>
                      <wp:extent cx="228600" cy="238125"/>
                      <wp:effectExtent l="0" t="0" r="19050" b="28575"/>
                      <wp:wrapNone/>
                      <wp:docPr id="70" name="Oval 70" descr="Amber" title="Access to PNG IPA training services is expanded and includes more women, more people with disabilities and more sub-national participant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C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101B9" id="Oval 70" o:spid="_x0000_s1026" alt="Title: Access to PNG IPA training services is expanded and includes more women, more people with disabilities and more sub-national participants. - Description: Amber" style="position:absolute;margin-left:5.7pt;margin-top:-2.5pt;width:18pt;height:18.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" fillcolor="#ffc000" strokecolor="#307aa5" strokeweight="1pt">
                      <v:stroke joinstyle="miter"/>
                    </v:oval>
                  </w:pict>
                </mc:Fallback>
              </mc:AlternateContent>
            </w:r>
          </w:p>
        </w:tc>
      </w:tr>
      <w:tr w:rsidR="00120D55" w:rsidRPr="003C3C3A" w:rsidTr="006B4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Pr>
          <w:p w:rsidR="00120D55" w:rsidRPr="003C3C3A" w:rsidRDefault="00120D55" w:rsidP="003C3C3A">
            <w:pPr>
              <w:spacing w:after="0" w:line="240" w:lineRule="auto"/>
              <w:rPr>
                <w:rFonts w:ascii="Roboto" w:eastAsia="Times New Roman" w:hAnsi="Roboto" w:cs="Times New Roman"/>
                <w:b w:val="0"/>
                <w:color w:val="000000" w:themeColor="text1"/>
                <w:sz w:val="20"/>
                <w:szCs w:val="20"/>
                <w:lang w:val="en-AU" w:eastAsia="en-US"/>
              </w:rPr>
            </w:pPr>
          </w:p>
        </w:tc>
        <w:tc>
          <w:tcPr>
            <w:tcW w:w="3835" w:type="pct"/>
          </w:tcPr>
          <w:p w:rsidR="00120D55" w:rsidRPr="003C3C3A" w:rsidRDefault="00120D55"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US"/>
              </w:rPr>
            </w:pPr>
            <w:r w:rsidRPr="003C3C3A">
              <w:rPr>
                <w:rFonts w:ascii="Roboto Light" w:eastAsia="Times New Roman" w:hAnsi="Roboto Light" w:cs="Times New Roman"/>
                <w:color w:val="000000" w:themeColor="text1"/>
                <w:sz w:val="20"/>
                <w:szCs w:val="20"/>
                <w:lang w:val="en-AU" w:eastAsia="en-US"/>
              </w:rPr>
              <w:t>1.3 Teaching and design staff quality is enhanced through training, certification in adult teaching methods and job attachments.</w:t>
            </w:r>
          </w:p>
          <w:p w:rsidR="00120D55" w:rsidRPr="003C3C3A" w:rsidRDefault="00120D55"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US"/>
              </w:rPr>
            </w:pPr>
          </w:p>
        </w:tc>
        <w:tc>
          <w:tcPr>
            <w:tcW w:w="403" w:type="pct"/>
          </w:tcPr>
          <w:p w:rsidR="00120D55" w:rsidRPr="003C3C3A" w:rsidRDefault="00120D55"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US"/>
              </w:rPr>
            </w:pPr>
            <w:r w:rsidRPr="003C3C3A">
              <w:rPr>
                <w:rFonts w:ascii="Roboto Light" w:eastAsia="Times New Roman" w:hAnsi="Roboto Light" w:cs="Times New Roman"/>
                <w:noProof/>
                <w:color w:val="000000" w:themeColor="text1"/>
                <w:sz w:val="20"/>
                <w:szCs w:val="20"/>
                <w:lang w:val="en-AU" w:eastAsia="en-AU"/>
              </w:rPr>
              <mc:AlternateContent>
                <mc:Choice Requires="wps">
                  <w:drawing>
                    <wp:anchor distT="0" distB="0" distL="114300" distR="114300" simplePos="0" relativeHeight="252119040" behindDoc="0" locked="0" layoutInCell="1" allowOverlap="1" wp14:anchorId="4E8D7550" wp14:editId="4C9A2A38">
                      <wp:simplePos x="0" y="0"/>
                      <wp:positionH relativeFrom="column">
                        <wp:posOffset>79375</wp:posOffset>
                      </wp:positionH>
                      <wp:positionV relativeFrom="paragraph">
                        <wp:posOffset>66675</wp:posOffset>
                      </wp:positionV>
                      <wp:extent cx="228600" cy="238125"/>
                      <wp:effectExtent l="0" t="0" r="19050" b="28575"/>
                      <wp:wrapNone/>
                      <wp:docPr id="63" name="Oval 63" descr="Amber" title="Teaching and design staff quality is enhanced through training, certification in adult teaching methods and job attachment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C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2F654" id="Oval 63" o:spid="_x0000_s1026" alt="Title: Teaching and design staff quality is enhanced through training, certification in adult teaching methods and job attachments. - Description: Amber" style="position:absolute;margin-left:6.25pt;margin-top:5.25pt;width:18pt;height:18.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" fillcolor="#ffc000" strokecolor="#307aa5" strokeweight="1pt">
                      <v:stroke joinstyle="miter"/>
                    </v:oval>
                  </w:pict>
                </mc:Fallback>
              </mc:AlternateContent>
            </w:r>
            <w:r w:rsidRPr="003C3C3A">
              <w:rPr>
                <w:rFonts w:ascii="Roboto Light" w:eastAsia="Times New Roman" w:hAnsi="Roboto Light" w:cs="Times New Roman"/>
                <w:noProof/>
                <w:color w:val="000000" w:themeColor="text1"/>
                <w:sz w:val="20"/>
                <w:szCs w:val="20"/>
                <w:lang w:val="en-AU" w:eastAsia="en-AU"/>
              </w:rPr>
              <mc:AlternateContent>
                <mc:Choice Requires="wps">
                  <w:drawing>
                    <wp:anchor distT="0" distB="0" distL="114300" distR="114300" simplePos="0" relativeHeight="252122112" behindDoc="0" locked="0" layoutInCell="1" allowOverlap="1" wp14:anchorId="0993744B" wp14:editId="4C7FA6E9">
                      <wp:simplePos x="0" y="0"/>
                      <wp:positionH relativeFrom="column">
                        <wp:posOffset>83820</wp:posOffset>
                      </wp:positionH>
                      <wp:positionV relativeFrom="paragraph">
                        <wp:posOffset>533400</wp:posOffset>
                      </wp:positionV>
                      <wp:extent cx="228600" cy="248285"/>
                      <wp:effectExtent l="0" t="0" r="19050" b="18415"/>
                      <wp:wrapNone/>
                      <wp:docPr id="93" name="Oval 93" descr="Red" title="Opportunities for student learning beyond the classroom are broadened and ensure equitable access and benefi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0E356" id="Oval 93" o:spid="_x0000_s1026" alt="Title: Opportunities for student learning beyond the classroom are broadened and ensure equitable access and benefit. - Description: Red" style="position:absolute;margin-left:6.6pt;margin-top:42pt;width:18pt;height:19.55pt;flip:x 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" fillcolor="red" strokecolor="#307aa5" strokeweight="1pt">
                      <v:stroke joinstyle="miter"/>
                    </v:oval>
                  </w:pict>
                </mc:Fallback>
              </mc:AlternateContent>
            </w:r>
          </w:p>
        </w:tc>
      </w:tr>
      <w:tr w:rsidR="00120D55" w:rsidRPr="003C3C3A" w:rsidTr="006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Pr>
          <w:p w:rsidR="00120D55" w:rsidRPr="003C3C3A" w:rsidRDefault="00120D55" w:rsidP="003C3C3A">
            <w:pPr>
              <w:spacing w:after="0" w:line="240" w:lineRule="auto"/>
              <w:rPr>
                <w:rFonts w:ascii="Roboto" w:eastAsia="Times New Roman" w:hAnsi="Roboto" w:cs="Times New Roman"/>
                <w:b w:val="0"/>
                <w:color w:val="000000" w:themeColor="text1"/>
                <w:sz w:val="20"/>
                <w:szCs w:val="20"/>
                <w:lang w:val="en-AU" w:eastAsia="en-US"/>
              </w:rPr>
            </w:pPr>
          </w:p>
        </w:tc>
        <w:tc>
          <w:tcPr>
            <w:tcW w:w="3835" w:type="pct"/>
          </w:tcPr>
          <w:p w:rsidR="00120D55" w:rsidRPr="003C3C3A" w:rsidRDefault="00120D55"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AU"/>
              </w:rPr>
            </w:pPr>
            <w:r w:rsidRPr="003C3C3A">
              <w:rPr>
                <w:rFonts w:ascii="Roboto Light" w:eastAsia="Times New Roman" w:hAnsi="Roboto Light" w:cs="Times New Roman"/>
                <w:color w:val="000000" w:themeColor="text1"/>
                <w:sz w:val="20"/>
                <w:szCs w:val="20"/>
                <w:lang w:val="en-AU" w:eastAsia="en-AU"/>
              </w:rPr>
              <w:t>1.4 Opportunities for student learning beyond the classroom are broadened and ensure equitable access and benefit.</w:t>
            </w:r>
          </w:p>
          <w:p w:rsidR="00120D55" w:rsidRPr="003C3C3A" w:rsidRDefault="00120D55"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US"/>
              </w:rPr>
            </w:pPr>
          </w:p>
        </w:tc>
        <w:tc>
          <w:tcPr>
            <w:tcW w:w="403" w:type="pct"/>
          </w:tcPr>
          <w:p w:rsidR="00120D55" w:rsidRPr="003C3C3A" w:rsidRDefault="00120D55"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US"/>
              </w:rPr>
            </w:pPr>
          </w:p>
        </w:tc>
      </w:tr>
      <w:tr w:rsidR="003C3C3A" w:rsidRPr="003C3C3A" w:rsidTr="006B4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Pr>
          <w:p w:rsidR="003C3C3A" w:rsidRPr="003C3C3A" w:rsidRDefault="003C3C3A" w:rsidP="003C3C3A">
            <w:pPr>
              <w:spacing w:after="0" w:line="240" w:lineRule="auto"/>
              <w:rPr>
                <w:rFonts w:ascii="Roboto" w:eastAsia="Times New Roman" w:hAnsi="Roboto" w:cs="Times New Roman"/>
                <w:b w:val="0"/>
                <w:color w:val="000000" w:themeColor="text1"/>
                <w:sz w:val="20"/>
                <w:szCs w:val="20"/>
                <w:lang w:val="en-AU" w:eastAsia="en-US"/>
              </w:rPr>
            </w:pPr>
          </w:p>
          <w:p w:rsidR="003C3C3A" w:rsidRPr="003C3C3A" w:rsidRDefault="00120D55" w:rsidP="003C3C3A">
            <w:pPr>
              <w:spacing w:after="0" w:line="240" w:lineRule="auto"/>
              <w:rPr>
                <w:rFonts w:ascii="Roboto" w:eastAsia="Times New Roman" w:hAnsi="Roboto" w:cs="Times New Roman"/>
                <w:b w:val="0"/>
                <w:color w:val="000000" w:themeColor="text1"/>
                <w:sz w:val="20"/>
                <w:szCs w:val="20"/>
                <w:lang w:val="en-AU" w:eastAsia="en-US"/>
              </w:rPr>
            </w:pPr>
            <w:r w:rsidRPr="003C3C3A">
              <w:rPr>
                <w:rFonts w:ascii="Roboto" w:eastAsia="Times New Roman" w:hAnsi="Roboto" w:cs="Times New Roman"/>
                <w:noProof/>
                <w:color w:val="000000" w:themeColor="text1"/>
                <w:sz w:val="20"/>
                <w:szCs w:val="20"/>
                <w:lang w:val="en-AU" w:eastAsia="en-AU"/>
              </w:rPr>
              <mc:AlternateContent>
                <mc:Choice Requires="wps">
                  <w:drawing>
                    <wp:anchor distT="0" distB="0" distL="114300" distR="114300" simplePos="0" relativeHeight="251890688" behindDoc="0" locked="0" layoutInCell="1" allowOverlap="1" wp14:anchorId="6E26EBE7" wp14:editId="19DE93B9">
                      <wp:simplePos x="0" y="0"/>
                      <wp:positionH relativeFrom="column">
                        <wp:posOffset>832485</wp:posOffset>
                      </wp:positionH>
                      <wp:positionV relativeFrom="paragraph">
                        <wp:posOffset>687070</wp:posOffset>
                      </wp:positionV>
                      <wp:extent cx="228600" cy="238125"/>
                      <wp:effectExtent l="0" t="0" r="19050" b="28575"/>
                      <wp:wrapNone/>
                      <wp:docPr id="84" name="Oval 84" descr="Amber" title="PNG IPA transitions to a quality-assured School of Governmen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C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9A8AF" id="Oval 84" o:spid="_x0000_s1026" alt="Title: PNG IPA transitions to a quality-assured School of Government. - Description: Amber" style="position:absolute;margin-left:65.55pt;margin-top:54.1pt;width:18pt;height:18.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" fillcolor="#ffc000" strokecolor="#307aa5" strokeweight="1pt">
                      <v:stroke joinstyle="miter"/>
                    </v:oval>
                  </w:pict>
                </mc:Fallback>
              </mc:AlternateContent>
            </w:r>
            <w:r w:rsidR="003C3C3A" w:rsidRPr="003C3C3A">
              <w:rPr>
                <w:rFonts w:ascii="Roboto" w:eastAsia="Times New Roman" w:hAnsi="Roboto" w:cs="Times New Roman"/>
                <w:b w:val="0"/>
                <w:color w:val="000000" w:themeColor="text1"/>
                <w:sz w:val="20"/>
                <w:szCs w:val="20"/>
                <w:lang w:val="en-AU" w:eastAsia="en-US"/>
              </w:rPr>
              <w:t>2. PNG IPA transitions to a quality-assured School of Government.</w:t>
            </w:r>
          </w:p>
          <w:p w:rsidR="003C3C3A" w:rsidRPr="003C3C3A" w:rsidRDefault="003C3C3A" w:rsidP="003C3C3A">
            <w:pPr>
              <w:spacing w:after="0" w:line="240" w:lineRule="auto"/>
              <w:rPr>
                <w:rFonts w:ascii="Roboto" w:eastAsia="Times New Roman" w:hAnsi="Roboto" w:cs="Times New Roman"/>
                <w:b w:val="0"/>
                <w:color w:val="000000" w:themeColor="text1"/>
                <w:sz w:val="20"/>
                <w:szCs w:val="20"/>
                <w:lang w:val="en-AU" w:eastAsia="en-US"/>
              </w:rPr>
            </w:pPr>
          </w:p>
          <w:p w:rsidR="003C3C3A" w:rsidRPr="003C3C3A" w:rsidRDefault="003C3C3A" w:rsidP="003C3C3A">
            <w:pPr>
              <w:spacing w:after="0" w:line="240" w:lineRule="auto"/>
              <w:rPr>
                <w:rFonts w:ascii="Roboto" w:eastAsia="Times New Roman" w:hAnsi="Roboto" w:cs="Times New Roman"/>
                <w:b w:val="0"/>
                <w:color w:val="000000" w:themeColor="text1"/>
                <w:sz w:val="20"/>
                <w:szCs w:val="20"/>
                <w:lang w:val="en-AU" w:eastAsia="en-US"/>
              </w:rPr>
            </w:pPr>
          </w:p>
        </w:tc>
        <w:tc>
          <w:tcPr>
            <w:tcW w:w="3835" w:type="pct"/>
          </w:tcPr>
          <w:p w:rsidR="003C3C3A" w:rsidRPr="003C3C3A" w:rsidRDefault="003C3C3A"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AU"/>
              </w:rPr>
            </w:pPr>
            <w:r w:rsidRPr="003C3C3A">
              <w:rPr>
                <w:rFonts w:ascii="Roboto Light" w:eastAsia="Times New Roman" w:hAnsi="Roboto Light" w:cs="Times New Roman"/>
                <w:color w:val="000000" w:themeColor="text1"/>
                <w:sz w:val="20"/>
                <w:szCs w:val="20"/>
                <w:lang w:val="en-AU" w:eastAsia="en-AU"/>
              </w:rPr>
              <w:t>2.1 PNG IPA achieves legal recognition as the School of Government, and models inclusive leadership.</w:t>
            </w:r>
          </w:p>
          <w:p w:rsidR="003C3C3A" w:rsidRPr="003C3C3A" w:rsidRDefault="003C3C3A"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US"/>
              </w:rPr>
            </w:pPr>
          </w:p>
        </w:tc>
        <w:tc>
          <w:tcPr>
            <w:tcW w:w="403" w:type="pct"/>
          </w:tcPr>
          <w:p w:rsidR="003C3C3A" w:rsidRPr="003C3C3A" w:rsidRDefault="003C3C3A"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AU"/>
              </w:rPr>
            </w:pPr>
            <w:r w:rsidRPr="003C3C3A">
              <w:rPr>
                <w:rFonts w:ascii="Roboto Light" w:eastAsia="Times New Roman" w:hAnsi="Roboto Light" w:cs="Times New Roman"/>
                <w:noProof/>
                <w:color w:val="000000" w:themeColor="text1"/>
                <w:sz w:val="20"/>
                <w:szCs w:val="20"/>
                <w:lang w:val="en-AU" w:eastAsia="en-AU"/>
              </w:rPr>
              <mc:AlternateContent>
                <mc:Choice Requires="wps">
                  <w:drawing>
                    <wp:anchor distT="0" distB="0" distL="114300" distR="114300" simplePos="0" relativeHeight="252050432" behindDoc="0" locked="0" layoutInCell="1" allowOverlap="1" wp14:anchorId="171C3FD3" wp14:editId="43AC1462">
                      <wp:simplePos x="0" y="0"/>
                      <wp:positionH relativeFrom="column">
                        <wp:posOffset>74295</wp:posOffset>
                      </wp:positionH>
                      <wp:positionV relativeFrom="paragraph">
                        <wp:posOffset>46355</wp:posOffset>
                      </wp:positionV>
                      <wp:extent cx="228600" cy="237490"/>
                      <wp:effectExtent l="0" t="0" r="12700" b="16510"/>
                      <wp:wrapNone/>
                      <wp:docPr id="20" name="Oval 20" descr="Amber" title="PNG IPA achieves legal recognition as the School of Government, and models inclusive leadership.">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7490"/>
                              </a:xfrm>
                              <a:prstGeom prst="ellipse">
                                <a:avLst/>
                              </a:prstGeom>
                              <a:solidFill>
                                <a:srgbClr val="FFC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66B89" id="Oval 20" o:spid="_x0000_s1026" alt="Title: PNG IPA achieves legal recognition as the School of Government, and models inclusive leadership. - Description: Amber" style="position:absolute;margin-left:5.85pt;margin-top:3.65pt;width:18pt;height:18.7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" fillcolor="#ffc000" strokecolor="#307aa5" strokeweight="1pt">
                      <v:stroke joinstyle="miter"/>
                    </v:oval>
                  </w:pict>
                </mc:Fallback>
              </mc:AlternateContent>
            </w:r>
          </w:p>
        </w:tc>
      </w:tr>
      <w:tr w:rsidR="003C3C3A" w:rsidRPr="003C3C3A" w:rsidTr="006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Pr>
          <w:p w:rsidR="003C3C3A" w:rsidRPr="003C3C3A" w:rsidRDefault="003C3C3A" w:rsidP="003C3C3A">
            <w:pPr>
              <w:spacing w:after="0" w:line="240" w:lineRule="auto"/>
              <w:rPr>
                <w:rFonts w:ascii="Roboto" w:eastAsia="Times New Roman" w:hAnsi="Roboto" w:cs="Times New Roman"/>
                <w:b w:val="0"/>
                <w:color w:val="000000" w:themeColor="text1"/>
                <w:sz w:val="20"/>
                <w:szCs w:val="20"/>
                <w:lang w:val="en-AU" w:eastAsia="en-US"/>
              </w:rPr>
            </w:pPr>
          </w:p>
        </w:tc>
        <w:tc>
          <w:tcPr>
            <w:tcW w:w="3835" w:type="pct"/>
          </w:tcPr>
          <w:p w:rsidR="003C3C3A" w:rsidRPr="003C3C3A" w:rsidRDefault="003C3C3A"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AU"/>
              </w:rPr>
            </w:pPr>
            <w:r w:rsidRPr="003C3C3A">
              <w:rPr>
                <w:rFonts w:ascii="Roboto Light" w:eastAsia="Times New Roman" w:hAnsi="Roboto Light" w:cs="Times New Roman"/>
                <w:color w:val="000000" w:themeColor="text1"/>
                <w:sz w:val="20"/>
                <w:szCs w:val="20"/>
                <w:lang w:val="en-AU" w:eastAsia="en-AU"/>
              </w:rPr>
              <w:t>2.2 PNG IPA TVET programs are validated through accreditation and articulation with other educational institutions.</w:t>
            </w:r>
          </w:p>
          <w:p w:rsidR="003C3C3A" w:rsidRPr="003C3C3A" w:rsidRDefault="003C3C3A"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US"/>
              </w:rPr>
            </w:pPr>
          </w:p>
        </w:tc>
        <w:tc>
          <w:tcPr>
            <w:tcW w:w="403" w:type="pct"/>
          </w:tcPr>
          <w:p w:rsidR="003C3C3A" w:rsidRPr="003C3C3A" w:rsidRDefault="003C3C3A"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AU"/>
              </w:rPr>
            </w:pPr>
            <w:r w:rsidRPr="003C3C3A">
              <w:rPr>
                <w:rFonts w:ascii="Roboto Light" w:eastAsia="Times New Roman" w:hAnsi="Roboto Light" w:cs="Times New Roman"/>
                <w:noProof/>
                <w:color w:val="000000" w:themeColor="text1"/>
                <w:sz w:val="20"/>
                <w:szCs w:val="20"/>
                <w:lang w:val="en-AU" w:eastAsia="en-AU"/>
              </w:rPr>
              <mc:AlternateContent>
                <mc:Choice Requires="wps">
                  <w:drawing>
                    <wp:anchor distT="0" distB="0" distL="114300" distR="114300" simplePos="0" relativeHeight="252062720" behindDoc="0" locked="0" layoutInCell="1" allowOverlap="1" wp14:anchorId="1274BD38" wp14:editId="2E41CDEB">
                      <wp:simplePos x="0" y="0"/>
                      <wp:positionH relativeFrom="column">
                        <wp:posOffset>64770</wp:posOffset>
                      </wp:positionH>
                      <wp:positionV relativeFrom="paragraph">
                        <wp:posOffset>36195</wp:posOffset>
                      </wp:positionV>
                      <wp:extent cx="228600" cy="237490"/>
                      <wp:effectExtent l="0" t="0" r="12700" b="16510"/>
                      <wp:wrapNone/>
                      <wp:docPr id="29" name="Oval 29" descr="Amber" title="2.2 PNG IPA TVET programs are validated through accreditation and articulation with other educational institution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7490"/>
                              </a:xfrm>
                              <a:prstGeom prst="ellipse">
                                <a:avLst/>
                              </a:prstGeom>
                              <a:solidFill>
                                <a:srgbClr val="FFC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A0D15" id="Oval 29" o:spid="_x0000_s1026" alt="Title: 2.2 PNG IPA TVET programs are validated through accreditation and articulation with other educational institutions. - Description: Amber" style="position:absolute;margin-left:5.1pt;margin-top:2.85pt;width:18pt;height:18.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" fillcolor="#ffc000" strokecolor="#307aa5" strokeweight="1pt">
                      <v:stroke joinstyle="miter"/>
                    </v:oval>
                  </w:pict>
                </mc:Fallback>
              </mc:AlternateContent>
            </w:r>
          </w:p>
        </w:tc>
      </w:tr>
      <w:tr w:rsidR="003C3C3A" w:rsidRPr="003C3C3A" w:rsidTr="006B4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Pr>
          <w:p w:rsidR="003C3C3A" w:rsidRPr="003C3C3A" w:rsidRDefault="003C3C3A" w:rsidP="003C3C3A">
            <w:pPr>
              <w:spacing w:after="0" w:line="240" w:lineRule="auto"/>
              <w:rPr>
                <w:rFonts w:ascii="Roboto" w:eastAsia="Times New Roman" w:hAnsi="Roboto" w:cs="Times New Roman"/>
                <w:b w:val="0"/>
                <w:color w:val="000000" w:themeColor="text1"/>
                <w:sz w:val="20"/>
                <w:szCs w:val="20"/>
                <w:lang w:val="en-AU" w:eastAsia="en-US"/>
              </w:rPr>
            </w:pPr>
          </w:p>
        </w:tc>
        <w:tc>
          <w:tcPr>
            <w:tcW w:w="3835" w:type="pct"/>
          </w:tcPr>
          <w:p w:rsidR="003C3C3A" w:rsidRPr="003C3C3A" w:rsidRDefault="003C3C3A"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US"/>
              </w:rPr>
            </w:pPr>
            <w:r w:rsidRPr="003C3C3A">
              <w:rPr>
                <w:rFonts w:ascii="Roboto Light" w:eastAsia="Times New Roman" w:hAnsi="Roboto Light" w:cs="Times New Roman"/>
                <w:color w:val="000000" w:themeColor="text1"/>
                <w:sz w:val="20"/>
                <w:szCs w:val="20"/>
                <w:lang w:val="en-AU" w:eastAsia="en-AU"/>
              </w:rPr>
              <w:t>2.3</w:t>
            </w:r>
            <w:r w:rsidRPr="003C3C3A">
              <w:rPr>
                <w:rFonts w:ascii="Roboto Light" w:eastAsia="Times New Roman" w:hAnsi="Roboto Light" w:cs="Times New Roman"/>
                <w:color w:val="000000" w:themeColor="text1"/>
                <w:sz w:val="20"/>
                <w:szCs w:val="20"/>
                <w:lang w:val="en-AU" w:eastAsia="en-US"/>
              </w:rPr>
              <w:t xml:space="preserve"> Quality management within PNG IPA is strengthened through a DHESRT self-assessment and annual KAP surveys of gender equality and social inclusion.</w:t>
            </w:r>
          </w:p>
          <w:p w:rsidR="003C3C3A" w:rsidRPr="003C3C3A" w:rsidRDefault="003C3C3A"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US"/>
              </w:rPr>
            </w:pPr>
          </w:p>
        </w:tc>
        <w:tc>
          <w:tcPr>
            <w:tcW w:w="403" w:type="pct"/>
          </w:tcPr>
          <w:p w:rsidR="003C3C3A" w:rsidRPr="003C3C3A" w:rsidRDefault="003C3C3A"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US"/>
              </w:rPr>
            </w:pPr>
            <w:r w:rsidRPr="003C3C3A">
              <w:rPr>
                <w:rFonts w:ascii="Roboto Light" w:eastAsia="Times New Roman" w:hAnsi="Roboto Light" w:cs="Times New Roman"/>
                <w:noProof/>
                <w:color w:val="000000" w:themeColor="text1"/>
                <w:sz w:val="20"/>
                <w:szCs w:val="20"/>
                <w:lang w:val="en-AU" w:eastAsia="en-AU"/>
              </w:rPr>
              <mc:AlternateContent>
                <mc:Choice Requires="wps">
                  <w:drawing>
                    <wp:anchor distT="0" distB="0" distL="114300" distR="114300" simplePos="0" relativeHeight="251988992" behindDoc="0" locked="0" layoutInCell="1" allowOverlap="1" wp14:anchorId="44BB9B17" wp14:editId="18A9F939">
                      <wp:simplePos x="0" y="0"/>
                      <wp:positionH relativeFrom="column">
                        <wp:posOffset>75565</wp:posOffset>
                      </wp:positionH>
                      <wp:positionV relativeFrom="paragraph">
                        <wp:posOffset>52705</wp:posOffset>
                      </wp:positionV>
                      <wp:extent cx="228600" cy="248285"/>
                      <wp:effectExtent l="0" t="0" r="12700" b="18415"/>
                      <wp:wrapNone/>
                      <wp:docPr id="115" name="Oval 115" descr="Red" title="Quality management within PNG IPA is strengthened through a DHESRT self-assessment and annual KAP surveys of gender equality and social inclusi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8AC9C6" id="Oval 115" o:spid="_x0000_s1026" alt="Title: Quality management within PNG IPA is strengthened through a DHESRT self-assessment and annual KAP surveys of gender equality and social inclusion. - Description: Red" style="position:absolute;margin-left:5.95pt;margin-top:4.15pt;width:18pt;height:19.55pt;flip:x 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" fillcolor="red" strokecolor="#307aa5" strokeweight="1pt">
                      <v:stroke joinstyle="miter"/>
                    </v:oval>
                  </w:pict>
                </mc:Fallback>
              </mc:AlternateContent>
            </w:r>
          </w:p>
        </w:tc>
      </w:tr>
      <w:tr w:rsidR="003C3C3A" w:rsidRPr="003C3C3A" w:rsidTr="006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Pr>
          <w:p w:rsidR="003C3C3A" w:rsidRPr="003C3C3A" w:rsidRDefault="003C3C3A" w:rsidP="003C3C3A">
            <w:pPr>
              <w:spacing w:after="0" w:line="240" w:lineRule="auto"/>
              <w:rPr>
                <w:rFonts w:ascii="Roboto" w:eastAsia="Times New Roman" w:hAnsi="Roboto" w:cs="Times New Roman"/>
                <w:b w:val="0"/>
                <w:color w:val="000000" w:themeColor="text1"/>
                <w:sz w:val="20"/>
                <w:szCs w:val="20"/>
                <w:lang w:val="en-AU" w:eastAsia="en-US"/>
              </w:rPr>
            </w:pPr>
          </w:p>
        </w:tc>
        <w:tc>
          <w:tcPr>
            <w:tcW w:w="3835" w:type="pct"/>
          </w:tcPr>
          <w:p w:rsidR="003C3C3A" w:rsidRPr="003C3C3A" w:rsidRDefault="003C3C3A"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AU"/>
              </w:rPr>
            </w:pPr>
            <w:r w:rsidRPr="003C3C3A">
              <w:rPr>
                <w:rFonts w:ascii="Roboto Light" w:eastAsia="Times New Roman" w:hAnsi="Roboto Light" w:cs="Times New Roman"/>
                <w:color w:val="000000" w:themeColor="text1"/>
                <w:sz w:val="20"/>
                <w:szCs w:val="20"/>
                <w:lang w:val="en-AU" w:eastAsia="en-US"/>
              </w:rPr>
              <w:t>2.4 Relevance and external validity of courses supported through new systems for re</w:t>
            </w:r>
            <w:r w:rsidRPr="003C3C3A">
              <w:rPr>
                <w:rFonts w:ascii="Roboto Light" w:eastAsia="Times New Roman" w:hAnsi="Roboto Light" w:cs="Times New Roman"/>
                <w:color w:val="000000" w:themeColor="text1"/>
                <w:sz w:val="20"/>
                <w:szCs w:val="20"/>
                <w:lang w:val="en-AU" w:eastAsia="en-AU"/>
              </w:rPr>
              <w:t>sponding to government training priorities.</w:t>
            </w:r>
          </w:p>
          <w:p w:rsidR="003C3C3A" w:rsidRPr="003C3C3A" w:rsidRDefault="003C3C3A"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AU"/>
              </w:rPr>
            </w:pPr>
          </w:p>
        </w:tc>
        <w:tc>
          <w:tcPr>
            <w:tcW w:w="403" w:type="pct"/>
          </w:tcPr>
          <w:p w:rsidR="003C3C3A" w:rsidRPr="003C3C3A" w:rsidRDefault="003C3C3A"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US"/>
              </w:rPr>
            </w:pPr>
            <w:r w:rsidRPr="003C3C3A">
              <w:rPr>
                <w:rFonts w:ascii="Roboto Light" w:eastAsia="Times New Roman" w:hAnsi="Roboto Light" w:cs="Times New Roman"/>
                <w:noProof/>
                <w:color w:val="000000" w:themeColor="text1"/>
                <w:sz w:val="20"/>
                <w:szCs w:val="20"/>
                <w:lang w:val="en-AU" w:eastAsia="en-AU"/>
              </w:rPr>
              <mc:AlternateContent>
                <mc:Choice Requires="wps">
                  <w:drawing>
                    <wp:anchor distT="0" distB="0" distL="114300" distR="114300" simplePos="0" relativeHeight="251976704" behindDoc="0" locked="0" layoutInCell="1" allowOverlap="1" wp14:anchorId="76EA1704" wp14:editId="1512935D">
                      <wp:simplePos x="0" y="0"/>
                      <wp:positionH relativeFrom="column">
                        <wp:posOffset>92710</wp:posOffset>
                      </wp:positionH>
                      <wp:positionV relativeFrom="paragraph">
                        <wp:posOffset>-6350</wp:posOffset>
                      </wp:positionV>
                      <wp:extent cx="228600" cy="248285"/>
                      <wp:effectExtent l="0" t="0" r="12700" b="18415"/>
                      <wp:wrapNone/>
                      <wp:docPr id="114" name="Oval 114" descr="Red" title="Relevance and external validity of courses supported through new systems for responding to government training prioritie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D0C990" id="Oval 114" o:spid="_x0000_s1026" alt="Title: Relevance and external validity of courses supported through new systems for responding to government training priorities. - Description: Red" style="position:absolute;margin-left:7.3pt;margin-top:-.5pt;width:18pt;height:19.55pt;flip:x 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" fillcolor="red" strokecolor="#307aa5" strokeweight="1pt">
                      <v:stroke joinstyle="miter"/>
                    </v:oval>
                  </w:pict>
                </mc:Fallback>
              </mc:AlternateContent>
            </w:r>
          </w:p>
        </w:tc>
      </w:tr>
      <w:tr w:rsidR="003C3C3A" w:rsidRPr="003C3C3A" w:rsidTr="006B4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Pr>
          <w:p w:rsidR="003C3C3A" w:rsidRPr="003C3C3A" w:rsidRDefault="003C3C3A" w:rsidP="003C3C3A">
            <w:pPr>
              <w:spacing w:after="0" w:line="240" w:lineRule="auto"/>
              <w:rPr>
                <w:rFonts w:ascii="Roboto" w:eastAsia="Times New Roman" w:hAnsi="Roboto" w:cs="Times New Roman"/>
                <w:b w:val="0"/>
                <w:color w:val="000000" w:themeColor="text1"/>
                <w:sz w:val="20"/>
                <w:szCs w:val="20"/>
                <w:lang w:val="en-AU" w:eastAsia="en-US"/>
              </w:rPr>
            </w:pPr>
          </w:p>
          <w:p w:rsidR="003C3C3A" w:rsidRPr="003C3C3A" w:rsidRDefault="003C3C3A" w:rsidP="003C3C3A">
            <w:pPr>
              <w:spacing w:after="0" w:line="240" w:lineRule="auto"/>
              <w:rPr>
                <w:rFonts w:ascii="Roboto" w:eastAsia="Times New Roman" w:hAnsi="Roboto" w:cs="Times New Roman"/>
                <w:b w:val="0"/>
                <w:color w:val="000000" w:themeColor="text1"/>
                <w:sz w:val="20"/>
                <w:szCs w:val="20"/>
                <w:lang w:val="en-AU" w:eastAsia="en-US"/>
              </w:rPr>
            </w:pPr>
            <w:r w:rsidRPr="003C3C3A">
              <w:rPr>
                <w:rFonts w:ascii="Roboto" w:eastAsia="Times New Roman" w:hAnsi="Roboto" w:cs="Times New Roman"/>
                <w:noProof/>
                <w:color w:val="000000" w:themeColor="text1"/>
                <w:sz w:val="20"/>
                <w:szCs w:val="20"/>
                <w:lang w:val="en-AU" w:eastAsia="en-AU"/>
              </w:rPr>
              <mc:AlternateContent>
                <mc:Choice Requires="wps">
                  <w:drawing>
                    <wp:anchor distT="0" distB="0" distL="114300" distR="114300" simplePos="0" relativeHeight="251866112" behindDoc="0" locked="0" layoutInCell="1" allowOverlap="1" wp14:anchorId="4E069D9B" wp14:editId="6B632817">
                      <wp:simplePos x="0" y="0"/>
                      <wp:positionH relativeFrom="column">
                        <wp:posOffset>883285</wp:posOffset>
                      </wp:positionH>
                      <wp:positionV relativeFrom="paragraph">
                        <wp:posOffset>21590</wp:posOffset>
                      </wp:positionV>
                      <wp:extent cx="228600" cy="248285"/>
                      <wp:effectExtent l="12700" t="12700" r="12700" b="18415"/>
                      <wp:wrapNone/>
                      <wp:docPr id="88" name="Oval 88" descr="Red" title="Strategic planning and management is robust and achieves its goal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450F4E" id="Oval 88" o:spid="_x0000_s1026" alt="Title: Strategic planning and management is robust and achieves its goals. - Description: Red" style="position:absolute;margin-left:69.55pt;margin-top:1.7pt;width:18pt;height:19.55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" fillcolor="red" strokecolor="#307aa5" strokeweight="1pt">
                      <v:stroke joinstyle="miter"/>
                    </v:oval>
                  </w:pict>
                </mc:Fallback>
              </mc:AlternateContent>
            </w:r>
            <w:r w:rsidRPr="003C3C3A">
              <w:rPr>
                <w:rFonts w:ascii="Roboto" w:eastAsia="Times New Roman" w:hAnsi="Roboto" w:cs="Times New Roman"/>
                <w:b w:val="0"/>
                <w:color w:val="000000" w:themeColor="text1"/>
                <w:sz w:val="20"/>
                <w:szCs w:val="20"/>
                <w:lang w:val="en-AU" w:eastAsia="en-US"/>
              </w:rPr>
              <w:t>3. Strategic planning and management is robust and achieves its goals.</w:t>
            </w:r>
          </w:p>
        </w:tc>
        <w:tc>
          <w:tcPr>
            <w:tcW w:w="3835" w:type="pct"/>
          </w:tcPr>
          <w:p w:rsidR="003C3C3A" w:rsidRPr="003C3C3A" w:rsidRDefault="003C3C3A"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AU"/>
              </w:rPr>
            </w:pPr>
            <w:r w:rsidRPr="003C3C3A">
              <w:rPr>
                <w:rFonts w:ascii="Roboto Light" w:eastAsia="Times New Roman" w:hAnsi="Roboto Light" w:cs="Times New Roman"/>
                <w:color w:val="000000" w:themeColor="text1"/>
                <w:sz w:val="20"/>
                <w:szCs w:val="20"/>
                <w:lang w:val="en-AU" w:eastAsia="en-US"/>
              </w:rPr>
              <w:t xml:space="preserve">3.1 </w:t>
            </w:r>
            <w:r w:rsidRPr="003C3C3A">
              <w:rPr>
                <w:rFonts w:ascii="Roboto Light" w:eastAsia="Times New Roman" w:hAnsi="Roboto Light" w:cs="Times New Roman"/>
                <w:color w:val="000000" w:themeColor="text1"/>
                <w:sz w:val="20"/>
                <w:szCs w:val="20"/>
                <w:lang w:val="en-AU" w:eastAsia="en-AU"/>
              </w:rPr>
              <w:t>Strategic planning at PNG IPA is strengthened through development of a five-year and annual plans.</w:t>
            </w:r>
          </w:p>
          <w:p w:rsidR="003C3C3A" w:rsidRPr="003C3C3A" w:rsidRDefault="003C3C3A"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US"/>
              </w:rPr>
            </w:pPr>
          </w:p>
        </w:tc>
        <w:tc>
          <w:tcPr>
            <w:tcW w:w="403" w:type="pct"/>
          </w:tcPr>
          <w:p w:rsidR="003C3C3A" w:rsidRPr="003C3C3A" w:rsidRDefault="003C3C3A"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US"/>
              </w:rPr>
            </w:pPr>
            <w:r w:rsidRPr="003C3C3A">
              <w:rPr>
                <w:rFonts w:ascii="Roboto Light" w:eastAsia="Times New Roman" w:hAnsi="Roboto Light" w:cs="Times New Roman"/>
                <w:noProof/>
                <w:color w:val="000000" w:themeColor="text1"/>
                <w:sz w:val="20"/>
                <w:szCs w:val="20"/>
                <w:lang w:val="en-AU" w:eastAsia="en-AU"/>
              </w:rPr>
              <mc:AlternateContent>
                <mc:Choice Requires="wps">
                  <w:drawing>
                    <wp:anchor distT="0" distB="0" distL="114300" distR="114300" simplePos="0" relativeHeight="251964416" behindDoc="0" locked="0" layoutInCell="1" allowOverlap="1" wp14:anchorId="198534E3" wp14:editId="6ED22934">
                      <wp:simplePos x="0" y="0"/>
                      <wp:positionH relativeFrom="column">
                        <wp:posOffset>84455</wp:posOffset>
                      </wp:positionH>
                      <wp:positionV relativeFrom="paragraph">
                        <wp:posOffset>11430</wp:posOffset>
                      </wp:positionV>
                      <wp:extent cx="228600" cy="248285"/>
                      <wp:effectExtent l="0" t="0" r="12700" b="18415"/>
                      <wp:wrapNone/>
                      <wp:docPr id="113" name="Oval 113" descr="Red" title="Strategic planning at PNG IPA is strengthened through development of a five-year and annual plan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6002C8" id="Oval 113" o:spid="_x0000_s1026" alt="Title: Strategic planning at PNG IPA is strengthened through development of a five-year and annual plans. - Description: Red" style="position:absolute;margin-left:6.65pt;margin-top:.9pt;width:18pt;height:19.55pt;flip:x 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" fillcolor="red" strokecolor="#307aa5" strokeweight="1pt">
                      <v:stroke joinstyle="miter"/>
                    </v:oval>
                  </w:pict>
                </mc:Fallback>
              </mc:AlternateContent>
            </w:r>
          </w:p>
        </w:tc>
      </w:tr>
      <w:tr w:rsidR="003C3C3A" w:rsidRPr="003C3C3A" w:rsidTr="006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Pr>
          <w:p w:rsidR="003C3C3A" w:rsidRPr="003C3C3A" w:rsidRDefault="003C3C3A" w:rsidP="003C3C3A">
            <w:pPr>
              <w:spacing w:after="0" w:line="240" w:lineRule="auto"/>
              <w:rPr>
                <w:rFonts w:ascii="Roboto" w:eastAsia="Times New Roman" w:hAnsi="Roboto" w:cs="Times New Roman"/>
                <w:b w:val="0"/>
                <w:color w:val="000000" w:themeColor="text1"/>
                <w:sz w:val="20"/>
                <w:szCs w:val="20"/>
                <w:lang w:val="en-AU" w:eastAsia="en-US"/>
              </w:rPr>
            </w:pPr>
          </w:p>
        </w:tc>
        <w:tc>
          <w:tcPr>
            <w:tcW w:w="3835" w:type="pct"/>
          </w:tcPr>
          <w:p w:rsidR="003C3C3A" w:rsidRPr="003C3C3A" w:rsidRDefault="003C3C3A"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AU"/>
              </w:rPr>
            </w:pPr>
            <w:r w:rsidRPr="003C3C3A">
              <w:rPr>
                <w:rFonts w:ascii="Roboto Light" w:eastAsia="Times New Roman" w:hAnsi="Roboto Light" w:cs="Times New Roman"/>
                <w:color w:val="000000" w:themeColor="text1"/>
                <w:sz w:val="20"/>
                <w:szCs w:val="20"/>
                <w:lang w:val="en-AU" w:eastAsia="en-AU"/>
              </w:rPr>
              <w:t>3.2 Implementation of the five-year strategic plan and the PNG IPA Corporate Plan are supported.</w:t>
            </w:r>
          </w:p>
          <w:p w:rsidR="003C3C3A" w:rsidRPr="003C3C3A" w:rsidRDefault="003C3C3A"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US"/>
              </w:rPr>
            </w:pPr>
          </w:p>
        </w:tc>
        <w:tc>
          <w:tcPr>
            <w:tcW w:w="403" w:type="pct"/>
          </w:tcPr>
          <w:p w:rsidR="003C3C3A" w:rsidRPr="003C3C3A" w:rsidRDefault="003C3C3A"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AU"/>
              </w:rPr>
            </w:pPr>
            <w:r w:rsidRPr="003C3C3A">
              <w:rPr>
                <w:rFonts w:ascii="Roboto Light" w:eastAsia="Times New Roman" w:hAnsi="Roboto Light" w:cs="Times New Roman"/>
                <w:noProof/>
                <w:color w:val="000000" w:themeColor="text1"/>
                <w:sz w:val="20"/>
                <w:szCs w:val="20"/>
                <w:lang w:val="en-AU" w:eastAsia="en-AU"/>
              </w:rPr>
              <mc:AlternateContent>
                <mc:Choice Requires="wps">
                  <w:drawing>
                    <wp:anchor distT="0" distB="0" distL="114300" distR="114300" simplePos="0" relativeHeight="251952128" behindDoc="0" locked="0" layoutInCell="1" allowOverlap="1" wp14:anchorId="17250009" wp14:editId="625A9A1C">
                      <wp:simplePos x="0" y="0"/>
                      <wp:positionH relativeFrom="column">
                        <wp:posOffset>84455</wp:posOffset>
                      </wp:positionH>
                      <wp:positionV relativeFrom="paragraph">
                        <wp:posOffset>1270</wp:posOffset>
                      </wp:positionV>
                      <wp:extent cx="228600" cy="248285"/>
                      <wp:effectExtent l="0" t="0" r="12700" b="18415"/>
                      <wp:wrapNone/>
                      <wp:docPr id="112" name="Oval 112" descr="Red" title=" Implementation of the five-year strategic plan and the PNG IPA Corporate Plan are supported.">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7B8178" id="Oval 112" o:spid="_x0000_s1026" alt="Title:  Implementation of the five-year strategic plan and the PNG IPA Corporate Plan are supported. - Description: Red" style="position:absolute;margin-left:6.65pt;margin-top:.1pt;width:18pt;height:19.55pt;flip:x 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" fillcolor="red" strokecolor="#307aa5" strokeweight="1pt">
                      <v:stroke joinstyle="miter"/>
                    </v:oval>
                  </w:pict>
                </mc:Fallback>
              </mc:AlternateContent>
            </w:r>
          </w:p>
        </w:tc>
      </w:tr>
      <w:tr w:rsidR="003C3C3A" w:rsidRPr="003C3C3A" w:rsidTr="006B4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Pr>
          <w:p w:rsidR="003C3C3A" w:rsidRPr="003C3C3A" w:rsidRDefault="003C3C3A" w:rsidP="003C3C3A">
            <w:pPr>
              <w:spacing w:after="0" w:line="240" w:lineRule="auto"/>
              <w:rPr>
                <w:rFonts w:ascii="Roboto" w:eastAsia="Times New Roman" w:hAnsi="Roboto" w:cs="Times New Roman"/>
                <w:b w:val="0"/>
                <w:color w:val="000000" w:themeColor="text1"/>
                <w:sz w:val="20"/>
                <w:szCs w:val="20"/>
                <w:lang w:val="en-AU" w:eastAsia="en-US"/>
              </w:rPr>
            </w:pPr>
          </w:p>
        </w:tc>
        <w:tc>
          <w:tcPr>
            <w:tcW w:w="3835" w:type="pct"/>
          </w:tcPr>
          <w:p w:rsidR="003C3C3A" w:rsidRPr="003C3C3A" w:rsidRDefault="003C3C3A"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AU"/>
              </w:rPr>
            </w:pPr>
            <w:r w:rsidRPr="003C3C3A">
              <w:rPr>
                <w:rFonts w:ascii="Roboto Light" w:eastAsia="Times New Roman" w:hAnsi="Roboto Light" w:cs="Times New Roman"/>
                <w:color w:val="000000" w:themeColor="text1"/>
                <w:sz w:val="20"/>
                <w:szCs w:val="20"/>
                <w:lang w:val="en-AU" w:eastAsia="en-AU"/>
              </w:rPr>
              <w:t>3.3 Profile and reach of PNG IPA strengthened through active partnerships.</w:t>
            </w:r>
          </w:p>
          <w:p w:rsidR="003C3C3A" w:rsidRPr="003C3C3A" w:rsidRDefault="003C3C3A"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US"/>
              </w:rPr>
            </w:pPr>
          </w:p>
        </w:tc>
        <w:tc>
          <w:tcPr>
            <w:tcW w:w="403" w:type="pct"/>
          </w:tcPr>
          <w:p w:rsidR="003C3C3A" w:rsidRPr="003C3C3A" w:rsidRDefault="003C3C3A"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US"/>
              </w:rPr>
            </w:pPr>
            <w:r w:rsidRPr="003C3C3A">
              <w:rPr>
                <w:rFonts w:ascii="Roboto Light" w:eastAsia="Times New Roman" w:hAnsi="Roboto Light" w:cs="Times New Roman"/>
                <w:noProof/>
                <w:color w:val="000000" w:themeColor="text1"/>
                <w:sz w:val="20"/>
                <w:szCs w:val="20"/>
                <w:lang w:val="en-AU" w:eastAsia="en-AU"/>
              </w:rPr>
              <mc:AlternateContent>
                <mc:Choice Requires="wps">
                  <w:drawing>
                    <wp:anchor distT="0" distB="0" distL="114300" distR="114300" simplePos="0" relativeHeight="251939840" behindDoc="0" locked="0" layoutInCell="1" allowOverlap="1" wp14:anchorId="04ED2C79" wp14:editId="57A538E5">
                      <wp:simplePos x="0" y="0"/>
                      <wp:positionH relativeFrom="column">
                        <wp:posOffset>88900</wp:posOffset>
                      </wp:positionH>
                      <wp:positionV relativeFrom="paragraph">
                        <wp:posOffset>1270</wp:posOffset>
                      </wp:positionV>
                      <wp:extent cx="228600" cy="248285"/>
                      <wp:effectExtent l="0" t="0" r="12700" b="18415"/>
                      <wp:wrapNone/>
                      <wp:docPr id="109" name="Oval 109" descr="Red" title="Profile and reach of PNG IPA strengthened through active partnership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30B4FD" id="Oval 109" o:spid="_x0000_s1026" alt="Title: Profile and reach of PNG IPA strengthened through active partnerships. - Description: Red" style="position:absolute;margin-left:7pt;margin-top:.1pt;width:18pt;height:19.55pt;flip:x 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" fillcolor="red" strokecolor="#307aa5" strokeweight="1pt">
                      <v:stroke joinstyle="miter"/>
                    </v:oval>
                  </w:pict>
                </mc:Fallback>
              </mc:AlternateContent>
            </w:r>
          </w:p>
        </w:tc>
      </w:tr>
      <w:tr w:rsidR="003C3C3A" w:rsidRPr="003C3C3A" w:rsidTr="006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Pr>
          <w:p w:rsidR="003C3C3A" w:rsidRPr="003C3C3A" w:rsidRDefault="003C3C3A" w:rsidP="003C3C3A">
            <w:pPr>
              <w:spacing w:after="0" w:line="240" w:lineRule="auto"/>
              <w:rPr>
                <w:rFonts w:ascii="Roboto" w:eastAsia="Times New Roman" w:hAnsi="Roboto" w:cs="Times New Roman"/>
                <w:b w:val="0"/>
                <w:color w:val="000000" w:themeColor="text1"/>
                <w:sz w:val="20"/>
                <w:szCs w:val="20"/>
                <w:lang w:val="en-AU" w:eastAsia="en-US"/>
              </w:rPr>
            </w:pPr>
          </w:p>
        </w:tc>
        <w:tc>
          <w:tcPr>
            <w:tcW w:w="3835" w:type="pct"/>
          </w:tcPr>
          <w:p w:rsidR="003C3C3A" w:rsidRPr="003C3C3A" w:rsidRDefault="003C3C3A"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AU"/>
              </w:rPr>
            </w:pPr>
            <w:r w:rsidRPr="003C3C3A">
              <w:rPr>
                <w:rFonts w:ascii="Roboto Light" w:eastAsia="Times New Roman" w:hAnsi="Roboto Light" w:cs="Times New Roman"/>
                <w:color w:val="000000" w:themeColor="text1"/>
                <w:sz w:val="20"/>
                <w:szCs w:val="20"/>
                <w:lang w:val="en-AU" w:eastAsia="en-AU"/>
              </w:rPr>
              <w:t>3.4 GESI policy, action plan and targets developed and integrated into all PNG IPA operations.</w:t>
            </w:r>
          </w:p>
          <w:p w:rsidR="003C3C3A" w:rsidRPr="003C3C3A" w:rsidRDefault="003C3C3A"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US"/>
              </w:rPr>
            </w:pPr>
          </w:p>
        </w:tc>
        <w:tc>
          <w:tcPr>
            <w:tcW w:w="403" w:type="pct"/>
          </w:tcPr>
          <w:p w:rsidR="003C3C3A" w:rsidRPr="003C3C3A" w:rsidRDefault="003C3C3A"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AU"/>
              </w:rPr>
            </w:pPr>
            <w:r w:rsidRPr="003C3C3A">
              <w:rPr>
                <w:rFonts w:ascii="Roboto Light" w:eastAsia="Times New Roman" w:hAnsi="Roboto Light" w:cs="Times New Roman"/>
                <w:noProof/>
                <w:color w:val="000000" w:themeColor="text1"/>
                <w:sz w:val="20"/>
                <w:szCs w:val="20"/>
                <w:lang w:val="en-AU" w:eastAsia="en-AU"/>
              </w:rPr>
              <mc:AlternateContent>
                <mc:Choice Requires="wps">
                  <w:drawing>
                    <wp:anchor distT="0" distB="0" distL="114300" distR="114300" simplePos="0" relativeHeight="251927552" behindDoc="0" locked="0" layoutInCell="1" allowOverlap="1" wp14:anchorId="5429B1EC" wp14:editId="2286EE38">
                      <wp:simplePos x="0" y="0"/>
                      <wp:positionH relativeFrom="column">
                        <wp:posOffset>93980</wp:posOffset>
                      </wp:positionH>
                      <wp:positionV relativeFrom="paragraph">
                        <wp:posOffset>-17780</wp:posOffset>
                      </wp:positionV>
                      <wp:extent cx="228600" cy="248285"/>
                      <wp:effectExtent l="0" t="0" r="12700" b="18415"/>
                      <wp:wrapNone/>
                      <wp:docPr id="108" name="Oval 108" descr="Red" title="3.4 GESI policy, action plan and targets developed and integrated into all PNG IPA operation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C2E668" id="Oval 108" o:spid="_x0000_s1026" alt="Title: 3.4 GESI policy, action plan and targets developed and integrated into all PNG IPA operations. - Description: Red" style="position:absolute;margin-left:7.4pt;margin-top:-1.4pt;width:18pt;height:19.55pt;flip:x 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" fillcolor="red" strokecolor="#307aa5" strokeweight="1pt">
                      <v:stroke joinstyle="miter"/>
                    </v:oval>
                  </w:pict>
                </mc:Fallback>
              </mc:AlternateContent>
            </w:r>
          </w:p>
        </w:tc>
      </w:tr>
      <w:tr w:rsidR="003C3C3A" w:rsidRPr="003C3C3A" w:rsidTr="006B4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Pr>
          <w:p w:rsidR="003C3C3A" w:rsidRPr="003C3C3A" w:rsidRDefault="003C3C3A" w:rsidP="003C3C3A">
            <w:pPr>
              <w:spacing w:after="0" w:line="240" w:lineRule="auto"/>
              <w:rPr>
                <w:rFonts w:ascii="Roboto" w:eastAsia="Times New Roman" w:hAnsi="Roboto" w:cs="Times New Roman"/>
                <w:b w:val="0"/>
                <w:color w:val="000000" w:themeColor="text1"/>
                <w:sz w:val="20"/>
                <w:szCs w:val="20"/>
                <w:lang w:val="en-AU" w:eastAsia="en-US"/>
              </w:rPr>
            </w:pPr>
          </w:p>
          <w:p w:rsidR="003C3C3A" w:rsidRPr="003C3C3A" w:rsidRDefault="003C3C3A" w:rsidP="003C3C3A">
            <w:pPr>
              <w:spacing w:after="0" w:line="240" w:lineRule="auto"/>
              <w:rPr>
                <w:rFonts w:ascii="Roboto" w:eastAsia="Times New Roman" w:hAnsi="Roboto" w:cs="Times New Roman"/>
                <w:b w:val="0"/>
                <w:color w:val="000000" w:themeColor="text1"/>
                <w:sz w:val="20"/>
                <w:szCs w:val="20"/>
                <w:lang w:val="en-AU" w:eastAsia="en-US"/>
              </w:rPr>
            </w:pPr>
            <w:r w:rsidRPr="003C3C3A">
              <w:rPr>
                <w:rFonts w:ascii="Roboto" w:eastAsia="Times New Roman" w:hAnsi="Roboto" w:cs="Times New Roman"/>
                <w:noProof/>
                <w:color w:val="000000" w:themeColor="text1"/>
                <w:sz w:val="20"/>
                <w:szCs w:val="20"/>
                <w:lang w:val="en-AU" w:eastAsia="en-AU"/>
              </w:rPr>
              <mc:AlternateContent>
                <mc:Choice Requires="wps">
                  <w:drawing>
                    <wp:anchor distT="0" distB="0" distL="114300" distR="114300" simplePos="0" relativeHeight="251878400" behindDoc="0" locked="0" layoutInCell="1" allowOverlap="1" wp14:anchorId="132727DD" wp14:editId="2B3D9420">
                      <wp:simplePos x="0" y="0"/>
                      <wp:positionH relativeFrom="column">
                        <wp:posOffset>851535</wp:posOffset>
                      </wp:positionH>
                      <wp:positionV relativeFrom="paragraph">
                        <wp:posOffset>527685</wp:posOffset>
                      </wp:positionV>
                      <wp:extent cx="228600" cy="248285"/>
                      <wp:effectExtent l="0" t="0" r="12700" b="18415"/>
                      <wp:wrapNone/>
                      <wp:docPr id="97" name="Oval 97" descr="Red" title="Corporate resource management is efficient and effec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5F725" id="Oval 97" o:spid="_x0000_s1026" alt="Title: Corporate resource management is efficient and effective - Description: Red" style="position:absolute;margin-left:67.05pt;margin-top:41.55pt;width:18pt;height:19.55pt;flip:x 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" fillcolor="red" strokecolor="#307aa5" strokeweight="1pt">
                      <v:stroke joinstyle="miter"/>
                    </v:oval>
                  </w:pict>
                </mc:Fallback>
              </mc:AlternateContent>
            </w:r>
            <w:r w:rsidRPr="003C3C3A">
              <w:rPr>
                <w:rFonts w:ascii="Roboto" w:eastAsia="Times New Roman" w:hAnsi="Roboto" w:cs="Times New Roman"/>
                <w:b w:val="0"/>
                <w:color w:val="000000" w:themeColor="text1"/>
                <w:sz w:val="20"/>
                <w:szCs w:val="20"/>
                <w:lang w:val="en-AU" w:eastAsia="en-US"/>
              </w:rPr>
              <w:t>4. Corporate resource management is efficient and effective.</w:t>
            </w:r>
          </w:p>
          <w:p w:rsidR="003C3C3A" w:rsidRPr="003C3C3A" w:rsidRDefault="003C3C3A" w:rsidP="003C3C3A">
            <w:pPr>
              <w:spacing w:after="0" w:line="240" w:lineRule="auto"/>
              <w:rPr>
                <w:rFonts w:ascii="Roboto" w:eastAsia="Times New Roman" w:hAnsi="Roboto" w:cs="Times New Roman"/>
                <w:b w:val="0"/>
                <w:color w:val="000000" w:themeColor="text1"/>
                <w:sz w:val="20"/>
                <w:szCs w:val="20"/>
                <w:lang w:val="en-AU" w:eastAsia="en-US"/>
              </w:rPr>
            </w:pPr>
          </w:p>
        </w:tc>
        <w:tc>
          <w:tcPr>
            <w:tcW w:w="3835" w:type="pct"/>
          </w:tcPr>
          <w:p w:rsidR="003C3C3A" w:rsidRPr="003C3C3A" w:rsidRDefault="003C3C3A"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AU"/>
              </w:rPr>
            </w:pPr>
            <w:r w:rsidRPr="003C3C3A">
              <w:rPr>
                <w:rFonts w:ascii="Roboto Light" w:eastAsia="Times New Roman" w:hAnsi="Roboto Light" w:cs="Times New Roman"/>
                <w:color w:val="000000" w:themeColor="text1"/>
                <w:sz w:val="20"/>
                <w:szCs w:val="20"/>
                <w:lang w:val="en-AU" w:eastAsia="en-AU"/>
              </w:rPr>
              <w:t>4.1 Corporate policies and operating procedures promote good governance, gender equality and social inclusion.</w:t>
            </w:r>
          </w:p>
          <w:p w:rsidR="003C3C3A" w:rsidRPr="003C3C3A" w:rsidRDefault="003C3C3A"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US"/>
              </w:rPr>
            </w:pPr>
          </w:p>
        </w:tc>
        <w:tc>
          <w:tcPr>
            <w:tcW w:w="403" w:type="pct"/>
          </w:tcPr>
          <w:p w:rsidR="003C3C3A" w:rsidRPr="003C3C3A" w:rsidRDefault="003C3C3A"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AU"/>
              </w:rPr>
            </w:pPr>
            <w:r w:rsidRPr="003C3C3A">
              <w:rPr>
                <w:rFonts w:ascii="Roboto Light" w:eastAsia="Times New Roman" w:hAnsi="Roboto Light" w:cs="Times New Roman"/>
                <w:noProof/>
                <w:color w:val="000000" w:themeColor="text1"/>
                <w:sz w:val="20"/>
                <w:szCs w:val="20"/>
                <w:lang w:val="en-AU" w:eastAsia="en-AU"/>
              </w:rPr>
              <mc:AlternateContent>
                <mc:Choice Requires="wps">
                  <w:drawing>
                    <wp:anchor distT="0" distB="0" distL="114300" distR="114300" simplePos="0" relativeHeight="251915264" behindDoc="0" locked="0" layoutInCell="1" allowOverlap="1" wp14:anchorId="5506D7DC" wp14:editId="6F16B284">
                      <wp:simplePos x="0" y="0"/>
                      <wp:positionH relativeFrom="column">
                        <wp:posOffset>70485</wp:posOffset>
                      </wp:positionH>
                      <wp:positionV relativeFrom="paragraph">
                        <wp:posOffset>2540</wp:posOffset>
                      </wp:positionV>
                      <wp:extent cx="228600" cy="248285"/>
                      <wp:effectExtent l="0" t="0" r="12700" b="18415"/>
                      <wp:wrapNone/>
                      <wp:docPr id="107" name="Oval 107" descr="Red" title="Corporate policies and operating procedures promote good governance, gender equality and social inclusi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FCDFFB" id="Oval 107" o:spid="_x0000_s1026" alt="Title: Corporate policies and operating procedures promote good governance, gender equality and social inclusion. - Description: Red" style="position:absolute;margin-left:5.55pt;margin-top:.2pt;width:18pt;height:19.55pt;flip:x 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" fillcolor="red" strokecolor="#307aa5" strokeweight="1pt">
                      <v:stroke joinstyle="miter"/>
                    </v:oval>
                  </w:pict>
                </mc:Fallback>
              </mc:AlternateContent>
            </w:r>
          </w:p>
        </w:tc>
      </w:tr>
      <w:tr w:rsidR="003C3C3A" w:rsidRPr="003C3C3A" w:rsidTr="006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Pr>
          <w:p w:rsidR="003C3C3A" w:rsidRPr="003C3C3A" w:rsidRDefault="003C3C3A" w:rsidP="003C3C3A">
            <w:pPr>
              <w:spacing w:after="0" w:line="240" w:lineRule="auto"/>
              <w:rPr>
                <w:rFonts w:ascii="Roboto" w:eastAsia="Times New Roman" w:hAnsi="Roboto" w:cs="Times New Roman"/>
                <w:b w:val="0"/>
                <w:color w:val="000000" w:themeColor="text1"/>
                <w:sz w:val="20"/>
                <w:szCs w:val="20"/>
                <w:lang w:val="en-AU" w:eastAsia="en-US"/>
              </w:rPr>
            </w:pPr>
          </w:p>
        </w:tc>
        <w:tc>
          <w:tcPr>
            <w:tcW w:w="3835" w:type="pct"/>
          </w:tcPr>
          <w:p w:rsidR="003C3C3A" w:rsidRPr="003C3C3A" w:rsidRDefault="003C3C3A"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AU"/>
              </w:rPr>
            </w:pPr>
            <w:r w:rsidRPr="003C3C3A">
              <w:rPr>
                <w:rFonts w:ascii="Roboto Light" w:eastAsia="Times New Roman" w:hAnsi="Roboto Light" w:cs="Times New Roman"/>
                <w:color w:val="000000" w:themeColor="text1"/>
                <w:sz w:val="20"/>
                <w:szCs w:val="20"/>
                <w:lang w:val="en-AU" w:eastAsia="en-AU"/>
              </w:rPr>
              <w:t>4.2 Student services are enhanced to enrich student life, address gender and disability-related barriers, and promote learning.</w:t>
            </w:r>
          </w:p>
          <w:p w:rsidR="003C3C3A" w:rsidRPr="003C3C3A" w:rsidRDefault="003C3C3A"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US"/>
              </w:rPr>
            </w:pPr>
          </w:p>
        </w:tc>
        <w:tc>
          <w:tcPr>
            <w:tcW w:w="403" w:type="pct"/>
          </w:tcPr>
          <w:p w:rsidR="003C3C3A" w:rsidRPr="003C3C3A" w:rsidRDefault="003C3C3A"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AU"/>
              </w:rPr>
            </w:pPr>
            <w:r w:rsidRPr="003C3C3A">
              <w:rPr>
                <w:rFonts w:ascii="Roboto Light" w:eastAsia="Times New Roman" w:hAnsi="Roboto Light" w:cs="Times New Roman"/>
                <w:noProof/>
                <w:color w:val="000000" w:themeColor="text1"/>
                <w:sz w:val="20"/>
                <w:szCs w:val="20"/>
                <w:lang w:val="en-AU" w:eastAsia="en-AU"/>
              </w:rPr>
              <mc:AlternateContent>
                <mc:Choice Requires="wps">
                  <w:drawing>
                    <wp:anchor distT="0" distB="0" distL="114300" distR="114300" simplePos="0" relativeHeight="252099584" behindDoc="0" locked="0" layoutInCell="1" allowOverlap="1" wp14:anchorId="02F9C378" wp14:editId="14E1AD78">
                      <wp:simplePos x="0" y="0"/>
                      <wp:positionH relativeFrom="column">
                        <wp:posOffset>91440</wp:posOffset>
                      </wp:positionH>
                      <wp:positionV relativeFrom="paragraph">
                        <wp:posOffset>-3175</wp:posOffset>
                      </wp:positionV>
                      <wp:extent cx="228600" cy="248285"/>
                      <wp:effectExtent l="0" t="0" r="12700" b="18415"/>
                      <wp:wrapNone/>
                      <wp:docPr id="72" name="Oval 72" descr="Red" title="Student services are enhanced to enrich student life, address gender and disability-related barriers, and promote learning.">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786187" id="Oval 72" o:spid="_x0000_s1026" alt="Title: Student services are enhanced to enrich student life, address gender and disability-related barriers, and promote learning. - Description: Red" style="position:absolute;margin-left:7.2pt;margin-top:-.25pt;width:18pt;height:19.55pt;flip:x 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" fillcolor="red" strokecolor="#307aa5" strokeweight="1pt">
                      <v:stroke joinstyle="miter"/>
                    </v:oval>
                  </w:pict>
                </mc:Fallback>
              </mc:AlternateContent>
            </w:r>
          </w:p>
        </w:tc>
      </w:tr>
      <w:tr w:rsidR="003C3C3A" w:rsidRPr="003C3C3A" w:rsidTr="006B4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Pr>
          <w:p w:rsidR="003C3C3A" w:rsidRPr="003C3C3A" w:rsidRDefault="003C3C3A" w:rsidP="003C3C3A">
            <w:pPr>
              <w:spacing w:after="0" w:line="240" w:lineRule="auto"/>
              <w:rPr>
                <w:rFonts w:ascii="Roboto" w:eastAsia="Times New Roman" w:hAnsi="Roboto" w:cs="Times New Roman"/>
                <w:b w:val="0"/>
                <w:color w:val="000000" w:themeColor="text1"/>
                <w:sz w:val="20"/>
                <w:szCs w:val="20"/>
                <w:lang w:val="en-AU" w:eastAsia="en-US"/>
              </w:rPr>
            </w:pPr>
          </w:p>
        </w:tc>
        <w:tc>
          <w:tcPr>
            <w:tcW w:w="3835" w:type="pct"/>
          </w:tcPr>
          <w:p w:rsidR="003C3C3A" w:rsidRPr="003C3C3A" w:rsidRDefault="003C3C3A"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US"/>
              </w:rPr>
            </w:pPr>
            <w:r w:rsidRPr="003C3C3A">
              <w:rPr>
                <w:rFonts w:ascii="Roboto Light" w:eastAsia="Times New Roman" w:hAnsi="Roboto Light" w:cs="Times New Roman"/>
                <w:color w:val="000000" w:themeColor="text1"/>
                <w:sz w:val="20"/>
                <w:szCs w:val="20"/>
                <w:lang w:val="en-AU" w:eastAsia="en-AU"/>
              </w:rPr>
              <w:t>4.3 Communication and information flows are upgraded externally and internally.</w:t>
            </w:r>
          </w:p>
          <w:p w:rsidR="003C3C3A" w:rsidRPr="003C3C3A" w:rsidRDefault="003C3C3A"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US"/>
              </w:rPr>
            </w:pPr>
          </w:p>
        </w:tc>
        <w:tc>
          <w:tcPr>
            <w:tcW w:w="403" w:type="pct"/>
          </w:tcPr>
          <w:p w:rsidR="003C3C3A" w:rsidRPr="003C3C3A" w:rsidRDefault="003C3C3A" w:rsidP="003C3C3A">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Roboto Light" w:eastAsia="Times New Roman" w:hAnsi="Roboto Light" w:cs="Times New Roman"/>
                <w:color w:val="000000" w:themeColor="text1"/>
                <w:sz w:val="20"/>
                <w:szCs w:val="20"/>
                <w:lang w:val="en-AU" w:eastAsia="en-US"/>
              </w:rPr>
            </w:pPr>
            <w:r w:rsidRPr="003C3C3A">
              <w:rPr>
                <w:rFonts w:ascii="Roboto Light" w:eastAsia="Times New Roman" w:hAnsi="Roboto Light" w:cs="Times New Roman"/>
                <w:noProof/>
                <w:color w:val="000000" w:themeColor="text1"/>
                <w:sz w:val="20"/>
                <w:szCs w:val="20"/>
                <w:lang w:val="en-AU" w:eastAsia="en-AU"/>
              </w:rPr>
              <mc:AlternateContent>
                <mc:Choice Requires="wps">
                  <w:drawing>
                    <wp:anchor distT="0" distB="0" distL="114300" distR="114300" simplePos="0" relativeHeight="251902976" behindDoc="0" locked="0" layoutInCell="1" allowOverlap="1" wp14:anchorId="3A8B315B" wp14:editId="0FBFE9F8">
                      <wp:simplePos x="0" y="0"/>
                      <wp:positionH relativeFrom="column">
                        <wp:posOffset>100965</wp:posOffset>
                      </wp:positionH>
                      <wp:positionV relativeFrom="paragraph">
                        <wp:posOffset>40640</wp:posOffset>
                      </wp:positionV>
                      <wp:extent cx="228600" cy="248285"/>
                      <wp:effectExtent l="0" t="0" r="12700" b="18415"/>
                      <wp:wrapNone/>
                      <wp:docPr id="106" name="Oval 106" descr="Red" title="Communication and information flows are upgraded externally and internally.">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843AA0" id="Oval 106" o:spid="_x0000_s1026" alt="Title: Communication and information flows are upgraded externally and internally. - Description: Red" style="position:absolute;margin-left:7.95pt;margin-top:3.2pt;width:18pt;height:19.55pt;flip:x 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" fillcolor="red" strokecolor="#307aa5" strokeweight="1pt">
                      <v:stroke joinstyle="miter"/>
                    </v:oval>
                  </w:pict>
                </mc:Fallback>
              </mc:AlternateContent>
            </w:r>
          </w:p>
        </w:tc>
      </w:tr>
      <w:tr w:rsidR="003C3C3A" w:rsidRPr="003C3C3A" w:rsidTr="006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pct"/>
          </w:tcPr>
          <w:p w:rsidR="003C3C3A" w:rsidRPr="003C3C3A" w:rsidRDefault="003C3C3A" w:rsidP="003C3C3A">
            <w:pPr>
              <w:spacing w:after="0" w:line="240" w:lineRule="auto"/>
              <w:rPr>
                <w:rFonts w:ascii="Roboto" w:eastAsia="Times New Roman" w:hAnsi="Roboto" w:cs="Times New Roman"/>
                <w:b w:val="0"/>
                <w:color w:val="000000" w:themeColor="text1"/>
                <w:sz w:val="20"/>
                <w:szCs w:val="20"/>
                <w:lang w:val="en-AU" w:eastAsia="en-US"/>
              </w:rPr>
            </w:pPr>
          </w:p>
        </w:tc>
        <w:tc>
          <w:tcPr>
            <w:tcW w:w="3835" w:type="pct"/>
          </w:tcPr>
          <w:p w:rsidR="003C3C3A" w:rsidRPr="003C3C3A" w:rsidRDefault="003C3C3A"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AU"/>
              </w:rPr>
            </w:pPr>
            <w:r w:rsidRPr="003C3C3A">
              <w:rPr>
                <w:rFonts w:ascii="Roboto Light" w:eastAsia="Times New Roman" w:hAnsi="Roboto Light" w:cs="Times New Roman"/>
                <w:color w:val="000000" w:themeColor="text1"/>
                <w:sz w:val="20"/>
                <w:szCs w:val="20"/>
                <w:lang w:val="en-AU" w:eastAsia="en-AU"/>
              </w:rPr>
              <w:t>4.4 Human resource systems and staff development are strengthened.</w:t>
            </w:r>
          </w:p>
          <w:p w:rsidR="003C3C3A" w:rsidRPr="003C3C3A" w:rsidRDefault="003C3C3A"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AU"/>
              </w:rPr>
            </w:pPr>
          </w:p>
        </w:tc>
        <w:tc>
          <w:tcPr>
            <w:tcW w:w="403" w:type="pct"/>
          </w:tcPr>
          <w:p w:rsidR="003C3C3A" w:rsidRPr="003C3C3A" w:rsidRDefault="003C3C3A" w:rsidP="003C3C3A">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Roboto Light" w:eastAsia="Times New Roman" w:hAnsi="Roboto Light" w:cs="Times New Roman"/>
                <w:color w:val="000000" w:themeColor="text1"/>
                <w:sz w:val="20"/>
                <w:szCs w:val="20"/>
                <w:lang w:val="en-AU" w:eastAsia="en-US"/>
              </w:rPr>
            </w:pPr>
            <w:r w:rsidRPr="003C3C3A">
              <w:rPr>
                <w:rFonts w:ascii="Roboto Light" w:eastAsia="Times New Roman" w:hAnsi="Roboto Light" w:cs="Times New Roman"/>
                <w:noProof/>
                <w:color w:val="000000" w:themeColor="text1"/>
                <w:sz w:val="20"/>
                <w:szCs w:val="20"/>
                <w:lang w:val="en-AU" w:eastAsia="en-AU"/>
              </w:rPr>
              <mc:AlternateContent>
                <mc:Choice Requires="wps">
                  <w:drawing>
                    <wp:anchor distT="0" distB="0" distL="114300" distR="114300" simplePos="0" relativeHeight="252038144" behindDoc="0" locked="0" layoutInCell="1" allowOverlap="1" wp14:anchorId="2D843905" wp14:editId="6E03057C">
                      <wp:simplePos x="0" y="0"/>
                      <wp:positionH relativeFrom="column">
                        <wp:posOffset>110490</wp:posOffset>
                      </wp:positionH>
                      <wp:positionV relativeFrom="paragraph">
                        <wp:posOffset>15240</wp:posOffset>
                      </wp:positionV>
                      <wp:extent cx="228600" cy="248285"/>
                      <wp:effectExtent l="0" t="0" r="12700" b="18415"/>
                      <wp:wrapNone/>
                      <wp:docPr id="15" name="Oval 15" descr="Red" title="4.4 Human resource systems and staff development are strengthened.">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228600" cy="248285"/>
                              </a:xfrm>
                              <a:prstGeom prst="ellipse">
                                <a:avLst/>
                              </a:prstGeom>
                              <a:solidFill>
                                <a:srgbClr val="FF0000"/>
                              </a:solidFill>
                              <a:ln w="12700" cap="flat" cmpd="sng" algn="ctr">
                                <a:solidFill>
                                  <a:srgbClr val="45A7E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8BF01" id="Oval 15" o:spid="_x0000_s1026" alt="Title: 4.4 Human resource systems and staff development are strengthened. - Description: Red" style="position:absolute;margin-left:8.7pt;margin-top:1.2pt;width:18pt;height:19.55pt;flip:x 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" fillcolor="red" strokecolor="#307aa5" strokeweight="1pt">
                      <v:stroke joinstyle="miter"/>
                    </v:oval>
                  </w:pict>
                </mc:Fallback>
              </mc:AlternateContent>
            </w:r>
          </w:p>
        </w:tc>
      </w:tr>
    </w:tbl>
    <w:p w:rsidR="00D36E86" w:rsidRPr="003C3C3A" w:rsidRDefault="00D36E86" w:rsidP="005975B5">
      <w:pPr>
        <w:rPr>
          <w:rFonts w:ascii="Roboto Light" w:hAnsi="Roboto Light"/>
          <w:color w:val="000000" w:themeColor="text1"/>
          <w:szCs w:val="20"/>
        </w:rPr>
      </w:pPr>
    </w:p>
    <w:p w:rsidR="009D1242" w:rsidRPr="00091600" w:rsidRDefault="009D1242">
      <w:pPr>
        <w:rPr>
          <w:rFonts w:ascii="Roboto Light" w:hAnsi="Roboto Light"/>
          <w:lang w:val="en-AU"/>
        </w:rPr>
      </w:pPr>
      <w:r w:rsidRPr="00091600">
        <w:rPr>
          <w:rFonts w:ascii="Roboto Light" w:hAnsi="Roboto Light"/>
          <w:lang w:val="en-AU"/>
        </w:rPr>
        <w:br w:type="page"/>
      </w:r>
    </w:p>
    <w:p w:rsidR="00D36E86" w:rsidRPr="00091600" w:rsidRDefault="00D36E86">
      <w:pPr>
        <w:pStyle w:val="Heading1NONUM"/>
        <w:rPr>
          <w:rFonts w:ascii="Roboto Light" w:hAnsi="Roboto Light"/>
          <w:lang w:val="en-AU"/>
        </w:rPr>
        <w:sectPr w:rsidR="00D36E86" w:rsidRPr="00091600" w:rsidSect="0090220E">
          <w:pgSz w:w="16820" w:h="11900" w:orient="landscape"/>
          <w:pgMar w:top="1701" w:right="1701" w:bottom="1701" w:left="1701" w:header="709" w:footer="709" w:gutter="0"/>
          <w:cols w:space="708"/>
          <w:docGrid w:linePitch="360"/>
        </w:sectPr>
      </w:pPr>
    </w:p>
    <w:p w:rsidR="009D1242" w:rsidRPr="00091600" w:rsidRDefault="00F850EC" w:rsidP="00CE3EF7">
      <w:pPr>
        <w:pStyle w:val="Annexnumberedlist"/>
        <w:rPr>
          <w:rFonts w:ascii="Roboto Light" w:hAnsi="Roboto Light"/>
        </w:rPr>
      </w:pPr>
      <w:bookmarkStart w:id="185" w:name="_Toc2091565"/>
      <w:r w:rsidRPr="00091600">
        <w:t>G</w:t>
      </w:r>
      <w:r w:rsidR="007D727E">
        <w:t>ender equity and social inclusion</w:t>
      </w:r>
      <w:bookmarkEnd w:id="185"/>
    </w:p>
    <w:p w:rsidR="000F4B57" w:rsidRPr="00091600" w:rsidRDefault="000F4B57" w:rsidP="006D004F">
      <w:pPr>
        <w:pStyle w:val="level2annexlist"/>
      </w:pPr>
      <w:bookmarkStart w:id="186" w:name="_Toc536719928"/>
      <w:bookmarkStart w:id="187" w:name="_Toc2091566"/>
      <w:r w:rsidRPr="00091600">
        <w:t>Introduction</w:t>
      </w:r>
      <w:bookmarkEnd w:id="186"/>
      <w:bookmarkEnd w:id="187"/>
    </w:p>
    <w:p w:rsidR="000F4B57" w:rsidRPr="00091600" w:rsidRDefault="000F4B57" w:rsidP="006332DC">
      <w:pPr>
        <w:pStyle w:val="BodyText"/>
        <w:rPr>
          <w:lang w:val="en-AU"/>
        </w:rPr>
      </w:pPr>
      <w:r w:rsidRPr="00091600">
        <w:t>The</w:t>
      </w:r>
      <w:r w:rsidRPr="00091600">
        <w:rPr>
          <w:lang w:val="en-AU"/>
        </w:rPr>
        <w:t xml:space="preserve"> importance of </w:t>
      </w:r>
      <w:r w:rsidR="00A776D2">
        <w:rPr>
          <w:lang w:val="en-AU"/>
        </w:rPr>
        <w:t>gender and social inclusion</w:t>
      </w:r>
      <w:r w:rsidRPr="00091600">
        <w:rPr>
          <w:lang w:val="en-AU"/>
        </w:rPr>
        <w:t xml:space="preserve"> as a policy </w:t>
      </w:r>
      <w:r w:rsidR="00D36E86" w:rsidRPr="00091600">
        <w:rPr>
          <w:lang w:val="en-AU"/>
        </w:rPr>
        <w:t>imperative</w:t>
      </w:r>
      <w:r w:rsidRPr="00091600">
        <w:rPr>
          <w:lang w:val="en-AU"/>
        </w:rPr>
        <w:t xml:space="preserve"> is evident across this aid investment</w:t>
      </w:r>
      <w:r w:rsidR="008B5CFE" w:rsidRPr="00091600">
        <w:rPr>
          <w:lang w:val="en-AU"/>
        </w:rPr>
        <w:t>.</w:t>
      </w:r>
      <w:r w:rsidR="00D36E86" w:rsidRPr="00091600">
        <w:rPr>
          <w:lang w:val="en-AU"/>
        </w:rPr>
        <w:t xml:space="preserve"> </w:t>
      </w:r>
      <w:r w:rsidR="009359D4">
        <w:rPr>
          <w:lang w:val="en-AU"/>
        </w:rPr>
        <w:t>The Government of Australia (</w:t>
      </w:r>
      <w:r w:rsidRPr="00091600">
        <w:rPr>
          <w:lang w:val="en-AU"/>
        </w:rPr>
        <w:t>GoA</w:t>
      </w:r>
      <w:r w:rsidR="009359D4">
        <w:rPr>
          <w:lang w:val="en-AU"/>
        </w:rPr>
        <w:t>)</w:t>
      </w:r>
      <w:r w:rsidRPr="00091600">
        <w:rPr>
          <w:lang w:val="en-AU"/>
        </w:rPr>
        <w:t xml:space="preserve"> has its own </w:t>
      </w:r>
      <w:r w:rsidRPr="00091600">
        <w:rPr>
          <w:i/>
          <w:lang w:val="en-AU"/>
        </w:rPr>
        <w:t>Gender Equality and Women’s Empowerment Strategy</w:t>
      </w:r>
      <w:r w:rsidRPr="00091600">
        <w:rPr>
          <w:lang w:val="en-AU"/>
        </w:rPr>
        <w:t>,</w:t>
      </w:r>
      <w:r w:rsidRPr="00091600">
        <w:rPr>
          <w:rStyle w:val="FootnoteReference"/>
          <w:lang w:val="en-AU"/>
        </w:rPr>
        <w:footnoteReference w:id="67"/>
      </w:r>
      <w:r w:rsidRPr="00091600">
        <w:rPr>
          <w:lang w:val="en-AU"/>
        </w:rPr>
        <w:t xml:space="preserve"> </w:t>
      </w:r>
      <w:r w:rsidRPr="00091600">
        <w:rPr>
          <w:i/>
          <w:lang w:val="en-AU"/>
        </w:rPr>
        <w:t>Disability Action Strategy 2017</w:t>
      </w:r>
      <w:r w:rsidRPr="00091600">
        <w:rPr>
          <w:rFonts w:cstheme="minorHAnsi"/>
          <w:i/>
          <w:lang w:val="en-AU"/>
        </w:rPr>
        <w:t>–</w:t>
      </w:r>
      <w:r w:rsidRPr="00091600">
        <w:rPr>
          <w:i/>
          <w:lang w:val="en-AU"/>
        </w:rPr>
        <w:t>20</w:t>
      </w:r>
      <w:r w:rsidR="0090220E" w:rsidRPr="00091600">
        <w:rPr>
          <w:i/>
          <w:lang w:val="en-AU"/>
        </w:rPr>
        <w:t>20</w:t>
      </w:r>
      <w:r w:rsidRPr="00091600">
        <w:rPr>
          <w:lang w:val="en-AU"/>
        </w:rPr>
        <w:t>,</w:t>
      </w:r>
      <w:r w:rsidRPr="00091600">
        <w:rPr>
          <w:rStyle w:val="FootnoteReference"/>
          <w:lang w:val="en-AU"/>
        </w:rPr>
        <w:footnoteReference w:id="68"/>
      </w:r>
      <w:r w:rsidRPr="00091600">
        <w:rPr>
          <w:lang w:val="en-AU"/>
        </w:rPr>
        <w:t xml:space="preserve"> and </w:t>
      </w:r>
      <w:r w:rsidRPr="00091600">
        <w:rPr>
          <w:i/>
          <w:lang w:val="en-AU"/>
        </w:rPr>
        <w:t>Indigenous People’s Strategy 2015</w:t>
      </w:r>
      <w:r w:rsidRPr="00091600">
        <w:rPr>
          <w:rFonts w:cstheme="minorHAnsi"/>
          <w:i/>
          <w:lang w:val="en-AU"/>
        </w:rPr>
        <w:t>–</w:t>
      </w:r>
      <w:r w:rsidR="0090220E" w:rsidRPr="00091600">
        <w:rPr>
          <w:i/>
          <w:lang w:val="en-AU"/>
        </w:rPr>
        <w:t>19</w:t>
      </w:r>
      <w:r w:rsidR="008F2E24" w:rsidRPr="00091600">
        <w:rPr>
          <w:lang w:val="en-AU"/>
        </w:rPr>
        <w:t>.</w:t>
      </w:r>
      <w:r w:rsidRPr="00091600">
        <w:rPr>
          <w:rStyle w:val="FootnoteReference"/>
          <w:lang w:val="en-AU"/>
        </w:rPr>
        <w:footnoteReference w:id="69"/>
      </w:r>
      <w:r w:rsidRPr="00091600">
        <w:rPr>
          <w:lang w:val="en-AU"/>
        </w:rPr>
        <w:t xml:space="preserve"> </w:t>
      </w:r>
      <w:r w:rsidR="00E87298">
        <w:rPr>
          <w:lang w:val="en-AU"/>
        </w:rPr>
        <w:t>The PNG Government</w:t>
      </w:r>
      <w:r w:rsidRPr="00091600">
        <w:rPr>
          <w:lang w:val="en-AU"/>
        </w:rPr>
        <w:t xml:space="preserve"> has the </w:t>
      </w:r>
      <w:r w:rsidR="00EA39A2" w:rsidRPr="001422B3">
        <w:rPr>
          <w:i/>
          <w:lang w:val="en-AU"/>
        </w:rPr>
        <w:t>National Public Service (</w:t>
      </w:r>
      <w:r w:rsidR="0090220E" w:rsidRPr="00091600">
        <w:rPr>
          <w:i/>
          <w:lang w:val="en-AU"/>
        </w:rPr>
        <w:t>GESI</w:t>
      </w:r>
      <w:r w:rsidR="00EA39A2">
        <w:rPr>
          <w:i/>
          <w:lang w:val="en-AU"/>
        </w:rPr>
        <w:t>)</w:t>
      </w:r>
      <w:r w:rsidRPr="00091600">
        <w:rPr>
          <w:i/>
          <w:lang w:val="en-AU"/>
        </w:rPr>
        <w:t xml:space="preserve"> Policy 2012</w:t>
      </w:r>
      <w:r w:rsidR="008F2E24" w:rsidRPr="00091600">
        <w:rPr>
          <w:lang w:val="en-AU"/>
        </w:rPr>
        <w:t>.</w:t>
      </w:r>
      <w:r w:rsidR="0090220E" w:rsidRPr="00091600">
        <w:rPr>
          <w:lang w:val="en-AU"/>
        </w:rPr>
        <w:t xml:space="preserve"> </w:t>
      </w:r>
      <w:r w:rsidR="008F2E24" w:rsidRPr="00091600">
        <w:rPr>
          <w:lang w:val="en-AU"/>
        </w:rPr>
        <w:t>F</w:t>
      </w:r>
      <w:r w:rsidR="0090220E" w:rsidRPr="00091600">
        <w:rPr>
          <w:lang w:val="en-AU"/>
        </w:rPr>
        <w:t>or</w:t>
      </w:r>
      <w:r w:rsidRPr="00091600">
        <w:rPr>
          <w:lang w:val="en-AU"/>
        </w:rPr>
        <w:t xml:space="preserve"> the Managing Contractor, Abt PNG, the second of four key results areas for the Governance Partnership is that ‘Governance programs effectively address gender issues’</w:t>
      </w:r>
      <w:r w:rsidRPr="00091600">
        <w:rPr>
          <w:i/>
          <w:lang w:val="en-AU"/>
        </w:rPr>
        <w:t>.</w:t>
      </w:r>
    </w:p>
    <w:p w:rsidR="000F4B57" w:rsidRPr="0045495E" w:rsidRDefault="000F4B57" w:rsidP="006D004F">
      <w:pPr>
        <w:pStyle w:val="level2annexlist"/>
      </w:pPr>
      <w:bookmarkStart w:id="188" w:name="_Toc536719929"/>
      <w:bookmarkStart w:id="189" w:name="_Toc2091567"/>
      <w:r w:rsidRPr="0045495E">
        <w:t xml:space="preserve">Program </w:t>
      </w:r>
      <w:r w:rsidRPr="0045495E">
        <w:rPr>
          <w:rStyle w:val="Emphasis"/>
          <w:i w:val="0"/>
        </w:rPr>
        <w:t>logic</w:t>
      </w:r>
      <w:bookmarkEnd w:id="188"/>
      <w:bookmarkEnd w:id="189"/>
    </w:p>
    <w:p w:rsidR="000F4B57" w:rsidRPr="00091600" w:rsidRDefault="00DB115A" w:rsidP="000F4B57">
      <w:pPr>
        <w:pStyle w:val="BodyText"/>
        <w:rPr>
          <w:lang w:val="en-AU"/>
        </w:rPr>
      </w:pPr>
      <w:r>
        <w:rPr>
          <w:lang w:val="en-AU"/>
        </w:rPr>
        <w:t>Gender and social inclusion</w:t>
      </w:r>
      <w:r w:rsidRPr="0056062C">
        <w:rPr>
          <w:lang w:val="en-AU"/>
        </w:rPr>
        <w:t xml:space="preserve"> </w:t>
      </w:r>
      <w:r>
        <w:rPr>
          <w:lang w:val="en-AU"/>
        </w:rPr>
        <w:t xml:space="preserve">are </w:t>
      </w:r>
      <w:r w:rsidR="000F4B57" w:rsidRPr="00091600">
        <w:rPr>
          <w:lang w:val="en-AU"/>
        </w:rPr>
        <w:t xml:space="preserve">fundamental </w:t>
      </w:r>
      <w:r w:rsidR="0090220E" w:rsidRPr="00091600">
        <w:rPr>
          <w:lang w:val="en-AU"/>
        </w:rPr>
        <w:t>concept</w:t>
      </w:r>
      <w:r>
        <w:rPr>
          <w:lang w:val="en-AU"/>
        </w:rPr>
        <w:t>s</w:t>
      </w:r>
      <w:r w:rsidR="000F4B57" w:rsidRPr="00091600">
        <w:rPr>
          <w:lang w:val="en-AU"/>
        </w:rPr>
        <w:t xml:space="preserve"> </w:t>
      </w:r>
      <w:r>
        <w:rPr>
          <w:lang w:val="en-AU"/>
        </w:rPr>
        <w:t>i</w:t>
      </w:r>
      <w:r w:rsidR="000F4B57" w:rsidRPr="00091600">
        <w:rPr>
          <w:lang w:val="en-AU"/>
        </w:rPr>
        <w:t>n the design of the Precinct.</w:t>
      </w:r>
      <w:r w:rsidR="000F4B57" w:rsidRPr="00091600">
        <w:rPr>
          <w:rStyle w:val="FootnoteReference"/>
          <w:lang w:val="en-AU"/>
        </w:rPr>
        <w:footnoteReference w:id="70"/>
      </w:r>
      <w:r w:rsidR="000F4B57" w:rsidRPr="00091600">
        <w:rPr>
          <w:lang w:val="en-AU"/>
        </w:rPr>
        <w:t xml:space="preserve"> The January 2016 Design and Implementation Briefing Note states:</w:t>
      </w:r>
    </w:p>
    <w:p w:rsidR="000F4B57" w:rsidRPr="00091600" w:rsidRDefault="000F4B57" w:rsidP="000F4B57">
      <w:pPr>
        <w:pStyle w:val="BodyText"/>
        <w:ind w:left="567" w:right="515"/>
        <w:rPr>
          <w:lang w:val="en-AU"/>
        </w:rPr>
      </w:pPr>
      <w:r w:rsidRPr="00091600">
        <w:rPr>
          <w:i/>
          <w:lang w:val="en-AU"/>
        </w:rPr>
        <w:t xml:space="preserve">‘The Australian government and GoPNG, through their policies and practice, are each committed to gender equality and social inclusion. Principles of gender equality are embedded across Precinct initiatives, including striving for parity in men and women in course developers, presenters and participants, addressing significant barriers that exist through remoteness and through various forms of disability. The progression of female academics into leadership positions should be tracked and reported against. Participation of women in PD (courses, scholarships or awards) should be managed to ensure equality of opportunity for women academic and administrative staff. </w:t>
      </w:r>
      <w:r w:rsidR="0090220E" w:rsidRPr="00091600">
        <w:rPr>
          <w:i/>
          <w:lang w:val="en-AU"/>
        </w:rPr>
        <w:t xml:space="preserve">Gender based violence </w:t>
      </w:r>
      <w:r w:rsidRPr="00091600">
        <w:rPr>
          <w:i/>
          <w:lang w:val="en-AU"/>
        </w:rPr>
        <w:t>is also a key issue to address, part of a broader strategy to improve the work environment and reduce the risk some women face when seeking to achieve in their professional life.’</w:t>
      </w:r>
      <w:r w:rsidRPr="00091600">
        <w:rPr>
          <w:rStyle w:val="FootnoteReference"/>
          <w:lang w:val="en-AU"/>
        </w:rPr>
        <w:footnoteReference w:id="71"/>
      </w:r>
    </w:p>
    <w:p w:rsidR="000F4B57" w:rsidRPr="00091600" w:rsidRDefault="000F4B57" w:rsidP="000F4B57">
      <w:pPr>
        <w:pStyle w:val="BodyText"/>
        <w:rPr>
          <w:lang w:val="en-AU"/>
        </w:rPr>
      </w:pPr>
      <w:r w:rsidRPr="00091600">
        <w:rPr>
          <w:lang w:val="en-AU"/>
        </w:rPr>
        <w:t>The stated goal of the Precinct</w:t>
      </w:r>
      <w:r w:rsidR="0090220E" w:rsidRPr="00091600">
        <w:rPr>
          <w:lang w:val="en-AU"/>
        </w:rPr>
        <w:t xml:space="preserve"> </w:t>
      </w:r>
      <w:r w:rsidR="00454F04" w:rsidRPr="00091600">
        <w:rPr>
          <w:lang w:val="en-AU"/>
        </w:rPr>
        <w:t>program</w:t>
      </w:r>
      <w:r w:rsidRPr="00091600">
        <w:rPr>
          <w:lang w:val="en-AU"/>
        </w:rPr>
        <w:t xml:space="preserve"> is to support the efforts of </w:t>
      </w:r>
      <w:r w:rsidR="00E87298">
        <w:rPr>
          <w:lang w:val="en-AU"/>
        </w:rPr>
        <w:t>the PNG Government</w:t>
      </w:r>
      <w:r w:rsidRPr="00091600">
        <w:rPr>
          <w:lang w:val="en-AU"/>
        </w:rPr>
        <w:t xml:space="preserve"> ‘to grow a new generation of ethical public service leaders, both women and men, with the capability and motivation to collaborate, lead and manage the delivery of equitable and inclusive government services to all citizens of the country’</w:t>
      </w:r>
      <w:r w:rsidRPr="00091600">
        <w:rPr>
          <w:rStyle w:val="FootnoteReference"/>
          <w:lang w:val="en-AU"/>
        </w:rPr>
        <w:footnoteReference w:id="72"/>
      </w:r>
      <w:r w:rsidRPr="00091600">
        <w:rPr>
          <w:lang w:val="en-AU"/>
        </w:rPr>
        <w:t xml:space="preserve"> through the following expected long-term outcomes</w:t>
      </w:r>
      <w:r w:rsidR="008B5CFE" w:rsidRPr="00091600">
        <w:rPr>
          <w:lang w:val="en-AU"/>
        </w:rPr>
        <w:t>:</w:t>
      </w:r>
    </w:p>
    <w:p w:rsidR="000F4B57" w:rsidRPr="00091600" w:rsidRDefault="008B5CFE" w:rsidP="007D3221">
      <w:pPr>
        <w:pStyle w:val="BodyText"/>
        <w:numPr>
          <w:ilvl w:val="0"/>
          <w:numId w:val="39"/>
        </w:numPr>
        <w:spacing w:after="120"/>
        <w:ind w:left="714" w:hanging="357"/>
        <w:rPr>
          <w:lang w:val="en-AU"/>
        </w:rPr>
      </w:pPr>
      <w:r w:rsidRPr="00091600">
        <w:rPr>
          <w:lang w:val="en-AU"/>
        </w:rPr>
        <w:t>m</w:t>
      </w:r>
      <w:r w:rsidR="0090220E" w:rsidRPr="00091600">
        <w:rPr>
          <w:lang w:val="en-AU"/>
        </w:rPr>
        <w:t>easurable</w:t>
      </w:r>
      <w:r w:rsidR="000F4B57" w:rsidRPr="00091600">
        <w:rPr>
          <w:lang w:val="en-AU"/>
        </w:rPr>
        <w:t xml:space="preserve"> and sustainable improvement in PNG’s public service leadership and administrative capability at national, provincial, and district levels</w:t>
      </w:r>
      <w:r w:rsidRPr="00091600">
        <w:rPr>
          <w:lang w:val="en-AU"/>
        </w:rPr>
        <w:t>;</w:t>
      </w:r>
    </w:p>
    <w:p w:rsidR="000F4B57" w:rsidRPr="00091600" w:rsidRDefault="008B5CFE" w:rsidP="007D3221">
      <w:pPr>
        <w:pStyle w:val="BodyText"/>
        <w:numPr>
          <w:ilvl w:val="0"/>
          <w:numId w:val="39"/>
        </w:numPr>
        <w:spacing w:after="120"/>
        <w:ind w:left="714" w:hanging="357"/>
        <w:rPr>
          <w:lang w:val="en-AU"/>
        </w:rPr>
      </w:pPr>
      <w:r w:rsidRPr="00091600">
        <w:rPr>
          <w:lang w:val="en-AU"/>
        </w:rPr>
        <w:t>w</w:t>
      </w:r>
      <w:r w:rsidR="0090220E" w:rsidRPr="00091600">
        <w:rPr>
          <w:lang w:val="en-AU"/>
        </w:rPr>
        <w:t>idespread</w:t>
      </w:r>
      <w:r w:rsidR="000F4B57" w:rsidRPr="00091600">
        <w:rPr>
          <w:lang w:val="en-AU"/>
        </w:rPr>
        <w:t xml:space="preserve"> prevalence of leadership and management practices that reflect the principles of ethical behaviour and values-based leadership and management</w:t>
      </w:r>
      <w:r w:rsidRPr="00091600">
        <w:rPr>
          <w:lang w:val="en-AU"/>
        </w:rPr>
        <w:t>;</w:t>
      </w:r>
    </w:p>
    <w:p w:rsidR="000F4B57" w:rsidRPr="00091600" w:rsidRDefault="008B5CFE" w:rsidP="007D3221">
      <w:pPr>
        <w:pStyle w:val="BodyText"/>
        <w:numPr>
          <w:ilvl w:val="0"/>
          <w:numId w:val="39"/>
        </w:numPr>
        <w:spacing w:after="120"/>
        <w:ind w:left="714" w:hanging="357"/>
        <w:rPr>
          <w:lang w:val="en-AU"/>
        </w:rPr>
      </w:pPr>
      <w:r w:rsidRPr="00091600">
        <w:rPr>
          <w:lang w:val="en-AU"/>
        </w:rPr>
        <w:t>a</w:t>
      </w:r>
      <w:r w:rsidR="0090220E" w:rsidRPr="00091600">
        <w:rPr>
          <w:lang w:val="en-AU"/>
        </w:rPr>
        <w:t>n</w:t>
      </w:r>
      <w:r w:rsidR="000F4B57" w:rsidRPr="00091600">
        <w:rPr>
          <w:lang w:val="en-AU"/>
        </w:rPr>
        <w:t xml:space="preserve"> increased number of women represented in leadership and </w:t>
      </w:r>
      <w:r w:rsidR="00CF45C5" w:rsidRPr="00091600">
        <w:rPr>
          <w:lang w:val="en-AU"/>
        </w:rPr>
        <w:t>decision</w:t>
      </w:r>
      <w:r w:rsidR="000F4B57" w:rsidRPr="00091600">
        <w:rPr>
          <w:lang w:val="en-AU"/>
        </w:rPr>
        <w:t xml:space="preserve"> making roles of the PNG public service</w:t>
      </w:r>
      <w:r w:rsidRPr="00091600">
        <w:rPr>
          <w:lang w:val="en-AU"/>
        </w:rPr>
        <w:t>;</w:t>
      </w:r>
    </w:p>
    <w:p w:rsidR="000F4B57" w:rsidRPr="00091600" w:rsidRDefault="008B5CFE" w:rsidP="007D3221">
      <w:pPr>
        <w:pStyle w:val="BodyText"/>
        <w:numPr>
          <w:ilvl w:val="0"/>
          <w:numId w:val="39"/>
        </w:numPr>
        <w:spacing w:after="120"/>
        <w:ind w:left="714" w:hanging="357"/>
        <w:rPr>
          <w:lang w:val="en-AU"/>
        </w:rPr>
      </w:pPr>
      <w:r w:rsidRPr="00091600">
        <w:rPr>
          <w:lang w:val="en-AU"/>
        </w:rPr>
        <w:t>a</w:t>
      </w:r>
      <w:r w:rsidR="0090220E" w:rsidRPr="00091600">
        <w:rPr>
          <w:lang w:val="en-AU"/>
        </w:rPr>
        <w:t>n</w:t>
      </w:r>
      <w:r w:rsidR="000F4B57" w:rsidRPr="00091600">
        <w:rPr>
          <w:lang w:val="en-AU"/>
        </w:rPr>
        <w:t xml:space="preserve"> effective, inclusive, and collaborative platform for facilitating and coordinating public dialogue on leadership, ethical practices, inclusive management, and change management at national, provincial, and district levels</w:t>
      </w:r>
      <w:r w:rsidRPr="00091600">
        <w:rPr>
          <w:lang w:val="en-AU"/>
        </w:rPr>
        <w:t>;</w:t>
      </w:r>
    </w:p>
    <w:p w:rsidR="000F4B57" w:rsidRPr="00091600" w:rsidRDefault="008B5CFE" w:rsidP="007D3221">
      <w:pPr>
        <w:pStyle w:val="BodyText"/>
        <w:numPr>
          <w:ilvl w:val="0"/>
          <w:numId w:val="39"/>
        </w:numPr>
        <w:spacing w:after="120"/>
        <w:ind w:left="714" w:hanging="357"/>
        <w:rPr>
          <w:lang w:val="en-AU"/>
        </w:rPr>
      </w:pPr>
      <w:bookmarkStart w:id="190" w:name="_Hlk524505927"/>
      <w:r w:rsidRPr="00091600">
        <w:rPr>
          <w:lang w:val="en-AU"/>
        </w:rPr>
        <w:t>a</w:t>
      </w:r>
      <w:r w:rsidR="000F4B57" w:rsidRPr="00091600">
        <w:rPr>
          <w:lang w:val="en-AU"/>
        </w:rPr>
        <w:t xml:space="preserve"> positive contribution made by Precinct partners and activities to lifting the quality of public policy debate, analysis, and advice that informs </w:t>
      </w:r>
      <w:r w:rsidR="00DB5DD0">
        <w:rPr>
          <w:lang w:val="en-AU"/>
        </w:rPr>
        <w:t>decision</w:t>
      </w:r>
      <w:r w:rsidR="000F4B57" w:rsidRPr="00091600">
        <w:rPr>
          <w:lang w:val="en-AU"/>
        </w:rPr>
        <w:t xml:space="preserve"> making on public policy matters; and</w:t>
      </w:r>
    </w:p>
    <w:bookmarkEnd w:id="190"/>
    <w:p w:rsidR="000F4B57" w:rsidRPr="00091600" w:rsidRDefault="008B5CFE" w:rsidP="007D3221">
      <w:pPr>
        <w:pStyle w:val="BodyText"/>
        <w:numPr>
          <w:ilvl w:val="0"/>
          <w:numId w:val="39"/>
        </w:numPr>
        <w:spacing w:after="120"/>
        <w:ind w:left="714" w:hanging="357"/>
        <w:rPr>
          <w:lang w:val="en-AU"/>
        </w:rPr>
      </w:pPr>
      <w:r w:rsidRPr="00091600">
        <w:rPr>
          <w:lang w:val="en-AU"/>
        </w:rPr>
        <w:t>a</w:t>
      </w:r>
      <w:r w:rsidR="0090220E" w:rsidRPr="00091600">
        <w:rPr>
          <w:lang w:val="en-AU"/>
        </w:rPr>
        <w:t>n</w:t>
      </w:r>
      <w:r w:rsidR="000F4B57" w:rsidRPr="00091600">
        <w:rPr>
          <w:lang w:val="en-AU"/>
        </w:rPr>
        <w:t xml:space="preserve"> expanded network of like-minded individuals and organisations from the public, private, and civil society sectors that actively and publicly support and advocate for ethical leadership and management in PNG.</w:t>
      </w:r>
      <w:r w:rsidR="000F4B57" w:rsidRPr="00091600">
        <w:rPr>
          <w:rStyle w:val="FootnoteReference"/>
          <w:lang w:val="en-AU"/>
        </w:rPr>
        <w:footnoteReference w:id="73"/>
      </w:r>
    </w:p>
    <w:p w:rsidR="000F4B57" w:rsidRPr="00091600" w:rsidRDefault="000F4B57" w:rsidP="000F4B57">
      <w:pPr>
        <w:pStyle w:val="BodyText"/>
        <w:rPr>
          <w:lang w:val="en-AU"/>
        </w:rPr>
      </w:pPr>
      <w:r w:rsidRPr="00091600">
        <w:rPr>
          <w:lang w:val="en-AU"/>
        </w:rPr>
        <w:t xml:space="preserve">Definitions, conceptualisation, and implementation processes for the gender and social inclusion and ethical leadership referred to in the design document are outlined in the two key </w:t>
      </w:r>
      <w:r w:rsidR="00E87298">
        <w:rPr>
          <w:lang w:val="en-AU"/>
        </w:rPr>
        <w:t>PNG Government</w:t>
      </w:r>
      <w:r w:rsidRPr="00091600">
        <w:rPr>
          <w:lang w:val="en-AU"/>
        </w:rPr>
        <w:t xml:space="preserve"> </w:t>
      </w:r>
      <w:r w:rsidR="009F5553" w:rsidRPr="00091600">
        <w:rPr>
          <w:lang w:val="en-AU"/>
        </w:rPr>
        <w:t>P</w:t>
      </w:r>
      <w:r w:rsidR="0090220E" w:rsidRPr="00091600">
        <w:rPr>
          <w:lang w:val="en-AU"/>
        </w:rPr>
        <w:t>olicy</w:t>
      </w:r>
      <w:r w:rsidRPr="00091600">
        <w:rPr>
          <w:lang w:val="en-AU"/>
        </w:rPr>
        <w:t xml:space="preserve"> documents: the </w:t>
      </w:r>
      <w:r w:rsidRPr="00091600">
        <w:rPr>
          <w:i/>
          <w:lang w:val="en-AU"/>
        </w:rPr>
        <w:t>GESI Policy</w:t>
      </w:r>
      <w:r w:rsidRPr="00091600">
        <w:rPr>
          <w:rStyle w:val="FootnoteReference"/>
          <w:lang w:val="en-AU"/>
        </w:rPr>
        <w:footnoteReference w:id="74"/>
      </w:r>
      <w:r w:rsidRPr="00091600">
        <w:rPr>
          <w:lang w:val="en-AU"/>
        </w:rPr>
        <w:t xml:space="preserve"> and the </w:t>
      </w:r>
      <w:r w:rsidRPr="00091600">
        <w:rPr>
          <w:i/>
          <w:lang w:val="en-AU"/>
        </w:rPr>
        <w:t>LCF,</w:t>
      </w:r>
      <w:r w:rsidRPr="00091600">
        <w:rPr>
          <w:rStyle w:val="FootnoteReference"/>
          <w:lang w:val="en-AU"/>
        </w:rPr>
        <w:footnoteReference w:id="75"/>
      </w:r>
      <w:r w:rsidRPr="00091600">
        <w:rPr>
          <w:lang w:val="en-AU"/>
        </w:rPr>
        <w:t xml:space="preserve"> both of which are the responsibility of DPM</w:t>
      </w:r>
      <w:r w:rsidR="0090220E" w:rsidRPr="00091600">
        <w:rPr>
          <w:lang w:val="en-AU"/>
        </w:rPr>
        <w:t>.</w:t>
      </w:r>
    </w:p>
    <w:p w:rsidR="000F4B57" w:rsidRPr="0045495E" w:rsidRDefault="000F4B57" w:rsidP="006D004F">
      <w:pPr>
        <w:pStyle w:val="level2annexlist"/>
      </w:pPr>
      <w:bookmarkStart w:id="191" w:name="_Toc536719930"/>
      <w:bookmarkStart w:id="192" w:name="_Toc2091568"/>
      <w:r w:rsidRPr="0045495E">
        <w:t>Achievements</w:t>
      </w:r>
      <w:bookmarkEnd w:id="191"/>
      <w:bookmarkEnd w:id="192"/>
    </w:p>
    <w:p w:rsidR="000F4B57" w:rsidRPr="00091600" w:rsidRDefault="000F4B57" w:rsidP="000F4B57">
      <w:pPr>
        <w:pStyle w:val="BodyText"/>
        <w:rPr>
          <w:lang w:val="en-AU"/>
        </w:rPr>
      </w:pPr>
      <w:r w:rsidRPr="001422B3">
        <w:rPr>
          <w:rFonts w:ascii="Roboto" w:hAnsi="Roboto"/>
          <w:b/>
          <w:lang w:val="en-AU"/>
        </w:rPr>
        <w:t>Creating a dialogue around GESI</w:t>
      </w:r>
      <w:r w:rsidR="006A78E5" w:rsidRPr="001422B3">
        <w:rPr>
          <w:rFonts w:ascii="Roboto" w:hAnsi="Roboto"/>
          <w:b/>
          <w:lang w:val="en-AU"/>
        </w:rPr>
        <w:t>:</w:t>
      </w:r>
      <w:r w:rsidR="0090220E" w:rsidRPr="00091600">
        <w:rPr>
          <w:lang w:val="en-AU"/>
        </w:rPr>
        <w:t xml:space="preserve"> </w:t>
      </w:r>
      <w:r w:rsidR="006A78E5" w:rsidRPr="00091600">
        <w:rPr>
          <w:lang w:val="en-AU"/>
        </w:rPr>
        <w:t>t</w:t>
      </w:r>
      <w:r w:rsidR="0090220E" w:rsidRPr="00091600">
        <w:rPr>
          <w:lang w:val="en-AU"/>
        </w:rPr>
        <w:t>he</w:t>
      </w:r>
      <w:r w:rsidRPr="00091600">
        <w:rPr>
          <w:lang w:val="en-AU"/>
        </w:rPr>
        <w:t xml:space="preserve"> Precinct has been successful in its aim</w:t>
      </w:r>
      <w:r w:rsidR="0090220E" w:rsidRPr="00091600">
        <w:rPr>
          <w:lang w:val="en-AU"/>
        </w:rPr>
        <w:t xml:space="preserve"> </w:t>
      </w:r>
      <w:r w:rsidRPr="00091600">
        <w:rPr>
          <w:lang w:val="en-AU"/>
        </w:rPr>
        <w:t xml:space="preserve">of creating a dialogue about gender equity and social inclusion in hosting lectures and discussions: these include the visits of Dr Sharman Stone, Australian Ambassador for Women and Girls, and of Ms Rosie Batty, Australian of the Year 2015, as a campaigner for family violence prevention. Increased awareness has led to some action: Dr Michelle Rooney’s presentation about </w:t>
      </w:r>
      <w:r w:rsidR="002D051C" w:rsidRPr="00091600">
        <w:rPr>
          <w:lang w:val="en-AU"/>
        </w:rPr>
        <w:t>gender-based violence (GBV)</w:t>
      </w:r>
      <w:r w:rsidRPr="00091600">
        <w:rPr>
          <w:lang w:val="en-AU"/>
        </w:rPr>
        <w:t xml:space="preserve"> and sexual harassment at the PNG Update 2018 stimulated debate and led to a verbal commitment from the </w:t>
      </w:r>
      <w:r w:rsidR="0090220E" w:rsidRPr="00091600">
        <w:rPr>
          <w:lang w:val="en-AU"/>
        </w:rPr>
        <w:t xml:space="preserve">UPNG </w:t>
      </w:r>
      <w:r w:rsidR="006E0D05" w:rsidRPr="00091600">
        <w:rPr>
          <w:lang w:val="en-AU"/>
        </w:rPr>
        <w:t>Vice-Chancellor (</w:t>
      </w:r>
      <w:r w:rsidR="0090220E" w:rsidRPr="00091600">
        <w:rPr>
          <w:lang w:val="en-AU"/>
        </w:rPr>
        <w:t>VC</w:t>
      </w:r>
      <w:r w:rsidR="006E0D05" w:rsidRPr="00091600">
        <w:rPr>
          <w:lang w:val="en-AU"/>
        </w:rPr>
        <w:t>)</w:t>
      </w:r>
      <w:r w:rsidRPr="00091600">
        <w:rPr>
          <w:lang w:val="en-AU"/>
        </w:rPr>
        <w:t xml:space="preserve"> to act on sexual harassment and GBV within UPNG during his Summation of the Update.</w:t>
      </w:r>
    </w:p>
    <w:p w:rsidR="000F4B57" w:rsidRPr="00091600" w:rsidRDefault="000F4B57" w:rsidP="000F4B57">
      <w:pPr>
        <w:pStyle w:val="BodyText"/>
        <w:rPr>
          <w:lang w:val="en-AU"/>
        </w:rPr>
      </w:pPr>
      <w:r w:rsidRPr="001422B3">
        <w:rPr>
          <w:rFonts w:ascii="Roboto" w:hAnsi="Roboto"/>
          <w:b/>
          <w:lang w:val="en-AU"/>
        </w:rPr>
        <w:t xml:space="preserve">Male </w:t>
      </w:r>
      <w:r w:rsidR="009F5553" w:rsidRPr="001422B3">
        <w:rPr>
          <w:rFonts w:ascii="Roboto" w:hAnsi="Roboto"/>
          <w:b/>
          <w:lang w:val="en-AU"/>
        </w:rPr>
        <w:t>Advocates</w:t>
      </w:r>
      <w:r w:rsidRPr="001422B3">
        <w:rPr>
          <w:rFonts w:ascii="Roboto" w:hAnsi="Roboto"/>
          <w:b/>
          <w:lang w:val="en-AU"/>
        </w:rPr>
        <w:t xml:space="preserve"> training</w:t>
      </w:r>
      <w:r w:rsidR="006A78E5" w:rsidRPr="001422B3">
        <w:rPr>
          <w:rFonts w:ascii="Roboto" w:hAnsi="Roboto"/>
          <w:b/>
          <w:lang w:val="en-AU"/>
        </w:rPr>
        <w:t>:</w:t>
      </w:r>
      <w:r w:rsidR="0090220E" w:rsidRPr="00091600">
        <w:rPr>
          <w:lang w:val="en-AU"/>
        </w:rPr>
        <w:t xml:space="preserve"> Abt PNG’s engagement of</w:t>
      </w:r>
      <w:r w:rsidRPr="00091600">
        <w:rPr>
          <w:lang w:val="en-AU"/>
        </w:rPr>
        <w:t xml:space="preserve"> the Fiji Women’s Rights Movement Accredited ‘Male Advocate’ Trainer provides best practice training for Male Advocates on gender equality within the PNG public service. The course was offered in Central in 2015 until the strategy stalled. Access to the course was re-established in 2018 with Stage 1 (of 3) offered in Port Moresby to middle and senior managers from a range of departments, including the Department of Prime Minister and National Executive Council; the Department for Community Development and Religion; the Department of Labour and Industrial Relations, Immigration, and Citizenship Authority</w:t>
      </w:r>
      <w:r w:rsidR="006A78E5" w:rsidRPr="00091600">
        <w:rPr>
          <w:lang w:val="en-AU"/>
        </w:rPr>
        <w:t>;</w:t>
      </w:r>
      <w:r w:rsidR="0090220E" w:rsidRPr="00091600">
        <w:rPr>
          <w:lang w:val="en-AU"/>
        </w:rPr>
        <w:t xml:space="preserve"> </w:t>
      </w:r>
      <w:r w:rsidR="00442C53" w:rsidRPr="00091600">
        <w:rPr>
          <w:lang w:val="en-AU"/>
        </w:rPr>
        <w:t>DHERST</w:t>
      </w:r>
      <w:r w:rsidR="006A78E5" w:rsidRPr="00091600">
        <w:rPr>
          <w:lang w:val="en-AU"/>
        </w:rPr>
        <w:t>;</w:t>
      </w:r>
      <w:r w:rsidRPr="00091600">
        <w:rPr>
          <w:lang w:val="en-AU"/>
        </w:rPr>
        <w:t xml:space="preserve"> and the Department of Finance/Internal Revenue Commission (a ratio of 15 men to one woman). Stage 1 training was also offered at the sub-national level to mixed groups of provincial and district public servants ranging from senior executive, middle management, and some junior levels in Oro (20 men to three women) and West Sepik (13 men to two women). Training was also conducted twice in Western Highlands: to senior executive-level mixed provincial and district public servants (21 men to 11 women) and a mostly junior-level district group (14 men). These courses are universally highly valued by learners: post-workshop evaluations rank the ‘relevance’, ‘delivery’, ‘new learning’, and ‘usability’ of the courses consistently at the highest levels. Such training is crucial to creating an ‘enabling environment’ in the form of a gender ‘transformed’ workplace that ensures both men and women receiving other inclusion training can be supported to safely apply their new knowledge and skills for the benefit of the public service and the people of PNG at both national and sub-national levels.</w:t>
      </w:r>
    </w:p>
    <w:p w:rsidR="000F4B57" w:rsidRPr="00091600" w:rsidRDefault="000F4B57" w:rsidP="000F4B57">
      <w:pPr>
        <w:pStyle w:val="BodyText"/>
        <w:rPr>
          <w:lang w:val="en-AU"/>
        </w:rPr>
      </w:pPr>
      <w:r w:rsidRPr="001422B3">
        <w:rPr>
          <w:rFonts w:ascii="Roboto" w:hAnsi="Roboto"/>
          <w:b/>
          <w:lang w:val="en-AU"/>
        </w:rPr>
        <w:t>Baseline data on GESI awareness in the Precinct:</w:t>
      </w:r>
      <w:r w:rsidRPr="00091600">
        <w:rPr>
          <w:lang w:val="en-AU"/>
        </w:rPr>
        <w:t xml:space="preserve"> </w:t>
      </w:r>
      <w:r w:rsidR="006A78E5" w:rsidRPr="00091600">
        <w:rPr>
          <w:lang w:val="en-AU"/>
        </w:rPr>
        <w:t>i</w:t>
      </w:r>
      <w:r w:rsidR="0090220E" w:rsidRPr="00091600">
        <w:rPr>
          <w:lang w:val="en-AU"/>
        </w:rPr>
        <w:t>n</w:t>
      </w:r>
      <w:r w:rsidRPr="00091600">
        <w:rPr>
          <w:lang w:val="en-AU"/>
        </w:rPr>
        <w:t xml:space="preserve"> addition, Abt PNG’s </w:t>
      </w:r>
      <w:r w:rsidR="006A78E5" w:rsidRPr="00091600">
        <w:rPr>
          <w:lang w:val="en-AU"/>
        </w:rPr>
        <w:t>b</w:t>
      </w:r>
      <w:r w:rsidR="0090220E" w:rsidRPr="00091600">
        <w:rPr>
          <w:lang w:val="en-AU"/>
        </w:rPr>
        <w:t xml:space="preserve">aseline </w:t>
      </w:r>
      <w:r w:rsidR="006A78E5" w:rsidRPr="00091600">
        <w:rPr>
          <w:lang w:val="en-AU"/>
        </w:rPr>
        <w:t>s</w:t>
      </w:r>
      <w:r w:rsidR="0090220E" w:rsidRPr="00091600">
        <w:rPr>
          <w:lang w:val="en-AU"/>
        </w:rPr>
        <w:t>urvey</w:t>
      </w:r>
      <w:r w:rsidRPr="00091600">
        <w:rPr>
          <w:lang w:val="en-AU"/>
        </w:rPr>
        <w:t xml:space="preserve"> of students and staff within the Precinct on their awareness around GESI, GBV, sexual harassment, institutional policies, availability of services, and willingness to access services is a fine piece of work. It provides a comprehensive platform</w:t>
      </w:r>
      <w:r w:rsidR="0090220E" w:rsidRPr="00091600">
        <w:rPr>
          <w:lang w:val="en-AU"/>
        </w:rPr>
        <w:t xml:space="preserve"> </w:t>
      </w:r>
      <w:r w:rsidRPr="00091600">
        <w:rPr>
          <w:lang w:val="en-AU"/>
        </w:rPr>
        <w:t>for monitoring changes to awareness and access across the Precinct program, particularly given the commitment of the UPNG VC.</w:t>
      </w:r>
    </w:p>
    <w:p w:rsidR="000F4B57" w:rsidRPr="00091600" w:rsidRDefault="000F4B57" w:rsidP="000F4B57">
      <w:pPr>
        <w:pStyle w:val="BodyText"/>
        <w:rPr>
          <w:lang w:val="en-AU"/>
        </w:rPr>
      </w:pPr>
      <w:r w:rsidRPr="001422B3">
        <w:rPr>
          <w:rFonts w:ascii="Roboto" w:hAnsi="Roboto"/>
          <w:b/>
          <w:lang w:val="en-AU"/>
        </w:rPr>
        <w:t>Mapping GESI in Precinct Partnerships</w:t>
      </w:r>
      <w:r w:rsidR="006A78E5" w:rsidRPr="007D3221">
        <w:rPr>
          <w:rFonts w:ascii="Roboto" w:hAnsi="Roboto"/>
          <w:lang w:val="en-AU"/>
        </w:rPr>
        <w:t>:</w:t>
      </w:r>
      <w:r w:rsidR="0090220E" w:rsidRPr="00091600">
        <w:rPr>
          <w:lang w:val="en-AU"/>
        </w:rPr>
        <w:t xml:space="preserve"> </w:t>
      </w:r>
      <w:r w:rsidR="006A78E5" w:rsidRPr="00091600">
        <w:rPr>
          <w:lang w:val="en-AU"/>
        </w:rPr>
        <w:t>t</w:t>
      </w:r>
      <w:r w:rsidR="0090220E" w:rsidRPr="00091600">
        <w:rPr>
          <w:lang w:val="en-AU"/>
        </w:rPr>
        <w:t>he</w:t>
      </w:r>
      <w:r w:rsidRPr="00091600">
        <w:rPr>
          <w:lang w:val="en-AU"/>
        </w:rPr>
        <w:t xml:space="preserve"> Abt PNG ‘GESI Stocktake’ is a benchmarking exercise which gives a detailed account of efforts and progress across the Abt PNG portfolio of PNG Governance Facility Partnerships, including the PSLR Partnership, which includes the Precinct and working with DPM on the implementation of the PNG GESI Policy at both national and sub-national levels. Abt PNG and AHC staff reported the </w:t>
      </w:r>
      <w:r w:rsidR="0027065B" w:rsidRPr="00091600">
        <w:rPr>
          <w:lang w:val="en-AU"/>
        </w:rPr>
        <w:t>s</w:t>
      </w:r>
      <w:r w:rsidR="0090220E" w:rsidRPr="00091600">
        <w:rPr>
          <w:lang w:val="en-AU"/>
        </w:rPr>
        <w:t>tocktake</w:t>
      </w:r>
      <w:r w:rsidRPr="00091600">
        <w:rPr>
          <w:lang w:val="en-AU"/>
        </w:rPr>
        <w:t xml:space="preserve"> stimulated greater interest and understanding of the core nature of GESI in PNG Governance </w:t>
      </w:r>
      <w:r w:rsidR="0027065B" w:rsidRPr="00091600">
        <w:rPr>
          <w:lang w:val="en-AU"/>
        </w:rPr>
        <w:t>Facility</w:t>
      </w:r>
      <w:r w:rsidRPr="00091600">
        <w:rPr>
          <w:lang w:val="en-AU"/>
        </w:rPr>
        <w:t>-wide programming, which they viewed as necessary.</w:t>
      </w:r>
    </w:p>
    <w:p w:rsidR="000F4B57" w:rsidRPr="0045495E" w:rsidRDefault="000F4B57" w:rsidP="008E1745">
      <w:pPr>
        <w:pStyle w:val="level2annexlist"/>
      </w:pPr>
      <w:bookmarkStart w:id="193" w:name="_Toc536719931"/>
      <w:bookmarkStart w:id="194" w:name="_Toc2091569"/>
      <w:r w:rsidRPr="0045495E">
        <w:t>Strengths</w:t>
      </w:r>
      <w:bookmarkEnd w:id="193"/>
      <w:bookmarkEnd w:id="194"/>
    </w:p>
    <w:p w:rsidR="000F4B57" w:rsidRPr="00091600" w:rsidRDefault="000F4B57" w:rsidP="000F4B57">
      <w:pPr>
        <w:pStyle w:val="BodyText"/>
        <w:rPr>
          <w:lang w:val="en-AU"/>
        </w:rPr>
      </w:pPr>
      <w:r w:rsidRPr="001422B3">
        <w:rPr>
          <w:rFonts w:ascii="Roboto" w:hAnsi="Roboto"/>
          <w:b/>
          <w:lang w:val="en-AU"/>
        </w:rPr>
        <w:t>Parity in training</w:t>
      </w:r>
      <w:r w:rsidR="006A78E5" w:rsidRPr="001422B3">
        <w:rPr>
          <w:rFonts w:ascii="Roboto" w:hAnsi="Roboto"/>
          <w:b/>
          <w:lang w:val="en-AU"/>
        </w:rPr>
        <w:t>:</w:t>
      </w:r>
      <w:r w:rsidR="0090220E" w:rsidRPr="00091600">
        <w:rPr>
          <w:lang w:val="en-AU"/>
        </w:rPr>
        <w:t xml:space="preserve"> </w:t>
      </w:r>
      <w:r w:rsidR="006A78E5" w:rsidRPr="00091600">
        <w:rPr>
          <w:lang w:val="en-AU"/>
        </w:rPr>
        <w:t>q</w:t>
      </w:r>
      <w:r w:rsidR="0090220E" w:rsidRPr="00091600">
        <w:rPr>
          <w:lang w:val="en-AU"/>
        </w:rPr>
        <w:t>uotas</w:t>
      </w:r>
      <w:r w:rsidRPr="00091600">
        <w:rPr>
          <w:lang w:val="en-AU"/>
        </w:rPr>
        <w:t>, though often controversial, are the fastest way to ensure greater balance in access to training opportunities in ‘non-transformed’ workplaces. The Precinct’s quota for training women has maintained high levels of training for women within the public service. For example, in 2017, the ‘Precinct Leadership Program Short Courses’ were attended by 187 men and 162 women; and the ‘Future Leadership Program’ component of Precinct Leadership Program was attended by 37 women and 36 men.</w:t>
      </w:r>
      <w:r w:rsidRPr="00091600">
        <w:rPr>
          <w:rStyle w:val="FootnoteReference"/>
          <w:lang w:val="en-AU"/>
        </w:rPr>
        <w:footnoteReference w:id="76"/>
      </w:r>
    </w:p>
    <w:p w:rsidR="000F4B57" w:rsidRPr="00091600" w:rsidRDefault="000F4B57" w:rsidP="000F4B57">
      <w:pPr>
        <w:pStyle w:val="BodyText"/>
        <w:rPr>
          <w:lang w:val="en-AU"/>
        </w:rPr>
      </w:pPr>
      <w:r w:rsidRPr="001422B3">
        <w:rPr>
          <w:rFonts w:ascii="Roboto" w:hAnsi="Roboto"/>
          <w:b/>
          <w:lang w:val="en-AU"/>
        </w:rPr>
        <w:t>GESI Policy embedded in all training</w:t>
      </w:r>
      <w:r w:rsidR="00734C44" w:rsidRPr="001422B3">
        <w:rPr>
          <w:rFonts w:ascii="Roboto" w:hAnsi="Roboto"/>
          <w:b/>
          <w:lang w:val="en-AU"/>
        </w:rPr>
        <w:t>:</w:t>
      </w:r>
      <w:r w:rsidR="0090220E" w:rsidRPr="00091600">
        <w:rPr>
          <w:lang w:val="en-AU"/>
        </w:rPr>
        <w:t xml:space="preserve"> </w:t>
      </w:r>
      <w:r w:rsidR="00734C44" w:rsidRPr="00091600">
        <w:rPr>
          <w:lang w:val="en-AU"/>
        </w:rPr>
        <w:t>t</w:t>
      </w:r>
      <w:r w:rsidR="0090220E" w:rsidRPr="00091600">
        <w:rPr>
          <w:lang w:val="en-AU"/>
        </w:rPr>
        <w:t>he</w:t>
      </w:r>
      <w:r w:rsidRPr="00091600">
        <w:rPr>
          <w:lang w:val="en-AU"/>
        </w:rPr>
        <w:t xml:space="preserve"> mainstreaming of gender and inclusion in educational design has resulted in high levels of recognition and understanding of the PNG GESI Policy and Toolkit across all Precinct education providers, in particular courses for public servants. The Future Leaders Program is particularly strong. It conducts a half-day workshop specifically on GESI implementation which both national and sub-national public servants reported in interview they valued highly. UPNG SBPP students also cited high recognition levels of the GESI Policy in their courses, though naturally as undergraduates the purpose of their education is not the application of the GESI Policy. General gender mainstreaming in ANU-led SBPP education programs is less consistent and deserves further investigation.</w:t>
      </w:r>
    </w:p>
    <w:p w:rsidR="000F4B57" w:rsidRPr="00091600" w:rsidRDefault="000F4B57" w:rsidP="000F4B57">
      <w:pPr>
        <w:pStyle w:val="BodyText"/>
        <w:rPr>
          <w:lang w:val="en-AU"/>
        </w:rPr>
      </w:pPr>
      <w:r w:rsidRPr="001422B3">
        <w:rPr>
          <w:rFonts w:ascii="Roboto" w:hAnsi="Roboto"/>
          <w:b/>
          <w:lang w:val="en-AU"/>
        </w:rPr>
        <w:t>Engagement with inclusive leadership</w:t>
      </w:r>
      <w:r w:rsidR="00734C44" w:rsidRPr="001422B3">
        <w:rPr>
          <w:rFonts w:ascii="Roboto" w:hAnsi="Roboto"/>
          <w:b/>
          <w:lang w:val="en-AU"/>
        </w:rPr>
        <w:t>:</w:t>
      </w:r>
      <w:r w:rsidR="0090220E" w:rsidRPr="00091600">
        <w:rPr>
          <w:lang w:val="en-AU"/>
        </w:rPr>
        <w:t xml:space="preserve"> </w:t>
      </w:r>
      <w:r w:rsidR="00734C44" w:rsidRPr="00091600">
        <w:rPr>
          <w:lang w:val="en-AU"/>
        </w:rPr>
        <w:t>i</w:t>
      </w:r>
      <w:r w:rsidR="0090220E" w:rsidRPr="00091600">
        <w:rPr>
          <w:lang w:val="en-AU"/>
        </w:rPr>
        <w:t>n</w:t>
      </w:r>
      <w:r w:rsidRPr="00091600">
        <w:rPr>
          <w:lang w:val="en-AU"/>
        </w:rPr>
        <w:t xml:space="preserve"> addition, the ‘Inclusive Strategic Leadership’ short course focuses on three themes: strategic thinking, planning, and leading; government strategy and planning frameworks</w:t>
      </w:r>
      <w:r w:rsidR="0027065B" w:rsidRPr="00091600">
        <w:rPr>
          <w:lang w:val="en-AU"/>
        </w:rPr>
        <w:t>;</w:t>
      </w:r>
      <w:r w:rsidRPr="00091600">
        <w:rPr>
          <w:lang w:val="en-AU"/>
        </w:rPr>
        <w:t xml:space="preserve"> and gender, inclusion, and participatory planning. The course is well attended and highly rated in imparting practical gender and inclusion processes by public service learners.</w:t>
      </w:r>
    </w:p>
    <w:p w:rsidR="000F4B57" w:rsidRPr="0045495E" w:rsidRDefault="000F4B57" w:rsidP="006D004F">
      <w:pPr>
        <w:pStyle w:val="level2annexlist"/>
      </w:pPr>
      <w:bookmarkStart w:id="195" w:name="_Toc536719932"/>
      <w:bookmarkStart w:id="196" w:name="_Toc2091570"/>
      <w:r w:rsidRPr="0045495E">
        <w:t>Challenges</w:t>
      </w:r>
      <w:bookmarkEnd w:id="195"/>
      <w:bookmarkEnd w:id="196"/>
    </w:p>
    <w:p w:rsidR="000F4B57" w:rsidRPr="00091600" w:rsidRDefault="000F4B57" w:rsidP="000F4B57">
      <w:pPr>
        <w:pStyle w:val="BodyText"/>
        <w:rPr>
          <w:lang w:val="en-AU"/>
        </w:rPr>
      </w:pPr>
      <w:r w:rsidRPr="001422B3">
        <w:rPr>
          <w:rFonts w:ascii="Roboto" w:hAnsi="Roboto"/>
          <w:b/>
          <w:lang w:val="en-AU"/>
        </w:rPr>
        <w:t>Lack of understanding of the language of gender and social inclusion</w:t>
      </w:r>
      <w:r w:rsidR="00734C44" w:rsidRPr="001422B3">
        <w:rPr>
          <w:rFonts w:ascii="Roboto" w:hAnsi="Roboto"/>
          <w:b/>
          <w:lang w:val="en-AU"/>
        </w:rPr>
        <w:t>:</w:t>
      </w:r>
      <w:r w:rsidR="0090220E" w:rsidRPr="00091600">
        <w:rPr>
          <w:lang w:val="en-AU"/>
        </w:rPr>
        <w:t xml:space="preserve"> </w:t>
      </w:r>
      <w:r w:rsidR="00734C44" w:rsidRPr="00091600">
        <w:rPr>
          <w:lang w:val="en-AU"/>
        </w:rPr>
        <w:t>t</w:t>
      </w:r>
      <w:r w:rsidR="0090220E" w:rsidRPr="00091600">
        <w:rPr>
          <w:lang w:val="en-AU"/>
        </w:rPr>
        <w:t>his</w:t>
      </w:r>
      <w:r w:rsidRPr="00091600">
        <w:rPr>
          <w:lang w:val="en-AU"/>
        </w:rPr>
        <w:t xml:space="preserve"> is a common issue in international development, where gender is referred to as a proxy term for women, with little understanding of the interaction and imbalance between roles for men and women. Rarely do </w:t>
      </w:r>
      <w:r w:rsidR="00E87298">
        <w:rPr>
          <w:lang w:val="en-AU"/>
        </w:rPr>
        <w:t>PNG Government</w:t>
      </w:r>
      <w:r w:rsidRPr="00091600">
        <w:rPr>
          <w:lang w:val="en-AU"/>
        </w:rPr>
        <w:t xml:space="preserve"> or GoA documents make any mention of gender beyond the binary to include people of diverse sexual orientation, gender identity and expression. There is common misunderstanding around the term ‘GESI’</w:t>
      </w:r>
      <w:r w:rsidR="0027065B" w:rsidRPr="00091600">
        <w:rPr>
          <w:lang w:val="en-AU"/>
        </w:rPr>
        <w:t>,</w:t>
      </w:r>
      <w:r w:rsidRPr="00091600">
        <w:rPr>
          <w:lang w:val="en-AU"/>
        </w:rPr>
        <w:t xml:space="preserve"> where the ‘GE’ means either gender equality (an end goal) or gender equity (a process by which equality may be achieved</w:t>
      </w:r>
      <w:r w:rsidR="0027065B" w:rsidRPr="00091600">
        <w:rPr>
          <w:lang w:val="en-AU"/>
        </w:rPr>
        <w:t>,</w:t>
      </w:r>
      <w:r w:rsidRPr="00091600">
        <w:rPr>
          <w:lang w:val="en-AU"/>
        </w:rPr>
        <w:t xml:space="preserve"> e.g. mainstreaming or quotas). Inclusion is often taken to mean consideration of women, women, and girls, or persons with a disability, to the detriment of people who are marginalised for other social differences such as age, ethnicity, religion, and so on. The National Public Service GESI Policy, being contextually grounded, refers to attention to ‘inclusion’ as a way to deal with </w:t>
      </w:r>
      <w:r w:rsidR="003E5ACF" w:rsidRPr="00091600">
        <w:rPr>
          <w:i/>
          <w:lang w:val="en-AU"/>
        </w:rPr>
        <w:t>wantok</w:t>
      </w:r>
      <w:r w:rsidRPr="00091600">
        <w:rPr>
          <w:lang w:val="en-AU"/>
        </w:rPr>
        <w:t>, an important issue in the PNG public service, which is dealt with only peripherally in the Precinct documentation.</w:t>
      </w:r>
    </w:p>
    <w:p w:rsidR="000F4B57" w:rsidRPr="00091600" w:rsidRDefault="000F4B57" w:rsidP="000F4B57">
      <w:pPr>
        <w:pStyle w:val="BodyText"/>
        <w:rPr>
          <w:lang w:val="en-AU"/>
        </w:rPr>
      </w:pPr>
      <w:r w:rsidRPr="001422B3">
        <w:rPr>
          <w:rFonts w:ascii="Roboto" w:hAnsi="Roboto"/>
          <w:b/>
          <w:lang w:val="en-AU"/>
        </w:rPr>
        <w:t>Lack of understanding of the value of</w:t>
      </w:r>
      <w:r w:rsidR="00DB115A">
        <w:rPr>
          <w:rFonts w:ascii="Roboto" w:hAnsi="Roboto"/>
          <w:b/>
          <w:lang w:val="en-AU"/>
        </w:rPr>
        <w:t xml:space="preserve"> </w:t>
      </w:r>
      <w:r w:rsidR="00DB115A" w:rsidRPr="001422B3">
        <w:rPr>
          <w:rFonts w:ascii="Roboto" w:hAnsi="Roboto"/>
          <w:b/>
          <w:lang w:val="en-AU"/>
        </w:rPr>
        <w:t>gender equality and social inclusion</w:t>
      </w:r>
      <w:r w:rsidR="00734C44" w:rsidRPr="007D3221">
        <w:rPr>
          <w:rFonts w:ascii="Roboto" w:hAnsi="Roboto"/>
          <w:lang w:val="en-AU"/>
        </w:rPr>
        <w:t>:</w:t>
      </w:r>
      <w:r w:rsidR="0090220E" w:rsidRPr="00091600">
        <w:rPr>
          <w:lang w:val="en-AU"/>
        </w:rPr>
        <w:t xml:space="preserve"> </w:t>
      </w:r>
      <w:r w:rsidR="00734C44" w:rsidRPr="00091600">
        <w:rPr>
          <w:lang w:val="en-AU"/>
        </w:rPr>
        <w:t>t</w:t>
      </w:r>
      <w:r w:rsidR="0090220E" w:rsidRPr="00091600">
        <w:rPr>
          <w:lang w:val="en-AU"/>
        </w:rPr>
        <w:t xml:space="preserve">his </w:t>
      </w:r>
      <w:r w:rsidRPr="00091600">
        <w:rPr>
          <w:lang w:val="en-AU"/>
        </w:rPr>
        <w:t xml:space="preserve">is also common in the development sector, with </w:t>
      </w:r>
      <w:r w:rsidR="00DB115A">
        <w:rPr>
          <w:lang w:val="en-AU"/>
        </w:rPr>
        <w:t>‘</w:t>
      </w:r>
      <w:r w:rsidR="00780A6F" w:rsidRPr="00091600">
        <w:rPr>
          <w:lang w:val="en-AU"/>
        </w:rPr>
        <w:t>GESI</w:t>
      </w:r>
      <w:r w:rsidR="00DB115A">
        <w:rPr>
          <w:lang w:val="en-AU"/>
        </w:rPr>
        <w:t>’</w:t>
      </w:r>
      <w:r w:rsidRPr="00091600">
        <w:rPr>
          <w:lang w:val="en-AU"/>
        </w:rPr>
        <w:t xml:space="preserve"> seen as an ‘add-on’ to be considered after the core business </w:t>
      </w:r>
      <w:r w:rsidR="0027065B" w:rsidRPr="00091600">
        <w:rPr>
          <w:lang w:val="en-AU"/>
        </w:rPr>
        <w:t>(</w:t>
      </w:r>
      <w:r w:rsidRPr="00091600">
        <w:rPr>
          <w:lang w:val="en-AU"/>
        </w:rPr>
        <w:t xml:space="preserve">in this case, strengthening governance) has been performed. This is unfortunate, as the core business of aid is to effect social development through improved policies, processes, and practices. </w:t>
      </w:r>
      <w:r w:rsidR="0027065B" w:rsidRPr="00091600">
        <w:rPr>
          <w:lang w:val="en-AU"/>
        </w:rPr>
        <w:t>T</w:t>
      </w:r>
      <w:r w:rsidR="0090220E" w:rsidRPr="00091600">
        <w:rPr>
          <w:lang w:val="en-AU"/>
        </w:rPr>
        <w:t>o</w:t>
      </w:r>
      <w:r w:rsidRPr="00091600">
        <w:rPr>
          <w:lang w:val="en-AU"/>
        </w:rPr>
        <w:t xml:space="preserve"> achieve that development, people have to change their behaviour and existing social roles. All people have a gender, with any number of other intersecting social roles and attributes dictating how they are allowed to behave in public. Sustainable change in social roles, as in gender transformation, occurs through the same processes as sustainable change in any other aspect of society. Hence, situating gender and inclusion at the core of any program that requires people to change is fundamental to achieving that change. The Australian DFAT has endorsed this perspective in the design of the Water for Women Fund, a A</w:t>
      </w:r>
      <w:r w:rsidR="006B46A5">
        <w:rPr>
          <w:lang w:val="en-AU"/>
        </w:rPr>
        <w:t>UD</w:t>
      </w:r>
      <w:r w:rsidRPr="00091600">
        <w:rPr>
          <w:lang w:val="en-AU"/>
        </w:rPr>
        <w:t xml:space="preserve">110 million investment in water, sanitation, and hygiene (WASH) which uses a context analysis of ‘inclusion’ of women and all people marginalised from leadership and </w:t>
      </w:r>
      <w:r w:rsidR="00CF45C5" w:rsidRPr="00091600">
        <w:rPr>
          <w:lang w:val="en-AU"/>
        </w:rPr>
        <w:t>decision</w:t>
      </w:r>
      <w:r w:rsidRPr="00091600">
        <w:rPr>
          <w:lang w:val="en-AU"/>
        </w:rPr>
        <w:t xml:space="preserve"> making around WASH as the launching point for their WASH programs in the Indo-Pacific.</w:t>
      </w:r>
      <w:r w:rsidRPr="00091600">
        <w:rPr>
          <w:rStyle w:val="FootnoteReference"/>
          <w:lang w:val="en-AU"/>
        </w:rPr>
        <w:footnoteReference w:id="77"/>
      </w:r>
    </w:p>
    <w:p w:rsidR="000F4B57" w:rsidRPr="00091600" w:rsidRDefault="000F4B57" w:rsidP="000F4B57">
      <w:pPr>
        <w:pStyle w:val="BodyText"/>
        <w:rPr>
          <w:lang w:val="en-AU"/>
        </w:rPr>
      </w:pPr>
      <w:r w:rsidRPr="001422B3">
        <w:rPr>
          <w:rFonts w:ascii="Roboto" w:hAnsi="Roboto"/>
          <w:b/>
          <w:lang w:val="en-AU"/>
        </w:rPr>
        <w:t>Lack of understanding that ‘advancement’ is not the same as ‘empowerment’</w:t>
      </w:r>
      <w:r w:rsidR="00734C44" w:rsidRPr="001422B3">
        <w:rPr>
          <w:rFonts w:ascii="Roboto" w:hAnsi="Roboto"/>
          <w:b/>
          <w:lang w:val="en-AU"/>
        </w:rPr>
        <w:t>:</w:t>
      </w:r>
      <w:r w:rsidR="0090220E" w:rsidRPr="00091600">
        <w:rPr>
          <w:lang w:val="en-AU"/>
        </w:rPr>
        <w:t xml:space="preserve"> </w:t>
      </w:r>
      <w:r w:rsidR="00734C44" w:rsidRPr="00091600">
        <w:rPr>
          <w:lang w:val="en-AU"/>
        </w:rPr>
        <w:t>a</w:t>
      </w:r>
      <w:r w:rsidR="0090220E" w:rsidRPr="00091600">
        <w:rPr>
          <w:lang w:val="en-AU"/>
        </w:rPr>
        <w:t>ccess</w:t>
      </w:r>
      <w:r w:rsidRPr="00091600">
        <w:rPr>
          <w:lang w:val="en-AU"/>
        </w:rPr>
        <w:t xml:space="preserve"> to training and resources, and promotion to </w:t>
      </w:r>
      <w:r w:rsidR="00CF45C5" w:rsidRPr="00091600">
        <w:rPr>
          <w:lang w:val="en-AU"/>
        </w:rPr>
        <w:t>decision</w:t>
      </w:r>
      <w:r w:rsidRPr="00091600">
        <w:rPr>
          <w:lang w:val="en-AU"/>
        </w:rPr>
        <w:t xml:space="preserve"> making positions for women and other marginalised people represents ‘advancement’, but without the accompanying transformation of the culture of the context (whether community, classroom, or workplace) that would achieve ‘empowerment’ for women and other marginalised groups. This</w:t>
      </w:r>
      <w:r w:rsidRPr="00091600">
        <w:rPr>
          <w:rFonts w:cstheme="minorHAnsi"/>
          <w:lang w:val="en-AU"/>
        </w:rPr>
        <w:t xml:space="preserve"> </w:t>
      </w:r>
      <w:r w:rsidRPr="00091600">
        <w:rPr>
          <w:lang w:val="en-AU"/>
        </w:rPr>
        <w:t xml:space="preserve">would see them engaged in, and promoted to, leadership and higher </w:t>
      </w:r>
      <w:r w:rsidR="00CF45C5" w:rsidRPr="00091600">
        <w:rPr>
          <w:lang w:val="en-AU"/>
        </w:rPr>
        <w:t>decision</w:t>
      </w:r>
      <w:r w:rsidRPr="00091600">
        <w:rPr>
          <w:lang w:val="en-AU"/>
        </w:rPr>
        <w:t xml:space="preserve"> making positions within the public service. Gender theory tells us that, for women and other marginalised people to sustainably and safely participate in non-traditional gender and social roles, two core elements are required: ‘advancement’, which involves access to knowledge, skills, training, finance, etc.; and ‘empowerment’, which involves the societal transformation towards acceptance of the right for those people to occupy non-traditional gender and social roles.</w:t>
      </w:r>
      <w:r w:rsidRPr="00091600">
        <w:rPr>
          <w:rStyle w:val="FootnoteReference"/>
          <w:lang w:val="en-AU"/>
        </w:rPr>
        <w:footnoteReference w:id="78"/>
      </w:r>
      <w:r w:rsidRPr="00091600">
        <w:rPr>
          <w:lang w:val="en-AU"/>
        </w:rPr>
        <w:t xml:space="preserve"> ‘Do No Harm’ research,</w:t>
      </w:r>
      <w:r w:rsidRPr="00091600">
        <w:rPr>
          <w:rStyle w:val="FootnoteReference"/>
          <w:lang w:val="en-AU"/>
        </w:rPr>
        <w:footnoteReference w:id="79"/>
      </w:r>
      <w:r w:rsidRPr="00091600">
        <w:rPr>
          <w:lang w:val="en-AU"/>
        </w:rPr>
        <w:t xml:space="preserve"> for example, has demonstrated that women’s economic advancement can place women at greater risk of violence without parallel transformational gender equality and empowerment training in context to ensure women can safely benefit from their advancement. The necessary resources and skills and the social power and authority to access and use those resources and skills are both required for empowerment in any social context.</w:t>
      </w:r>
    </w:p>
    <w:p w:rsidR="000F4B57" w:rsidRPr="00091600" w:rsidRDefault="000F4B57" w:rsidP="000F4B57">
      <w:pPr>
        <w:pStyle w:val="BodyText"/>
        <w:rPr>
          <w:lang w:val="en-AU"/>
        </w:rPr>
      </w:pPr>
      <w:r w:rsidRPr="001422B3">
        <w:rPr>
          <w:rFonts w:ascii="Roboto" w:hAnsi="Roboto"/>
          <w:b/>
          <w:lang w:val="en-AU"/>
        </w:rPr>
        <w:t>Overuse of the term ‘transformation’</w:t>
      </w:r>
      <w:r w:rsidR="00734C44" w:rsidRPr="007D3221">
        <w:rPr>
          <w:rFonts w:ascii="Roboto" w:hAnsi="Roboto"/>
          <w:lang w:val="en-AU"/>
        </w:rPr>
        <w:t>:</w:t>
      </w:r>
      <w:r w:rsidR="00D36E86" w:rsidRPr="00091600">
        <w:rPr>
          <w:lang w:val="en-AU"/>
        </w:rPr>
        <w:t xml:space="preserve"> </w:t>
      </w:r>
      <w:r w:rsidR="00734C44" w:rsidRPr="00091600">
        <w:rPr>
          <w:lang w:val="en-AU"/>
        </w:rPr>
        <w:t>c</w:t>
      </w:r>
      <w:r w:rsidR="00D36E86" w:rsidRPr="00091600">
        <w:rPr>
          <w:lang w:val="en-AU"/>
        </w:rPr>
        <w:t>learly</w:t>
      </w:r>
      <w:r w:rsidRPr="00091600">
        <w:rPr>
          <w:lang w:val="en-AU"/>
        </w:rPr>
        <w:t>, the education of women and marginalised people coupled with good policy is not sufficient to achieve transformative change in the community, classroom, or workplace.</w:t>
      </w:r>
    </w:p>
    <w:p w:rsidR="000F4B57" w:rsidRPr="00091600" w:rsidRDefault="000F4B57" w:rsidP="000F4B57">
      <w:pPr>
        <w:pStyle w:val="BodyText"/>
        <w:rPr>
          <w:lang w:val="en-AU"/>
        </w:rPr>
      </w:pPr>
      <w:r w:rsidRPr="00091600">
        <w:rPr>
          <w:lang w:val="en-AU"/>
        </w:rPr>
        <w:t>In the context of the Precinct, achieving the goal ‘to grow a new generation of ethical public service leaders, both women and men, with the capability and motivation to collaborate, lead and manage the delivery of equitable and inclusive government services to all citizens of the country’</w:t>
      </w:r>
      <w:r w:rsidRPr="00091600">
        <w:rPr>
          <w:i/>
          <w:lang w:val="en-AU"/>
        </w:rPr>
        <w:t xml:space="preserve"> </w:t>
      </w:r>
      <w:r w:rsidRPr="00091600">
        <w:rPr>
          <w:lang w:val="en-AU"/>
        </w:rPr>
        <w:t xml:space="preserve">will also require the transformation of the culture of the public service workplace as a series of diverse national and provincial institutions, to ensure that women and other people traditionally marginalised from leadership and </w:t>
      </w:r>
      <w:r w:rsidR="00CF45C5" w:rsidRPr="00091600">
        <w:rPr>
          <w:lang w:val="en-AU"/>
        </w:rPr>
        <w:t>decision</w:t>
      </w:r>
      <w:r w:rsidRPr="00091600">
        <w:rPr>
          <w:lang w:val="en-AU"/>
        </w:rPr>
        <w:t xml:space="preserve"> making roles can safely occupy and perform non-traditional roles in that context.</w:t>
      </w:r>
    </w:p>
    <w:p w:rsidR="000F4B57" w:rsidRPr="00091600" w:rsidRDefault="000F4B57" w:rsidP="000F4B57">
      <w:pPr>
        <w:pStyle w:val="BodyText"/>
        <w:rPr>
          <w:lang w:val="en-AU"/>
        </w:rPr>
      </w:pPr>
      <w:r w:rsidRPr="00091600">
        <w:rPr>
          <w:lang w:val="en-AU"/>
        </w:rPr>
        <w:t xml:space="preserve">Currently in this design, few steps are in place that would result in genuine gender transformation, though the term ‘transformative change’ is often used in documentation. What is lacking </w:t>
      </w:r>
      <w:r w:rsidR="00DB115A">
        <w:rPr>
          <w:lang w:val="en-AU"/>
        </w:rPr>
        <w:t>is what was</w:t>
      </w:r>
      <w:r w:rsidR="00BD300D">
        <w:rPr>
          <w:lang w:val="en-AU"/>
        </w:rPr>
        <w:t xml:space="preserve"> </w:t>
      </w:r>
      <w:r w:rsidR="00DB115A">
        <w:rPr>
          <w:lang w:val="en-AU"/>
        </w:rPr>
        <w:t>frequently mentioned in interview</w:t>
      </w:r>
      <w:r w:rsidRPr="00091600">
        <w:rPr>
          <w:lang w:val="en-AU"/>
        </w:rPr>
        <w:t>r</w:t>
      </w:r>
      <w:r w:rsidR="00DB115A">
        <w:rPr>
          <w:lang w:val="en-AU"/>
        </w:rPr>
        <w:t xml:space="preserve"> </w:t>
      </w:r>
      <w:r w:rsidRPr="00091600">
        <w:rPr>
          <w:lang w:val="en-AU"/>
        </w:rPr>
        <w:t xml:space="preserve">throughout this Strategic Review as ‘the missing middle’: a process to identify the barriers to enablers of genuine transformative change at the middle and senior management level; the need to discover what is necessary to create an enabling environment for the sustainable inclusion of women and other groups marginalised from </w:t>
      </w:r>
      <w:r w:rsidR="00DB5DD0">
        <w:rPr>
          <w:lang w:val="en-AU"/>
        </w:rPr>
        <w:t>decision</w:t>
      </w:r>
      <w:r w:rsidRPr="00091600">
        <w:rPr>
          <w:lang w:val="en-AU"/>
        </w:rPr>
        <w:t xml:space="preserve"> making and leadership positions; and the need </w:t>
      </w:r>
      <w:r w:rsidR="0027065B" w:rsidRPr="00091600">
        <w:rPr>
          <w:lang w:val="en-AU"/>
        </w:rPr>
        <w:t>for</w:t>
      </w:r>
      <w:r w:rsidRPr="00091600">
        <w:rPr>
          <w:lang w:val="en-AU"/>
        </w:rPr>
        <w:t xml:space="preserve"> activities that both promote the enablers and deconstruct the barriers to transformative change.</w:t>
      </w:r>
    </w:p>
    <w:p w:rsidR="000F4B57" w:rsidRPr="00091600" w:rsidRDefault="000F4B57" w:rsidP="000F4B57">
      <w:pPr>
        <w:pStyle w:val="BodyText"/>
        <w:rPr>
          <w:lang w:val="en-AU"/>
        </w:rPr>
      </w:pPr>
      <w:r w:rsidRPr="001422B3">
        <w:rPr>
          <w:rFonts w:ascii="Roboto" w:hAnsi="Roboto"/>
          <w:b/>
          <w:lang w:val="en-AU"/>
        </w:rPr>
        <w:t>Lack of gender and socially inclusive context analysis</w:t>
      </w:r>
      <w:r w:rsidR="00734C44" w:rsidRPr="007D3221">
        <w:rPr>
          <w:rFonts w:ascii="Roboto" w:hAnsi="Roboto"/>
          <w:lang w:val="en-AU"/>
        </w:rPr>
        <w:t>:</w:t>
      </w:r>
      <w:r w:rsidR="00D36E86" w:rsidRPr="00091600">
        <w:rPr>
          <w:lang w:val="en-AU"/>
        </w:rPr>
        <w:t xml:space="preserve"> </w:t>
      </w:r>
      <w:r w:rsidR="00734C44" w:rsidRPr="00091600">
        <w:rPr>
          <w:lang w:val="en-AU"/>
        </w:rPr>
        <w:t>t</w:t>
      </w:r>
      <w:r w:rsidR="00D36E86" w:rsidRPr="00091600">
        <w:rPr>
          <w:lang w:val="en-AU"/>
        </w:rPr>
        <w:t>here</w:t>
      </w:r>
      <w:r w:rsidRPr="00091600">
        <w:rPr>
          <w:lang w:val="en-AU"/>
        </w:rPr>
        <w:t xml:space="preserve"> appears to be very little in the way of analysis that adequately identifies the barriers to </w:t>
      </w:r>
      <w:r w:rsidR="007623A1" w:rsidRPr="00091600">
        <w:rPr>
          <w:lang w:val="en-AU"/>
        </w:rPr>
        <w:t>(</w:t>
      </w:r>
      <w:r w:rsidRPr="00091600">
        <w:rPr>
          <w:lang w:val="en-AU"/>
        </w:rPr>
        <w:t>and enablers of</w:t>
      </w:r>
      <w:r w:rsidR="007623A1" w:rsidRPr="00091600">
        <w:rPr>
          <w:lang w:val="en-AU"/>
        </w:rPr>
        <w:t>)</w:t>
      </w:r>
      <w:r w:rsidRPr="00091600">
        <w:rPr>
          <w:lang w:val="en-AU"/>
        </w:rPr>
        <w:t xml:space="preserve"> greater participation of women and other people marginalised from leadership and </w:t>
      </w:r>
      <w:r w:rsidR="00CF45C5" w:rsidRPr="00091600">
        <w:rPr>
          <w:lang w:val="en-AU"/>
        </w:rPr>
        <w:t>decision</w:t>
      </w:r>
      <w:r w:rsidRPr="00091600">
        <w:rPr>
          <w:lang w:val="en-AU"/>
        </w:rPr>
        <w:t xml:space="preserve"> making positions in either the design or in the Precinct’s educational package (with the exception of the courses mentioned in Section 2.4 Achievements). Such analysis with relevant stakeholders in context is the only way to ensure that all contextually relevant barriers to </w:t>
      </w:r>
      <w:r w:rsidR="007623A1" w:rsidRPr="00091600">
        <w:rPr>
          <w:lang w:val="en-AU"/>
        </w:rPr>
        <w:t>(</w:t>
      </w:r>
      <w:r w:rsidRPr="00091600">
        <w:rPr>
          <w:lang w:val="en-AU"/>
        </w:rPr>
        <w:t>and enablers of</w:t>
      </w:r>
      <w:r w:rsidR="007623A1" w:rsidRPr="00091600">
        <w:rPr>
          <w:lang w:val="en-AU"/>
        </w:rPr>
        <w:t>)</w:t>
      </w:r>
      <w:r w:rsidRPr="00091600">
        <w:rPr>
          <w:lang w:val="en-AU"/>
        </w:rPr>
        <w:t xml:space="preserve"> genuine gender and socially inclusive change can be identified in each workplace. Such analysis facilitates contextually appropriate work planning, and budgeting based off those workplans, to ensure that workplaces can transform and those who have been trained can operationalise their new learning in their workplace. This type of analysis would therefore identify the contextually relevant factors for the ‘missing middle’.</w:t>
      </w:r>
    </w:p>
    <w:p w:rsidR="000F4B57" w:rsidRPr="00091600" w:rsidRDefault="000F4B57" w:rsidP="000F4B57">
      <w:pPr>
        <w:pStyle w:val="BodyText"/>
        <w:rPr>
          <w:lang w:val="en-AU"/>
        </w:rPr>
      </w:pPr>
      <w:r w:rsidRPr="001422B3">
        <w:rPr>
          <w:rFonts w:ascii="Roboto" w:hAnsi="Roboto"/>
          <w:b/>
          <w:lang w:val="en-AU"/>
        </w:rPr>
        <w:t>Lack of strategic monitoring and evaluation</w:t>
      </w:r>
      <w:r w:rsidR="00734C44" w:rsidRPr="001422B3">
        <w:rPr>
          <w:rFonts w:ascii="Roboto" w:hAnsi="Roboto"/>
          <w:b/>
          <w:lang w:val="en-AU"/>
        </w:rPr>
        <w:t>:</w:t>
      </w:r>
      <w:r w:rsidR="00D36E86" w:rsidRPr="00091600">
        <w:rPr>
          <w:lang w:val="en-AU"/>
        </w:rPr>
        <w:t xml:space="preserve"> </w:t>
      </w:r>
      <w:r w:rsidR="00734C44" w:rsidRPr="00091600">
        <w:rPr>
          <w:lang w:val="en-AU"/>
        </w:rPr>
        <w:t>t</w:t>
      </w:r>
      <w:r w:rsidR="00D36E86" w:rsidRPr="00091600">
        <w:rPr>
          <w:lang w:val="en-AU"/>
        </w:rPr>
        <w:t>he</w:t>
      </w:r>
      <w:r w:rsidRPr="00091600">
        <w:rPr>
          <w:lang w:val="en-AU"/>
        </w:rPr>
        <w:t xml:space="preserve"> contextual analyses mentioned above also indicate the most appropriate monitoring and evaluation strategies to ensure that activities conducted as a result of work planning are achieving their intended outputs and outcomes while ensuring, through evaluation activities, that this work is ‘doing no harm’. Contextually relevant qualitative and quantitative data are necessary to ensure this is the case. Focus on outputs, ‘quick wins’, and ‘low-hanging fruit’ for monitoring and compliance rather than effective and descriptive evaluation has taken the focus off the Precinct’s capacity to develop planning, programming, and learning that would be useful, not only as complex public diplomacy outputs, but as sustainable transformational programming ‘wins’.</w:t>
      </w:r>
    </w:p>
    <w:p w:rsidR="000F4B57" w:rsidRPr="00091600" w:rsidRDefault="000F4B57" w:rsidP="000F4B57">
      <w:pPr>
        <w:pStyle w:val="BodyText"/>
        <w:rPr>
          <w:lang w:val="en-AU"/>
        </w:rPr>
      </w:pPr>
      <w:r w:rsidRPr="001422B3">
        <w:rPr>
          <w:rFonts w:ascii="Roboto" w:hAnsi="Roboto"/>
          <w:b/>
          <w:lang w:val="en-AU"/>
        </w:rPr>
        <w:t>Incomplete implementation of the National Public Service GESI Policy</w:t>
      </w:r>
      <w:r w:rsidR="00734C44" w:rsidRPr="007D3221">
        <w:rPr>
          <w:rFonts w:ascii="Roboto" w:hAnsi="Roboto"/>
          <w:lang w:val="en-AU"/>
        </w:rPr>
        <w:t>:</w:t>
      </w:r>
      <w:r w:rsidR="00D36E86" w:rsidRPr="00091600">
        <w:rPr>
          <w:lang w:val="en-AU"/>
        </w:rPr>
        <w:t xml:space="preserve"> </w:t>
      </w:r>
      <w:r w:rsidR="00734C44" w:rsidRPr="00091600">
        <w:rPr>
          <w:lang w:val="en-AU"/>
        </w:rPr>
        <w:t>d</w:t>
      </w:r>
      <w:r w:rsidR="00D36E86" w:rsidRPr="00091600">
        <w:rPr>
          <w:lang w:val="en-AU"/>
        </w:rPr>
        <w:t>espite</w:t>
      </w:r>
      <w:r w:rsidRPr="00091600">
        <w:rPr>
          <w:lang w:val="en-AU"/>
        </w:rPr>
        <w:t xml:space="preserve"> a comprehensive GESI Policy, implementation of that policy, both at the national and sub-national level, is incomplete. GESI Helpdesks are only present and functioning in a handful of departments and </w:t>
      </w:r>
      <w:r w:rsidR="0027065B" w:rsidRPr="00091600">
        <w:rPr>
          <w:lang w:val="en-AU"/>
        </w:rPr>
        <w:t>p</w:t>
      </w:r>
      <w:r w:rsidR="00D36E86" w:rsidRPr="00091600">
        <w:rPr>
          <w:lang w:val="en-AU"/>
        </w:rPr>
        <w:t xml:space="preserve">rovincial </w:t>
      </w:r>
      <w:r w:rsidR="0027065B" w:rsidRPr="00091600">
        <w:rPr>
          <w:lang w:val="en-AU"/>
        </w:rPr>
        <w:t>o</w:t>
      </w:r>
      <w:r w:rsidR="00D36E86" w:rsidRPr="00091600">
        <w:rPr>
          <w:lang w:val="en-AU"/>
        </w:rPr>
        <w:t>ffices</w:t>
      </w:r>
      <w:r w:rsidRPr="00091600">
        <w:rPr>
          <w:lang w:val="en-AU"/>
        </w:rPr>
        <w:t xml:space="preserve"> (numbers are unknown by DPM). Reporting mechanisms are also incomplete as the GESI MEL</w:t>
      </w:r>
      <w:r w:rsidR="00D36E86" w:rsidRPr="00091600">
        <w:rPr>
          <w:lang w:val="en-AU"/>
        </w:rPr>
        <w:t xml:space="preserve"> </w:t>
      </w:r>
      <w:r w:rsidR="009F5553" w:rsidRPr="00091600">
        <w:rPr>
          <w:lang w:val="en-AU"/>
        </w:rPr>
        <w:t>plan</w:t>
      </w:r>
      <w:r w:rsidRPr="00091600">
        <w:rPr>
          <w:lang w:val="en-AU"/>
        </w:rPr>
        <w:t xml:space="preserve"> has not been implemented and the GESI database (GESI Dashboard) is not functional; thus</w:t>
      </w:r>
      <w:r w:rsidR="00DB7EEF">
        <w:rPr>
          <w:lang w:val="en-AU"/>
        </w:rPr>
        <w:t>,</w:t>
      </w:r>
      <w:r w:rsidRPr="00091600">
        <w:rPr>
          <w:lang w:val="en-AU"/>
        </w:rPr>
        <w:t xml:space="preserve"> data on the success of recruitment elements of the policy, as well as gender budgeting data (at both national and provincial levels), is difficult to access. Key performance indicators on GESI for Managers are being discussed now. While implementation of this Policy sits outside this Precinct Strategic Review remit, a lack of success in implementation, when this Policy is so fundamental to the gender and social inclusion elements of this design, represents a significant barrier to the success of educational efforts for public servants returning to untransformed workplaces that may not support their implementation of their newly gained knowledge and skills.</w:t>
      </w:r>
    </w:p>
    <w:p w:rsidR="000F4B57" w:rsidRPr="00091600" w:rsidRDefault="000F4B57" w:rsidP="000F4B57">
      <w:pPr>
        <w:pStyle w:val="BodyText"/>
        <w:rPr>
          <w:lang w:val="en-AU"/>
        </w:rPr>
      </w:pPr>
      <w:r w:rsidRPr="001422B3">
        <w:rPr>
          <w:rFonts w:ascii="Roboto" w:hAnsi="Roboto"/>
          <w:b/>
          <w:lang w:val="en-AU"/>
        </w:rPr>
        <w:t>Emphasis on compliance rather than commitment</w:t>
      </w:r>
      <w:r w:rsidR="00734C44" w:rsidRPr="001422B3">
        <w:rPr>
          <w:rFonts w:ascii="Roboto" w:hAnsi="Roboto"/>
          <w:b/>
          <w:lang w:val="en-AU"/>
        </w:rPr>
        <w:t>:</w:t>
      </w:r>
      <w:r w:rsidR="00D36E86" w:rsidRPr="00091600">
        <w:rPr>
          <w:lang w:val="en-AU"/>
        </w:rPr>
        <w:t xml:space="preserve"> </w:t>
      </w:r>
      <w:r w:rsidR="007623A1" w:rsidRPr="00091600">
        <w:rPr>
          <w:lang w:val="en-AU"/>
        </w:rPr>
        <w:t>alt</w:t>
      </w:r>
      <w:r w:rsidR="00D36E86" w:rsidRPr="00091600">
        <w:rPr>
          <w:lang w:val="en-AU"/>
        </w:rPr>
        <w:t>hough</w:t>
      </w:r>
      <w:r w:rsidRPr="00091600">
        <w:rPr>
          <w:lang w:val="en-AU"/>
        </w:rPr>
        <w:t xml:space="preserve"> participants in the review indicated that improvement has been made over the past year</w:t>
      </w:r>
      <w:r w:rsidR="00D36E86" w:rsidRPr="00091600">
        <w:rPr>
          <w:lang w:val="en-AU"/>
        </w:rPr>
        <w:t xml:space="preserve"> </w:t>
      </w:r>
      <w:r w:rsidRPr="00091600">
        <w:rPr>
          <w:lang w:val="en-AU"/>
        </w:rPr>
        <w:t xml:space="preserve"> regarding commitment to gender and social inclusion from senior staff at both Abt PNG and AHC, there remains the perception that commitment of both to GESI is more noticeable at reporting time, and around compliance monitoring through Aid Quality Checks, rather than consistently through all elements of programming, budgeting, and monitoring and evaluation. Clearly, commitment around mainstreaming is best demonstrated through leadership and resourcing at all stages of the Aid Program Management Cycle when it comes to gender and social inclusion.</w:t>
      </w:r>
    </w:p>
    <w:p w:rsidR="000F4B57" w:rsidRPr="0045495E" w:rsidRDefault="000F4B57" w:rsidP="006D004F">
      <w:pPr>
        <w:pStyle w:val="level2annexlist"/>
      </w:pPr>
      <w:bookmarkStart w:id="197" w:name="_Toc536719933"/>
      <w:bookmarkStart w:id="198" w:name="_Toc2091571"/>
      <w:r w:rsidRPr="0045495E">
        <w:t>Opportunities</w:t>
      </w:r>
      <w:bookmarkEnd w:id="197"/>
      <w:bookmarkEnd w:id="198"/>
    </w:p>
    <w:p w:rsidR="000F4B57" w:rsidRPr="00091600" w:rsidRDefault="000F4B57" w:rsidP="000F4B57">
      <w:pPr>
        <w:pStyle w:val="BodyText"/>
        <w:rPr>
          <w:lang w:val="en-AU"/>
        </w:rPr>
      </w:pPr>
      <w:r w:rsidRPr="001422B3">
        <w:rPr>
          <w:rFonts w:ascii="Roboto" w:hAnsi="Roboto"/>
          <w:b/>
          <w:lang w:val="en-AU"/>
        </w:rPr>
        <w:t xml:space="preserve">Commitment to </w:t>
      </w:r>
      <w:r w:rsidR="00780A6F" w:rsidRPr="001422B3">
        <w:rPr>
          <w:rFonts w:ascii="Roboto" w:hAnsi="Roboto"/>
          <w:b/>
          <w:lang w:val="en-AU"/>
        </w:rPr>
        <w:t>GESI</w:t>
      </w:r>
      <w:r w:rsidRPr="001422B3">
        <w:rPr>
          <w:rFonts w:ascii="Roboto" w:hAnsi="Roboto"/>
          <w:b/>
          <w:lang w:val="en-AU"/>
        </w:rPr>
        <w:t xml:space="preserve"> in leadership and </w:t>
      </w:r>
      <w:r w:rsidR="00CF45C5" w:rsidRPr="001422B3">
        <w:rPr>
          <w:rFonts w:ascii="Roboto" w:hAnsi="Roboto"/>
          <w:b/>
          <w:lang w:val="en-AU"/>
        </w:rPr>
        <w:t>decision</w:t>
      </w:r>
      <w:r w:rsidRPr="001422B3">
        <w:rPr>
          <w:rFonts w:ascii="Roboto" w:hAnsi="Roboto"/>
          <w:b/>
          <w:lang w:val="en-AU"/>
        </w:rPr>
        <w:t xml:space="preserve"> making</w:t>
      </w:r>
      <w:r w:rsidR="00734C44" w:rsidRPr="001422B3">
        <w:rPr>
          <w:rFonts w:ascii="Roboto" w:hAnsi="Roboto"/>
          <w:b/>
          <w:lang w:val="en-AU"/>
        </w:rPr>
        <w:t>:</w:t>
      </w:r>
      <w:r w:rsidR="00D36E86" w:rsidRPr="00091600">
        <w:rPr>
          <w:lang w:val="en-AU"/>
        </w:rPr>
        <w:t xml:space="preserve"> </w:t>
      </w:r>
      <w:r w:rsidR="00734C44" w:rsidRPr="00091600">
        <w:rPr>
          <w:lang w:val="en-AU"/>
        </w:rPr>
        <w:t>t</w:t>
      </w:r>
      <w:r w:rsidR="00D36E86" w:rsidRPr="00091600">
        <w:rPr>
          <w:lang w:val="en-AU"/>
        </w:rPr>
        <w:t>hroughout</w:t>
      </w:r>
      <w:r w:rsidRPr="00091600">
        <w:rPr>
          <w:lang w:val="en-AU"/>
        </w:rPr>
        <w:t xml:space="preserve"> this Strategic Review process, the team was impressed by the high level of commitment to </w:t>
      </w:r>
      <w:r w:rsidR="00780A6F" w:rsidRPr="00091600">
        <w:rPr>
          <w:lang w:val="en-AU"/>
        </w:rPr>
        <w:t>GESI</w:t>
      </w:r>
      <w:r w:rsidRPr="00091600">
        <w:rPr>
          <w:lang w:val="en-AU"/>
        </w:rPr>
        <w:t xml:space="preserve"> in leadership and </w:t>
      </w:r>
      <w:r w:rsidR="00DB5DD0">
        <w:rPr>
          <w:lang w:val="en-AU"/>
        </w:rPr>
        <w:t>decision</w:t>
      </w:r>
      <w:r w:rsidRPr="00091600">
        <w:rPr>
          <w:lang w:val="en-AU"/>
        </w:rPr>
        <w:t xml:space="preserve"> making demonstrated by public service learners who participated in Precinct training activities. The same level of impressive commitment was demonstrated by public service senior executives.</w:t>
      </w:r>
    </w:p>
    <w:p w:rsidR="000F4B57" w:rsidRPr="00091600" w:rsidRDefault="000F4B57" w:rsidP="000F4B57">
      <w:pPr>
        <w:pStyle w:val="BodyText"/>
        <w:rPr>
          <w:lang w:val="en-AU"/>
        </w:rPr>
      </w:pPr>
      <w:r w:rsidRPr="001422B3">
        <w:rPr>
          <w:rFonts w:ascii="Roboto" w:hAnsi="Roboto"/>
          <w:b/>
          <w:lang w:val="en-AU"/>
        </w:rPr>
        <w:t xml:space="preserve">Commitment to ethical values-based leadership over </w:t>
      </w:r>
      <w:r w:rsidR="003E5ACF" w:rsidRPr="001422B3">
        <w:rPr>
          <w:rFonts w:ascii="Roboto" w:hAnsi="Roboto"/>
          <w:b/>
          <w:i/>
          <w:lang w:val="en-AU"/>
        </w:rPr>
        <w:t>wantok</w:t>
      </w:r>
      <w:r w:rsidR="00734C44" w:rsidRPr="001422B3">
        <w:rPr>
          <w:rFonts w:ascii="Roboto" w:hAnsi="Roboto"/>
          <w:b/>
          <w:lang w:val="en-AU"/>
        </w:rPr>
        <w:t>:</w:t>
      </w:r>
      <w:r w:rsidRPr="00091600">
        <w:rPr>
          <w:lang w:val="en-AU"/>
        </w:rPr>
        <w:t xml:space="preserve"> equally impressive, and somewhat surprising, was the commitment to a unified identity for the benefit of all PNG people. Though we discussed the problems and benefits of regionalism and </w:t>
      </w:r>
      <w:r w:rsidR="003E5ACF" w:rsidRPr="00091600">
        <w:rPr>
          <w:i/>
          <w:lang w:val="en-AU"/>
        </w:rPr>
        <w:t>wantok</w:t>
      </w:r>
      <w:r w:rsidRPr="00091600">
        <w:rPr>
          <w:lang w:val="en-AU"/>
        </w:rPr>
        <w:t xml:space="preserve">, overwhelmingly, informants wanted to step over </w:t>
      </w:r>
      <w:r w:rsidR="003E5ACF" w:rsidRPr="00091600">
        <w:rPr>
          <w:i/>
          <w:lang w:val="en-AU"/>
        </w:rPr>
        <w:t>wantok</w:t>
      </w:r>
      <w:r w:rsidRPr="00091600">
        <w:rPr>
          <w:lang w:val="en-AU"/>
        </w:rPr>
        <w:t xml:space="preserve">, ethnicity-based selection and favouritism to ensure that genuine merit, based on ethical leadership derived from unifying Christian values, prevails. A unified national identity that rejects the privileging of ethnicity is a great enabler of diverse social roles for those normally marginalised from leadership and </w:t>
      </w:r>
      <w:r w:rsidR="00DB5DD0">
        <w:rPr>
          <w:lang w:val="en-AU"/>
        </w:rPr>
        <w:t>decision</w:t>
      </w:r>
      <w:r w:rsidRPr="00091600">
        <w:rPr>
          <w:lang w:val="en-AU"/>
        </w:rPr>
        <w:t xml:space="preserve"> making roles as it modifies the social pressure those choosing to assume new social roles may experience from their own family and community.</w:t>
      </w:r>
    </w:p>
    <w:p w:rsidR="000F4B57" w:rsidRPr="00091600" w:rsidRDefault="000F4B57" w:rsidP="000F4B57">
      <w:pPr>
        <w:pStyle w:val="BodyText"/>
        <w:rPr>
          <w:lang w:val="en-AU"/>
        </w:rPr>
      </w:pPr>
      <w:r w:rsidRPr="001422B3">
        <w:rPr>
          <w:rFonts w:ascii="Roboto" w:hAnsi="Roboto"/>
          <w:b/>
          <w:lang w:val="en-AU"/>
        </w:rPr>
        <w:t>National Public Service GESI Policy process evaluation</w:t>
      </w:r>
      <w:r w:rsidR="00734C44" w:rsidRPr="001422B3">
        <w:rPr>
          <w:rFonts w:ascii="Roboto" w:hAnsi="Roboto"/>
          <w:b/>
          <w:lang w:val="en-AU"/>
        </w:rPr>
        <w:t>:</w:t>
      </w:r>
      <w:r w:rsidR="00D36E86" w:rsidRPr="00091600">
        <w:rPr>
          <w:lang w:val="en-AU"/>
        </w:rPr>
        <w:t xml:space="preserve"> </w:t>
      </w:r>
      <w:r w:rsidR="00734C44" w:rsidRPr="00091600">
        <w:rPr>
          <w:lang w:val="en-AU"/>
        </w:rPr>
        <w:t>e</w:t>
      </w:r>
      <w:r w:rsidR="00D36E86" w:rsidRPr="00091600">
        <w:rPr>
          <w:lang w:val="en-AU"/>
        </w:rPr>
        <w:t>mbedded</w:t>
      </w:r>
      <w:r w:rsidRPr="00091600">
        <w:rPr>
          <w:lang w:val="en-AU"/>
        </w:rPr>
        <w:t xml:space="preserve"> in the design of the </w:t>
      </w:r>
      <w:r w:rsidR="00E87298">
        <w:rPr>
          <w:lang w:val="en-AU"/>
        </w:rPr>
        <w:t>PNG Government</w:t>
      </w:r>
      <w:r w:rsidRPr="00091600">
        <w:rPr>
          <w:lang w:val="en-AU"/>
        </w:rPr>
        <w:t xml:space="preserve"> GESI Policy is the need for a mid-term evaluation of the implementation process. Given the patchy nature of implementation thus far, there is high-level political will and grassroots support to see a workshop that involves stakeholders from national, provincial and district levels engaged in the implementation of the </w:t>
      </w:r>
      <w:r w:rsidR="007623A1" w:rsidRPr="00091600">
        <w:rPr>
          <w:lang w:val="en-AU"/>
        </w:rPr>
        <w:t>p</w:t>
      </w:r>
      <w:r w:rsidR="00D36E86" w:rsidRPr="00091600">
        <w:rPr>
          <w:lang w:val="en-AU"/>
        </w:rPr>
        <w:t>olicy</w:t>
      </w:r>
      <w:r w:rsidRPr="00091600">
        <w:rPr>
          <w:lang w:val="en-AU"/>
        </w:rPr>
        <w:t xml:space="preserve">. This would provide the perfect opportunity to gather information on lessons learned on successes and challenges to implementation; perform a context analysis of implementation barriers and enablers; and come up with some strategies for improving the </w:t>
      </w:r>
      <w:r w:rsidR="007623A1" w:rsidRPr="00091600">
        <w:rPr>
          <w:lang w:val="en-AU"/>
        </w:rPr>
        <w:t>p</w:t>
      </w:r>
      <w:r w:rsidR="00D36E86" w:rsidRPr="00091600">
        <w:rPr>
          <w:lang w:val="en-AU"/>
        </w:rPr>
        <w:t>olicy</w:t>
      </w:r>
      <w:r w:rsidRPr="00091600">
        <w:rPr>
          <w:lang w:val="en-AU"/>
        </w:rPr>
        <w:t xml:space="preserve"> and its supporting </w:t>
      </w:r>
      <w:r w:rsidR="009F5553" w:rsidRPr="00091600">
        <w:rPr>
          <w:lang w:val="en-AU"/>
        </w:rPr>
        <w:t>Toolkit</w:t>
      </w:r>
      <w:r w:rsidRPr="00091600">
        <w:rPr>
          <w:lang w:val="en-AU"/>
        </w:rPr>
        <w:t xml:space="preserve"> while also gathering some public diplomacy outputs.</w:t>
      </w:r>
    </w:p>
    <w:p w:rsidR="000F4B57" w:rsidRPr="00091600" w:rsidRDefault="000F4B57" w:rsidP="000F4B57">
      <w:pPr>
        <w:pStyle w:val="BodyText"/>
        <w:rPr>
          <w:lang w:val="en-AU"/>
        </w:rPr>
      </w:pPr>
      <w:r w:rsidRPr="001422B3">
        <w:rPr>
          <w:rFonts w:ascii="Roboto" w:hAnsi="Roboto"/>
          <w:b/>
          <w:lang w:val="en-AU"/>
        </w:rPr>
        <w:t>Demand for Male Advocates training</w:t>
      </w:r>
      <w:r w:rsidR="00734C44" w:rsidRPr="001422B3">
        <w:rPr>
          <w:rFonts w:ascii="Roboto" w:hAnsi="Roboto"/>
          <w:b/>
          <w:lang w:val="en-AU"/>
        </w:rPr>
        <w:t>:</w:t>
      </w:r>
      <w:r w:rsidR="00D36E86" w:rsidRPr="00091600">
        <w:rPr>
          <w:lang w:val="en-AU"/>
        </w:rPr>
        <w:t xml:space="preserve"> </w:t>
      </w:r>
      <w:r w:rsidR="00734C44" w:rsidRPr="00091600">
        <w:rPr>
          <w:lang w:val="en-AU"/>
        </w:rPr>
        <w:t>i</w:t>
      </w:r>
      <w:r w:rsidR="00D36E86" w:rsidRPr="00091600">
        <w:rPr>
          <w:lang w:val="en-AU"/>
        </w:rPr>
        <w:t>n</w:t>
      </w:r>
      <w:r w:rsidRPr="00091600">
        <w:rPr>
          <w:lang w:val="en-AU"/>
        </w:rPr>
        <w:t xml:space="preserve"> 2018, 100 people (83 men and 17 women) accessed Male Advocates training. Demand for this training should be exploited, and training scaled up to include provincial and district leaders and lengthened achieve greater understanding and commitment from those in leadership positions. It is highly likely that one of the barriers to effective GESI Policy implementation is the lack of awareness of GESI principles by male senior managers and human resources people within all departments and provincial and district governments. This training would help address the ‘missing middle’.</w:t>
      </w:r>
    </w:p>
    <w:p w:rsidR="000F4B57" w:rsidRPr="00091600" w:rsidRDefault="000F4B57" w:rsidP="000F4B57">
      <w:pPr>
        <w:pStyle w:val="BodyText"/>
        <w:rPr>
          <w:lang w:val="en-AU"/>
        </w:rPr>
      </w:pPr>
      <w:r w:rsidRPr="001422B3">
        <w:rPr>
          <w:rFonts w:ascii="Roboto" w:hAnsi="Roboto"/>
          <w:b/>
          <w:lang w:val="en-AU"/>
        </w:rPr>
        <w:t>Demand for training from the provinces</w:t>
      </w:r>
      <w:r w:rsidR="00734C44" w:rsidRPr="001422B3">
        <w:rPr>
          <w:rFonts w:ascii="Roboto" w:hAnsi="Roboto"/>
          <w:b/>
          <w:lang w:val="en-AU"/>
        </w:rPr>
        <w:t>:</w:t>
      </w:r>
      <w:r w:rsidR="00D36E86" w:rsidRPr="00091600">
        <w:rPr>
          <w:lang w:val="en-AU"/>
        </w:rPr>
        <w:t xml:space="preserve"> </w:t>
      </w:r>
      <w:r w:rsidR="00734C44" w:rsidRPr="00091600">
        <w:rPr>
          <w:lang w:val="en-AU"/>
        </w:rPr>
        <w:t>a</w:t>
      </w:r>
      <w:r w:rsidR="00D36E86" w:rsidRPr="00091600">
        <w:rPr>
          <w:lang w:val="en-AU"/>
        </w:rPr>
        <w:t>ll</w:t>
      </w:r>
      <w:r w:rsidRPr="00091600">
        <w:rPr>
          <w:lang w:val="en-AU"/>
        </w:rPr>
        <w:t xml:space="preserve"> informants mentioned the high level of demand from the provinces, to attend both long and short courses in Central and in their home provinces. The cost of bringing one person to the National Capital District for training would allow for the training of 10 people, if the training were conducted in the provinces. The value for money to be gained in providing training in provinces rather than bringing all participants to Waigani is obvious.</w:t>
      </w:r>
    </w:p>
    <w:p w:rsidR="000F4B57" w:rsidRPr="0045495E" w:rsidRDefault="000F4B57" w:rsidP="006D004F">
      <w:pPr>
        <w:pStyle w:val="level2annexlist"/>
      </w:pPr>
      <w:bookmarkStart w:id="199" w:name="_Toc536719934"/>
      <w:bookmarkStart w:id="200" w:name="_Toc2091572"/>
      <w:r w:rsidRPr="0045495E">
        <w:t>Lessons learned—GESI</w:t>
      </w:r>
      <w:bookmarkEnd w:id="199"/>
      <w:bookmarkEnd w:id="200"/>
    </w:p>
    <w:p w:rsidR="000F4B57" w:rsidRPr="00091600" w:rsidRDefault="000F4B57" w:rsidP="000F4B57">
      <w:pPr>
        <w:pStyle w:val="BodyText"/>
        <w:rPr>
          <w:lang w:val="en-AU"/>
        </w:rPr>
      </w:pPr>
      <w:r w:rsidRPr="00091600">
        <w:rPr>
          <w:lang w:val="en-AU"/>
        </w:rPr>
        <w:t xml:space="preserve">While positive elements of the integration of </w:t>
      </w:r>
      <w:r w:rsidR="00780A6F" w:rsidRPr="00091600">
        <w:rPr>
          <w:lang w:val="en-AU"/>
        </w:rPr>
        <w:t>GESI</w:t>
      </w:r>
      <w:r w:rsidRPr="00091600">
        <w:rPr>
          <w:lang w:val="en-AU"/>
        </w:rPr>
        <w:t xml:space="preserve"> values and principles have been observed through this review, the mainstreaming of </w:t>
      </w:r>
      <w:r w:rsidR="00780A6F" w:rsidRPr="00091600">
        <w:rPr>
          <w:lang w:val="en-AU"/>
        </w:rPr>
        <w:t>GESI</w:t>
      </w:r>
      <w:r w:rsidRPr="00091600">
        <w:rPr>
          <w:lang w:val="en-AU"/>
        </w:rPr>
        <w:t xml:space="preserve"> has not been consistently achieved in this design, implementation, </w:t>
      </w:r>
      <w:r w:rsidR="00D36E86" w:rsidRPr="00091600">
        <w:rPr>
          <w:lang w:val="en-AU"/>
        </w:rPr>
        <w:t>or</w:t>
      </w:r>
      <w:r w:rsidRPr="00091600">
        <w:rPr>
          <w:lang w:val="en-AU"/>
        </w:rPr>
        <w:t xml:space="preserve"> monitoring and evaluation. An apparent lack of coordinated understanding of gender and inclusion principles and processes was demonstrated in the inconsistent usage of GESI to signify women, gender, gender and disability, and inclusion in ethical and values-based leadership and </w:t>
      </w:r>
      <w:r w:rsidR="00DB5DD0">
        <w:rPr>
          <w:lang w:val="en-AU"/>
        </w:rPr>
        <w:t>decision</w:t>
      </w:r>
      <w:r w:rsidRPr="00091600">
        <w:rPr>
          <w:lang w:val="en-AU"/>
        </w:rPr>
        <w:t xml:space="preserve"> making, or as a shorthand for the </w:t>
      </w:r>
      <w:r w:rsidR="00E87298">
        <w:rPr>
          <w:lang w:val="en-AU"/>
        </w:rPr>
        <w:t>PNG Government</w:t>
      </w:r>
      <w:r w:rsidRPr="00091600">
        <w:rPr>
          <w:lang w:val="en-AU"/>
        </w:rPr>
        <w:t xml:space="preserve"> document itself; this has led to a lack of focus on genuine inclusion. </w:t>
      </w:r>
      <w:r w:rsidR="007623A1" w:rsidRPr="00091600">
        <w:rPr>
          <w:lang w:val="en-AU"/>
        </w:rPr>
        <w:t>C</w:t>
      </w:r>
      <w:r w:rsidR="00D36E86" w:rsidRPr="00091600">
        <w:rPr>
          <w:lang w:val="en-AU"/>
        </w:rPr>
        <w:t>oupled</w:t>
      </w:r>
      <w:r w:rsidRPr="00091600">
        <w:rPr>
          <w:lang w:val="en-AU"/>
        </w:rPr>
        <w:t xml:space="preserve"> with </w:t>
      </w:r>
      <w:r w:rsidR="00D36E86" w:rsidRPr="00091600">
        <w:rPr>
          <w:lang w:val="en-AU"/>
        </w:rPr>
        <w:t xml:space="preserve">a troubled design, </w:t>
      </w:r>
      <w:r w:rsidRPr="00091600">
        <w:rPr>
          <w:lang w:val="en-AU"/>
        </w:rPr>
        <w:t>implementation, and MEL process, and a resultant desire for ‘quick wins’, this has allowed the reporting of numbers of men and women trained to become a proxy for ‘GESI’ success.</w:t>
      </w:r>
    </w:p>
    <w:p w:rsidR="000F4B57" w:rsidRPr="00091600" w:rsidRDefault="000F4B57" w:rsidP="000F4B57">
      <w:pPr>
        <w:pStyle w:val="BodyText"/>
        <w:rPr>
          <w:lang w:val="en-AU"/>
        </w:rPr>
      </w:pPr>
      <w:r w:rsidRPr="00091600">
        <w:rPr>
          <w:lang w:val="en-AU"/>
        </w:rPr>
        <w:t xml:space="preserve">Many informants have </w:t>
      </w:r>
      <w:r w:rsidR="00D36E86" w:rsidRPr="00091600">
        <w:rPr>
          <w:lang w:val="en-AU"/>
        </w:rPr>
        <w:t>told us</w:t>
      </w:r>
      <w:r w:rsidRPr="00091600">
        <w:rPr>
          <w:lang w:val="en-AU"/>
        </w:rPr>
        <w:t xml:space="preserve"> that training is not enough. Theory tells us that access to knowledge and skills represents ‘advancement’ for those individuals, but unless their community/workplace/department/educational environment is ‘transformed’ to enable them to apply their new knowledge and skills safely and without reprisal or further marginalisation, the investment will be ineffective and unsustainable and potentially do harm.</w:t>
      </w:r>
    </w:p>
    <w:p w:rsidR="000F4B57" w:rsidRPr="00091600" w:rsidRDefault="000F4B57" w:rsidP="000F4B57">
      <w:pPr>
        <w:pStyle w:val="BodyText"/>
        <w:rPr>
          <w:lang w:val="en-AU"/>
        </w:rPr>
      </w:pPr>
      <w:r w:rsidRPr="00091600">
        <w:rPr>
          <w:lang w:val="en-AU"/>
        </w:rPr>
        <w:t xml:space="preserve">Transformation of the public service to a more inclusive workplace that delivers more inclusive service to the people of PNG is not possible without a more nuanced approach to the delivery of an enabling environment that could achieve that goal. This requires a Precinct design-strengthening process that begins with gender and socially inclusive context analysis with all stakeholders to establish the barriers to </w:t>
      </w:r>
      <w:r w:rsidR="007623A1" w:rsidRPr="00091600">
        <w:rPr>
          <w:lang w:val="en-AU"/>
        </w:rPr>
        <w:t>(</w:t>
      </w:r>
      <w:r w:rsidRPr="00091600">
        <w:rPr>
          <w:lang w:val="en-AU"/>
        </w:rPr>
        <w:t>and enablers of</w:t>
      </w:r>
      <w:r w:rsidR="007623A1" w:rsidRPr="00091600">
        <w:rPr>
          <w:lang w:val="en-AU"/>
        </w:rPr>
        <w:t>)</w:t>
      </w:r>
      <w:r w:rsidRPr="00091600">
        <w:rPr>
          <w:lang w:val="en-AU"/>
        </w:rPr>
        <w:t xml:space="preserve"> transformative inclusive change by examining:</w:t>
      </w:r>
    </w:p>
    <w:p w:rsidR="000F4B57" w:rsidRPr="00091600" w:rsidRDefault="00734C44" w:rsidP="000F4B57">
      <w:pPr>
        <w:pStyle w:val="ListBullet"/>
        <w:rPr>
          <w:rFonts w:ascii="Roboto Light" w:hAnsi="Roboto Light"/>
          <w:szCs w:val="22"/>
          <w:lang w:val="en-AU"/>
        </w:rPr>
      </w:pPr>
      <w:r w:rsidRPr="00091600">
        <w:rPr>
          <w:rFonts w:ascii="Roboto Light" w:hAnsi="Roboto Light"/>
          <w:szCs w:val="22"/>
          <w:lang w:val="en-AU"/>
        </w:rPr>
        <w:t>i</w:t>
      </w:r>
      <w:r w:rsidR="00D36E86" w:rsidRPr="00091600">
        <w:rPr>
          <w:rFonts w:ascii="Roboto Light" w:hAnsi="Roboto Light"/>
          <w:szCs w:val="22"/>
          <w:lang w:val="en-AU"/>
        </w:rPr>
        <w:t>ndividual</w:t>
      </w:r>
      <w:r w:rsidR="000F4B57" w:rsidRPr="00091600">
        <w:rPr>
          <w:rFonts w:ascii="Roboto Light" w:hAnsi="Roboto Light"/>
          <w:szCs w:val="22"/>
          <w:lang w:val="en-AU"/>
        </w:rPr>
        <w:t>-level knowledge and skills required by public servants, their managers, and senior executives (to inform further inclusive course design);</w:t>
      </w:r>
    </w:p>
    <w:p w:rsidR="000F4B57" w:rsidRPr="00091600" w:rsidRDefault="00734C44" w:rsidP="000F4B57">
      <w:pPr>
        <w:pStyle w:val="ListBullet"/>
        <w:rPr>
          <w:rFonts w:ascii="Roboto Light" w:hAnsi="Roboto Light"/>
          <w:szCs w:val="22"/>
          <w:lang w:val="en-AU"/>
        </w:rPr>
      </w:pPr>
      <w:r w:rsidRPr="00091600">
        <w:rPr>
          <w:rFonts w:ascii="Roboto Light" w:hAnsi="Roboto Light"/>
          <w:szCs w:val="22"/>
          <w:lang w:val="en-AU"/>
        </w:rPr>
        <w:t>e</w:t>
      </w:r>
      <w:r w:rsidR="00D36E86" w:rsidRPr="00091600">
        <w:rPr>
          <w:rFonts w:ascii="Roboto Light" w:hAnsi="Roboto Light"/>
          <w:szCs w:val="22"/>
          <w:lang w:val="en-AU"/>
        </w:rPr>
        <w:t>nvironmental</w:t>
      </w:r>
      <w:r w:rsidR="000F4B57" w:rsidRPr="00091600">
        <w:rPr>
          <w:rFonts w:ascii="Roboto Light" w:hAnsi="Roboto Light"/>
          <w:szCs w:val="22"/>
          <w:lang w:val="en-AU"/>
        </w:rPr>
        <w:t xml:space="preserve">-level (community/workplace/department/educational) barriers to </w:t>
      </w:r>
      <w:r w:rsidR="007623A1" w:rsidRPr="00091600">
        <w:rPr>
          <w:rFonts w:ascii="Roboto Light" w:hAnsi="Roboto Light"/>
          <w:szCs w:val="22"/>
          <w:lang w:val="en-AU"/>
        </w:rPr>
        <w:t>(</w:t>
      </w:r>
      <w:r w:rsidR="000F4B57" w:rsidRPr="00091600">
        <w:rPr>
          <w:rFonts w:ascii="Roboto Light" w:hAnsi="Roboto Light"/>
          <w:szCs w:val="22"/>
          <w:lang w:val="en-AU"/>
        </w:rPr>
        <w:t>and enablers of</w:t>
      </w:r>
      <w:r w:rsidR="007623A1" w:rsidRPr="00091600">
        <w:rPr>
          <w:rFonts w:ascii="Roboto Light" w:hAnsi="Roboto Light"/>
          <w:szCs w:val="22"/>
          <w:lang w:val="en-AU"/>
        </w:rPr>
        <w:t>)</w:t>
      </w:r>
      <w:r w:rsidR="000F4B57" w:rsidRPr="00091600">
        <w:rPr>
          <w:rFonts w:ascii="Roboto Light" w:hAnsi="Roboto Light"/>
          <w:szCs w:val="22"/>
          <w:lang w:val="en-AU"/>
        </w:rPr>
        <w:t xml:space="preserve"> transformative inclusive change. This creates the enabling environment for inclusive practice once public servants return to their workplace and for service clients in their communities, learners in their educational institutions, and senior executives and managers in their departments; and</w:t>
      </w:r>
    </w:p>
    <w:p w:rsidR="000F4B57" w:rsidRPr="00091600" w:rsidRDefault="00734C44" w:rsidP="000F4B57">
      <w:pPr>
        <w:pStyle w:val="ListBullet"/>
        <w:rPr>
          <w:rFonts w:ascii="Roboto Light" w:hAnsi="Roboto Light"/>
          <w:szCs w:val="22"/>
          <w:lang w:val="en-AU"/>
        </w:rPr>
      </w:pPr>
      <w:r w:rsidRPr="00091600">
        <w:rPr>
          <w:rFonts w:ascii="Roboto Light" w:hAnsi="Roboto Light"/>
          <w:szCs w:val="22"/>
          <w:lang w:val="en-AU"/>
        </w:rPr>
        <w:t>s</w:t>
      </w:r>
      <w:r w:rsidR="00D36E86" w:rsidRPr="00091600">
        <w:rPr>
          <w:rFonts w:ascii="Roboto Light" w:hAnsi="Roboto Light"/>
          <w:szCs w:val="22"/>
          <w:lang w:val="en-AU"/>
        </w:rPr>
        <w:t>tructural</w:t>
      </w:r>
      <w:r w:rsidR="000F4B57" w:rsidRPr="00091600">
        <w:rPr>
          <w:rFonts w:ascii="Roboto Light" w:hAnsi="Roboto Light"/>
          <w:szCs w:val="22"/>
          <w:lang w:val="en-AU"/>
        </w:rPr>
        <w:t xml:space="preserve">-level enablers </w:t>
      </w:r>
      <w:r w:rsidRPr="00091600">
        <w:rPr>
          <w:rFonts w:ascii="Roboto Light" w:hAnsi="Roboto Light"/>
          <w:szCs w:val="22"/>
          <w:lang w:val="en-AU"/>
        </w:rPr>
        <w:t>(</w:t>
      </w:r>
      <w:r w:rsidR="000F4B57" w:rsidRPr="00091600">
        <w:rPr>
          <w:rFonts w:ascii="Roboto Light" w:hAnsi="Roboto Light"/>
          <w:szCs w:val="22"/>
          <w:lang w:val="en-AU"/>
        </w:rPr>
        <w:t xml:space="preserve">such as the </w:t>
      </w:r>
      <w:r w:rsidR="00E87298">
        <w:rPr>
          <w:rFonts w:ascii="Roboto Light" w:hAnsi="Roboto Light"/>
          <w:szCs w:val="22"/>
          <w:lang w:val="en-AU"/>
        </w:rPr>
        <w:t>PNG Government</w:t>
      </w:r>
      <w:r w:rsidR="000F4B57" w:rsidRPr="00091600">
        <w:rPr>
          <w:rFonts w:ascii="Roboto Light" w:hAnsi="Roboto Light"/>
          <w:szCs w:val="22"/>
          <w:lang w:val="en-AU"/>
        </w:rPr>
        <w:t xml:space="preserve"> GESI Policy and Toolkit</w:t>
      </w:r>
      <w:r w:rsidRPr="00091600">
        <w:rPr>
          <w:rFonts w:ascii="Roboto Light" w:hAnsi="Roboto Light"/>
          <w:szCs w:val="22"/>
          <w:lang w:val="en-AU"/>
        </w:rPr>
        <w:t>)</w:t>
      </w:r>
      <w:r w:rsidR="000F4B57" w:rsidRPr="00091600">
        <w:rPr>
          <w:rFonts w:ascii="Roboto Light" w:hAnsi="Roboto Light"/>
          <w:szCs w:val="22"/>
          <w:lang w:val="en-AU"/>
        </w:rPr>
        <w:t xml:space="preserve"> and barriers such as culturally embedded exclusive structures like </w:t>
      </w:r>
      <w:r w:rsidR="003E5ACF" w:rsidRPr="00091600">
        <w:rPr>
          <w:rFonts w:ascii="Roboto Light" w:hAnsi="Roboto Light"/>
          <w:i/>
          <w:szCs w:val="22"/>
          <w:lang w:val="en-AU"/>
        </w:rPr>
        <w:t>wantok</w:t>
      </w:r>
      <w:r w:rsidRPr="00091600">
        <w:rPr>
          <w:rFonts w:ascii="Roboto Light" w:hAnsi="Roboto Light"/>
          <w:szCs w:val="22"/>
          <w:lang w:val="en-AU"/>
        </w:rPr>
        <w:t xml:space="preserve"> </w:t>
      </w:r>
      <w:r w:rsidR="000F4B57" w:rsidRPr="00091600">
        <w:rPr>
          <w:rFonts w:ascii="Roboto Light" w:hAnsi="Roboto Light"/>
          <w:szCs w:val="22"/>
          <w:lang w:val="en-AU"/>
        </w:rPr>
        <w:t xml:space="preserve"> and the lack of full implementation of the </w:t>
      </w:r>
      <w:r w:rsidRPr="00091600">
        <w:rPr>
          <w:rFonts w:ascii="Roboto Light" w:hAnsi="Roboto Light"/>
          <w:szCs w:val="22"/>
          <w:lang w:val="en-AU"/>
        </w:rPr>
        <w:t>p</w:t>
      </w:r>
      <w:r w:rsidR="00D36E86" w:rsidRPr="00091600">
        <w:rPr>
          <w:rFonts w:ascii="Roboto Light" w:hAnsi="Roboto Light"/>
          <w:szCs w:val="22"/>
          <w:lang w:val="en-AU"/>
        </w:rPr>
        <w:t>olicy</w:t>
      </w:r>
      <w:r w:rsidR="000F4B57" w:rsidRPr="00091600">
        <w:rPr>
          <w:rFonts w:ascii="Roboto Light" w:hAnsi="Roboto Light"/>
          <w:szCs w:val="22"/>
          <w:lang w:val="en-AU"/>
        </w:rPr>
        <w:t>, its MEL framework, and its database due to a lack of both financial and human resources.</w:t>
      </w:r>
    </w:p>
    <w:p w:rsidR="000F4B57" w:rsidRPr="00091600" w:rsidRDefault="000F4B57" w:rsidP="0045495E">
      <w:pPr>
        <w:pStyle w:val="BodyText"/>
        <w:spacing w:before="240"/>
        <w:rPr>
          <w:lang w:val="en-AU"/>
        </w:rPr>
      </w:pPr>
      <w:r w:rsidRPr="00091600">
        <w:rPr>
          <w:lang w:val="en-AU"/>
        </w:rPr>
        <w:t>Additional commitment is required to implement a fully inclusive MEL framework. All of this is achievable within the timeframe indicated in the Precinct design given sufficient commitment.</w:t>
      </w:r>
    </w:p>
    <w:p w:rsidR="000F4B57" w:rsidRPr="00091600" w:rsidRDefault="000F4B57" w:rsidP="000F4B57">
      <w:pPr>
        <w:pStyle w:val="BodyText"/>
        <w:rPr>
          <w:lang w:val="en-AU"/>
        </w:rPr>
      </w:pPr>
      <w:r w:rsidRPr="00091600">
        <w:rPr>
          <w:lang w:val="en-AU"/>
        </w:rPr>
        <w:t xml:space="preserve">Similarly, while the implementation of GESI Policy within DPM ‘sits outside’ the remit of the Precinct, its importance to enabling training to achieve the desired inclusive transformative change is high. A number of informants at national and sub-national stakeholder levels, including His Excellency John Kali, noted that the scheduled implementation evaluation using a similar inclusive structural/environmental analysis framework would be valuable in identifying barriers to </w:t>
      </w:r>
      <w:r w:rsidR="007623A1" w:rsidRPr="00091600">
        <w:rPr>
          <w:lang w:val="en-AU"/>
        </w:rPr>
        <w:t>(</w:t>
      </w:r>
      <w:r w:rsidRPr="00091600">
        <w:rPr>
          <w:lang w:val="en-AU"/>
        </w:rPr>
        <w:t>and enablers of</w:t>
      </w:r>
      <w:r w:rsidR="007623A1" w:rsidRPr="00091600">
        <w:rPr>
          <w:lang w:val="en-AU"/>
        </w:rPr>
        <w:t>)</w:t>
      </w:r>
      <w:r w:rsidRPr="00091600">
        <w:rPr>
          <w:lang w:val="en-AU"/>
        </w:rPr>
        <w:t xml:space="preserve"> full implementation of the GESI Policy at the national and sub-national level.</w:t>
      </w:r>
    </w:p>
    <w:p w:rsidR="000F4B57" w:rsidRPr="00091600" w:rsidRDefault="000F4B57" w:rsidP="000F4B57">
      <w:pPr>
        <w:pStyle w:val="BodyText"/>
        <w:rPr>
          <w:lang w:val="en-AU"/>
        </w:rPr>
      </w:pPr>
      <w:r w:rsidRPr="00091600">
        <w:rPr>
          <w:lang w:val="en-AU"/>
        </w:rPr>
        <w:t xml:space="preserve">Lack of commitment to engage with the </w:t>
      </w:r>
      <w:r w:rsidR="00780A6F" w:rsidRPr="00091600">
        <w:rPr>
          <w:lang w:val="en-AU"/>
        </w:rPr>
        <w:t>GESI</w:t>
      </w:r>
      <w:r w:rsidRPr="00091600">
        <w:rPr>
          <w:lang w:val="en-AU"/>
        </w:rPr>
        <w:t xml:space="preserve"> mainstreaming process as a whole does not represent value for money.</w:t>
      </w:r>
    </w:p>
    <w:p w:rsidR="000F4B57" w:rsidRPr="0045495E" w:rsidRDefault="000F4B57" w:rsidP="00316A7B">
      <w:pPr>
        <w:pStyle w:val="level2annexlist"/>
      </w:pPr>
      <w:bookmarkStart w:id="201" w:name="_Toc536719935"/>
      <w:bookmarkStart w:id="202" w:name="_Toc2091573"/>
      <w:r w:rsidRPr="0045495E">
        <w:t>Recommendations</w:t>
      </w:r>
      <w:bookmarkEnd w:id="201"/>
      <w:bookmarkEnd w:id="202"/>
    </w:p>
    <w:p w:rsidR="000F4B57" w:rsidRPr="00091600" w:rsidRDefault="000F4B57" w:rsidP="000F4B57">
      <w:pPr>
        <w:pStyle w:val="ListBullet"/>
        <w:rPr>
          <w:rFonts w:ascii="Roboto Light" w:hAnsi="Roboto Light"/>
          <w:lang w:val="en-AU"/>
        </w:rPr>
      </w:pPr>
      <w:r w:rsidRPr="00091600">
        <w:rPr>
          <w:rFonts w:ascii="Roboto Light" w:hAnsi="Roboto Light"/>
          <w:lang w:val="en-AU"/>
        </w:rPr>
        <w:t xml:space="preserve">Strengthen the design through the conduct of a whole-of-Precinct gender equity and socially inclusive context analysis with all stakeholders to reveal the barriers to </w:t>
      </w:r>
      <w:r w:rsidR="007623A1" w:rsidRPr="00091600">
        <w:rPr>
          <w:rFonts w:ascii="Roboto Light" w:hAnsi="Roboto Light"/>
          <w:lang w:val="en-AU"/>
        </w:rPr>
        <w:t>(</w:t>
      </w:r>
      <w:r w:rsidRPr="00091600">
        <w:rPr>
          <w:rFonts w:ascii="Roboto Light" w:hAnsi="Roboto Light"/>
          <w:lang w:val="en-AU"/>
        </w:rPr>
        <w:t>and enablers of</w:t>
      </w:r>
      <w:r w:rsidR="007623A1" w:rsidRPr="00091600">
        <w:rPr>
          <w:rFonts w:ascii="Roboto Light" w:hAnsi="Roboto Light"/>
          <w:lang w:val="en-AU"/>
        </w:rPr>
        <w:t>)</w:t>
      </w:r>
      <w:r w:rsidRPr="00091600">
        <w:rPr>
          <w:rFonts w:ascii="Roboto Light" w:hAnsi="Roboto Light"/>
          <w:lang w:val="en-AU"/>
        </w:rPr>
        <w:t xml:space="preserve"> genuine transformative change within the national public service. Check this against existing </w:t>
      </w:r>
      <w:r w:rsidR="00734C44" w:rsidRPr="00091600">
        <w:rPr>
          <w:rFonts w:ascii="Roboto Light" w:hAnsi="Roboto Light"/>
          <w:lang w:val="en-AU"/>
        </w:rPr>
        <w:t>p</w:t>
      </w:r>
      <w:r w:rsidR="00D36E86" w:rsidRPr="00091600">
        <w:rPr>
          <w:rFonts w:ascii="Roboto Light" w:hAnsi="Roboto Light"/>
          <w:lang w:val="en-AU"/>
        </w:rPr>
        <w:t>artnership</w:t>
      </w:r>
      <w:r w:rsidRPr="00091600">
        <w:rPr>
          <w:rFonts w:ascii="Roboto Light" w:hAnsi="Roboto Light"/>
          <w:lang w:val="en-AU"/>
        </w:rPr>
        <w:t xml:space="preserve"> activities and plan to implement other activities that, while crucial to success, may have been missed. Further, use this analysis to realign budgeting and MEL for GESI.</w:t>
      </w:r>
    </w:p>
    <w:p w:rsidR="000F4B57" w:rsidRPr="00091600" w:rsidRDefault="000F4B57" w:rsidP="000F4B57">
      <w:pPr>
        <w:pStyle w:val="ListBullet"/>
        <w:rPr>
          <w:rFonts w:ascii="Roboto Light" w:hAnsi="Roboto Light"/>
          <w:lang w:val="en-AU"/>
        </w:rPr>
      </w:pPr>
      <w:r w:rsidRPr="00091600">
        <w:rPr>
          <w:rFonts w:ascii="Roboto Light" w:hAnsi="Roboto Light"/>
          <w:lang w:val="en-AU"/>
        </w:rPr>
        <w:t xml:space="preserve">Conduct the same gender equity and socially inclusive context analysis with all stakeholders at the district/Province level to reveal the barriers to </w:t>
      </w:r>
      <w:r w:rsidR="007623A1" w:rsidRPr="00091600">
        <w:rPr>
          <w:rFonts w:ascii="Roboto Light" w:hAnsi="Roboto Light"/>
          <w:lang w:val="en-AU"/>
        </w:rPr>
        <w:t>(</w:t>
      </w:r>
      <w:r w:rsidRPr="00091600">
        <w:rPr>
          <w:rFonts w:ascii="Roboto Light" w:hAnsi="Roboto Light"/>
          <w:lang w:val="en-AU"/>
        </w:rPr>
        <w:t>and enablers of</w:t>
      </w:r>
      <w:r w:rsidR="007623A1" w:rsidRPr="00091600">
        <w:rPr>
          <w:rFonts w:ascii="Roboto Light" w:hAnsi="Roboto Light"/>
          <w:lang w:val="en-AU"/>
        </w:rPr>
        <w:t>)</w:t>
      </w:r>
      <w:r w:rsidRPr="00091600">
        <w:rPr>
          <w:rFonts w:ascii="Roboto Light" w:hAnsi="Roboto Light"/>
          <w:lang w:val="en-AU"/>
        </w:rPr>
        <w:t xml:space="preserve"> genuine transformative change within the public service in the district and provincial context. Derive realistic inclusive planning, programming, budgeting and MEL from this analysis. At the same time, execute the scheduled GESI Policy implementation evaluation via a full national and sub-national stakeholder workshop to document and share lessons learned, conduct a full analysis of implementation gaps, and devise an achievable strategy for more complete national and sub-national implementation.</w:t>
      </w:r>
    </w:p>
    <w:p w:rsidR="000F4B57" w:rsidRPr="00091600" w:rsidRDefault="000F4B57" w:rsidP="000F4B57">
      <w:pPr>
        <w:pStyle w:val="ListBullet"/>
        <w:rPr>
          <w:rFonts w:ascii="Roboto Light" w:hAnsi="Roboto Light"/>
          <w:lang w:val="en-AU"/>
        </w:rPr>
      </w:pPr>
      <w:r w:rsidRPr="00091600">
        <w:rPr>
          <w:rFonts w:ascii="Roboto Light" w:hAnsi="Roboto Light"/>
          <w:lang w:val="en-AU"/>
        </w:rPr>
        <w:t>Through these processes, find a unified and acceptable language to talk about inclusion for all contextually relevant marginalised people while remaining focused on gender inclusion.</w:t>
      </w:r>
    </w:p>
    <w:p w:rsidR="000F4B57" w:rsidRPr="00091600" w:rsidRDefault="000F4B57" w:rsidP="000F4B57">
      <w:pPr>
        <w:pStyle w:val="ListBullet"/>
        <w:rPr>
          <w:rFonts w:ascii="Roboto Light" w:hAnsi="Roboto Light"/>
          <w:lang w:val="en-AU"/>
        </w:rPr>
      </w:pPr>
      <w:r w:rsidRPr="00091600">
        <w:rPr>
          <w:rFonts w:ascii="Roboto Light" w:hAnsi="Roboto Light"/>
          <w:lang w:val="en-AU"/>
        </w:rPr>
        <w:t>Develop specific GESI Policy implementation, management, and MEL</w:t>
      </w:r>
      <w:r w:rsidRPr="00091600" w:rsidDel="00F84003">
        <w:rPr>
          <w:rFonts w:ascii="Roboto Light" w:hAnsi="Roboto Light"/>
          <w:lang w:val="en-AU"/>
        </w:rPr>
        <w:t xml:space="preserve"> </w:t>
      </w:r>
      <w:r w:rsidRPr="00091600">
        <w:rPr>
          <w:rFonts w:ascii="Roboto Light" w:hAnsi="Roboto Light"/>
          <w:lang w:val="en-AU"/>
        </w:rPr>
        <w:t xml:space="preserve">courses to be run through </w:t>
      </w:r>
      <w:r w:rsidR="006D3B7A" w:rsidRPr="00091600">
        <w:rPr>
          <w:rFonts w:ascii="Roboto Light" w:hAnsi="Roboto Light"/>
          <w:lang w:val="en-AU"/>
        </w:rPr>
        <w:t>PILAG</w:t>
      </w:r>
      <w:r w:rsidRPr="00091600">
        <w:rPr>
          <w:rFonts w:ascii="Roboto Light" w:hAnsi="Roboto Light"/>
          <w:lang w:val="en-AU"/>
        </w:rPr>
        <w:t xml:space="preserve"> to remove the burden of GESI training from DPM. This will allow DPM to focus their scarce financial and human resources on implementing their GESI MEL framework and establish their GESI database, so that accurate reporting on GESI at the national and sub-national levels is available through the dashboard.</w:t>
      </w:r>
    </w:p>
    <w:p w:rsidR="000F4B57" w:rsidRPr="00091600" w:rsidRDefault="000F4B57" w:rsidP="000F4B57">
      <w:pPr>
        <w:pStyle w:val="ListBullet"/>
        <w:rPr>
          <w:rFonts w:ascii="Roboto Light" w:hAnsi="Roboto Light"/>
          <w:lang w:val="en-AU"/>
        </w:rPr>
      </w:pPr>
      <w:r w:rsidRPr="00091600">
        <w:rPr>
          <w:rFonts w:ascii="Roboto Light" w:hAnsi="Roboto Light"/>
          <w:lang w:val="en-AU"/>
        </w:rPr>
        <w:t xml:space="preserve">Strengthen the </w:t>
      </w:r>
      <w:r w:rsidR="00014971" w:rsidRPr="00091600">
        <w:rPr>
          <w:rFonts w:ascii="Roboto Light" w:hAnsi="Roboto Light"/>
          <w:i/>
          <w:lang w:val="en-AU"/>
        </w:rPr>
        <w:t>LCF</w:t>
      </w:r>
      <w:r w:rsidRPr="00091600">
        <w:rPr>
          <w:rFonts w:ascii="Roboto Light" w:hAnsi="Roboto Light"/>
          <w:i/>
          <w:lang w:val="en-AU"/>
        </w:rPr>
        <w:t xml:space="preserve"> </w:t>
      </w:r>
      <w:r w:rsidRPr="00091600">
        <w:rPr>
          <w:rFonts w:ascii="Roboto Light" w:hAnsi="Roboto Light"/>
          <w:lang w:val="en-AU"/>
        </w:rPr>
        <w:t>to be more inclusive in its language. It is often paired with the GESI Policy and, when seen side by side, the current language is dramatically gender- and inclusion-neutral, if not blind.</w:t>
      </w:r>
    </w:p>
    <w:p w:rsidR="000F4B57" w:rsidRPr="00091600" w:rsidRDefault="000F4B57" w:rsidP="000F4B57">
      <w:pPr>
        <w:pStyle w:val="ListBullet"/>
        <w:rPr>
          <w:rFonts w:ascii="Roboto Light" w:hAnsi="Roboto Light"/>
          <w:lang w:val="en-AU"/>
        </w:rPr>
      </w:pPr>
      <w:r w:rsidRPr="00091600">
        <w:rPr>
          <w:rFonts w:ascii="Roboto Light" w:hAnsi="Roboto Light"/>
          <w:lang w:val="en-AU"/>
        </w:rPr>
        <w:t xml:space="preserve">Scale up Male Advocates training to all departments, District and Provincial governments for executives and human </w:t>
      </w:r>
      <w:r w:rsidR="007623A1" w:rsidRPr="00091600">
        <w:rPr>
          <w:rFonts w:ascii="Roboto Light" w:hAnsi="Roboto Light"/>
          <w:lang w:val="en-AU"/>
        </w:rPr>
        <w:t>resources</w:t>
      </w:r>
      <w:r w:rsidRPr="00091600">
        <w:rPr>
          <w:rFonts w:ascii="Roboto Light" w:hAnsi="Roboto Light"/>
          <w:lang w:val="en-AU"/>
        </w:rPr>
        <w:t xml:space="preserve"> personnel to ensure that barriers to GESI Policy implementation are removed and men have the skills, knowledge, and language to operationalise transformation in their workplace. This is likely to be an outcome of the contextually grounded analysis.</w:t>
      </w:r>
    </w:p>
    <w:p w:rsidR="000F4B57" w:rsidRPr="00091600" w:rsidRDefault="000F4B57" w:rsidP="000F4B57">
      <w:pPr>
        <w:pStyle w:val="ListBullet"/>
        <w:rPr>
          <w:rFonts w:ascii="Roboto Light" w:hAnsi="Roboto Light"/>
          <w:lang w:val="en-AU"/>
        </w:rPr>
      </w:pPr>
      <w:r w:rsidRPr="00091600">
        <w:rPr>
          <w:rFonts w:ascii="Roboto Light" w:hAnsi="Roboto Light"/>
          <w:lang w:val="en-AU"/>
        </w:rPr>
        <w:t>Strengthen focus on inclusion for disability. Disability inclusion is poorly managed by all stakeholders.</w:t>
      </w:r>
    </w:p>
    <w:p w:rsidR="000F4B57" w:rsidRPr="00091600" w:rsidRDefault="000F4B57" w:rsidP="000F4B57">
      <w:pPr>
        <w:pStyle w:val="ListBullet"/>
        <w:rPr>
          <w:rFonts w:ascii="Roboto Light" w:hAnsi="Roboto Light"/>
          <w:lang w:val="en-AU"/>
        </w:rPr>
      </w:pPr>
      <w:r w:rsidRPr="00091600">
        <w:rPr>
          <w:rFonts w:ascii="Roboto Light" w:hAnsi="Roboto Light"/>
          <w:lang w:val="en-AU"/>
        </w:rPr>
        <w:t xml:space="preserve">Strengthen focus on inclusion based on ethnicity. This is the conduit for dealing with </w:t>
      </w:r>
      <w:r w:rsidR="003E5ACF" w:rsidRPr="00091600">
        <w:rPr>
          <w:rFonts w:ascii="Roboto Light" w:hAnsi="Roboto Light"/>
          <w:i/>
          <w:lang w:val="en-AU"/>
        </w:rPr>
        <w:t>wantok</w:t>
      </w:r>
      <w:r w:rsidRPr="00091600">
        <w:rPr>
          <w:rFonts w:ascii="Roboto Light" w:hAnsi="Roboto Light"/>
          <w:lang w:val="en-AU"/>
        </w:rPr>
        <w:t xml:space="preserve"> in a culturally appropriate way.</w:t>
      </w:r>
    </w:p>
    <w:p w:rsidR="000F4B57" w:rsidRPr="00091600" w:rsidRDefault="000F4B57" w:rsidP="000F4B57">
      <w:pPr>
        <w:pStyle w:val="ListBullet"/>
        <w:rPr>
          <w:rFonts w:ascii="Roboto Light" w:hAnsi="Roboto Light"/>
          <w:lang w:val="en-AU"/>
        </w:rPr>
      </w:pPr>
      <w:r w:rsidRPr="00091600">
        <w:rPr>
          <w:rFonts w:ascii="Roboto Light" w:hAnsi="Roboto Light"/>
          <w:lang w:val="en-AU"/>
        </w:rPr>
        <w:t>Fund planned coalitions/networks and mentoring to support women and men returning to their untransformed workplaces during this transition period.</w:t>
      </w:r>
    </w:p>
    <w:p w:rsidR="000F4B57" w:rsidRPr="00091600" w:rsidRDefault="000F4B57" w:rsidP="000F4B57">
      <w:pPr>
        <w:pStyle w:val="ListBullet"/>
        <w:rPr>
          <w:rFonts w:ascii="Roboto Light" w:hAnsi="Roboto Light"/>
          <w:lang w:val="en-AU"/>
        </w:rPr>
      </w:pPr>
      <w:r w:rsidRPr="00091600">
        <w:rPr>
          <w:rFonts w:ascii="Roboto Light" w:hAnsi="Roboto Light"/>
          <w:lang w:val="en-AU"/>
        </w:rPr>
        <w:t xml:space="preserve">Provide comprehensive </w:t>
      </w:r>
      <w:r w:rsidR="00780A6F" w:rsidRPr="00091600">
        <w:rPr>
          <w:rFonts w:ascii="Roboto Light" w:hAnsi="Roboto Light"/>
          <w:lang w:val="en-AU"/>
        </w:rPr>
        <w:t>GESI</w:t>
      </w:r>
      <w:r w:rsidRPr="00091600">
        <w:rPr>
          <w:rFonts w:ascii="Roboto Light" w:hAnsi="Roboto Light"/>
          <w:lang w:val="en-AU"/>
        </w:rPr>
        <w:t xml:space="preserve"> training for all educators involved, with the delivery of Precinct courses to ensure that they also understand best practice on gender and social inclusion in their sector.</w:t>
      </w:r>
    </w:p>
    <w:p w:rsidR="000F4B57" w:rsidRPr="00091600" w:rsidRDefault="000F4B57" w:rsidP="000F4B57">
      <w:pPr>
        <w:pStyle w:val="ListBullet"/>
        <w:rPr>
          <w:rFonts w:ascii="Roboto Light" w:hAnsi="Roboto Light"/>
          <w:lang w:val="en-AU"/>
        </w:rPr>
      </w:pPr>
      <w:r w:rsidRPr="00091600">
        <w:rPr>
          <w:rFonts w:ascii="Roboto Light" w:hAnsi="Roboto Light"/>
          <w:lang w:val="en-AU"/>
        </w:rPr>
        <w:t>Establish alumni networks for the Future Leaders Program, and support mentoring and coalitions as originally planned to ensure women and men returning to untransformed workplaces are supported.</w:t>
      </w:r>
    </w:p>
    <w:p w:rsidR="000F4B57" w:rsidRPr="00091600" w:rsidRDefault="000F4B57" w:rsidP="000F4B57">
      <w:pPr>
        <w:pStyle w:val="ListBullet"/>
        <w:rPr>
          <w:rFonts w:ascii="Roboto Light" w:hAnsi="Roboto Light"/>
          <w:lang w:val="en-AU"/>
        </w:rPr>
      </w:pPr>
      <w:r w:rsidRPr="00091600">
        <w:rPr>
          <w:rFonts w:ascii="Roboto Light" w:hAnsi="Roboto Light"/>
          <w:lang w:val="en-AU"/>
        </w:rPr>
        <w:t>Conduct a mapping exercise of all GESI inputs in educational activities of Precinct courses with feedback to educators. The purpose of this exercise is to ensure a universal commitment to GESI. Educators have included the GESI Policy in their teaching; they now need to support training for gender and inclusion context analysis to ensure learners are capable of identifying barriers to (and enablers of) mainstreaming and GESI Policy implementation in their context.</w:t>
      </w:r>
    </w:p>
    <w:p w:rsidR="000F4B57" w:rsidRPr="00091600" w:rsidRDefault="000F4B57" w:rsidP="000F4B57">
      <w:pPr>
        <w:pStyle w:val="ListBullet"/>
        <w:rPr>
          <w:rFonts w:ascii="Roboto Light" w:hAnsi="Roboto Light"/>
          <w:lang w:val="en-AU"/>
        </w:rPr>
      </w:pPr>
      <w:r w:rsidRPr="00091600">
        <w:rPr>
          <w:rFonts w:ascii="Roboto Light" w:hAnsi="Roboto Light"/>
          <w:lang w:val="en-AU"/>
        </w:rPr>
        <w:t>Create and distribute an annotated bibliography of best practice in the literature on gender in their field to ensure they look beyond gender-blind evidence and seek newer evidence around gender and social inclusion in their fields.</w:t>
      </w:r>
    </w:p>
    <w:p w:rsidR="000F4B57" w:rsidRPr="00091600" w:rsidRDefault="000F4B57" w:rsidP="000F4B57">
      <w:pPr>
        <w:pStyle w:val="ListBullet"/>
        <w:rPr>
          <w:rFonts w:ascii="Roboto Light" w:hAnsi="Roboto Light"/>
          <w:lang w:val="en-AU"/>
        </w:rPr>
      </w:pPr>
      <w:r w:rsidRPr="00091600">
        <w:rPr>
          <w:rFonts w:ascii="Roboto Light" w:hAnsi="Roboto Light"/>
          <w:lang w:val="en-AU"/>
        </w:rPr>
        <w:t>Strengthen commitment to transformation. Both AHC and Abt PNG senior management need improved commitment to genuine transformation on gender and social inclusion to ensure they have the skills, knowledge and language to confidently lead on this issue. Senior men should also take part in Male Advocates training to support their increased commitment.</w:t>
      </w:r>
    </w:p>
    <w:p w:rsidR="000F4B57" w:rsidRPr="00091600" w:rsidRDefault="000F4B57" w:rsidP="000F4B57">
      <w:pPr>
        <w:pStyle w:val="ListBullet"/>
        <w:rPr>
          <w:rFonts w:ascii="Roboto Light" w:hAnsi="Roboto Light"/>
          <w:lang w:val="en-AU"/>
        </w:rPr>
      </w:pPr>
      <w:r w:rsidRPr="00091600">
        <w:rPr>
          <w:rFonts w:ascii="Roboto Light" w:hAnsi="Roboto Light"/>
          <w:lang w:val="en-AU"/>
        </w:rPr>
        <w:t xml:space="preserve">Conduct a mapping exercise of </w:t>
      </w:r>
      <w:r w:rsidR="00780A6F" w:rsidRPr="00091600">
        <w:rPr>
          <w:rFonts w:ascii="Roboto Light" w:hAnsi="Roboto Light"/>
          <w:lang w:val="en-AU"/>
        </w:rPr>
        <w:t>GESI</w:t>
      </w:r>
      <w:r w:rsidRPr="00091600">
        <w:rPr>
          <w:rFonts w:ascii="Roboto Light" w:hAnsi="Roboto Light"/>
          <w:lang w:val="en-AU"/>
        </w:rPr>
        <w:t xml:space="preserve"> for the SBPP component. Mapping should include the gender balance of ANU permanent staff (ethnic diversity is already well covered); pathways for male and female and other marginalised students through higher degrees to academic roles in SBPP and GESI content of teaching within Precinct supported courses</w:t>
      </w:r>
      <w:r w:rsidR="00D36E86" w:rsidRPr="00091600">
        <w:rPr>
          <w:rFonts w:ascii="Roboto Light" w:hAnsi="Roboto Light"/>
          <w:lang w:val="en-AU"/>
        </w:rPr>
        <w:t>.</w:t>
      </w:r>
      <w:r w:rsidRPr="00091600">
        <w:rPr>
          <w:rFonts w:ascii="Roboto Light" w:hAnsi="Roboto Light"/>
          <w:lang w:val="en-AU"/>
        </w:rPr>
        <w:t xml:space="preserve"> Analysis of barriers to (and enablers of) an improved GESI balance in staffing, students, and recruitment, as well as of opportunities for strengthened GESI integration in curriculum content and teaching, will elevate the Precinct’s GESI mainstreaming success through the actions of both UPNG and ANU partners.</w:t>
      </w:r>
    </w:p>
    <w:p w:rsidR="000F4B57" w:rsidRPr="00091600" w:rsidRDefault="00734C44" w:rsidP="000F4B57">
      <w:pPr>
        <w:pStyle w:val="ListBullet"/>
        <w:rPr>
          <w:rFonts w:ascii="Roboto Light" w:hAnsi="Roboto Light"/>
          <w:lang w:val="en-AU"/>
        </w:rPr>
      </w:pPr>
      <w:r w:rsidRPr="00091600">
        <w:rPr>
          <w:rFonts w:ascii="Roboto Light" w:hAnsi="Roboto Light"/>
          <w:lang w:val="en-AU"/>
        </w:rPr>
        <w:t>A</w:t>
      </w:r>
      <w:r w:rsidR="000F4B57" w:rsidRPr="00091600">
        <w:rPr>
          <w:rFonts w:ascii="Roboto Light" w:hAnsi="Roboto Light"/>
          <w:lang w:val="en-AU"/>
        </w:rPr>
        <w:t xml:space="preserve"> mapping exercise should be conducted of </w:t>
      </w:r>
      <w:r w:rsidR="00780A6F" w:rsidRPr="00091600">
        <w:rPr>
          <w:rFonts w:ascii="Roboto Light" w:hAnsi="Roboto Light"/>
          <w:lang w:val="en-AU"/>
        </w:rPr>
        <w:t>GESI</w:t>
      </w:r>
      <w:r w:rsidR="000F4B57" w:rsidRPr="00091600">
        <w:rPr>
          <w:rFonts w:ascii="Roboto Light" w:hAnsi="Roboto Light"/>
          <w:lang w:val="en-AU"/>
        </w:rPr>
        <w:t xml:space="preserve"> of the PILAG component and vocational trainings. Mapping should include the gender, ethnic, and disability balance of permanent PILAG staff; and the staff capacity to mainstream GESI and teaching GESI competence to public servants, as well as detailing</w:t>
      </w:r>
      <w:r w:rsidRPr="00091600">
        <w:rPr>
          <w:rFonts w:ascii="Roboto Light" w:hAnsi="Roboto Light"/>
          <w:lang w:val="en-AU"/>
        </w:rPr>
        <w:t xml:space="preserve"> </w:t>
      </w:r>
      <w:r w:rsidR="000F4B57" w:rsidRPr="00091600">
        <w:rPr>
          <w:rFonts w:ascii="Roboto Light" w:hAnsi="Roboto Light"/>
          <w:lang w:val="en-AU"/>
        </w:rPr>
        <w:t>GESI content of teaching within Precinct supported courses. Analysis of barriers to (and enablers of) improved GESI balance in staffing, students, and recruitment, as well as of opportunities for strengthened GESI integration in curriculum content and teaching, will elevate the Precinct’s GESI mainstreaming success through the actions of both PILAG and its educational partners.</w:t>
      </w:r>
    </w:p>
    <w:p w:rsidR="000F4B57" w:rsidRPr="00091600" w:rsidRDefault="000F4B57" w:rsidP="000F4B57">
      <w:pPr>
        <w:rPr>
          <w:rFonts w:ascii="Roboto Light" w:hAnsi="Roboto Light"/>
          <w:lang w:val="en-AU"/>
        </w:rPr>
      </w:pPr>
      <w:r w:rsidRPr="00091600">
        <w:rPr>
          <w:rFonts w:ascii="Roboto Light" w:hAnsi="Roboto Light"/>
          <w:lang w:val="en-AU"/>
        </w:rPr>
        <w:br w:type="page"/>
      </w:r>
    </w:p>
    <w:p w:rsidR="000F4B57" w:rsidRPr="0045495E" w:rsidRDefault="000F4B57" w:rsidP="004A5BFB">
      <w:pPr>
        <w:pStyle w:val="Annexnumberedlist"/>
      </w:pPr>
      <w:bookmarkStart w:id="203" w:name="_Ref524707965"/>
      <w:bookmarkStart w:id="204" w:name="_Toc536719936"/>
      <w:bookmarkStart w:id="205" w:name="_Toc2091574"/>
      <w:r w:rsidRPr="0045495E">
        <w:t>Complementarities with other Australian programs</w:t>
      </w:r>
      <w:bookmarkEnd w:id="203"/>
      <w:bookmarkEnd w:id="204"/>
      <w:bookmarkEnd w:id="205"/>
    </w:p>
    <w:p w:rsidR="000F4B57" w:rsidRPr="00091600" w:rsidRDefault="000F4B57" w:rsidP="000F4B57">
      <w:pPr>
        <w:pStyle w:val="BodyText"/>
        <w:rPr>
          <w:lang w:val="en-AU"/>
        </w:rPr>
      </w:pPr>
      <w:r w:rsidRPr="00091600">
        <w:rPr>
          <w:lang w:val="en-AU"/>
        </w:rPr>
        <w:t xml:space="preserve">The Strategic Review Terms of Reference ask whether the Precinct is effectively aligned with other relevant PNG and Australian investments, and whether there are opportunities for further alignment with Australian investments. The team has found potential synergies between the Precinct and other Australian programs that have not yet been harnessed. Day-to-day responsibilities for each of the teams means they are often working in silos, undermining the possible gains of working together. The </w:t>
      </w:r>
      <w:r w:rsidR="00CF45C5" w:rsidRPr="00091600">
        <w:rPr>
          <w:lang w:val="en-AU"/>
        </w:rPr>
        <w:t>review</w:t>
      </w:r>
      <w:r w:rsidRPr="00091600">
        <w:rPr>
          <w:lang w:val="en-AU"/>
        </w:rPr>
        <w:t xml:space="preserve"> team analysed the current Australian DFAT PNG programs and found significant interactions between some of them.</w:t>
      </w:r>
    </w:p>
    <w:p w:rsidR="000F4B57" w:rsidRPr="00091600" w:rsidRDefault="000F4B57" w:rsidP="000F4B57">
      <w:pPr>
        <w:pStyle w:val="BodyText"/>
        <w:rPr>
          <w:lang w:val="en-AU"/>
        </w:rPr>
      </w:pPr>
      <w:r w:rsidRPr="0006700D">
        <w:rPr>
          <w:rFonts w:ascii="Roboto" w:hAnsi="Roboto"/>
          <w:b/>
          <w:lang w:val="en-AU"/>
        </w:rPr>
        <w:t>The Australia Awards Program</w:t>
      </w:r>
      <w:r w:rsidR="006A78E5" w:rsidRPr="0006700D">
        <w:rPr>
          <w:rFonts w:ascii="Roboto" w:hAnsi="Roboto"/>
          <w:b/>
          <w:lang w:val="en-AU"/>
        </w:rPr>
        <w:t>:</w:t>
      </w:r>
      <w:r w:rsidR="00F850EC" w:rsidRPr="00091600">
        <w:rPr>
          <w:lang w:val="en-AU"/>
        </w:rPr>
        <w:t xml:space="preserve"> </w:t>
      </w:r>
      <w:r w:rsidR="006A78E5" w:rsidRPr="00091600">
        <w:rPr>
          <w:lang w:val="en-AU"/>
        </w:rPr>
        <w:t>t</w:t>
      </w:r>
      <w:r w:rsidR="00F850EC" w:rsidRPr="00091600">
        <w:rPr>
          <w:lang w:val="en-AU"/>
        </w:rPr>
        <w:t>his</w:t>
      </w:r>
      <w:r w:rsidRPr="00091600">
        <w:rPr>
          <w:lang w:val="en-AU"/>
        </w:rPr>
        <w:t xml:space="preserve"> is a mature program that has been operating for over 60 years. Currently, PNG is one of the top five recipients of scholarships in the world. The program has four main streams: Australia Awards Scholarships for long-term study in Australia; Australia Awards Pacific Scholarships for long-term study in PNG</w:t>
      </w:r>
      <w:r w:rsidR="006A78E5" w:rsidRPr="00091600">
        <w:rPr>
          <w:lang w:val="en-AU"/>
        </w:rPr>
        <w:t>;</w:t>
      </w:r>
      <w:r w:rsidRPr="00091600">
        <w:rPr>
          <w:lang w:val="en-AU"/>
        </w:rPr>
        <w:t xml:space="preserve"> Australia Awards Fellowships for short-term study in Australia</w:t>
      </w:r>
      <w:r w:rsidR="006A78E5" w:rsidRPr="00091600">
        <w:rPr>
          <w:lang w:val="en-AU"/>
        </w:rPr>
        <w:t>;</w:t>
      </w:r>
      <w:r w:rsidRPr="00091600">
        <w:rPr>
          <w:lang w:val="en-AU"/>
        </w:rPr>
        <w:t xml:space="preserve"> and the Alumni Grants Scheme, which also supports </w:t>
      </w:r>
      <w:r w:rsidR="00E23F96">
        <w:rPr>
          <w:lang w:val="en-AU"/>
        </w:rPr>
        <w:t xml:space="preserve">the </w:t>
      </w:r>
      <w:r w:rsidR="00E23F96" w:rsidRPr="00726663">
        <w:rPr>
          <w:lang w:val="en-AU"/>
        </w:rPr>
        <w:t xml:space="preserve">PNG Australia Alumni Association </w:t>
      </w:r>
      <w:r w:rsidR="00E23F96">
        <w:rPr>
          <w:lang w:val="en-AU"/>
        </w:rPr>
        <w:t>(</w:t>
      </w:r>
      <w:r w:rsidRPr="00091600">
        <w:rPr>
          <w:lang w:val="en-AU"/>
        </w:rPr>
        <w:t>PNG AAA</w:t>
      </w:r>
      <w:r w:rsidR="00E23F96">
        <w:rPr>
          <w:lang w:val="en-AU"/>
        </w:rPr>
        <w:t>)</w:t>
      </w:r>
      <w:r w:rsidR="00F850EC" w:rsidRPr="00091600">
        <w:rPr>
          <w:lang w:val="en-AU"/>
        </w:rPr>
        <w:t>.</w:t>
      </w:r>
      <w:r w:rsidRPr="00091600">
        <w:rPr>
          <w:lang w:val="en-AU"/>
        </w:rPr>
        <w:t xml:space="preserve"> There has not been a strategic connection with the Precinct until now, but there are areas of possible interaction.</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 xml:space="preserve">Scholarships for long-term and short-term study could be in sync with the objectives of the Precinct. Some of the </w:t>
      </w:r>
      <w:r w:rsidR="006A78E5" w:rsidRPr="00091600">
        <w:rPr>
          <w:rFonts w:ascii="Roboto Light" w:hAnsi="Roboto Light"/>
          <w:szCs w:val="22"/>
          <w:lang w:val="en-AU"/>
        </w:rPr>
        <w:t>a</w:t>
      </w:r>
      <w:r w:rsidR="00F850EC" w:rsidRPr="00091600">
        <w:rPr>
          <w:rFonts w:ascii="Roboto Light" w:hAnsi="Roboto Light"/>
          <w:szCs w:val="22"/>
          <w:lang w:val="en-AU"/>
        </w:rPr>
        <w:t xml:space="preserve">lumni </w:t>
      </w:r>
      <w:r w:rsidR="006A78E5" w:rsidRPr="00091600">
        <w:rPr>
          <w:rFonts w:ascii="Roboto Light" w:hAnsi="Roboto Light"/>
          <w:szCs w:val="22"/>
          <w:lang w:val="en-AU"/>
        </w:rPr>
        <w:t>g</w:t>
      </w:r>
      <w:r w:rsidR="00F850EC" w:rsidRPr="00091600">
        <w:rPr>
          <w:rFonts w:ascii="Roboto Light" w:hAnsi="Roboto Light"/>
          <w:szCs w:val="22"/>
          <w:lang w:val="en-AU"/>
        </w:rPr>
        <w:t>rants</w:t>
      </w:r>
      <w:r w:rsidRPr="00091600">
        <w:rPr>
          <w:rFonts w:ascii="Roboto Light" w:hAnsi="Roboto Light"/>
          <w:szCs w:val="22"/>
          <w:lang w:val="en-AU"/>
        </w:rPr>
        <w:t xml:space="preserve"> could target future lecturers at SBPP or future trainers at PILAG</w:t>
      </w:r>
      <w:r w:rsidR="00F850EC" w:rsidRPr="00091600">
        <w:rPr>
          <w:rFonts w:ascii="Roboto Light" w:hAnsi="Roboto Light"/>
          <w:szCs w:val="22"/>
          <w:lang w:val="en-AU"/>
        </w:rPr>
        <w:t>,</w:t>
      </w:r>
      <w:r w:rsidRPr="00091600">
        <w:rPr>
          <w:rFonts w:ascii="Roboto Light" w:hAnsi="Roboto Light"/>
          <w:szCs w:val="22"/>
          <w:lang w:val="en-AU"/>
        </w:rPr>
        <w:t xml:space="preserve"> with a requirement that they commit to remaining in the organisation for a period of time. The Fellowship for a Certificate IV in Training and Assessment matches the current needs of PILAG to train their trainers, but there has been no major coordination between the two areas.</w:t>
      </w:r>
    </w:p>
    <w:p w:rsidR="000F4B57" w:rsidRPr="00091600" w:rsidRDefault="006A78E5" w:rsidP="000F4B57">
      <w:pPr>
        <w:pStyle w:val="ListBullet"/>
        <w:rPr>
          <w:rFonts w:ascii="Roboto Light" w:hAnsi="Roboto Light"/>
          <w:szCs w:val="22"/>
          <w:lang w:val="en-AU"/>
        </w:rPr>
      </w:pPr>
      <w:r w:rsidRPr="00091600">
        <w:rPr>
          <w:rFonts w:ascii="Roboto Light" w:hAnsi="Roboto Light"/>
          <w:szCs w:val="22"/>
          <w:lang w:val="en-AU"/>
        </w:rPr>
        <w:t>D</w:t>
      </w:r>
      <w:r w:rsidR="00F850EC" w:rsidRPr="00091600">
        <w:rPr>
          <w:rFonts w:ascii="Roboto Light" w:hAnsi="Roboto Light"/>
          <w:szCs w:val="22"/>
          <w:lang w:val="en-AU"/>
        </w:rPr>
        <w:t>uplication</w:t>
      </w:r>
      <w:r w:rsidR="000F4B57" w:rsidRPr="00091600">
        <w:rPr>
          <w:rFonts w:ascii="Roboto Light" w:hAnsi="Roboto Light"/>
          <w:szCs w:val="22"/>
          <w:lang w:val="en-AU"/>
        </w:rPr>
        <w:t xml:space="preserve"> of efforts should be avoided. Both the Precinct and PNG AAA programs target public servants for short courses. An overall strategy of prioritisation could help to avoid duplication and boost the current Australia investment.</w:t>
      </w:r>
    </w:p>
    <w:p w:rsidR="000F4B57" w:rsidRPr="00091600" w:rsidRDefault="000F4B57" w:rsidP="000F4B57">
      <w:pPr>
        <w:pStyle w:val="ListBullet"/>
        <w:rPr>
          <w:rFonts w:ascii="Roboto Light" w:hAnsi="Roboto Light"/>
          <w:szCs w:val="22"/>
          <w:lang w:val="en-AU"/>
        </w:rPr>
      </w:pPr>
      <w:r w:rsidRPr="00091600">
        <w:rPr>
          <w:rFonts w:ascii="Roboto Light" w:hAnsi="Roboto Light"/>
          <w:szCs w:val="22"/>
          <w:lang w:val="en-AU"/>
        </w:rPr>
        <w:t>Lessons from the experience of the PNG AAA could help the Precinct, as it has faced some of the struggles the Precinct is facing now. There are valuable lessons to strengthen the Precinct going forward. Some learning opportunities have already been identified: processes to set up the PNG AAA and its current operation; the monitoring and evaluation framework currently in place for the PNG AAA; initiatives like the Alumni Development Impact Survey or the Reintegration Workshops that could also suit the Precinct purpose; and the PNG AAA program selection criteria and awareness campaigns.</w:t>
      </w:r>
    </w:p>
    <w:p w:rsidR="000F4B57" w:rsidRPr="00091600" w:rsidRDefault="001801D0" w:rsidP="000F4B57">
      <w:pPr>
        <w:pStyle w:val="BodyText"/>
        <w:spacing w:before="240"/>
        <w:rPr>
          <w:lang w:val="en-AU"/>
        </w:rPr>
      </w:pPr>
      <w:r w:rsidRPr="0006700D">
        <w:rPr>
          <w:rFonts w:ascii="Roboto" w:hAnsi="Roboto"/>
          <w:b/>
          <w:lang w:val="en-AU"/>
        </w:rPr>
        <w:t>The Decentralisation and Citizens Participation program (DCP)</w:t>
      </w:r>
      <w:r w:rsidRPr="0006700D" w:rsidDel="001801D0">
        <w:rPr>
          <w:rFonts w:ascii="Roboto" w:hAnsi="Roboto"/>
          <w:b/>
          <w:lang w:val="en-AU"/>
        </w:rPr>
        <w:t xml:space="preserve"> </w:t>
      </w:r>
      <w:r w:rsidR="000F4B57" w:rsidRPr="0006700D">
        <w:rPr>
          <w:rFonts w:ascii="Roboto" w:hAnsi="Roboto"/>
          <w:b/>
          <w:lang w:val="en-AU"/>
        </w:rPr>
        <w:t>program</w:t>
      </w:r>
      <w:r w:rsidR="006A78E5" w:rsidRPr="0006700D">
        <w:rPr>
          <w:rFonts w:ascii="Roboto" w:hAnsi="Roboto"/>
          <w:b/>
          <w:lang w:val="en-AU"/>
        </w:rPr>
        <w:t>:</w:t>
      </w:r>
      <w:r w:rsidR="006A78E5" w:rsidRPr="00091600">
        <w:rPr>
          <w:lang w:val="en-AU"/>
        </w:rPr>
        <w:t xml:space="preserve"> t</w:t>
      </w:r>
      <w:r w:rsidR="00F850EC" w:rsidRPr="00091600">
        <w:rPr>
          <w:lang w:val="en-AU"/>
        </w:rPr>
        <w:t>his</w:t>
      </w:r>
      <w:r w:rsidR="000F4B57" w:rsidRPr="00091600">
        <w:rPr>
          <w:lang w:val="en-AU"/>
        </w:rPr>
        <w:t xml:space="preserve"> is closely related to the improvement of public service delivery at the sub-national level, which is precisely one of the main goals of the Precinct. Despite the convergence of the two, there has not been any interaction in their work under the assumption of job overload. Some complementarities between the programs have been identified</w:t>
      </w:r>
      <w:r w:rsidR="006A78E5" w:rsidRPr="00091600">
        <w:rPr>
          <w:lang w:val="en-AU"/>
        </w:rPr>
        <w:t>.</w:t>
      </w:r>
    </w:p>
    <w:p w:rsidR="000F4B57" w:rsidRPr="00091600" w:rsidRDefault="006A78E5" w:rsidP="000F4B57">
      <w:pPr>
        <w:pStyle w:val="ListBullet"/>
        <w:rPr>
          <w:rFonts w:ascii="Roboto Light" w:hAnsi="Roboto Light"/>
          <w:szCs w:val="22"/>
          <w:lang w:val="en-AU"/>
        </w:rPr>
      </w:pPr>
      <w:r w:rsidRPr="00091600">
        <w:rPr>
          <w:rFonts w:ascii="Roboto Light" w:hAnsi="Roboto Light"/>
          <w:szCs w:val="22"/>
          <w:lang w:val="en-AU"/>
        </w:rPr>
        <w:t>R</w:t>
      </w:r>
      <w:r w:rsidR="00F850EC" w:rsidRPr="00091600">
        <w:rPr>
          <w:rFonts w:ascii="Roboto Light" w:hAnsi="Roboto Light"/>
          <w:szCs w:val="22"/>
          <w:lang w:val="en-AU"/>
        </w:rPr>
        <w:t>esources</w:t>
      </w:r>
      <w:r w:rsidR="000F4B57" w:rsidRPr="00091600">
        <w:rPr>
          <w:rFonts w:ascii="Roboto Light" w:hAnsi="Roboto Light"/>
          <w:szCs w:val="22"/>
          <w:lang w:val="en-AU"/>
        </w:rPr>
        <w:t xml:space="preserve"> should be prioritised to serve an overall agenda of decentralisation. </w:t>
      </w:r>
      <w:r w:rsidR="00E87298">
        <w:rPr>
          <w:rFonts w:ascii="Roboto Light" w:hAnsi="Roboto Light"/>
          <w:szCs w:val="22"/>
          <w:lang w:val="en-AU"/>
        </w:rPr>
        <w:t>The PNG Government</w:t>
      </w:r>
      <w:r w:rsidR="00DF6FD1" w:rsidRPr="00091600">
        <w:rPr>
          <w:rFonts w:ascii="Roboto Light" w:hAnsi="Roboto Light"/>
          <w:szCs w:val="22"/>
          <w:lang w:val="en-AU"/>
        </w:rPr>
        <w:t>’s</w:t>
      </w:r>
      <w:r w:rsidR="000F4B57" w:rsidRPr="00091600">
        <w:rPr>
          <w:rFonts w:ascii="Roboto Light" w:hAnsi="Roboto Light"/>
          <w:szCs w:val="22"/>
          <w:lang w:val="en-AU"/>
        </w:rPr>
        <w:t xml:space="preserve"> decentralisation agenda, the current proposed autonomy of three provinces and the low level of capacity for service delivery at the sub-national level demand the integration of efforts towards a common agenda on decentralisation. Aligning the objectives of the two programs within the government’s agenda could help the Precinct prioritise the sectors, as well as provinces and districts to focus their training. Following a serious decentralisation agenda will probably imply that the Precinct needs are discussed at the district level. In that case, support from the DCP team is required.</w:t>
      </w:r>
    </w:p>
    <w:p w:rsidR="000F4B57" w:rsidRPr="00091600" w:rsidRDefault="006A78E5" w:rsidP="000F4B57">
      <w:pPr>
        <w:pStyle w:val="ListBullet"/>
        <w:rPr>
          <w:rFonts w:ascii="Roboto Light" w:hAnsi="Roboto Light"/>
          <w:szCs w:val="22"/>
          <w:lang w:val="en-AU"/>
        </w:rPr>
      </w:pPr>
      <w:r w:rsidRPr="00091600">
        <w:rPr>
          <w:rFonts w:ascii="Roboto Light" w:hAnsi="Roboto Light"/>
          <w:szCs w:val="22"/>
          <w:lang w:val="en-AU"/>
        </w:rPr>
        <w:t>T</w:t>
      </w:r>
      <w:r w:rsidR="00F850EC" w:rsidRPr="00091600">
        <w:rPr>
          <w:rFonts w:ascii="Roboto Light" w:hAnsi="Roboto Light"/>
          <w:szCs w:val="22"/>
          <w:lang w:val="en-AU"/>
        </w:rPr>
        <w:t>he</w:t>
      </w:r>
      <w:r w:rsidR="000F4B57" w:rsidRPr="00091600">
        <w:rPr>
          <w:rFonts w:ascii="Roboto Light" w:hAnsi="Roboto Light"/>
          <w:szCs w:val="22"/>
          <w:lang w:val="en-AU"/>
        </w:rPr>
        <w:t xml:space="preserve"> training should be designed according to the needs of the sub-national level. Given PNG’s great diversity, it is essential to tailor the training to the requirements of different regions. With lower foundational skills at the sub-national level, the pressing needs for training are different than at the national level. For example, it might be that basic writing skills are prioritised over the ethical leadership course. The constraints faced in certain geographic areas may inhibit their ability to apply the new skills learned.</w:t>
      </w:r>
    </w:p>
    <w:p w:rsidR="000F4B57" w:rsidRPr="00091600" w:rsidRDefault="006A78E5" w:rsidP="000F4B57">
      <w:pPr>
        <w:pStyle w:val="ListBullet"/>
        <w:rPr>
          <w:rFonts w:ascii="Roboto Light" w:hAnsi="Roboto Light"/>
          <w:szCs w:val="22"/>
          <w:lang w:val="en-AU"/>
        </w:rPr>
      </w:pPr>
      <w:r w:rsidRPr="00091600">
        <w:rPr>
          <w:rFonts w:ascii="Roboto Light" w:hAnsi="Roboto Light"/>
          <w:szCs w:val="22"/>
          <w:lang w:val="en-AU"/>
        </w:rPr>
        <w:t>T</w:t>
      </w:r>
      <w:r w:rsidR="00F850EC" w:rsidRPr="00091600">
        <w:rPr>
          <w:rFonts w:ascii="Roboto Light" w:hAnsi="Roboto Light"/>
          <w:szCs w:val="22"/>
          <w:lang w:val="en-AU"/>
        </w:rPr>
        <w:t>he</w:t>
      </w:r>
      <w:r w:rsidR="000F4B57" w:rsidRPr="00091600">
        <w:rPr>
          <w:rFonts w:ascii="Roboto Light" w:hAnsi="Roboto Light"/>
          <w:szCs w:val="22"/>
          <w:lang w:val="en-AU"/>
        </w:rPr>
        <w:t xml:space="preserve"> implications of a multicultural environment in training design should be analysed. PNG has different operating environments and diverse subcultures which have to be managed to create a unified national identity. The needs are different depending on the province. The approach to training should also be different. Both DCP and the PSLR Governance Partnership teams and AHC could explore the implications this has in the design and implementation of the Precinct.</w:t>
      </w:r>
    </w:p>
    <w:p w:rsidR="000F4B57" w:rsidRPr="00091600" w:rsidRDefault="000F4B57" w:rsidP="000F4B57">
      <w:pPr>
        <w:pStyle w:val="BodyText"/>
        <w:spacing w:before="240"/>
        <w:rPr>
          <w:lang w:val="en-AU"/>
        </w:rPr>
      </w:pPr>
      <w:r w:rsidRPr="008D37C2">
        <w:rPr>
          <w:rFonts w:ascii="Roboto" w:hAnsi="Roboto"/>
          <w:b/>
          <w:lang w:val="en-AU"/>
        </w:rPr>
        <w:t>The DFAT Institutional Partnerships Program (IPP</w:t>
      </w:r>
      <w:r w:rsidR="00F850EC" w:rsidRPr="008D37C2">
        <w:rPr>
          <w:rFonts w:ascii="Roboto" w:hAnsi="Roboto"/>
          <w:b/>
          <w:lang w:val="en-AU"/>
        </w:rPr>
        <w:t>)</w:t>
      </w:r>
      <w:r w:rsidR="006A78E5" w:rsidRPr="008D37C2">
        <w:rPr>
          <w:rFonts w:ascii="Roboto" w:hAnsi="Roboto"/>
          <w:b/>
          <w:lang w:val="en-AU"/>
        </w:rPr>
        <w:t>:</w:t>
      </w:r>
      <w:r w:rsidR="00F850EC" w:rsidRPr="00091600">
        <w:rPr>
          <w:lang w:val="en-AU"/>
        </w:rPr>
        <w:t xml:space="preserve"> </w:t>
      </w:r>
      <w:r w:rsidR="006A78E5" w:rsidRPr="00091600">
        <w:rPr>
          <w:lang w:val="en-AU"/>
        </w:rPr>
        <w:t>t</w:t>
      </w:r>
      <w:r w:rsidR="00F850EC" w:rsidRPr="00091600">
        <w:rPr>
          <w:lang w:val="en-AU"/>
        </w:rPr>
        <w:t>he</w:t>
      </w:r>
      <w:r w:rsidRPr="00091600">
        <w:rPr>
          <w:lang w:val="en-AU"/>
        </w:rPr>
        <w:t xml:space="preserve"> IPP already supports the DPM–</w:t>
      </w:r>
      <w:r w:rsidR="00F850EC" w:rsidRPr="00091600">
        <w:rPr>
          <w:lang w:val="en-AU"/>
        </w:rPr>
        <w:t>A</w:t>
      </w:r>
      <w:r w:rsidR="00734C44" w:rsidRPr="00091600">
        <w:rPr>
          <w:lang w:val="en-AU"/>
        </w:rPr>
        <w:t>PS</w:t>
      </w:r>
      <w:r w:rsidR="00F850EC" w:rsidRPr="00091600">
        <w:rPr>
          <w:lang w:val="en-AU"/>
        </w:rPr>
        <w:t xml:space="preserve">C </w:t>
      </w:r>
      <w:r w:rsidRPr="00091600">
        <w:rPr>
          <w:lang w:val="en-AU"/>
        </w:rPr>
        <w:t>institutional partnership, through which CIT Solutions has been engaged to co-deliver some PILAG courses. DFAT is considering other institutional support to PNG’s centre of government through IPP. This is an additional instrument which DFAT could use to support Precinct in the future, particularly specific public sector reform initiatives, ensuring there is good coordination with the separately managed Governance Partnership PSLR.</w:t>
      </w:r>
    </w:p>
    <w:p w:rsidR="000F4B57" w:rsidRPr="00091600" w:rsidRDefault="000F4B57" w:rsidP="000F4B57">
      <w:pPr>
        <w:pStyle w:val="BodyText"/>
        <w:rPr>
          <w:lang w:val="en-AU"/>
        </w:rPr>
      </w:pPr>
      <w:r w:rsidRPr="00B66691">
        <w:rPr>
          <w:rFonts w:ascii="Roboto" w:hAnsi="Roboto"/>
          <w:b/>
          <w:lang w:val="en-AU"/>
        </w:rPr>
        <w:t xml:space="preserve">Higher </w:t>
      </w:r>
      <w:r w:rsidR="00734C44" w:rsidRPr="00B66691">
        <w:rPr>
          <w:rFonts w:ascii="Roboto" w:hAnsi="Roboto"/>
          <w:b/>
          <w:lang w:val="en-AU"/>
        </w:rPr>
        <w:t>e</w:t>
      </w:r>
      <w:r w:rsidR="00F850EC" w:rsidRPr="00B66691">
        <w:rPr>
          <w:rFonts w:ascii="Roboto" w:hAnsi="Roboto"/>
          <w:b/>
          <w:lang w:val="en-AU"/>
        </w:rPr>
        <w:t>ducation</w:t>
      </w:r>
      <w:r w:rsidRPr="00B66691">
        <w:rPr>
          <w:rFonts w:ascii="Roboto" w:hAnsi="Roboto"/>
          <w:b/>
          <w:lang w:val="en-AU"/>
        </w:rPr>
        <w:t xml:space="preserve"> support</w:t>
      </w:r>
      <w:r w:rsidR="00734C44" w:rsidRPr="00B66691">
        <w:rPr>
          <w:rFonts w:ascii="Roboto" w:hAnsi="Roboto"/>
          <w:b/>
          <w:lang w:val="en-AU"/>
        </w:rPr>
        <w:t>:</w:t>
      </w:r>
      <w:r w:rsidR="00F850EC" w:rsidRPr="00091600">
        <w:rPr>
          <w:lang w:val="en-AU"/>
        </w:rPr>
        <w:t xml:space="preserve"> </w:t>
      </w:r>
      <w:r w:rsidR="00734C44" w:rsidRPr="00091600">
        <w:rPr>
          <w:lang w:val="en-AU"/>
        </w:rPr>
        <w:t>a</w:t>
      </w:r>
      <w:r w:rsidR="00F850EC" w:rsidRPr="00091600">
        <w:rPr>
          <w:lang w:val="en-AU"/>
        </w:rPr>
        <w:t>s</w:t>
      </w:r>
      <w:r w:rsidRPr="00091600">
        <w:rPr>
          <w:lang w:val="en-AU"/>
        </w:rPr>
        <w:t xml:space="preserve"> DFAT consider how to support higher education in PNG, this could include how to address UPNG-wide challenges affecting the SBPP.</w:t>
      </w:r>
    </w:p>
    <w:p w:rsidR="000F4B57" w:rsidRPr="00091600" w:rsidRDefault="000F4B57" w:rsidP="000F4B57">
      <w:pPr>
        <w:pStyle w:val="BodyText"/>
        <w:rPr>
          <w:lang w:val="en-AU"/>
        </w:rPr>
      </w:pPr>
      <w:r w:rsidRPr="00B66691">
        <w:rPr>
          <w:rFonts w:ascii="Roboto" w:hAnsi="Roboto"/>
          <w:b/>
          <w:lang w:val="en-AU"/>
        </w:rPr>
        <w:t>Recommendation:</w:t>
      </w:r>
      <w:r w:rsidRPr="00091600">
        <w:rPr>
          <w:lang w:val="en-AU"/>
        </w:rPr>
        <w:t xml:space="preserve"> </w:t>
      </w:r>
      <w:r w:rsidR="00734C44" w:rsidRPr="00091600">
        <w:rPr>
          <w:lang w:val="en-AU"/>
        </w:rPr>
        <w:t>p</w:t>
      </w:r>
      <w:r w:rsidR="00F850EC" w:rsidRPr="00091600">
        <w:rPr>
          <w:lang w:val="en-AU"/>
        </w:rPr>
        <w:t>repare</w:t>
      </w:r>
      <w:r w:rsidRPr="00091600">
        <w:rPr>
          <w:lang w:val="en-AU"/>
        </w:rPr>
        <w:t xml:space="preserve"> a plan and allocate responsibilities within AHC to improve Precinct collaboration with other Australian programs, in particular with the Australian Awards Program and its</w:t>
      </w:r>
      <w:r w:rsidR="008B223D">
        <w:rPr>
          <w:lang w:val="en-AU"/>
        </w:rPr>
        <w:t xml:space="preserve"> </w:t>
      </w:r>
      <w:r w:rsidR="006A78E5" w:rsidRPr="00091600">
        <w:rPr>
          <w:lang w:val="en-AU"/>
        </w:rPr>
        <w:t>PNG AAA</w:t>
      </w:r>
      <w:r w:rsidR="00F850EC" w:rsidRPr="00091600">
        <w:rPr>
          <w:lang w:val="en-AU"/>
        </w:rPr>
        <w:t xml:space="preserve">, </w:t>
      </w:r>
      <w:r w:rsidR="006A78E5" w:rsidRPr="00091600">
        <w:rPr>
          <w:lang w:val="en-AU"/>
        </w:rPr>
        <w:t xml:space="preserve">the DCP </w:t>
      </w:r>
      <w:r w:rsidR="009F5553" w:rsidRPr="00091600">
        <w:rPr>
          <w:lang w:val="en-AU"/>
        </w:rPr>
        <w:t>program</w:t>
      </w:r>
      <w:r w:rsidRPr="00091600">
        <w:rPr>
          <w:lang w:val="en-AU"/>
        </w:rPr>
        <w:t>, the Institutional Partnership Program, and AHC support for higher education (by December 2018).</w:t>
      </w:r>
    </w:p>
    <w:p w:rsidR="000F4B57" w:rsidRPr="00091600" w:rsidRDefault="000F4B57" w:rsidP="000F4B57">
      <w:pPr>
        <w:pStyle w:val="BodyText"/>
        <w:rPr>
          <w:lang w:val="en-AU"/>
        </w:rPr>
      </w:pPr>
    </w:p>
    <w:p w:rsidR="000F4B57" w:rsidRPr="00091600" w:rsidRDefault="000F4B57" w:rsidP="000F4B57">
      <w:pPr>
        <w:pStyle w:val="BodyText"/>
        <w:rPr>
          <w:lang w:eastAsia="en-US"/>
        </w:rPr>
      </w:pPr>
    </w:p>
    <w:sectPr w:rsidR="000F4B57" w:rsidRPr="00091600" w:rsidSect="0004004F">
      <w:footerReference w:type="default" r:id="rId63"/>
      <w:type w:val="continuous"/>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80C" w:rsidRDefault="000F680C" w:rsidP="000E1429">
      <w:r>
        <w:separator/>
      </w:r>
    </w:p>
  </w:endnote>
  <w:endnote w:type="continuationSeparator" w:id="0">
    <w:p w:rsidR="000F680C" w:rsidRDefault="000F680C" w:rsidP="000E1429">
      <w:r>
        <w:continuationSeparator/>
      </w:r>
    </w:p>
  </w:endnote>
  <w:endnote w:type="continuationNotice" w:id="1">
    <w:p w:rsidR="000F680C" w:rsidRDefault="000F68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2FF" w:usb1="5000205B" w:usb2="00000020" w:usb3="00000000" w:csb0="0000019F" w:csb1="00000000"/>
  </w:font>
  <w:font w:name="Roboto Light">
    <w:altName w:val="Times New Roman"/>
    <w:charset w:val="00"/>
    <w:family w:val="auto"/>
    <w:pitch w:val="variable"/>
    <w:sig w:usb0="E00002FF" w:usb1="5000205B" w:usb2="00000020" w:usb3="00000000" w:csb0="0000019F" w:csb1="00000000"/>
  </w:font>
  <w:font w:name="Poppins">
    <w:altName w:val="Courier New"/>
    <w:charset w:val="00"/>
    <w:family w:val="auto"/>
    <w:pitch w:val="variable"/>
    <w:sig w:usb0="00008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ExtraBold">
    <w:altName w:val="Courier New"/>
    <w:charset w:val="00"/>
    <w:family w:val="auto"/>
    <w:pitch w:val="variable"/>
    <w:sig w:usb0="00008007" w:usb1="00000000" w:usb2="00000000" w:usb3="00000000" w:csb0="00000093" w:csb1="00000000"/>
  </w:font>
  <w:font w:name="Poppins Light">
    <w:altName w:val="Courier New"/>
    <w:charset w:val="00"/>
    <w:family w:val="auto"/>
    <w:pitch w:val="variable"/>
    <w:sig w:usb0="00008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Poppins Black">
    <w:altName w:val="Courier New"/>
    <w:charset w:val="00"/>
    <w:family w:val="auto"/>
    <w:pitch w:val="variable"/>
    <w:sig w:usb0="00008007" w:usb1="00000000" w:usb2="00000000" w:usb3="00000000" w:csb0="00000093" w:csb1="00000000"/>
  </w:font>
  <w:font w:name="HelveticaNeueLTStd-Md">
    <w:altName w:val="Arial"/>
    <w:panose1 w:val="00000000000000000000"/>
    <w:charset w:val="00"/>
    <w:family w:val="swiss"/>
    <w:notTrueType/>
    <w:pitch w:val="default"/>
    <w:sig w:usb0="00000003" w:usb1="00000000" w:usb2="00000000" w:usb3="00000000" w:csb0="00000001" w:csb1="00000000"/>
  </w:font>
  <w:font w:name="Cod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37D" w:rsidRDefault="006663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A4C" w:rsidRPr="00DB5DD0" w:rsidRDefault="00166A4C" w:rsidP="00460E58">
    <w:pPr>
      <w:pStyle w:val="Footer"/>
      <w:pBdr>
        <w:top w:val="single" w:sz="4" w:space="5" w:color="auto"/>
      </w:pBdr>
      <w:spacing w:before="120"/>
      <w:jc w:val="right"/>
    </w:pPr>
    <w:r w:rsidRPr="00DB5DD0">
      <w:t xml:space="preserve">QTAG is supported by the Australian Government and implemented by Oxford Policy Management Australia | </w:t>
    </w:r>
    <w:sdt>
      <w:sdtPr>
        <w:id w:val="-748578556"/>
        <w:docPartObj>
          <w:docPartGallery w:val="Page Numbers (Bottom of Page)"/>
          <w:docPartUnique/>
        </w:docPartObj>
      </w:sdtPr>
      <w:sdtEndPr>
        <w:rPr>
          <w:noProof/>
        </w:rPr>
      </w:sdtEndPr>
      <w:sdtContent>
        <w:r w:rsidRPr="00DB5DD0">
          <w:fldChar w:fldCharType="begin"/>
        </w:r>
        <w:r w:rsidRPr="00DB5DD0">
          <w:instrText xml:space="preserve"> PAGE   \* MERGEFORMAT </w:instrText>
        </w:r>
        <w:r w:rsidRPr="00DB5DD0">
          <w:fldChar w:fldCharType="separate"/>
        </w:r>
        <w:r w:rsidR="0066637D">
          <w:rPr>
            <w:noProof/>
          </w:rPr>
          <w:t>4</w:t>
        </w:r>
        <w:r w:rsidRPr="00DB5DD0">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37D" w:rsidRDefault="006663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A4C" w:rsidRPr="00DB5DD0" w:rsidRDefault="00166A4C" w:rsidP="004A3FED">
    <w:pPr>
      <w:pStyle w:val="Footer"/>
      <w:pBdr>
        <w:top w:val="single" w:sz="4" w:space="1" w:color="auto"/>
      </w:pBdr>
      <w:spacing w:before="120"/>
      <w:jc w:val="right"/>
    </w:pPr>
    <w:r w:rsidRPr="00DB5DD0">
      <w:rPr>
        <w:sz w:val="16"/>
      </w:rPr>
      <w:t xml:space="preserve"> </w:t>
    </w:r>
    <w:r w:rsidRPr="00DB5DD0">
      <w:t xml:space="preserve">QTAG is supported by the Australian Government and implemented by Oxford Policy Management Australia | </w:t>
    </w:r>
    <w:sdt>
      <w:sdtPr>
        <w:id w:val="1979416411"/>
        <w:docPartObj>
          <w:docPartGallery w:val="Page Numbers (Bottom of Page)"/>
          <w:docPartUnique/>
        </w:docPartObj>
      </w:sdtPr>
      <w:sdtEndPr>
        <w:rPr>
          <w:noProof/>
        </w:rPr>
      </w:sdtEndPr>
      <w:sdtContent>
        <w:r w:rsidRPr="00DB5DD0">
          <w:fldChar w:fldCharType="begin"/>
        </w:r>
        <w:r w:rsidRPr="00DB5DD0">
          <w:instrText xml:space="preserve"> PAGE   \* MERGEFORMAT </w:instrText>
        </w:r>
        <w:r w:rsidRPr="00DB5DD0">
          <w:fldChar w:fldCharType="separate"/>
        </w:r>
        <w:r w:rsidR="0066637D">
          <w:rPr>
            <w:noProof/>
          </w:rPr>
          <w:t>86</w:t>
        </w:r>
        <w:r w:rsidRPr="00DB5DD0">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80C" w:rsidRPr="0005501D" w:rsidRDefault="000F680C" w:rsidP="000E1429">
      <w:r>
        <w:separator/>
      </w:r>
    </w:p>
  </w:footnote>
  <w:footnote w:type="continuationSeparator" w:id="0">
    <w:p w:rsidR="000F680C" w:rsidRPr="0005501D" w:rsidRDefault="000F680C" w:rsidP="000E1429"/>
  </w:footnote>
  <w:footnote w:type="continuationNotice" w:id="1">
    <w:p w:rsidR="000F680C" w:rsidRDefault="000F680C" w:rsidP="000E1429"/>
  </w:footnote>
  <w:footnote w:id="2">
    <w:p w:rsidR="00166A4C" w:rsidRPr="007E7A2E" w:rsidRDefault="00166A4C" w:rsidP="000F4B57">
      <w:pPr>
        <w:pStyle w:val="FootnoteText"/>
        <w:rPr>
          <w:lang w:val="en-AU"/>
        </w:rPr>
      </w:pPr>
      <w:r w:rsidRPr="00EC6347">
        <w:rPr>
          <w:rStyle w:val="FootnoteReference"/>
        </w:rPr>
        <w:footnoteRef/>
      </w:r>
      <w:r w:rsidRPr="00EC6347">
        <w:t xml:space="preserve"> </w:t>
      </w:r>
      <w:r>
        <w:rPr>
          <w:lang w:val="en-AU"/>
        </w:rPr>
        <w:t>Commonwealth</w:t>
      </w:r>
      <w:r w:rsidRPr="00EC6347">
        <w:rPr>
          <w:lang w:val="en-AU"/>
        </w:rPr>
        <w:t xml:space="preserve"> of Australia (2017</w:t>
      </w:r>
      <w:r>
        <w:rPr>
          <w:lang w:val="en-AU"/>
        </w:rPr>
        <w:t>a</w:t>
      </w:r>
      <w:r w:rsidRPr="00EC6347">
        <w:rPr>
          <w:lang w:val="en-AU"/>
        </w:rPr>
        <w:t xml:space="preserve">) </w:t>
      </w:r>
      <w:r>
        <w:rPr>
          <w:lang w:val="en-AU"/>
        </w:rPr>
        <w:t>‘</w:t>
      </w:r>
      <w:r w:rsidRPr="0000615F">
        <w:rPr>
          <w:lang w:val="en-AU"/>
        </w:rPr>
        <w:t>Foreign Policy White Paper</w:t>
      </w:r>
      <w:r>
        <w:rPr>
          <w:lang w:val="en-AU"/>
        </w:rPr>
        <w:t>’</w:t>
      </w:r>
      <w:r w:rsidRPr="00EC6347">
        <w:rPr>
          <w:lang w:val="en-AU"/>
        </w:rPr>
        <w:t xml:space="preserve">. </w:t>
      </w:r>
    </w:p>
  </w:footnote>
  <w:footnote w:id="3">
    <w:p w:rsidR="00166A4C" w:rsidRPr="00C3176B" w:rsidRDefault="00166A4C" w:rsidP="000F4B57">
      <w:pPr>
        <w:pStyle w:val="FootnoteText"/>
        <w:rPr>
          <w:lang w:val="en-AU"/>
        </w:rPr>
      </w:pPr>
      <w:r w:rsidRPr="00C3176B">
        <w:rPr>
          <w:rStyle w:val="FootnoteReference"/>
        </w:rPr>
        <w:footnoteRef/>
      </w:r>
      <w:r w:rsidRPr="00C3176B">
        <w:rPr>
          <w:lang w:val="en-AU"/>
        </w:rPr>
        <w:t xml:space="preserve"> </w:t>
      </w:r>
      <w:r>
        <w:rPr>
          <w:lang w:val="en-AU"/>
        </w:rPr>
        <w:t xml:space="preserve">S. </w:t>
      </w:r>
      <w:r w:rsidRPr="00C3176B">
        <w:rPr>
          <w:lang w:val="en-AU"/>
        </w:rPr>
        <w:t>Mathison</w:t>
      </w:r>
      <w:r>
        <w:rPr>
          <w:lang w:val="en-AU"/>
        </w:rPr>
        <w:t xml:space="preserve"> </w:t>
      </w:r>
      <w:r w:rsidRPr="00C3176B">
        <w:rPr>
          <w:lang w:val="en-AU"/>
        </w:rPr>
        <w:t>(</w:t>
      </w:r>
      <w:r>
        <w:rPr>
          <w:lang w:val="en-AU"/>
        </w:rPr>
        <w:t>e</w:t>
      </w:r>
      <w:r w:rsidRPr="00C3176B">
        <w:rPr>
          <w:lang w:val="en-AU"/>
        </w:rPr>
        <w:t xml:space="preserve">d.) (2005) </w:t>
      </w:r>
      <w:r w:rsidRPr="00C3176B">
        <w:rPr>
          <w:i/>
          <w:lang w:val="en-AU"/>
        </w:rPr>
        <w:t>Encyclopaedia of evaluation</w:t>
      </w:r>
      <w:r>
        <w:rPr>
          <w:lang w:val="en-AU"/>
        </w:rPr>
        <w:t>,</w:t>
      </w:r>
      <w:r w:rsidRPr="00C3176B">
        <w:rPr>
          <w:lang w:val="en-AU"/>
        </w:rPr>
        <w:t xml:space="preserve"> California: Sage.</w:t>
      </w:r>
    </w:p>
  </w:footnote>
  <w:footnote w:id="4">
    <w:p w:rsidR="00166A4C" w:rsidRPr="00EC6347" w:rsidRDefault="00166A4C" w:rsidP="000F4B57">
      <w:pPr>
        <w:pStyle w:val="FootnoteText"/>
        <w:rPr>
          <w:lang w:val="en-AU"/>
        </w:rPr>
      </w:pPr>
      <w:r w:rsidRPr="00C3176B">
        <w:rPr>
          <w:rStyle w:val="FootnoteReference"/>
        </w:rPr>
        <w:footnoteRef/>
      </w:r>
      <w:r w:rsidRPr="00C3176B">
        <w:t xml:space="preserve"> PLGP (2016a) </w:t>
      </w:r>
      <w:r>
        <w:t>‘</w:t>
      </w:r>
      <w:r w:rsidRPr="0000615F">
        <w:t>2016 update of design brief and implementation</w:t>
      </w:r>
      <w:r>
        <w:t>’</w:t>
      </w:r>
      <w:r w:rsidRPr="00C3176B">
        <w:t>, Pacific Leadership and Governance Precinct, January.</w:t>
      </w:r>
    </w:p>
  </w:footnote>
  <w:footnote w:id="5">
    <w:p w:rsidR="00166A4C" w:rsidRPr="00EC6347" w:rsidRDefault="00166A4C" w:rsidP="000F4B57">
      <w:pPr>
        <w:pStyle w:val="FootnoteText"/>
        <w:rPr>
          <w:lang w:val="en-AU"/>
        </w:rPr>
      </w:pPr>
      <w:r w:rsidRPr="00EC6347">
        <w:rPr>
          <w:rStyle w:val="FootnoteReference"/>
        </w:rPr>
        <w:footnoteRef/>
      </w:r>
      <w:r w:rsidRPr="00EC6347">
        <w:t xml:space="preserve"> </w:t>
      </w:r>
      <w:r>
        <w:t xml:space="preserve">D. </w:t>
      </w:r>
      <w:r w:rsidRPr="00EC6347">
        <w:t>Kavanamur</w:t>
      </w:r>
      <w:r>
        <w:rPr>
          <w:lang w:val="en-AU"/>
        </w:rPr>
        <w:t xml:space="preserve"> and G. </w:t>
      </w:r>
      <w:r w:rsidRPr="00EC6347">
        <w:rPr>
          <w:lang w:val="en-AU"/>
        </w:rPr>
        <w:t>Robins</w:t>
      </w:r>
      <w:r>
        <w:rPr>
          <w:lang w:val="en-AU"/>
        </w:rPr>
        <w:t xml:space="preserve"> </w:t>
      </w:r>
      <w:r w:rsidRPr="00EC6347">
        <w:rPr>
          <w:lang w:val="en-AU"/>
        </w:rPr>
        <w:t xml:space="preserve">(2007) </w:t>
      </w:r>
      <w:r>
        <w:rPr>
          <w:lang w:val="en-AU"/>
        </w:rPr>
        <w:t>‘</w:t>
      </w:r>
      <w:r w:rsidRPr="0000615F">
        <w:rPr>
          <w:lang w:val="en-AU"/>
        </w:rPr>
        <w:t>Review of the public sector reform program: Final report to the Chief Secretary</w:t>
      </w:r>
      <w:r>
        <w:rPr>
          <w:lang w:val="en-AU"/>
        </w:rPr>
        <w:t>’</w:t>
      </w:r>
      <w:r w:rsidRPr="00EC6347">
        <w:rPr>
          <w:lang w:val="en-AU"/>
        </w:rPr>
        <w:t>.</w:t>
      </w:r>
    </w:p>
  </w:footnote>
  <w:footnote w:id="6">
    <w:p w:rsidR="00166A4C" w:rsidRPr="00EC6347" w:rsidRDefault="00166A4C" w:rsidP="000F4B57">
      <w:pPr>
        <w:pStyle w:val="FootnoteText"/>
      </w:pPr>
      <w:r w:rsidRPr="00EC6347">
        <w:rPr>
          <w:rStyle w:val="FootnoteReference"/>
        </w:rPr>
        <w:footnoteRef/>
      </w:r>
      <w:r w:rsidRPr="00EC6347">
        <w:t xml:space="preserve"> </w:t>
      </w:r>
      <w:bookmarkStart w:id="38" w:name="_Hlk524694046"/>
      <w:r w:rsidRPr="00EC6347">
        <w:rPr>
          <w:lang w:val="en-AU"/>
        </w:rPr>
        <w:t xml:space="preserve">Government of Papua New Guinea (2013a) </w:t>
      </w:r>
      <w:r>
        <w:rPr>
          <w:lang w:val="en-AU"/>
        </w:rPr>
        <w:t>‘</w:t>
      </w:r>
      <w:r w:rsidRPr="0000615F">
        <w:rPr>
          <w:lang w:val="en-AU"/>
        </w:rPr>
        <w:t>National Public Service ethics and values based executive leadership and management capability framework</w:t>
      </w:r>
      <w:r>
        <w:rPr>
          <w:lang w:val="en-AU"/>
        </w:rPr>
        <w:t>’</w:t>
      </w:r>
      <w:r w:rsidRPr="00EC6347">
        <w:rPr>
          <w:lang w:val="en-AU"/>
        </w:rPr>
        <w:t>, Department of Personnel Management and Public Sector Workforce Development Program</w:t>
      </w:r>
      <w:bookmarkEnd w:id="38"/>
      <w:r w:rsidRPr="00EC6347">
        <w:rPr>
          <w:lang w:val="en-AU"/>
        </w:rPr>
        <w:t>.</w:t>
      </w:r>
    </w:p>
  </w:footnote>
  <w:footnote w:id="7">
    <w:p w:rsidR="00166A4C" w:rsidRPr="00EC6347" w:rsidRDefault="00166A4C" w:rsidP="000F4B57">
      <w:pPr>
        <w:pStyle w:val="FootnoteText"/>
      </w:pPr>
      <w:r w:rsidRPr="00EC6347">
        <w:rPr>
          <w:rStyle w:val="FootnoteReference"/>
        </w:rPr>
        <w:footnoteRef/>
      </w:r>
      <w:r w:rsidRPr="00EC6347">
        <w:t xml:space="preserve"> </w:t>
      </w:r>
      <w:bookmarkStart w:id="39" w:name="_Hlk524694006"/>
      <w:r w:rsidRPr="00EC6347">
        <w:rPr>
          <w:lang w:val="en-AU"/>
        </w:rPr>
        <w:t xml:space="preserve">Government of Papua New Guinea (2013b) </w:t>
      </w:r>
      <w:r>
        <w:rPr>
          <w:lang w:val="en-AU"/>
        </w:rPr>
        <w:t>‘</w:t>
      </w:r>
      <w:r w:rsidRPr="0000615F">
        <w:rPr>
          <w:lang w:val="en-AU"/>
        </w:rPr>
        <w:t xml:space="preserve">National Public Service gender equity </w:t>
      </w:r>
      <w:r>
        <w:rPr>
          <w:lang w:val="en-AU"/>
        </w:rPr>
        <w:t>and</w:t>
      </w:r>
      <w:r w:rsidRPr="0000615F">
        <w:rPr>
          <w:lang w:val="en-AU"/>
        </w:rPr>
        <w:t xml:space="preserve"> social inclusion (GESI) policy</w:t>
      </w:r>
      <w:r>
        <w:rPr>
          <w:lang w:val="en-AU"/>
        </w:rPr>
        <w:t>’</w:t>
      </w:r>
      <w:r w:rsidRPr="00EC6347">
        <w:rPr>
          <w:i/>
          <w:lang w:val="en-AU"/>
        </w:rPr>
        <w:t>,</w:t>
      </w:r>
      <w:r w:rsidRPr="00EC6347">
        <w:rPr>
          <w:lang w:val="en-AU"/>
        </w:rPr>
        <w:t xml:space="preserve"> Department of Personnel Management</w:t>
      </w:r>
      <w:bookmarkEnd w:id="39"/>
      <w:r w:rsidRPr="00EC6347">
        <w:rPr>
          <w:lang w:val="en-AU"/>
        </w:rPr>
        <w:t>.</w:t>
      </w:r>
    </w:p>
  </w:footnote>
  <w:footnote w:id="8">
    <w:p w:rsidR="00166A4C" w:rsidRPr="00EC6347" w:rsidRDefault="00166A4C" w:rsidP="000F4B57">
      <w:pPr>
        <w:pStyle w:val="FootnoteText"/>
        <w:rPr>
          <w:lang w:val="en-AU"/>
        </w:rPr>
      </w:pPr>
      <w:r w:rsidRPr="00EC6347">
        <w:rPr>
          <w:rStyle w:val="FootnoteReference"/>
        </w:rPr>
        <w:footnoteRef/>
      </w:r>
      <w:r w:rsidRPr="00EC6347">
        <w:rPr>
          <w:rFonts w:cs="Calibri"/>
          <w:iCs/>
          <w:color w:val="000000"/>
          <w:lang w:val="en-AU"/>
        </w:rPr>
        <w:t xml:space="preserve"> PLGP (</w:t>
      </w:r>
      <w:r w:rsidRPr="00C3176B">
        <w:rPr>
          <w:rFonts w:cs="Calibri"/>
          <w:iCs/>
          <w:color w:val="000000"/>
          <w:lang w:val="en-AU"/>
        </w:rPr>
        <w:t xml:space="preserve">2017) </w:t>
      </w:r>
      <w:r>
        <w:rPr>
          <w:rFonts w:cs="Calibri"/>
          <w:iCs/>
          <w:color w:val="000000"/>
          <w:lang w:val="en-AU"/>
        </w:rPr>
        <w:t>‘</w:t>
      </w:r>
      <w:r w:rsidRPr="0000615F">
        <w:rPr>
          <w:lang w:val="en-AU"/>
        </w:rPr>
        <w:t>Draft Precinct design and implementation brief</w:t>
      </w:r>
      <w:r>
        <w:rPr>
          <w:lang w:val="en-AU"/>
        </w:rPr>
        <w:t>’</w:t>
      </w:r>
      <w:r w:rsidRPr="00C3176B">
        <w:rPr>
          <w:lang w:val="en-AU"/>
        </w:rPr>
        <w:t xml:space="preserve">, Pacific Leadership and Governance Precinct, December 2017. The </w:t>
      </w:r>
      <w:r>
        <w:rPr>
          <w:lang w:val="en-AU"/>
        </w:rPr>
        <w:t>T</w:t>
      </w:r>
      <w:r w:rsidRPr="00C3176B">
        <w:rPr>
          <w:lang w:val="en-AU"/>
        </w:rPr>
        <w:t xml:space="preserve">erms of </w:t>
      </w:r>
      <w:r>
        <w:rPr>
          <w:lang w:val="en-AU"/>
        </w:rPr>
        <w:t>R</w:t>
      </w:r>
      <w:r w:rsidRPr="00C3176B">
        <w:rPr>
          <w:lang w:val="en-AU"/>
        </w:rPr>
        <w:t>eference for this review quote these Precinct strategies for change.</w:t>
      </w:r>
      <w:r>
        <w:rPr>
          <w:lang w:val="en-AU"/>
        </w:rPr>
        <w:t xml:space="preserve"> </w:t>
      </w:r>
    </w:p>
  </w:footnote>
  <w:footnote w:id="9">
    <w:p w:rsidR="00166A4C" w:rsidRPr="007E7A2E" w:rsidRDefault="00166A4C" w:rsidP="000F4B57">
      <w:pPr>
        <w:pStyle w:val="FootnoteText"/>
      </w:pPr>
      <w:r w:rsidRPr="005F6BAE">
        <w:rPr>
          <w:rStyle w:val="FootnoteReference"/>
        </w:rPr>
        <w:footnoteRef/>
      </w:r>
      <w:r w:rsidRPr="007E7A2E">
        <w:t xml:space="preserve"> </w:t>
      </w:r>
      <w:r w:rsidRPr="00EC6347">
        <w:t xml:space="preserve">PLGP (2016a) </w:t>
      </w:r>
      <w:r>
        <w:t>‘</w:t>
      </w:r>
      <w:r w:rsidRPr="0000615F">
        <w:t>2016 update of design brief and implementation</w:t>
      </w:r>
      <w:r>
        <w:t>’</w:t>
      </w:r>
      <w:r w:rsidRPr="00EC6347">
        <w:t>, Pacific Leadership and Go</w:t>
      </w:r>
      <w:r>
        <w:t xml:space="preserve">vernance Precinct, January, p. </w:t>
      </w:r>
      <w:r w:rsidRPr="007E7A2E">
        <w:t>6.</w:t>
      </w:r>
    </w:p>
  </w:footnote>
  <w:footnote w:id="10">
    <w:p w:rsidR="00166A4C" w:rsidRDefault="00166A4C" w:rsidP="000F4B57">
      <w:pPr>
        <w:pStyle w:val="FootnoteText"/>
      </w:pPr>
      <w:r>
        <w:rPr>
          <w:rStyle w:val="FootnoteReference"/>
        </w:rPr>
        <w:footnoteRef/>
      </w:r>
      <w:r>
        <w:t xml:space="preserve"> AHC (2018) Precinct expense report for Strategic Review, 13 July 2018.</w:t>
      </w:r>
    </w:p>
  </w:footnote>
  <w:footnote w:id="11">
    <w:p w:rsidR="00166A4C" w:rsidRPr="007E7A2E" w:rsidRDefault="00166A4C" w:rsidP="00013D3C">
      <w:pPr>
        <w:pStyle w:val="FootnoteText"/>
        <w:rPr>
          <w:lang w:val="en-AU"/>
        </w:rPr>
      </w:pPr>
      <w:r w:rsidRPr="007E7A2E">
        <w:rPr>
          <w:rStyle w:val="FootnoteReference"/>
        </w:rPr>
        <w:footnoteRef/>
      </w:r>
      <w:r w:rsidRPr="007E7A2E">
        <w:t xml:space="preserve"> </w:t>
      </w:r>
      <w:r w:rsidRPr="007E7A2E">
        <w:rPr>
          <w:lang w:val="en-AU"/>
        </w:rPr>
        <w:t xml:space="preserve">PLGP (2015a) </w:t>
      </w:r>
      <w:r>
        <w:rPr>
          <w:lang w:val="en-AU"/>
        </w:rPr>
        <w:t>‘</w:t>
      </w:r>
      <w:r w:rsidRPr="0000615F">
        <w:rPr>
          <w:lang w:val="en-AU"/>
        </w:rPr>
        <w:t>2015 update of design brief and implementation</w:t>
      </w:r>
      <w:r>
        <w:rPr>
          <w:lang w:val="en-AU"/>
        </w:rPr>
        <w:t>’</w:t>
      </w:r>
      <w:r w:rsidRPr="007E7A2E">
        <w:rPr>
          <w:lang w:val="en-AU"/>
        </w:rPr>
        <w:t>, Pacific Leadership and Gov</w:t>
      </w:r>
      <w:r w:rsidRPr="008F48A0">
        <w:rPr>
          <w:lang w:val="en-AU"/>
        </w:rPr>
        <w:t>ernance Precinct, November</w:t>
      </w:r>
      <w:r>
        <w:t xml:space="preserve">; </w:t>
      </w:r>
      <w:r w:rsidRPr="007E7A2E">
        <w:t xml:space="preserve">PLGP (2016a) </w:t>
      </w:r>
      <w:r>
        <w:t>‘</w:t>
      </w:r>
      <w:r w:rsidRPr="0000615F">
        <w:t>2016 update of design brief and implementation</w:t>
      </w:r>
      <w:r>
        <w:t>’</w:t>
      </w:r>
      <w:r w:rsidRPr="007E7A2E">
        <w:t>, Pacific Leadership and Governance Precinct, January.</w:t>
      </w:r>
    </w:p>
  </w:footnote>
  <w:footnote w:id="12">
    <w:p w:rsidR="00166A4C" w:rsidRPr="00EC6347" w:rsidRDefault="00166A4C" w:rsidP="00013D3C">
      <w:pPr>
        <w:pStyle w:val="FootnoteText"/>
        <w:rPr>
          <w:lang w:val="en-AU"/>
        </w:rPr>
      </w:pPr>
      <w:r w:rsidRPr="00EC6347">
        <w:rPr>
          <w:rStyle w:val="FootnoteReference"/>
        </w:rPr>
        <w:footnoteRef/>
      </w:r>
      <w:r w:rsidRPr="00EC6347">
        <w:t xml:space="preserve"> </w:t>
      </w:r>
      <w:r w:rsidRPr="00EC6347">
        <w:rPr>
          <w:lang w:val="en-AU"/>
        </w:rPr>
        <w:t>Annex 6. 6.1</w:t>
      </w:r>
      <w:r>
        <w:rPr>
          <w:lang w:val="en-AU"/>
        </w:rPr>
        <w:t>,</w:t>
      </w:r>
      <w:r w:rsidRPr="00EC6347">
        <w:rPr>
          <w:lang w:val="en-AU"/>
        </w:rPr>
        <w:t xml:space="preserve"> </w:t>
      </w:r>
      <w:r>
        <w:rPr>
          <w:lang w:val="en-AU"/>
        </w:rPr>
        <w:t>‘</w:t>
      </w:r>
      <w:r w:rsidRPr="00EC6347">
        <w:rPr>
          <w:lang w:val="en-AU"/>
        </w:rPr>
        <w:t>SBPP Program Logic and Monitoring and Evaluation Framework</w:t>
      </w:r>
      <w:r>
        <w:rPr>
          <w:lang w:val="en-AU"/>
        </w:rPr>
        <w:t>’</w:t>
      </w:r>
      <w:r w:rsidRPr="00EC6347">
        <w:rPr>
          <w:lang w:val="en-AU"/>
        </w:rPr>
        <w:t>,</w:t>
      </w:r>
      <w:r>
        <w:rPr>
          <w:lang w:val="en-AU"/>
        </w:rPr>
        <w:t xml:space="preserve"> in </w:t>
      </w:r>
      <w:r w:rsidRPr="00EC6347">
        <w:t xml:space="preserve">PLGP (2016a) </w:t>
      </w:r>
      <w:r>
        <w:t>‘</w:t>
      </w:r>
      <w:r w:rsidRPr="0000615F">
        <w:t>2016 update of design brief and implementation</w:t>
      </w:r>
      <w:r>
        <w:t>’</w:t>
      </w:r>
      <w:r w:rsidRPr="00EC6347">
        <w:t>, Pacific Leadership and Governance Precinct, January.</w:t>
      </w:r>
    </w:p>
  </w:footnote>
  <w:footnote w:id="13">
    <w:p w:rsidR="00166A4C" w:rsidRPr="004B05FE" w:rsidRDefault="00166A4C" w:rsidP="00013D3C">
      <w:pPr>
        <w:pStyle w:val="FootnoteText"/>
      </w:pPr>
      <w:r w:rsidRPr="004B05FE">
        <w:rPr>
          <w:rStyle w:val="FootnoteReference"/>
        </w:rPr>
        <w:footnoteRef/>
      </w:r>
      <w:r w:rsidRPr="004B05FE">
        <w:t xml:space="preserve"> Data </w:t>
      </w:r>
      <w:r>
        <w:t xml:space="preserve">are drawn </w:t>
      </w:r>
      <w:r w:rsidRPr="004B05FE">
        <w:t>from ANU interviews</w:t>
      </w:r>
      <w:r>
        <w:t xml:space="preserve"> and </w:t>
      </w:r>
      <w:r w:rsidRPr="004B05FE">
        <w:t>not</w:t>
      </w:r>
      <w:r>
        <w:t xml:space="preserve"> from the</w:t>
      </w:r>
      <w:r w:rsidRPr="004B05FE">
        <w:t xml:space="preserve"> PSLRP database.</w:t>
      </w:r>
    </w:p>
  </w:footnote>
  <w:footnote w:id="14">
    <w:p w:rsidR="00166A4C" w:rsidRPr="00726663" w:rsidRDefault="00166A4C" w:rsidP="00013D3C">
      <w:pPr>
        <w:pStyle w:val="FootnoteText"/>
        <w:rPr>
          <w:lang w:val="en-AU"/>
        </w:rPr>
      </w:pPr>
      <w:r w:rsidRPr="00726663">
        <w:rPr>
          <w:rStyle w:val="FootnoteReference"/>
        </w:rPr>
        <w:footnoteRef/>
      </w:r>
      <w:r w:rsidRPr="00726663">
        <w:t xml:space="preserve"> </w:t>
      </w:r>
      <w:r w:rsidRPr="00013D3C">
        <w:t>PSLRP (2019) ‘PSLR Precinct training participants data’, Abt PNG, 22 January.</w:t>
      </w:r>
      <w:r w:rsidRPr="00726663">
        <w:rPr>
          <w:lang w:val="en-AU"/>
        </w:rPr>
        <w:t xml:space="preserve"> </w:t>
      </w:r>
    </w:p>
  </w:footnote>
  <w:footnote w:id="15">
    <w:p w:rsidR="00166A4C" w:rsidRPr="00FB2F38" w:rsidRDefault="00166A4C">
      <w:pPr>
        <w:pStyle w:val="FootnoteText"/>
      </w:pPr>
      <w:r w:rsidRPr="004B05FE">
        <w:rPr>
          <w:rStyle w:val="FootnoteReference"/>
        </w:rPr>
        <w:footnoteRef/>
      </w:r>
      <w:r w:rsidRPr="004B05FE">
        <w:t xml:space="preserve"> </w:t>
      </w:r>
      <w:r w:rsidRPr="004B05FE">
        <w:rPr>
          <w:lang w:val="en-AU"/>
        </w:rPr>
        <w:t>PSLRP (201</w:t>
      </w:r>
      <w:r w:rsidRPr="0026687C">
        <w:rPr>
          <w:lang w:val="en-AU"/>
        </w:rPr>
        <w:t xml:space="preserve">9) </w:t>
      </w:r>
      <w:r>
        <w:rPr>
          <w:lang w:val="en-AU"/>
        </w:rPr>
        <w:t>‘</w:t>
      </w:r>
      <w:r w:rsidRPr="00726663">
        <w:rPr>
          <w:lang w:val="en-AU"/>
        </w:rPr>
        <w:t>PSLR Precinct training participants data</w:t>
      </w:r>
      <w:r>
        <w:rPr>
          <w:lang w:val="en-AU"/>
        </w:rPr>
        <w:t>’</w:t>
      </w:r>
      <w:r w:rsidRPr="004B05FE">
        <w:rPr>
          <w:lang w:val="en-AU"/>
        </w:rPr>
        <w:t>, Knowledge, Abt PNG, 22 January</w:t>
      </w:r>
      <w:r>
        <w:rPr>
          <w:lang w:val="en-AU"/>
        </w:rPr>
        <w:t>.</w:t>
      </w:r>
    </w:p>
  </w:footnote>
  <w:footnote w:id="16">
    <w:p w:rsidR="00166A4C" w:rsidRPr="004B05FE" w:rsidRDefault="00166A4C">
      <w:pPr>
        <w:pStyle w:val="FootnoteText"/>
      </w:pPr>
      <w:r w:rsidRPr="004B05FE">
        <w:rPr>
          <w:rStyle w:val="FootnoteReference"/>
        </w:rPr>
        <w:footnoteRef/>
      </w:r>
      <w:r w:rsidRPr="004B05FE">
        <w:t xml:space="preserve"> </w:t>
      </w:r>
      <w:r w:rsidRPr="004B05FE">
        <w:rPr>
          <w:lang w:val="en-AU"/>
        </w:rPr>
        <w:t xml:space="preserve">SBPP (2018) </w:t>
      </w:r>
      <w:r>
        <w:rPr>
          <w:lang w:val="en-AU"/>
        </w:rPr>
        <w:t>‘</w:t>
      </w:r>
      <w:r w:rsidRPr="00726663">
        <w:rPr>
          <w:lang w:val="en-AU"/>
        </w:rPr>
        <w:t>Report by the SBPP Executive Dean</w:t>
      </w:r>
      <w:r>
        <w:rPr>
          <w:lang w:val="en-AU"/>
        </w:rPr>
        <w:t>’,</w:t>
      </w:r>
      <w:r w:rsidRPr="004B05FE">
        <w:rPr>
          <w:lang w:val="en-AU"/>
        </w:rPr>
        <w:t xml:space="preserve"> July.</w:t>
      </w:r>
    </w:p>
  </w:footnote>
  <w:footnote w:id="17">
    <w:p w:rsidR="00166A4C" w:rsidRPr="00FB2F38" w:rsidRDefault="00166A4C">
      <w:pPr>
        <w:pStyle w:val="FootnoteText"/>
      </w:pPr>
      <w:r w:rsidRPr="004B05FE">
        <w:rPr>
          <w:rStyle w:val="FootnoteReference"/>
        </w:rPr>
        <w:footnoteRef/>
      </w:r>
      <w:r w:rsidRPr="004B05FE">
        <w:t xml:space="preserve"> </w:t>
      </w:r>
      <w:r w:rsidRPr="004B05FE">
        <w:rPr>
          <w:lang w:val="en-AU"/>
        </w:rPr>
        <w:t>PSLRP (201</w:t>
      </w:r>
      <w:r w:rsidRPr="0026687C">
        <w:rPr>
          <w:lang w:val="en-AU"/>
        </w:rPr>
        <w:t xml:space="preserve">9) </w:t>
      </w:r>
      <w:r>
        <w:rPr>
          <w:lang w:val="en-AU"/>
        </w:rPr>
        <w:t>‘</w:t>
      </w:r>
      <w:r w:rsidRPr="00726663">
        <w:rPr>
          <w:lang w:val="en-AU"/>
        </w:rPr>
        <w:t>PSLR Precinct training participants data</w:t>
      </w:r>
      <w:r>
        <w:rPr>
          <w:lang w:val="en-AU"/>
        </w:rPr>
        <w:t>’</w:t>
      </w:r>
      <w:r w:rsidRPr="004B05FE">
        <w:rPr>
          <w:lang w:val="en-AU"/>
        </w:rPr>
        <w:t>, Knowledge</w:t>
      </w:r>
      <w:r w:rsidRPr="0026687C">
        <w:rPr>
          <w:lang w:val="en-AU"/>
        </w:rPr>
        <w:t xml:space="preserve">, Abt PNG, 22 January. </w:t>
      </w:r>
    </w:p>
    <w:p w:rsidR="00166A4C" w:rsidRDefault="00166A4C">
      <w:pPr>
        <w:pStyle w:val="FootnoteText"/>
      </w:pPr>
    </w:p>
  </w:footnote>
  <w:footnote w:id="18">
    <w:p w:rsidR="00166A4C" w:rsidRPr="000525FD" w:rsidRDefault="00166A4C" w:rsidP="000F4B57">
      <w:pPr>
        <w:pStyle w:val="FootnoteText"/>
        <w:rPr>
          <w:lang w:val="en-AU"/>
        </w:rPr>
      </w:pPr>
      <w:r w:rsidRPr="00EC6347">
        <w:rPr>
          <w:rStyle w:val="FootnoteReference"/>
        </w:rPr>
        <w:footnoteRef/>
      </w:r>
      <w:r w:rsidRPr="00EC6347">
        <w:t xml:space="preserve"> </w:t>
      </w:r>
      <w:r w:rsidRPr="00EC6347">
        <w:rPr>
          <w:lang w:val="en-AU"/>
        </w:rPr>
        <w:t>ANU-UPNG (2016a)</w:t>
      </w:r>
      <w:r>
        <w:rPr>
          <w:lang w:val="en-AU"/>
        </w:rPr>
        <w:t xml:space="preserve"> ‘</w:t>
      </w:r>
      <w:r w:rsidRPr="0000615F">
        <w:rPr>
          <w:lang w:val="en-AU"/>
        </w:rPr>
        <w:t>ANU Crawford-UPNG SBPP Partnership six-monthly report (January</w:t>
      </w:r>
      <w:r w:rsidRPr="00547C7C">
        <w:rPr>
          <w:lang w:val="en-AU"/>
        </w:rPr>
        <w:t>–</w:t>
      </w:r>
      <w:r>
        <w:rPr>
          <w:lang w:val="en-AU"/>
        </w:rPr>
        <w:t>J</w:t>
      </w:r>
      <w:r w:rsidRPr="0000615F">
        <w:rPr>
          <w:lang w:val="en-AU"/>
        </w:rPr>
        <w:t>une 2016)</w:t>
      </w:r>
      <w:r>
        <w:rPr>
          <w:lang w:val="en-AU"/>
        </w:rPr>
        <w:t>’</w:t>
      </w:r>
      <w:r w:rsidRPr="0000615F">
        <w:rPr>
          <w:lang w:val="en-AU"/>
        </w:rPr>
        <w:t>,</w:t>
      </w:r>
      <w:r w:rsidRPr="00EC6347">
        <w:rPr>
          <w:lang w:val="en-AU"/>
        </w:rPr>
        <w:t xml:space="preserve"> Policy Development Centre, Crawford School of Public Policy, ANU; </w:t>
      </w:r>
      <w:r w:rsidRPr="00EC6347">
        <w:rPr>
          <w:rFonts w:cstheme="minorHAnsi"/>
          <w:lang w:val="en-AU"/>
        </w:rPr>
        <w:t>ANU</w:t>
      </w:r>
      <w:r>
        <w:rPr>
          <w:rFonts w:cstheme="minorHAnsi"/>
          <w:lang w:val="en-AU"/>
        </w:rPr>
        <w:t>–</w:t>
      </w:r>
      <w:r w:rsidRPr="00EC6347">
        <w:rPr>
          <w:rFonts w:cstheme="minorHAnsi"/>
          <w:lang w:val="en-AU"/>
        </w:rPr>
        <w:t xml:space="preserve">UPNG (2017a) </w:t>
      </w:r>
      <w:r>
        <w:rPr>
          <w:rFonts w:cstheme="minorHAnsi"/>
          <w:lang w:val="en-AU"/>
        </w:rPr>
        <w:t>‘</w:t>
      </w:r>
      <w:r w:rsidRPr="0000615F">
        <w:rPr>
          <w:rFonts w:cstheme="minorHAnsi"/>
          <w:lang w:val="en-AU"/>
        </w:rPr>
        <w:t>ANU Crawford</w:t>
      </w:r>
      <w:r>
        <w:rPr>
          <w:rFonts w:cstheme="minorHAnsi"/>
          <w:lang w:val="en-AU"/>
        </w:rPr>
        <w:t>–</w:t>
      </w:r>
      <w:r w:rsidRPr="0000615F">
        <w:rPr>
          <w:rFonts w:cstheme="minorHAnsi"/>
          <w:lang w:val="en-AU"/>
        </w:rPr>
        <w:t>UPNG SBPP Partnership six-monthly report (</w:t>
      </w:r>
      <w:r>
        <w:rPr>
          <w:rFonts w:cstheme="minorHAnsi"/>
          <w:lang w:val="en-AU"/>
        </w:rPr>
        <w:t>0</w:t>
      </w:r>
      <w:r w:rsidRPr="0000615F">
        <w:rPr>
          <w:rFonts w:cstheme="minorHAnsi"/>
          <w:lang w:val="en-AU"/>
        </w:rPr>
        <w:t>1 January</w:t>
      </w:r>
      <w:r w:rsidRPr="00547C7C">
        <w:rPr>
          <w:rFonts w:cstheme="minorHAnsi"/>
          <w:lang w:val="en-AU"/>
        </w:rPr>
        <w:t>–</w:t>
      </w:r>
      <w:r w:rsidRPr="0000615F">
        <w:rPr>
          <w:rFonts w:cstheme="minorHAnsi"/>
          <w:lang w:val="en-AU"/>
        </w:rPr>
        <w:t>30 June 2017)</w:t>
      </w:r>
      <w:r>
        <w:rPr>
          <w:rFonts w:cstheme="minorHAnsi"/>
          <w:lang w:val="en-AU"/>
        </w:rPr>
        <w:t>’</w:t>
      </w:r>
      <w:r w:rsidRPr="00EC6347">
        <w:rPr>
          <w:rFonts w:cstheme="minorHAnsi"/>
          <w:lang w:val="en-AU"/>
        </w:rPr>
        <w:t xml:space="preserve">, Policy Development Centre, </w:t>
      </w:r>
      <w:r w:rsidRPr="000525FD">
        <w:rPr>
          <w:rFonts w:cstheme="minorHAnsi"/>
          <w:lang w:val="en-AU"/>
        </w:rPr>
        <w:t>Crawford School of Public Policy, ANU;</w:t>
      </w:r>
      <w:r w:rsidRPr="000525FD">
        <w:t xml:space="preserve"> ANU</w:t>
      </w:r>
      <w:r>
        <w:t>–</w:t>
      </w:r>
      <w:r w:rsidRPr="000525FD">
        <w:t xml:space="preserve">UPNG (2018b) </w:t>
      </w:r>
      <w:r>
        <w:t>‘</w:t>
      </w:r>
      <w:r w:rsidRPr="0000615F">
        <w:t>ANU Crawford</w:t>
      </w:r>
      <w:r w:rsidRPr="00547C7C">
        <w:t>–</w:t>
      </w:r>
      <w:r w:rsidRPr="0000615F">
        <w:t>UPNG SBPP Partnership summer school Jan–Feb 2018 report</w:t>
      </w:r>
      <w:r>
        <w:t>’</w:t>
      </w:r>
      <w:r w:rsidRPr="000525FD">
        <w:t>, Policy Development Centre, Crawford School of Public Policy, ANU.</w:t>
      </w:r>
    </w:p>
  </w:footnote>
  <w:footnote w:id="19">
    <w:p w:rsidR="00166A4C" w:rsidRDefault="00166A4C" w:rsidP="000F4B57">
      <w:pPr>
        <w:pStyle w:val="FootnoteText"/>
      </w:pPr>
      <w:r w:rsidRPr="000525FD">
        <w:rPr>
          <w:rStyle w:val="FootnoteReference"/>
        </w:rPr>
        <w:footnoteRef/>
      </w:r>
      <w:r w:rsidRPr="000525FD">
        <w:t xml:space="preserve"> </w:t>
      </w:r>
      <w:r>
        <w:t xml:space="preserve">M.S. </w:t>
      </w:r>
      <w:r w:rsidRPr="007E7A2E">
        <w:t>Knowles (1970</w:t>
      </w:r>
      <w:r>
        <w:t xml:space="preserve">, </w:t>
      </w:r>
      <w:r w:rsidRPr="007E7A2E">
        <w:t xml:space="preserve">1980) </w:t>
      </w:r>
      <w:r w:rsidRPr="007E7A2E">
        <w:rPr>
          <w:i/>
          <w:iCs/>
        </w:rPr>
        <w:t>The Modern Practice of Adult Education. Andragogy versus pedagogy</w:t>
      </w:r>
      <w:r>
        <w:t xml:space="preserve">, </w:t>
      </w:r>
      <w:r w:rsidRPr="007E7A2E">
        <w:t>Prentice Hall/Cambridge</w:t>
      </w:r>
      <w:r>
        <w:t xml:space="preserve">, </w:t>
      </w:r>
      <w:r w:rsidRPr="007E7A2E">
        <w:t>Englewood Cliffs</w:t>
      </w:r>
      <w:r>
        <w:t>, NJ.</w:t>
      </w:r>
    </w:p>
  </w:footnote>
  <w:footnote w:id="20">
    <w:p w:rsidR="00166A4C" w:rsidRPr="00932FD0" w:rsidRDefault="00166A4C" w:rsidP="000F4B57">
      <w:pPr>
        <w:pStyle w:val="FootnoteText"/>
      </w:pPr>
      <w:r w:rsidRPr="00EC6347">
        <w:rPr>
          <w:rStyle w:val="FootnoteReference"/>
        </w:rPr>
        <w:footnoteRef/>
      </w:r>
      <w:r w:rsidRPr="00EC6347">
        <w:t xml:space="preserve"> </w:t>
      </w:r>
      <w:r>
        <w:t xml:space="preserve">R. </w:t>
      </w:r>
      <w:r w:rsidRPr="00EC6347">
        <w:rPr>
          <w:lang w:val="en-AU"/>
        </w:rPr>
        <w:t>Fox</w:t>
      </w:r>
      <w:r>
        <w:rPr>
          <w:lang w:val="en-AU"/>
        </w:rPr>
        <w:t xml:space="preserve"> </w:t>
      </w:r>
      <w:r w:rsidRPr="00EC6347">
        <w:rPr>
          <w:lang w:val="en-AU"/>
        </w:rPr>
        <w:t xml:space="preserve">(2018) ‘UPNG student employment outcomes: Results from a survey of economics graduates’, </w:t>
      </w:r>
      <w:r w:rsidRPr="00EC6347">
        <w:rPr>
          <w:i/>
          <w:lang w:val="en-AU"/>
        </w:rPr>
        <w:t>DevPolicy Blog</w:t>
      </w:r>
      <w:r>
        <w:rPr>
          <w:lang w:val="en-AU"/>
        </w:rPr>
        <w:t>, available at:</w:t>
      </w:r>
      <w:r w:rsidRPr="00EC6347">
        <w:rPr>
          <w:lang w:val="en-AU"/>
        </w:rPr>
        <w:t xml:space="preserve"> </w:t>
      </w:r>
      <w:hyperlink r:id="rId1" w:history="1">
        <w:r w:rsidRPr="00AA1C8A">
          <w:rPr>
            <w:rStyle w:val="Hyperlink"/>
          </w:rPr>
          <w:t>www.devpolicy.org/upng-student-employment-outcomes-survey-results-20180725/</w:t>
        </w:r>
      </w:hyperlink>
      <w:r w:rsidRPr="00932FD0">
        <w:t>, paragraph 3.</w:t>
      </w:r>
    </w:p>
  </w:footnote>
  <w:footnote w:id="21">
    <w:p w:rsidR="00166A4C" w:rsidRPr="00EC6347" w:rsidRDefault="00166A4C" w:rsidP="000F4B57">
      <w:pPr>
        <w:pStyle w:val="FootnoteText"/>
        <w:rPr>
          <w:lang w:val="en-AU"/>
        </w:rPr>
      </w:pPr>
      <w:r w:rsidRPr="00EC6347">
        <w:rPr>
          <w:rStyle w:val="FootnoteReference"/>
        </w:rPr>
        <w:footnoteRef/>
      </w:r>
      <w:r w:rsidRPr="00EC6347">
        <w:rPr>
          <w:lang w:val="en-AU"/>
        </w:rPr>
        <w:t xml:space="preserve"> SBPP</w:t>
      </w:r>
      <w:r>
        <w:rPr>
          <w:lang w:val="en-AU"/>
        </w:rPr>
        <w:t xml:space="preserve"> (2018)</w:t>
      </w:r>
      <w:r w:rsidRPr="00EC6347">
        <w:rPr>
          <w:lang w:val="en-AU"/>
        </w:rPr>
        <w:t xml:space="preserve"> </w:t>
      </w:r>
      <w:r>
        <w:rPr>
          <w:lang w:val="en-AU"/>
        </w:rPr>
        <w:t>‘</w:t>
      </w:r>
      <w:r w:rsidRPr="0000615F">
        <w:rPr>
          <w:lang w:val="en-AU"/>
        </w:rPr>
        <w:t>Report by the Executive Dean</w:t>
      </w:r>
      <w:r>
        <w:rPr>
          <w:lang w:val="en-AU"/>
        </w:rPr>
        <w:t>’</w:t>
      </w:r>
      <w:r w:rsidRPr="00EC6347">
        <w:rPr>
          <w:i/>
          <w:lang w:val="en-AU"/>
        </w:rPr>
        <w:t>.</w:t>
      </w:r>
    </w:p>
  </w:footnote>
  <w:footnote w:id="22">
    <w:p w:rsidR="00166A4C" w:rsidRPr="00EC6347" w:rsidRDefault="00166A4C" w:rsidP="000F4B57">
      <w:pPr>
        <w:pStyle w:val="FootnoteText"/>
        <w:rPr>
          <w:lang w:val="en-AU"/>
        </w:rPr>
      </w:pPr>
      <w:r w:rsidRPr="00EC6347">
        <w:rPr>
          <w:rStyle w:val="FootnoteReference"/>
        </w:rPr>
        <w:footnoteRef/>
      </w:r>
      <w:r w:rsidRPr="00EC6347">
        <w:t xml:space="preserve"> </w:t>
      </w:r>
      <w:r>
        <w:t xml:space="preserve">P. </w:t>
      </w:r>
      <w:r w:rsidRPr="00EC6347">
        <w:rPr>
          <w:lang w:val="en-AU"/>
        </w:rPr>
        <w:t>Thambu</w:t>
      </w:r>
      <w:r>
        <w:rPr>
          <w:lang w:val="en-AU"/>
        </w:rPr>
        <w:t xml:space="preserve"> </w:t>
      </w:r>
      <w:r w:rsidRPr="00EC6347">
        <w:rPr>
          <w:lang w:val="en-AU"/>
        </w:rPr>
        <w:t xml:space="preserve">(2018) </w:t>
      </w:r>
      <w:r>
        <w:rPr>
          <w:lang w:val="en-AU"/>
        </w:rPr>
        <w:t>‘</w:t>
      </w:r>
      <w:r w:rsidRPr="0000615F">
        <w:rPr>
          <w:lang w:val="en-AU"/>
        </w:rPr>
        <w:t xml:space="preserve">Report on second phase of Curriculum Realignment Initiative (CRI): Individual course outline review </w:t>
      </w:r>
      <w:r>
        <w:rPr>
          <w:lang w:val="en-AU"/>
        </w:rPr>
        <w:t>0</w:t>
      </w:r>
      <w:r w:rsidRPr="0000615F">
        <w:rPr>
          <w:rFonts w:cs="Calibri"/>
          <w:lang w:val="en-AU"/>
        </w:rPr>
        <w:t>8 to 22 April 2018</w:t>
      </w:r>
      <w:r>
        <w:rPr>
          <w:rFonts w:cs="Calibri"/>
          <w:lang w:val="en-AU"/>
        </w:rPr>
        <w:t>’</w:t>
      </w:r>
      <w:r w:rsidRPr="00EC6347">
        <w:t>.</w:t>
      </w:r>
    </w:p>
  </w:footnote>
  <w:footnote w:id="23">
    <w:p w:rsidR="00166A4C" w:rsidRPr="007E7A2E" w:rsidRDefault="00166A4C" w:rsidP="000F4B57">
      <w:pPr>
        <w:pStyle w:val="FootnoteText"/>
      </w:pPr>
      <w:r w:rsidRPr="007009E8">
        <w:rPr>
          <w:rStyle w:val="FootnoteReference"/>
        </w:rPr>
        <w:footnoteRef/>
      </w:r>
      <w:r w:rsidRPr="00A24804">
        <w:t xml:space="preserve"> </w:t>
      </w:r>
      <w:r w:rsidRPr="00EC6347">
        <w:t>PLGP (2016a)</w:t>
      </w:r>
      <w:r>
        <w:t xml:space="preserve"> ‘</w:t>
      </w:r>
      <w:r w:rsidRPr="0000615F">
        <w:t>2016 update of design brief and implementation</w:t>
      </w:r>
      <w:r>
        <w:t>’</w:t>
      </w:r>
      <w:r w:rsidRPr="00EC6347">
        <w:t>, Pacific Leadership and Governance Precinct, January</w:t>
      </w:r>
      <w:r w:rsidRPr="007E7A2E">
        <w:t>.</w:t>
      </w:r>
    </w:p>
  </w:footnote>
  <w:footnote w:id="24">
    <w:p w:rsidR="00166A4C" w:rsidRPr="00C3176B" w:rsidRDefault="00166A4C" w:rsidP="000F4B57">
      <w:pPr>
        <w:pStyle w:val="FootnoteText"/>
      </w:pPr>
      <w:r w:rsidRPr="00C3176B">
        <w:rPr>
          <w:rStyle w:val="FootnoteReference"/>
        </w:rPr>
        <w:footnoteRef/>
      </w:r>
      <w:r w:rsidRPr="00C3176B">
        <w:t xml:space="preserve"> </w:t>
      </w:r>
      <w:r w:rsidRPr="0000615F">
        <w:rPr>
          <w:i/>
        </w:rPr>
        <w:t>Ibid</w:t>
      </w:r>
      <w:r w:rsidRPr="00C3176B">
        <w:t>.</w:t>
      </w:r>
    </w:p>
  </w:footnote>
  <w:footnote w:id="25">
    <w:p w:rsidR="00166A4C" w:rsidRDefault="00166A4C" w:rsidP="000F4B57">
      <w:pPr>
        <w:pStyle w:val="FootnoteText"/>
      </w:pPr>
      <w:r w:rsidRPr="00C3176B">
        <w:rPr>
          <w:rStyle w:val="FootnoteReference"/>
        </w:rPr>
        <w:footnoteRef/>
      </w:r>
      <w:r w:rsidRPr="00C3176B">
        <w:t xml:space="preserve"> </w:t>
      </w:r>
      <w:r w:rsidRPr="00C3176B">
        <w:rPr>
          <w:lang w:val="en-AU"/>
        </w:rPr>
        <w:t xml:space="preserve">For example, while </w:t>
      </w:r>
      <w:r>
        <w:rPr>
          <w:lang w:val="en-AU"/>
        </w:rPr>
        <w:t xml:space="preserve">the </w:t>
      </w:r>
      <w:r w:rsidRPr="00C3176B">
        <w:rPr>
          <w:lang w:val="en-AU"/>
        </w:rPr>
        <w:t xml:space="preserve">UQ’s Leadership and Initiative </w:t>
      </w:r>
      <w:r>
        <w:rPr>
          <w:lang w:val="en-AU"/>
        </w:rPr>
        <w:t>p</w:t>
      </w:r>
      <w:r w:rsidRPr="00C3176B">
        <w:rPr>
          <w:lang w:val="en-AU"/>
        </w:rPr>
        <w:t xml:space="preserve">rograms are now considered part of the ‘Pathways’ component by </w:t>
      </w:r>
      <w:r>
        <w:rPr>
          <w:lang w:val="en-AU"/>
        </w:rPr>
        <w:t>Precinct stakeholders</w:t>
      </w:r>
      <w:r w:rsidRPr="00C3176B">
        <w:rPr>
          <w:lang w:val="en-AU"/>
        </w:rPr>
        <w:t xml:space="preserve">, the 2016 Update </w:t>
      </w:r>
      <w:r>
        <w:rPr>
          <w:lang w:val="en-AU"/>
        </w:rPr>
        <w:t xml:space="preserve">conceived </w:t>
      </w:r>
      <w:r w:rsidRPr="00C3176B">
        <w:rPr>
          <w:lang w:val="en-AU"/>
        </w:rPr>
        <w:t>UQ leadership courses under the SBPP project.</w:t>
      </w:r>
    </w:p>
  </w:footnote>
  <w:footnote w:id="26">
    <w:p w:rsidR="00166A4C" w:rsidRPr="00C3176B" w:rsidRDefault="00166A4C">
      <w:pPr>
        <w:pStyle w:val="FootnoteText"/>
        <w:rPr>
          <w:lang w:val="en-AU"/>
        </w:rPr>
      </w:pPr>
      <w:r w:rsidRPr="00C3176B">
        <w:rPr>
          <w:rStyle w:val="FootnoteReference"/>
        </w:rPr>
        <w:footnoteRef/>
      </w:r>
      <w:r w:rsidRPr="00C3176B">
        <w:t xml:space="preserve"> </w:t>
      </w:r>
      <w:r w:rsidRPr="00C3176B">
        <w:rPr>
          <w:lang w:val="en-AU"/>
        </w:rPr>
        <w:t xml:space="preserve">See Annex 6 of </w:t>
      </w:r>
      <w:r>
        <w:rPr>
          <w:lang w:val="en-AU"/>
        </w:rPr>
        <w:t xml:space="preserve">the </w:t>
      </w:r>
      <w:r w:rsidRPr="00C3176B">
        <w:rPr>
          <w:lang w:val="en-AU"/>
        </w:rPr>
        <w:t xml:space="preserve">2016 Update in </w:t>
      </w:r>
      <w:r w:rsidRPr="00C3176B">
        <w:t xml:space="preserve">PLGP (2016a) </w:t>
      </w:r>
      <w:r>
        <w:t>‘</w:t>
      </w:r>
      <w:r w:rsidRPr="0000615F">
        <w:t>2016 update of design brief and implementation</w:t>
      </w:r>
      <w:r>
        <w:t>’</w:t>
      </w:r>
      <w:r w:rsidRPr="00C3176B">
        <w:t>, Pacific Leadership and Governance Precinct, January.</w:t>
      </w:r>
    </w:p>
  </w:footnote>
  <w:footnote w:id="27">
    <w:p w:rsidR="00166A4C" w:rsidRPr="007E7A2E" w:rsidRDefault="00166A4C" w:rsidP="00013D3C">
      <w:pPr>
        <w:pStyle w:val="FootnoteText"/>
        <w:rPr>
          <w:szCs w:val="22"/>
          <w:lang w:val="en-AU"/>
        </w:rPr>
      </w:pPr>
      <w:r w:rsidRPr="00C3176B">
        <w:rPr>
          <w:rStyle w:val="FootnoteReference"/>
        </w:rPr>
        <w:footnoteRef/>
      </w:r>
      <w:r w:rsidRPr="00C3176B">
        <w:t xml:space="preserve"> </w:t>
      </w:r>
      <w:r w:rsidRPr="00013D3C">
        <w:t>PSLRP (2019) ‘PSLR Precinct training participants data’, Abt PNG, 22 January. The period of analysis was from inception until May 2018, as established in the Terms of Reference for this evaluation. Participant numbers include those who have graduated, those who have completed the program, and those who are yet to complete, as suggested by Abt MEL team.</w:t>
      </w:r>
    </w:p>
  </w:footnote>
  <w:footnote w:id="28">
    <w:p w:rsidR="00166A4C" w:rsidRDefault="00166A4C">
      <w:pPr>
        <w:pStyle w:val="FootnoteText"/>
      </w:pPr>
      <w:r>
        <w:rPr>
          <w:rStyle w:val="FootnoteReference"/>
        </w:rPr>
        <w:footnoteRef/>
      </w:r>
      <w:r>
        <w:t xml:space="preserve"> This figure also indicates a decrease in the number of participants on an annual basis. This is probably due to different ways of classifying participants and courses by the different Precinct implementers. </w:t>
      </w:r>
    </w:p>
  </w:footnote>
  <w:footnote w:id="29">
    <w:p w:rsidR="00166A4C" w:rsidRPr="00EC6347" w:rsidRDefault="00166A4C" w:rsidP="000F4B57">
      <w:pPr>
        <w:pStyle w:val="FootnoteText"/>
      </w:pPr>
      <w:r w:rsidRPr="00EC6347">
        <w:rPr>
          <w:rStyle w:val="FootnoteReference"/>
        </w:rPr>
        <w:footnoteRef/>
      </w:r>
      <w:r w:rsidRPr="00EC6347">
        <w:t xml:space="preserve"> </w:t>
      </w:r>
      <w:r>
        <w:t xml:space="preserve">O. </w:t>
      </w:r>
      <w:r w:rsidRPr="00EC6347">
        <w:t>Sepoe</w:t>
      </w:r>
      <w:r>
        <w:t xml:space="preserve"> </w:t>
      </w:r>
      <w:r w:rsidRPr="00EC6347">
        <w:t>(2006) ‘Democracy in Papua New Guinea: Challenges from a rights-based approach’, in S</w:t>
      </w:r>
      <w:r>
        <w:t>.</w:t>
      </w:r>
      <w:r w:rsidRPr="00EC6347">
        <w:t xml:space="preserve"> Firth (ed.) </w:t>
      </w:r>
      <w:r w:rsidRPr="00EC6347">
        <w:rPr>
          <w:i/>
        </w:rPr>
        <w:t>Globalisation and governance in the Pacific Islands</w:t>
      </w:r>
      <w:r>
        <w:t>,</w:t>
      </w:r>
      <w:r w:rsidRPr="00EC6347">
        <w:t xml:space="preserve">  ANU Press</w:t>
      </w:r>
      <w:r>
        <w:t>, Canberra</w:t>
      </w:r>
      <w:r w:rsidRPr="00EC6347">
        <w:t xml:space="preserve">; </w:t>
      </w:r>
      <w:r>
        <w:t xml:space="preserve">M. </w:t>
      </w:r>
      <w:r w:rsidRPr="00EC6347">
        <w:t>Turner</w:t>
      </w:r>
      <w:r>
        <w:t xml:space="preserve"> and D. </w:t>
      </w:r>
      <w:r w:rsidRPr="00EC6347">
        <w:t>Kavanamur</w:t>
      </w:r>
      <w:r>
        <w:t xml:space="preserve"> </w:t>
      </w:r>
      <w:r w:rsidRPr="00EC6347">
        <w:t xml:space="preserve">(2009) ‘Explaining public sector reform failure: Papua New Guinea 1975–2001’, in R. May (ed.), </w:t>
      </w:r>
      <w:r w:rsidRPr="00EC6347">
        <w:rPr>
          <w:i/>
        </w:rPr>
        <w:t>Policy making and implementation: Studies from Papua New Guinea</w:t>
      </w:r>
      <w:r w:rsidRPr="00EC6347">
        <w:t xml:space="preserve"> (pp. 9–26), State, Society and Governance in Melanesia Program in Association with the National Research Institute in Papua New Guinea, Studies in State and Society in the Pacific No 5</w:t>
      </w:r>
      <w:r>
        <w:t>,</w:t>
      </w:r>
      <w:r w:rsidRPr="00EC6347">
        <w:t xml:space="preserve"> ANU E Press</w:t>
      </w:r>
      <w:r>
        <w:t>, Canberra.</w:t>
      </w:r>
    </w:p>
  </w:footnote>
  <w:footnote w:id="30">
    <w:p w:rsidR="00166A4C" w:rsidRPr="00EC6347" w:rsidRDefault="00166A4C">
      <w:pPr>
        <w:pStyle w:val="FootnoteText"/>
        <w:rPr>
          <w:lang w:val="en-AU"/>
        </w:rPr>
      </w:pPr>
      <w:r w:rsidRPr="00EC6347">
        <w:rPr>
          <w:rStyle w:val="FootnoteReference"/>
        </w:rPr>
        <w:footnoteRef/>
      </w:r>
      <w:r w:rsidRPr="00EC6347">
        <w:t xml:space="preserve"> </w:t>
      </w:r>
      <w:r w:rsidRPr="00EC6347">
        <w:rPr>
          <w:lang w:val="en-AU"/>
        </w:rPr>
        <w:t>PNG stakeholder interviews.</w:t>
      </w:r>
    </w:p>
  </w:footnote>
  <w:footnote w:id="31">
    <w:p w:rsidR="00166A4C" w:rsidRPr="00EC6347" w:rsidRDefault="00166A4C" w:rsidP="000F4B57">
      <w:pPr>
        <w:pStyle w:val="FootnoteText"/>
        <w:rPr>
          <w:lang w:val="en-AU"/>
        </w:rPr>
      </w:pPr>
      <w:r w:rsidRPr="00EC6347">
        <w:rPr>
          <w:rStyle w:val="FootnoteReference"/>
        </w:rPr>
        <w:footnoteRef/>
      </w:r>
      <w:r w:rsidRPr="00EC6347">
        <w:t xml:space="preserve"> </w:t>
      </w:r>
      <w:r w:rsidRPr="00EC6347">
        <w:rPr>
          <w:lang w:val="en-AU"/>
        </w:rPr>
        <w:t xml:space="preserve">Government of Papua New Guinea (2017) </w:t>
      </w:r>
      <w:r>
        <w:rPr>
          <w:lang w:val="en-AU"/>
        </w:rPr>
        <w:t>‘</w:t>
      </w:r>
      <w:r w:rsidRPr="0000615F">
        <w:rPr>
          <w:lang w:val="en-AU"/>
        </w:rPr>
        <w:t>Pacific Institute of Leadership and Governance Act</w:t>
      </w:r>
      <w:r>
        <w:rPr>
          <w:lang w:val="en-AU"/>
        </w:rPr>
        <w:t>’</w:t>
      </w:r>
      <w:r w:rsidRPr="00EC6347">
        <w:rPr>
          <w:i/>
          <w:lang w:val="en-AU"/>
        </w:rPr>
        <w:t>,</w:t>
      </w:r>
      <w:r w:rsidRPr="00EC6347">
        <w:rPr>
          <w:lang w:val="en-AU"/>
        </w:rPr>
        <w:t xml:space="preserve"> </w:t>
      </w:r>
      <w:r w:rsidRPr="0000615F">
        <w:rPr>
          <w:i/>
          <w:lang w:val="en-AU"/>
        </w:rPr>
        <w:t>Act No. 27 of 2017</w:t>
      </w:r>
      <w:r w:rsidRPr="00EC6347">
        <w:rPr>
          <w:lang w:val="en-AU"/>
        </w:rPr>
        <w:t>, certified 27 March 2018.</w:t>
      </w:r>
    </w:p>
  </w:footnote>
  <w:footnote w:id="32">
    <w:p w:rsidR="00166A4C" w:rsidRPr="00EC6347" w:rsidRDefault="00166A4C" w:rsidP="000F4B57">
      <w:pPr>
        <w:pStyle w:val="FootnoteText"/>
        <w:rPr>
          <w:lang w:val="en-AU"/>
        </w:rPr>
      </w:pPr>
      <w:r w:rsidRPr="00EC6347">
        <w:rPr>
          <w:rStyle w:val="FootnoteReference"/>
        </w:rPr>
        <w:footnoteRef/>
      </w:r>
      <w:r w:rsidRPr="00EC6347">
        <w:t xml:space="preserve"> </w:t>
      </w:r>
      <w:r w:rsidRPr="00EC6347">
        <w:rPr>
          <w:lang w:val="en-AU"/>
        </w:rPr>
        <w:t>Commonwealth of Australia DFAT (2017</w:t>
      </w:r>
      <w:r>
        <w:rPr>
          <w:lang w:val="en-AU"/>
        </w:rPr>
        <w:t>c</w:t>
      </w:r>
      <w:r w:rsidRPr="00EC6347">
        <w:rPr>
          <w:lang w:val="en-AU"/>
        </w:rPr>
        <w:t xml:space="preserve">) </w:t>
      </w:r>
      <w:r>
        <w:rPr>
          <w:lang w:val="en-AU"/>
        </w:rPr>
        <w:t>‘</w:t>
      </w:r>
      <w:r w:rsidRPr="0000615F">
        <w:rPr>
          <w:lang w:val="en-AU"/>
        </w:rPr>
        <w:t>Economic and public sector group twinning II programme report, July – December 2017</w:t>
      </w:r>
      <w:r>
        <w:rPr>
          <w:lang w:val="en-AU"/>
        </w:rPr>
        <w:t>’</w:t>
      </w:r>
      <w:r w:rsidRPr="00EC6347">
        <w:rPr>
          <w:lang w:val="en-AU"/>
        </w:rPr>
        <w:t xml:space="preserve">; participant </w:t>
      </w:r>
      <w:r w:rsidRPr="00EC6347">
        <w:t>interviews</w:t>
      </w:r>
      <w:r w:rsidRPr="00EC6347">
        <w:rPr>
          <w:lang w:val="en-AU"/>
        </w:rPr>
        <w:t>.</w:t>
      </w:r>
    </w:p>
  </w:footnote>
  <w:footnote w:id="33">
    <w:p w:rsidR="00166A4C" w:rsidRPr="00C3176B" w:rsidRDefault="00166A4C" w:rsidP="000F4B57">
      <w:pPr>
        <w:pStyle w:val="FootnoteText"/>
        <w:rPr>
          <w:lang w:val="en-AU"/>
        </w:rPr>
      </w:pPr>
      <w:r w:rsidRPr="00D212F1">
        <w:rPr>
          <w:rStyle w:val="FootnoteReference"/>
        </w:rPr>
        <w:footnoteRef/>
      </w:r>
      <w:r w:rsidRPr="00D212F1">
        <w:t xml:space="preserve"> </w:t>
      </w:r>
      <w:r w:rsidRPr="00C3176B">
        <w:t>PLGP (2016a)</w:t>
      </w:r>
      <w:r>
        <w:t xml:space="preserve"> ‘</w:t>
      </w:r>
      <w:r w:rsidRPr="0000615F">
        <w:t>2016 update of design brief and implementation</w:t>
      </w:r>
      <w:r>
        <w:t>’</w:t>
      </w:r>
      <w:r w:rsidRPr="00C3176B">
        <w:t>, Pacific Leadership and Governance Precinct, January.</w:t>
      </w:r>
    </w:p>
  </w:footnote>
  <w:footnote w:id="34">
    <w:p w:rsidR="00166A4C" w:rsidRPr="00C3176B" w:rsidRDefault="00166A4C" w:rsidP="000F4B57">
      <w:pPr>
        <w:pStyle w:val="FootnoteText"/>
      </w:pPr>
      <w:r w:rsidRPr="00C3176B">
        <w:rPr>
          <w:rStyle w:val="FootnoteReference"/>
        </w:rPr>
        <w:footnoteRef/>
      </w:r>
      <w:r w:rsidRPr="00C3176B">
        <w:t xml:space="preserve"> PILAG </w:t>
      </w:r>
      <w:r>
        <w:t>(</w:t>
      </w:r>
      <w:r w:rsidRPr="00C3176B">
        <w:rPr>
          <w:color w:val="000000"/>
        </w:rPr>
        <w:t>2017</w:t>
      </w:r>
      <w:r>
        <w:rPr>
          <w:color w:val="000000"/>
        </w:rPr>
        <w:t>)</w:t>
      </w:r>
      <w:r w:rsidRPr="00C3176B">
        <w:rPr>
          <w:color w:val="000000"/>
        </w:rPr>
        <w:t xml:space="preserve"> </w:t>
      </w:r>
      <w:r w:rsidRPr="0000615F">
        <w:rPr>
          <w:i/>
          <w:color w:val="000000"/>
        </w:rPr>
        <w:t>Draft Course Handbook</w:t>
      </w:r>
      <w:r>
        <w:rPr>
          <w:color w:val="000000"/>
        </w:rPr>
        <w:t>.</w:t>
      </w:r>
    </w:p>
  </w:footnote>
  <w:footnote w:id="35">
    <w:p w:rsidR="00166A4C" w:rsidRDefault="00166A4C" w:rsidP="000F4B57">
      <w:pPr>
        <w:pStyle w:val="FootnoteText"/>
      </w:pPr>
      <w:r w:rsidRPr="00C3176B">
        <w:rPr>
          <w:rStyle w:val="FootnoteReference"/>
        </w:rPr>
        <w:footnoteRef/>
      </w:r>
      <w:r w:rsidRPr="00C3176B">
        <w:t xml:space="preserve"> </w:t>
      </w:r>
      <w:r w:rsidRPr="00C3176B">
        <w:rPr>
          <w:szCs w:val="22"/>
          <w:lang w:val="en-AU"/>
        </w:rPr>
        <w:t xml:space="preserve">PSLRP (2019) </w:t>
      </w:r>
      <w:r>
        <w:rPr>
          <w:szCs w:val="22"/>
          <w:lang w:val="en-AU"/>
        </w:rPr>
        <w:t>‘</w:t>
      </w:r>
      <w:r w:rsidRPr="0000615F">
        <w:rPr>
          <w:szCs w:val="22"/>
          <w:lang w:val="en-AU"/>
        </w:rPr>
        <w:t>PSLR Precinct training participants data</w:t>
      </w:r>
      <w:r>
        <w:rPr>
          <w:szCs w:val="22"/>
          <w:lang w:val="en-AU"/>
        </w:rPr>
        <w:t>’</w:t>
      </w:r>
      <w:r w:rsidRPr="00C3176B">
        <w:rPr>
          <w:szCs w:val="22"/>
          <w:lang w:val="en-AU"/>
        </w:rPr>
        <w:t>, Abt PNG, 22 January</w:t>
      </w:r>
      <w:r>
        <w:rPr>
          <w:szCs w:val="22"/>
          <w:lang w:val="en-AU"/>
        </w:rPr>
        <w:t>.</w:t>
      </w:r>
    </w:p>
  </w:footnote>
  <w:footnote w:id="36">
    <w:p w:rsidR="00166A4C" w:rsidRPr="00EC6347" w:rsidRDefault="00166A4C" w:rsidP="000F4B57">
      <w:pPr>
        <w:pStyle w:val="FootnoteText"/>
        <w:rPr>
          <w:lang w:val="en-AU"/>
        </w:rPr>
      </w:pPr>
      <w:r w:rsidRPr="00EC6347">
        <w:rPr>
          <w:rStyle w:val="FootnoteReference"/>
        </w:rPr>
        <w:footnoteRef/>
      </w:r>
      <w:r w:rsidRPr="00EC6347">
        <w:t xml:space="preserve"> </w:t>
      </w:r>
      <w:r w:rsidRPr="00EC6347">
        <w:rPr>
          <w:lang w:val="en-AU"/>
        </w:rPr>
        <w:t>DFAT</w:t>
      </w:r>
      <w:r>
        <w:rPr>
          <w:lang w:val="en-AU"/>
        </w:rPr>
        <w:t xml:space="preserve"> (2017c)</w:t>
      </w:r>
      <w:r w:rsidRPr="00EC6347">
        <w:rPr>
          <w:lang w:val="en-AU"/>
        </w:rPr>
        <w:t xml:space="preserve"> </w:t>
      </w:r>
      <w:r>
        <w:rPr>
          <w:lang w:val="en-AU"/>
        </w:rPr>
        <w:t>‘</w:t>
      </w:r>
      <w:r w:rsidRPr="0000615F">
        <w:rPr>
          <w:lang w:val="en-AU"/>
        </w:rPr>
        <w:t>Economic and public sector group twinning II programme report</w:t>
      </w:r>
      <w:r>
        <w:rPr>
          <w:lang w:val="en-AU"/>
        </w:rPr>
        <w:t>’</w:t>
      </w:r>
      <w:r w:rsidRPr="00EC6347">
        <w:rPr>
          <w:lang w:val="en-AU"/>
        </w:rPr>
        <w:t xml:space="preserve">; participant </w:t>
      </w:r>
      <w:r w:rsidRPr="00EC6347">
        <w:t>interviews</w:t>
      </w:r>
      <w:r w:rsidRPr="00EC6347">
        <w:rPr>
          <w:lang w:val="en-AU"/>
        </w:rPr>
        <w:t>.</w:t>
      </w:r>
    </w:p>
  </w:footnote>
  <w:footnote w:id="37">
    <w:p w:rsidR="00166A4C" w:rsidRPr="00EC6347" w:rsidRDefault="00166A4C" w:rsidP="000F4B57">
      <w:pPr>
        <w:pStyle w:val="FootnoteText"/>
        <w:rPr>
          <w:lang w:val="en-AU"/>
        </w:rPr>
      </w:pPr>
      <w:r w:rsidRPr="00EC6347">
        <w:rPr>
          <w:rStyle w:val="FootnoteReference"/>
        </w:rPr>
        <w:footnoteRef/>
      </w:r>
      <w:r w:rsidRPr="00EC6347">
        <w:t xml:space="preserve"> </w:t>
      </w:r>
      <w:r w:rsidRPr="00EC6347">
        <w:rPr>
          <w:lang w:val="en-AU"/>
        </w:rPr>
        <w:t>DFAT</w:t>
      </w:r>
      <w:r>
        <w:rPr>
          <w:lang w:val="en-AU"/>
        </w:rPr>
        <w:t xml:space="preserve"> (2017c)</w:t>
      </w:r>
      <w:r w:rsidRPr="00EC6347">
        <w:rPr>
          <w:lang w:val="en-AU"/>
        </w:rPr>
        <w:t xml:space="preserve"> </w:t>
      </w:r>
      <w:r>
        <w:rPr>
          <w:lang w:val="en-AU"/>
        </w:rPr>
        <w:t>‘</w:t>
      </w:r>
      <w:r w:rsidRPr="0000615F">
        <w:rPr>
          <w:lang w:val="en-AU"/>
        </w:rPr>
        <w:t>Economic and public sector group twinning II programme report</w:t>
      </w:r>
      <w:r>
        <w:rPr>
          <w:lang w:val="en-AU"/>
        </w:rPr>
        <w:t>’</w:t>
      </w:r>
      <w:r w:rsidRPr="00EC6347">
        <w:rPr>
          <w:lang w:val="en-AU"/>
        </w:rPr>
        <w:t>.</w:t>
      </w:r>
    </w:p>
  </w:footnote>
  <w:footnote w:id="38">
    <w:p w:rsidR="00166A4C" w:rsidRPr="003E2300" w:rsidRDefault="00166A4C" w:rsidP="000F4B57">
      <w:pPr>
        <w:pStyle w:val="FootnoteText"/>
        <w:rPr>
          <w:lang w:val="en-AU"/>
        </w:rPr>
      </w:pPr>
      <w:r w:rsidRPr="00EC6347">
        <w:rPr>
          <w:rStyle w:val="FootnoteReference"/>
        </w:rPr>
        <w:footnoteRef/>
      </w:r>
      <w:r w:rsidRPr="00EC6347">
        <w:t xml:space="preserve"> </w:t>
      </w:r>
      <w:r w:rsidRPr="00EC6347">
        <w:rPr>
          <w:lang w:val="en-AU"/>
        </w:rPr>
        <w:t>PLGP (2015</w:t>
      </w:r>
      <w:r>
        <w:rPr>
          <w:lang w:val="en-AU"/>
        </w:rPr>
        <w:t>b</w:t>
      </w:r>
      <w:r w:rsidRPr="00EC6347">
        <w:rPr>
          <w:lang w:val="en-AU"/>
        </w:rPr>
        <w:t xml:space="preserve">) </w:t>
      </w:r>
      <w:r>
        <w:rPr>
          <w:lang w:val="en-AU"/>
        </w:rPr>
        <w:t>‘</w:t>
      </w:r>
      <w:r w:rsidRPr="0000615F">
        <w:rPr>
          <w:lang w:val="en-AU"/>
        </w:rPr>
        <w:t>Joondalup Learning Precinct study tour report</w:t>
      </w:r>
      <w:r>
        <w:rPr>
          <w:lang w:val="en-AU"/>
        </w:rPr>
        <w:t>’</w:t>
      </w:r>
      <w:r w:rsidRPr="00EC6347">
        <w:rPr>
          <w:lang w:val="en-AU"/>
        </w:rPr>
        <w:t xml:space="preserve">, Pacific Leadership and Governance Precinct, </w:t>
      </w:r>
      <w:r w:rsidRPr="003E2300">
        <w:rPr>
          <w:lang w:val="en-AU"/>
        </w:rPr>
        <w:t>November.</w:t>
      </w:r>
    </w:p>
  </w:footnote>
  <w:footnote w:id="39">
    <w:p w:rsidR="00166A4C" w:rsidRPr="00EC6347" w:rsidRDefault="00166A4C" w:rsidP="000F4B57">
      <w:pPr>
        <w:pStyle w:val="FootnoteText"/>
        <w:rPr>
          <w:lang w:val="en-AU"/>
        </w:rPr>
      </w:pPr>
      <w:r w:rsidRPr="003E2300">
        <w:rPr>
          <w:rStyle w:val="FootnoteReference"/>
        </w:rPr>
        <w:footnoteRef/>
      </w:r>
      <w:r w:rsidRPr="003E2300">
        <w:t xml:space="preserve"> UQ (2017) </w:t>
      </w:r>
      <w:r>
        <w:t>‘</w:t>
      </w:r>
      <w:r w:rsidRPr="007E7A2E">
        <w:rPr>
          <w:lang w:val="en-AU"/>
        </w:rPr>
        <w:t>Activity Completion Report, Leadership, Data Management and Transparency in the Extractives Sector</w:t>
      </w:r>
      <w:r>
        <w:rPr>
          <w:lang w:val="en-AU"/>
        </w:rPr>
        <w:t>’</w:t>
      </w:r>
      <w:r w:rsidRPr="007E7A2E">
        <w:rPr>
          <w:lang w:val="en-AU"/>
        </w:rPr>
        <w:t xml:space="preserve">, March; UQ (2018) </w:t>
      </w:r>
      <w:r>
        <w:rPr>
          <w:lang w:val="en-AU"/>
        </w:rPr>
        <w:t>‘</w:t>
      </w:r>
      <w:r w:rsidRPr="007E7A2E">
        <w:rPr>
          <w:lang w:val="en-AU"/>
        </w:rPr>
        <w:t>PNG EITI Kavieng workshop report</w:t>
      </w:r>
      <w:r>
        <w:rPr>
          <w:lang w:val="en-AU"/>
        </w:rPr>
        <w:t>’</w:t>
      </w:r>
      <w:r w:rsidRPr="007E7A2E">
        <w:rPr>
          <w:lang w:val="en-AU"/>
        </w:rPr>
        <w:t>, May.</w:t>
      </w:r>
    </w:p>
  </w:footnote>
  <w:footnote w:id="40">
    <w:p w:rsidR="00166A4C" w:rsidRPr="00EC6347" w:rsidRDefault="00166A4C" w:rsidP="000F4B57">
      <w:pPr>
        <w:pStyle w:val="FootnoteText"/>
        <w:rPr>
          <w:lang w:val="en-AU"/>
        </w:rPr>
      </w:pPr>
      <w:r w:rsidRPr="00EC6347">
        <w:rPr>
          <w:rStyle w:val="FootnoteReference"/>
        </w:rPr>
        <w:footnoteRef/>
      </w:r>
      <w:r w:rsidRPr="00EC6347">
        <w:t xml:space="preserve"> </w:t>
      </w:r>
      <w:r w:rsidRPr="004B05FE">
        <w:rPr>
          <w:lang w:val="en-AU"/>
        </w:rPr>
        <w:t>PSLRP (201</w:t>
      </w:r>
      <w:r w:rsidRPr="0026687C">
        <w:rPr>
          <w:lang w:val="en-AU"/>
        </w:rPr>
        <w:t xml:space="preserve">9) </w:t>
      </w:r>
      <w:r>
        <w:rPr>
          <w:lang w:val="en-AU"/>
        </w:rPr>
        <w:t>‘</w:t>
      </w:r>
      <w:r w:rsidRPr="00B352FC">
        <w:rPr>
          <w:lang w:val="en-AU"/>
        </w:rPr>
        <w:t>PSLR Precinct training participants data</w:t>
      </w:r>
      <w:r>
        <w:rPr>
          <w:lang w:val="en-AU"/>
        </w:rPr>
        <w:t>’</w:t>
      </w:r>
      <w:r w:rsidRPr="0026687C">
        <w:rPr>
          <w:lang w:val="en-AU"/>
        </w:rPr>
        <w:t>, Abt PNG, 22 January</w:t>
      </w:r>
      <w:r>
        <w:rPr>
          <w:lang w:val="en-AU"/>
        </w:rPr>
        <w:t>.</w:t>
      </w:r>
    </w:p>
  </w:footnote>
  <w:footnote w:id="41">
    <w:p w:rsidR="00166A4C" w:rsidRPr="003E2300" w:rsidRDefault="00166A4C" w:rsidP="000F4B57">
      <w:pPr>
        <w:pStyle w:val="FootnoteText"/>
      </w:pPr>
      <w:r w:rsidRPr="003E2300">
        <w:rPr>
          <w:rStyle w:val="FootnoteReference"/>
        </w:rPr>
        <w:footnoteRef/>
      </w:r>
      <w:r w:rsidRPr="003E2300">
        <w:t xml:space="preserve"> </w:t>
      </w:r>
      <w:r w:rsidRPr="003E2300">
        <w:rPr>
          <w:lang w:val="en-AU"/>
        </w:rPr>
        <w:t>Participant interviews</w:t>
      </w:r>
      <w:r w:rsidRPr="003E2300">
        <w:t xml:space="preserve">; Abt PNG (2018b) </w:t>
      </w:r>
      <w:r>
        <w:t>‘</w:t>
      </w:r>
      <w:r w:rsidRPr="007E7A2E">
        <w:t>Six-monthly report (January–</w:t>
      </w:r>
      <w:r>
        <w:t>J</w:t>
      </w:r>
      <w:r w:rsidRPr="007E7A2E">
        <w:t>une 2018)</w:t>
      </w:r>
      <w:r>
        <w:t>’</w:t>
      </w:r>
      <w:r w:rsidRPr="003E2300">
        <w:t>.</w:t>
      </w:r>
    </w:p>
  </w:footnote>
  <w:footnote w:id="42">
    <w:p w:rsidR="00166A4C" w:rsidRPr="003E2300" w:rsidRDefault="00166A4C" w:rsidP="000F4B57">
      <w:pPr>
        <w:pStyle w:val="FootnoteText"/>
        <w:rPr>
          <w:rStyle w:val="FootnoteReference"/>
        </w:rPr>
      </w:pPr>
      <w:r w:rsidRPr="003E2300">
        <w:rPr>
          <w:rStyle w:val="FootnoteReference"/>
        </w:rPr>
        <w:footnoteRef/>
      </w:r>
      <w:r w:rsidRPr="003E2300">
        <w:t xml:space="preserve"> QTAG (2018)</w:t>
      </w:r>
      <w:r>
        <w:t xml:space="preserve"> ‘</w:t>
      </w:r>
      <w:r w:rsidRPr="007E7A2E">
        <w:t>Annual review of the Governance Partnership Facility</w:t>
      </w:r>
      <w:r>
        <w:t>’</w:t>
      </w:r>
      <w:r w:rsidRPr="007E7A2E">
        <w:t>.</w:t>
      </w:r>
    </w:p>
  </w:footnote>
  <w:footnote w:id="43">
    <w:p w:rsidR="00166A4C" w:rsidRPr="007E7A2E" w:rsidRDefault="00166A4C" w:rsidP="000F4B57">
      <w:pPr>
        <w:pStyle w:val="Reference"/>
        <w:spacing w:after="0"/>
        <w:rPr>
          <w:rFonts w:ascii="Roboto Light" w:hAnsi="Roboto Light"/>
          <w:sz w:val="18"/>
          <w:szCs w:val="18"/>
          <w:lang w:val="en-AU"/>
        </w:rPr>
      </w:pPr>
      <w:r w:rsidRPr="007E7A2E">
        <w:rPr>
          <w:rStyle w:val="FootnoteReference"/>
          <w:rFonts w:ascii="Roboto Light" w:hAnsi="Roboto Light"/>
          <w:sz w:val="18"/>
          <w:szCs w:val="18"/>
        </w:rPr>
        <w:footnoteRef/>
      </w:r>
      <w:r w:rsidRPr="007E7A2E">
        <w:rPr>
          <w:rFonts w:ascii="Roboto Light" w:hAnsi="Roboto Light"/>
          <w:sz w:val="18"/>
          <w:szCs w:val="18"/>
        </w:rPr>
        <w:t xml:space="preserve"> </w:t>
      </w:r>
      <w:r w:rsidRPr="00013D3C">
        <w:rPr>
          <w:rStyle w:val="FootnoteTextChar"/>
        </w:rPr>
        <w:t xml:space="preserve">Commonwealth of Australia DFAT (2017b) </w:t>
      </w:r>
      <w:r>
        <w:rPr>
          <w:rFonts w:ascii="Roboto Light" w:hAnsi="Roboto Light"/>
          <w:sz w:val="18"/>
          <w:szCs w:val="18"/>
          <w:lang w:val="en-AU"/>
        </w:rPr>
        <w:t>‘</w:t>
      </w:r>
      <w:r w:rsidRPr="00013D3C">
        <w:rPr>
          <w:rStyle w:val="FootnoteTextChar"/>
        </w:rPr>
        <w:t>Abt management PGF service order’.</w:t>
      </w:r>
    </w:p>
  </w:footnote>
  <w:footnote w:id="44">
    <w:p w:rsidR="00166A4C" w:rsidRPr="003E2300" w:rsidRDefault="00166A4C" w:rsidP="000F4B57">
      <w:pPr>
        <w:pStyle w:val="FootnoteText"/>
        <w:rPr>
          <w:lang w:val="en-AU"/>
        </w:rPr>
      </w:pPr>
      <w:r w:rsidRPr="003E2300">
        <w:rPr>
          <w:rStyle w:val="FootnoteReference"/>
        </w:rPr>
        <w:footnoteRef/>
      </w:r>
      <w:r w:rsidRPr="003E2300">
        <w:t xml:space="preserve"> </w:t>
      </w:r>
      <w:r>
        <w:t xml:space="preserve">M. </w:t>
      </w:r>
      <w:r w:rsidRPr="003E2300">
        <w:rPr>
          <w:lang w:val="en-AU"/>
        </w:rPr>
        <w:t>Destrez</w:t>
      </w:r>
      <w:r>
        <w:rPr>
          <w:lang w:val="en-AU"/>
        </w:rPr>
        <w:t xml:space="preserve"> and N. </w:t>
      </w:r>
      <w:r w:rsidRPr="003E2300">
        <w:rPr>
          <w:lang w:val="en-AU"/>
        </w:rPr>
        <w:t>Harrison</w:t>
      </w:r>
      <w:r>
        <w:rPr>
          <w:lang w:val="en-AU"/>
        </w:rPr>
        <w:t xml:space="preserve"> </w:t>
      </w:r>
      <w:r w:rsidRPr="003E2300">
        <w:rPr>
          <w:lang w:val="en-AU"/>
        </w:rPr>
        <w:t xml:space="preserve">(2011) </w:t>
      </w:r>
      <w:r>
        <w:rPr>
          <w:lang w:val="en-AU"/>
        </w:rPr>
        <w:t>‘</w:t>
      </w:r>
      <w:r w:rsidRPr="007E7A2E">
        <w:rPr>
          <w:iCs/>
          <w:lang w:val="en-AU"/>
        </w:rPr>
        <w:t>Leadership training and network formation: The evolution of the LEAD process</w:t>
      </w:r>
      <w:r>
        <w:rPr>
          <w:iCs/>
          <w:lang w:val="en-AU"/>
        </w:rPr>
        <w:t>’</w:t>
      </w:r>
      <w:r w:rsidRPr="007E7A2E">
        <w:rPr>
          <w:iCs/>
          <w:lang w:val="en-AU"/>
        </w:rPr>
        <w:t>,</w:t>
      </w:r>
      <w:r w:rsidRPr="003E2300">
        <w:rPr>
          <w:lang w:val="en-AU"/>
        </w:rPr>
        <w:t xml:space="preserve"> </w:t>
      </w:r>
      <w:r w:rsidRPr="00EE6004">
        <w:rPr>
          <w:i/>
          <w:lang w:val="en-AU"/>
        </w:rPr>
        <w:t>Research Paper 08</w:t>
      </w:r>
      <w:r w:rsidRPr="003E2300">
        <w:rPr>
          <w:lang w:val="en-AU"/>
        </w:rPr>
        <w:t>, Developmental Leadership Program.</w:t>
      </w:r>
    </w:p>
  </w:footnote>
  <w:footnote w:id="45">
    <w:p w:rsidR="00166A4C" w:rsidRPr="003E2300" w:rsidRDefault="00166A4C" w:rsidP="000F4B57">
      <w:pPr>
        <w:pStyle w:val="FootnoteText"/>
        <w:rPr>
          <w:lang w:val="en-AU"/>
        </w:rPr>
      </w:pPr>
      <w:r w:rsidRPr="003E2300">
        <w:rPr>
          <w:rStyle w:val="FootnoteReference"/>
        </w:rPr>
        <w:footnoteRef/>
      </w:r>
      <w:r w:rsidRPr="003E2300">
        <w:t xml:space="preserve"> </w:t>
      </w:r>
      <w:r w:rsidRPr="003E2300">
        <w:rPr>
          <w:lang w:val="en-AU"/>
        </w:rPr>
        <w:t xml:space="preserve">Brungardt </w:t>
      </w:r>
      <w:r>
        <w:rPr>
          <w:lang w:val="en-AU"/>
        </w:rPr>
        <w:t>(</w:t>
      </w:r>
      <w:r w:rsidRPr="003E2300">
        <w:rPr>
          <w:lang w:val="en-AU"/>
        </w:rPr>
        <w:t>1996</w:t>
      </w:r>
      <w:r>
        <w:rPr>
          <w:lang w:val="en-AU"/>
        </w:rPr>
        <w:t>),</w:t>
      </w:r>
      <w:r w:rsidRPr="003E2300">
        <w:rPr>
          <w:lang w:val="en-AU"/>
        </w:rPr>
        <w:t xml:space="preserve"> cited in </w:t>
      </w:r>
      <w:r>
        <w:rPr>
          <w:lang w:val="en-AU"/>
        </w:rPr>
        <w:t xml:space="preserve">L. </w:t>
      </w:r>
      <w:r w:rsidRPr="003E2300">
        <w:rPr>
          <w:lang w:val="en-AU"/>
        </w:rPr>
        <w:t xml:space="preserve">Brannelly, </w:t>
      </w:r>
      <w:r>
        <w:rPr>
          <w:lang w:val="en-AU"/>
        </w:rPr>
        <w:t xml:space="preserve">LL. </w:t>
      </w:r>
      <w:r w:rsidRPr="003E2300">
        <w:rPr>
          <w:lang w:val="en-AU"/>
        </w:rPr>
        <w:t xml:space="preserve">Lewis, </w:t>
      </w:r>
      <w:r>
        <w:rPr>
          <w:lang w:val="en-AU"/>
        </w:rPr>
        <w:t xml:space="preserve">and S. </w:t>
      </w:r>
      <w:r w:rsidRPr="003E2300">
        <w:rPr>
          <w:lang w:val="en-AU"/>
        </w:rPr>
        <w:t>Ndaruhutse</w:t>
      </w:r>
      <w:r>
        <w:rPr>
          <w:lang w:val="en-AU"/>
        </w:rPr>
        <w:t xml:space="preserve"> </w:t>
      </w:r>
      <w:r w:rsidRPr="003E2300">
        <w:rPr>
          <w:lang w:val="en-AU"/>
        </w:rPr>
        <w:t xml:space="preserve">(2011) </w:t>
      </w:r>
      <w:r>
        <w:rPr>
          <w:lang w:val="en-AU"/>
        </w:rPr>
        <w:t>‘</w:t>
      </w:r>
      <w:r w:rsidRPr="007E7A2E">
        <w:rPr>
          <w:iCs/>
          <w:lang w:val="en-AU"/>
        </w:rPr>
        <w:t>Learning and leadership: Exploring the linkages between higher education and developmental leadership</w:t>
      </w:r>
      <w:r>
        <w:rPr>
          <w:iCs/>
          <w:lang w:val="en-AU"/>
        </w:rPr>
        <w:t>’</w:t>
      </w:r>
      <w:r w:rsidRPr="007E7A2E">
        <w:rPr>
          <w:iCs/>
          <w:lang w:val="en-AU"/>
        </w:rPr>
        <w:t>,</w:t>
      </w:r>
      <w:r w:rsidRPr="003E2300">
        <w:rPr>
          <w:lang w:val="en-AU"/>
        </w:rPr>
        <w:t xml:space="preserve"> Developmental Leadership Program.</w:t>
      </w:r>
    </w:p>
  </w:footnote>
  <w:footnote w:id="46">
    <w:p w:rsidR="00166A4C" w:rsidRPr="003E2300" w:rsidRDefault="00166A4C" w:rsidP="000F4B57">
      <w:pPr>
        <w:pStyle w:val="FootnoteText"/>
        <w:rPr>
          <w:lang w:val="en-AU"/>
        </w:rPr>
      </w:pPr>
      <w:r w:rsidRPr="003E2300">
        <w:rPr>
          <w:rStyle w:val="FootnoteReference"/>
        </w:rPr>
        <w:footnoteRef/>
      </w:r>
      <w:r w:rsidRPr="003E2300">
        <w:t xml:space="preserve"> </w:t>
      </w:r>
      <w:r>
        <w:t xml:space="preserve">B. </w:t>
      </w:r>
      <w:r w:rsidRPr="003E2300">
        <w:rPr>
          <w:lang w:val="en-AU"/>
        </w:rPr>
        <w:t>Narokobi</w:t>
      </w:r>
      <w:r>
        <w:rPr>
          <w:lang w:val="en-AU"/>
        </w:rPr>
        <w:t xml:space="preserve"> </w:t>
      </w:r>
      <w:r w:rsidRPr="003E2300">
        <w:rPr>
          <w:lang w:val="en-AU"/>
        </w:rPr>
        <w:t>(1983)</w:t>
      </w:r>
      <w:r>
        <w:rPr>
          <w:lang w:val="en-AU"/>
        </w:rPr>
        <w:t xml:space="preserve"> </w:t>
      </w:r>
      <w:r w:rsidRPr="00EE6004">
        <w:rPr>
          <w:i/>
          <w:lang w:val="en-AU"/>
        </w:rPr>
        <w:t>The Melanesian way</w:t>
      </w:r>
      <w:r w:rsidRPr="007E7A2E">
        <w:rPr>
          <w:lang w:val="en-AU"/>
        </w:rPr>
        <w:t>,</w:t>
      </w:r>
      <w:r w:rsidRPr="003E2300">
        <w:rPr>
          <w:lang w:val="en-AU"/>
        </w:rPr>
        <w:t xml:space="preserve"> Institute of PNG and Pacific Studies</w:t>
      </w:r>
      <w:r>
        <w:rPr>
          <w:lang w:val="en-AU"/>
        </w:rPr>
        <w:t xml:space="preserve">, </w:t>
      </w:r>
      <w:r w:rsidRPr="003E2300">
        <w:rPr>
          <w:lang w:val="en-AU"/>
        </w:rPr>
        <w:t xml:space="preserve">Suva, Fiji; </w:t>
      </w:r>
      <w:r>
        <w:rPr>
          <w:lang w:val="en-AU"/>
        </w:rPr>
        <w:t xml:space="preserve">J. </w:t>
      </w:r>
      <w:r w:rsidRPr="003E2300">
        <w:rPr>
          <w:lang w:val="en-AU"/>
        </w:rPr>
        <w:t>Ketan</w:t>
      </w:r>
      <w:r>
        <w:rPr>
          <w:lang w:val="en-AU"/>
        </w:rPr>
        <w:t xml:space="preserve"> </w:t>
      </w:r>
      <w:r w:rsidRPr="003E2300">
        <w:rPr>
          <w:lang w:val="en-AU"/>
        </w:rPr>
        <w:t xml:space="preserve">(2013) </w:t>
      </w:r>
      <w:r>
        <w:rPr>
          <w:lang w:val="en-AU"/>
        </w:rPr>
        <w:t>‘</w:t>
      </w:r>
      <w:r w:rsidRPr="007E7A2E">
        <w:rPr>
          <w:lang w:val="en-AU"/>
        </w:rPr>
        <w:t>Political governance and service delivery in Western Highlands Province, Papua New Guinea</w:t>
      </w:r>
      <w:r>
        <w:rPr>
          <w:lang w:val="en-AU"/>
        </w:rPr>
        <w:t>’</w:t>
      </w:r>
      <w:r w:rsidRPr="003E2300">
        <w:rPr>
          <w:lang w:val="en-AU"/>
        </w:rPr>
        <w:t xml:space="preserve">, </w:t>
      </w:r>
      <w:r w:rsidRPr="00EE6004">
        <w:rPr>
          <w:i/>
          <w:lang w:val="en-AU"/>
        </w:rPr>
        <w:t>SSGM Discussion Paper 2013/9</w:t>
      </w:r>
      <w:r w:rsidRPr="003E2300">
        <w:rPr>
          <w:lang w:val="en-AU"/>
        </w:rPr>
        <w:t xml:space="preserve">, State, Society and Governance in </w:t>
      </w:r>
      <w:r w:rsidRPr="003E2300">
        <w:t>Melanesia</w:t>
      </w:r>
      <w:r w:rsidRPr="003E2300">
        <w:rPr>
          <w:lang w:val="en-AU"/>
        </w:rPr>
        <w:t>, ANU.</w:t>
      </w:r>
    </w:p>
  </w:footnote>
  <w:footnote w:id="47">
    <w:p w:rsidR="00166A4C" w:rsidRPr="00EC6347" w:rsidRDefault="00166A4C" w:rsidP="000F4B57">
      <w:pPr>
        <w:pStyle w:val="FootnoteText"/>
        <w:rPr>
          <w:lang w:val="en-AU"/>
        </w:rPr>
      </w:pPr>
      <w:r w:rsidRPr="00EC6347">
        <w:rPr>
          <w:rStyle w:val="FootnoteReference"/>
        </w:rPr>
        <w:footnoteRef/>
      </w:r>
      <w:r w:rsidRPr="00EC6347">
        <w:t xml:space="preserve"> </w:t>
      </w:r>
      <w:r w:rsidRPr="00EC6347">
        <w:rPr>
          <w:lang w:val="en-AU"/>
        </w:rPr>
        <w:t xml:space="preserve">Developmental Leadership Program (2018) </w:t>
      </w:r>
      <w:r>
        <w:rPr>
          <w:lang w:val="en-AU"/>
        </w:rPr>
        <w:t>‘</w:t>
      </w:r>
      <w:r w:rsidRPr="00EE6004">
        <w:rPr>
          <w:lang w:val="en-AU"/>
        </w:rPr>
        <w:t>Inside the black box of political will: 10 years of findings from the developmental leadership program</w:t>
      </w:r>
      <w:r>
        <w:rPr>
          <w:lang w:val="en-AU"/>
        </w:rPr>
        <w:t>’</w:t>
      </w:r>
      <w:r w:rsidRPr="00EC6347">
        <w:rPr>
          <w:lang w:val="en-AU"/>
        </w:rPr>
        <w:t>, Developmental Leadership Program.</w:t>
      </w:r>
    </w:p>
  </w:footnote>
  <w:footnote w:id="48">
    <w:p w:rsidR="00166A4C" w:rsidRPr="00EC6347" w:rsidRDefault="00166A4C" w:rsidP="000F4B57">
      <w:pPr>
        <w:pStyle w:val="FootnoteText"/>
        <w:rPr>
          <w:lang w:val="en-AU"/>
        </w:rPr>
      </w:pPr>
      <w:r w:rsidRPr="00EC6347">
        <w:rPr>
          <w:rStyle w:val="FootnoteReference"/>
        </w:rPr>
        <w:footnoteRef/>
      </w:r>
      <w:r w:rsidRPr="00EC6347">
        <w:t xml:space="preserve"> </w:t>
      </w:r>
      <w:r w:rsidRPr="00EC6347">
        <w:rPr>
          <w:lang w:val="en-AU"/>
        </w:rPr>
        <w:t xml:space="preserve">Developmental Leadership Program (2016) </w:t>
      </w:r>
      <w:r>
        <w:rPr>
          <w:lang w:val="en-AU"/>
        </w:rPr>
        <w:t>‘</w:t>
      </w:r>
      <w:r w:rsidRPr="00EE6004">
        <w:rPr>
          <w:lang w:val="en-AU"/>
        </w:rPr>
        <w:t>Power, politics and coalitions in the Pacific Policy Brief: Lessons from collective action on gender and power</w:t>
      </w:r>
      <w:r>
        <w:rPr>
          <w:lang w:val="en-AU"/>
        </w:rPr>
        <w:t>’;</w:t>
      </w:r>
      <w:r w:rsidRPr="00D03201">
        <w:rPr>
          <w:lang w:val="en-AU"/>
        </w:rPr>
        <w:t xml:space="preserve"> DLP Policy Brief</w:t>
      </w:r>
      <w:r w:rsidRPr="007E7A2E">
        <w:rPr>
          <w:lang w:val="en-AU"/>
        </w:rPr>
        <w:t xml:space="preserve"> (2018)</w:t>
      </w:r>
      <w:r w:rsidRPr="00D03201">
        <w:rPr>
          <w:lang w:val="en-AU"/>
        </w:rPr>
        <w:t xml:space="preserve"> </w:t>
      </w:r>
      <w:r>
        <w:rPr>
          <w:lang w:val="en-AU"/>
        </w:rPr>
        <w:t>‘</w:t>
      </w:r>
      <w:r w:rsidRPr="00D03201">
        <w:rPr>
          <w:lang w:val="en-AU"/>
        </w:rPr>
        <w:t>Developmental Leadership Program</w:t>
      </w:r>
      <w:r>
        <w:rPr>
          <w:lang w:val="en-AU"/>
        </w:rPr>
        <w:t>’</w:t>
      </w:r>
      <w:r w:rsidRPr="00D03201">
        <w:rPr>
          <w:lang w:val="en-AU"/>
        </w:rPr>
        <w:t xml:space="preserve">; Developmental Leadership Program, </w:t>
      </w:r>
      <w:r w:rsidRPr="00D03201">
        <w:rPr>
          <w:i/>
          <w:lang w:val="en-AU"/>
        </w:rPr>
        <w:t>Inside the black box.</w:t>
      </w:r>
    </w:p>
  </w:footnote>
  <w:footnote w:id="49">
    <w:p w:rsidR="00166A4C" w:rsidRPr="00EC6347" w:rsidRDefault="00166A4C" w:rsidP="000F4B57">
      <w:pPr>
        <w:pStyle w:val="FootnoteText"/>
      </w:pPr>
      <w:r w:rsidRPr="00EC6347">
        <w:rPr>
          <w:rStyle w:val="FootnoteReference"/>
        </w:rPr>
        <w:footnoteRef/>
      </w:r>
      <w:r w:rsidRPr="00EC6347">
        <w:t xml:space="preserve"> </w:t>
      </w:r>
      <w:r>
        <w:t xml:space="preserve">M. </w:t>
      </w:r>
      <w:r w:rsidRPr="00EC6347">
        <w:rPr>
          <w:lang w:val="en-AU"/>
        </w:rPr>
        <w:t xml:space="preserve">Andrews, </w:t>
      </w:r>
      <w:r>
        <w:rPr>
          <w:lang w:val="en-AU"/>
        </w:rPr>
        <w:t xml:space="preserve">L. </w:t>
      </w:r>
      <w:r w:rsidRPr="00EC6347">
        <w:rPr>
          <w:lang w:val="en-AU"/>
        </w:rPr>
        <w:t xml:space="preserve">Pritchett, </w:t>
      </w:r>
      <w:r>
        <w:rPr>
          <w:lang w:val="en-AU"/>
        </w:rPr>
        <w:t xml:space="preserve">and M. </w:t>
      </w:r>
      <w:r w:rsidRPr="00EC6347">
        <w:rPr>
          <w:lang w:val="en-AU"/>
        </w:rPr>
        <w:t>Woolcock</w:t>
      </w:r>
      <w:r>
        <w:rPr>
          <w:lang w:val="en-AU"/>
        </w:rPr>
        <w:t xml:space="preserve"> </w:t>
      </w:r>
      <w:r w:rsidRPr="00EC6347">
        <w:rPr>
          <w:lang w:val="en-AU"/>
        </w:rPr>
        <w:t xml:space="preserve">(2013) ‘Escaping capability traps through problem driven iterative adaptation (PDIA)’, </w:t>
      </w:r>
      <w:r w:rsidRPr="00EC6347">
        <w:rPr>
          <w:i/>
          <w:lang w:val="en-AU"/>
        </w:rPr>
        <w:t>World Development</w:t>
      </w:r>
      <w:r>
        <w:rPr>
          <w:lang w:val="en-AU"/>
        </w:rPr>
        <w:t xml:space="preserve"> </w:t>
      </w:r>
      <w:r w:rsidRPr="00EC6347">
        <w:rPr>
          <w:lang w:val="en-AU"/>
        </w:rPr>
        <w:t>51</w:t>
      </w:r>
      <w:r>
        <w:rPr>
          <w:lang w:val="en-AU"/>
        </w:rPr>
        <w:t>, pp.</w:t>
      </w:r>
      <w:r w:rsidRPr="00EC6347">
        <w:rPr>
          <w:lang w:val="en-AU"/>
        </w:rPr>
        <w:t xml:space="preserve"> 234–44.</w:t>
      </w:r>
    </w:p>
  </w:footnote>
  <w:footnote w:id="50">
    <w:p w:rsidR="00166A4C" w:rsidRPr="00EC6347" w:rsidRDefault="00166A4C" w:rsidP="000F4B57">
      <w:pPr>
        <w:pStyle w:val="FootnoteText"/>
      </w:pPr>
      <w:r w:rsidRPr="00EC6347">
        <w:rPr>
          <w:rStyle w:val="FootnoteReference"/>
        </w:rPr>
        <w:footnoteRef/>
      </w:r>
      <w:r w:rsidRPr="00EC6347">
        <w:t xml:space="preserve"> </w:t>
      </w:r>
      <w:r>
        <w:t xml:space="preserve">D. </w:t>
      </w:r>
      <w:r w:rsidRPr="00EC6347">
        <w:rPr>
          <w:lang w:val="en-AU"/>
        </w:rPr>
        <w:t>Leonard</w:t>
      </w:r>
      <w:r>
        <w:rPr>
          <w:lang w:val="en-AU"/>
        </w:rPr>
        <w:t xml:space="preserve"> </w:t>
      </w:r>
      <w:r w:rsidRPr="00EC6347">
        <w:rPr>
          <w:lang w:val="en-AU"/>
        </w:rPr>
        <w:t xml:space="preserve">(2010) ‘“Pockets” of effective agencies in weak governance states: Where are they likely and why does it matter?’, </w:t>
      </w:r>
      <w:r w:rsidRPr="00EC6347">
        <w:rPr>
          <w:i/>
          <w:lang w:val="en-AU"/>
        </w:rPr>
        <w:t>Public Administration and Development</w:t>
      </w:r>
      <w:r w:rsidRPr="00EC6347">
        <w:rPr>
          <w:lang w:val="en-AU"/>
        </w:rPr>
        <w:t xml:space="preserve"> 30</w:t>
      </w:r>
      <w:r>
        <w:rPr>
          <w:lang w:val="en-AU"/>
        </w:rPr>
        <w:t>, pp.</w:t>
      </w:r>
      <w:r w:rsidRPr="00EC6347">
        <w:rPr>
          <w:lang w:val="en-AU"/>
        </w:rPr>
        <w:t xml:space="preserve"> 91–101.</w:t>
      </w:r>
    </w:p>
  </w:footnote>
  <w:footnote w:id="51">
    <w:p w:rsidR="00166A4C" w:rsidRPr="00EC6347" w:rsidRDefault="00166A4C" w:rsidP="000F4B57">
      <w:pPr>
        <w:pStyle w:val="FootnoteText"/>
        <w:rPr>
          <w:lang w:val="en-AU"/>
        </w:rPr>
      </w:pPr>
      <w:r w:rsidRPr="00EC6347">
        <w:rPr>
          <w:rStyle w:val="FootnoteReference"/>
        </w:rPr>
        <w:footnoteRef/>
      </w:r>
      <w:r w:rsidRPr="00EC6347">
        <w:t xml:space="preserve"> Commonwealth of Australia DFAT (2016b) </w:t>
      </w:r>
      <w:r>
        <w:t>‘</w:t>
      </w:r>
      <w:r w:rsidRPr="00EE6004">
        <w:t>Gender equality and women’s empowerment strategy 2016</w:t>
      </w:r>
      <w:r>
        <w:t>’</w:t>
      </w:r>
      <w:r w:rsidRPr="00EC6347">
        <w:t>, February</w:t>
      </w:r>
      <w:r w:rsidRPr="00EC6347">
        <w:rPr>
          <w:i/>
        </w:rPr>
        <w:t>.</w:t>
      </w:r>
    </w:p>
  </w:footnote>
  <w:footnote w:id="52">
    <w:p w:rsidR="00166A4C" w:rsidRPr="00EC6347" w:rsidRDefault="00166A4C" w:rsidP="000F4B57">
      <w:pPr>
        <w:pStyle w:val="FootnoteText"/>
      </w:pPr>
      <w:r w:rsidRPr="00EC6347">
        <w:rPr>
          <w:rStyle w:val="FootnoteReference"/>
        </w:rPr>
        <w:footnoteRef/>
      </w:r>
      <w:r w:rsidRPr="00EC6347">
        <w:t xml:space="preserve"> Commonwealth of Australia DFAT (2016a) </w:t>
      </w:r>
      <w:r>
        <w:t>‘</w:t>
      </w:r>
      <w:r w:rsidRPr="00EE6004">
        <w:t>Disability action strategy 2017–2020</w:t>
      </w:r>
      <w:r>
        <w:t>’</w:t>
      </w:r>
      <w:r w:rsidRPr="00EC6347">
        <w:t>, December.</w:t>
      </w:r>
    </w:p>
  </w:footnote>
  <w:footnote w:id="53">
    <w:p w:rsidR="00166A4C" w:rsidRPr="00EC6347" w:rsidRDefault="00166A4C" w:rsidP="000F4B57">
      <w:pPr>
        <w:pStyle w:val="FootnoteText"/>
        <w:rPr>
          <w:lang w:val="en-AU"/>
        </w:rPr>
      </w:pPr>
      <w:r w:rsidRPr="00EC6347">
        <w:rPr>
          <w:rStyle w:val="FootnoteReference"/>
        </w:rPr>
        <w:footnoteRef/>
      </w:r>
      <w:r w:rsidRPr="00EC6347">
        <w:t xml:space="preserve"> Commonwealth of Australia DFAT (2015) </w:t>
      </w:r>
      <w:r>
        <w:t>‘</w:t>
      </w:r>
      <w:r w:rsidRPr="00EE6004">
        <w:t>DFAT Indigenous peoples strategy 2015–2019</w:t>
      </w:r>
      <w:r>
        <w:t>’</w:t>
      </w:r>
      <w:r w:rsidRPr="00EC6347">
        <w:t>, June.</w:t>
      </w:r>
    </w:p>
  </w:footnote>
  <w:footnote w:id="54">
    <w:p w:rsidR="00166A4C" w:rsidRPr="00C159F6" w:rsidRDefault="00166A4C" w:rsidP="00C159F6">
      <w:pPr>
        <w:pStyle w:val="FootnoteText"/>
      </w:pPr>
      <w:r w:rsidRPr="00C159F6">
        <w:rPr>
          <w:rStyle w:val="FootnoteReference"/>
          <w:vertAlign w:val="baseline"/>
        </w:rPr>
        <w:footnoteRef/>
      </w:r>
      <w:r w:rsidRPr="00C159F6">
        <w:t xml:space="preserve"> Abt PNG (2018a</w:t>
      </w:r>
      <w:r w:rsidRPr="00C3176B">
        <w:rPr>
          <w:lang w:val="en-AU"/>
        </w:rPr>
        <w:t>)</w:t>
      </w:r>
      <w:r w:rsidRPr="00C159F6">
        <w:t xml:space="preserve"> ‘Gender and inclusion stocktake report and annexes’, June.</w:t>
      </w:r>
    </w:p>
  </w:footnote>
  <w:footnote w:id="55">
    <w:p w:rsidR="00166A4C" w:rsidRPr="007E7A2E" w:rsidRDefault="00166A4C" w:rsidP="00C159F6">
      <w:pPr>
        <w:pStyle w:val="FootnoteText"/>
        <w:rPr>
          <w:lang w:val="en-AU"/>
        </w:rPr>
      </w:pPr>
      <w:r w:rsidRPr="00C159F6">
        <w:rPr>
          <w:rStyle w:val="FootnoteReference"/>
          <w:vertAlign w:val="baseline"/>
        </w:rPr>
        <w:footnoteRef/>
      </w:r>
      <w:r w:rsidRPr="00C159F6">
        <w:t xml:space="preserve"> Review </w:t>
      </w:r>
      <w:r>
        <w:t>t</w:t>
      </w:r>
      <w:r w:rsidRPr="00C3176B">
        <w:t>eam</w:t>
      </w:r>
      <w:r w:rsidRPr="00C159F6">
        <w:t xml:space="preserve"> analysis based on: PSLRP (2019) ‘PSLR Precinct training participants data’, Abt PNG, 22 January. The explanation given is that there are few (if any) female public servants at district and local </w:t>
      </w:r>
      <w:r>
        <w:rPr>
          <w:lang w:val="en-AU"/>
        </w:rPr>
        <w:t>government</w:t>
      </w:r>
      <w:r w:rsidRPr="00C159F6">
        <w:t xml:space="preserve"> levels.</w:t>
      </w:r>
      <w:r w:rsidRPr="007E7A2E">
        <w:rPr>
          <w:lang w:val="en-AU"/>
        </w:rPr>
        <w:t xml:space="preserve"> </w:t>
      </w:r>
    </w:p>
  </w:footnote>
  <w:footnote w:id="56">
    <w:p w:rsidR="00166A4C" w:rsidRPr="00C3176B" w:rsidRDefault="00166A4C" w:rsidP="000F4B57">
      <w:pPr>
        <w:pStyle w:val="FootnoteText"/>
        <w:rPr>
          <w:lang w:val="en-AU"/>
        </w:rPr>
      </w:pPr>
      <w:r w:rsidRPr="00C325EC">
        <w:rPr>
          <w:rStyle w:val="FootnoteReference"/>
        </w:rPr>
        <w:footnoteRef/>
      </w:r>
      <w:r w:rsidRPr="00C325EC">
        <w:t xml:space="preserve"> </w:t>
      </w:r>
      <w:r w:rsidRPr="00C3176B">
        <w:rPr>
          <w:lang w:val="en-AU"/>
        </w:rPr>
        <w:t>Training provider interviews.</w:t>
      </w:r>
    </w:p>
  </w:footnote>
  <w:footnote w:id="57">
    <w:p w:rsidR="00166A4C" w:rsidRDefault="00166A4C" w:rsidP="000F4B57">
      <w:pPr>
        <w:pStyle w:val="FootnoteText"/>
      </w:pPr>
      <w:r w:rsidRPr="00C3176B">
        <w:rPr>
          <w:rStyle w:val="FootnoteReference"/>
        </w:rPr>
        <w:footnoteRef/>
      </w:r>
      <w:r w:rsidRPr="00C3176B">
        <w:t xml:space="preserve"> </w:t>
      </w:r>
      <w:r w:rsidRPr="00C3176B">
        <w:rPr>
          <w:lang w:val="en-AU"/>
        </w:rPr>
        <w:t xml:space="preserve">PSLRP (2019) </w:t>
      </w:r>
      <w:r>
        <w:rPr>
          <w:lang w:val="en-AU"/>
        </w:rPr>
        <w:t>‘</w:t>
      </w:r>
      <w:r w:rsidRPr="00C3176B">
        <w:rPr>
          <w:lang w:val="en-AU"/>
        </w:rPr>
        <w:t>PSLR Precinct training participants data</w:t>
      </w:r>
      <w:r>
        <w:rPr>
          <w:lang w:val="en-AU"/>
        </w:rPr>
        <w:t>’</w:t>
      </w:r>
      <w:r w:rsidRPr="00C3176B">
        <w:rPr>
          <w:lang w:val="en-AU"/>
        </w:rPr>
        <w:t>, Abt PNG, 22 January.</w:t>
      </w:r>
    </w:p>
  </w:footnote>
  <w:footnote w:id="58">
    <w:p w:rsidR="00166A4C" w:rsidRPr="00EC6347" w:rsidRDefault="00166A4C" w:rsidP="000F4B57">
      <w:pPr>
        <w:pStyle w:val="FootnoteText"/>
        <w:rPr>
          <w:lang w:val="en-AU"/>
        </w:rPr>
      </w:pPr>
      <w:r w:rsidRPr="003B347E">
        <w:rPr>
          <w:rStyle w:val="FootnoteReference"/>
        </w:rPr>
        <w:footnoteRef/>
      </w:r>
      <w:r w:rsidRPr="003B347E">
        <w:t xml:space="preserve"> </w:t>
      </w:r>
      <w:r w:rsidRPr="00EC6347">
        <w:t xml:space="preserve">PLGP (2016a) </w:t>
      </w:r>
      <w:r>
        <w:t>‘</w:t>
      </w:r>
      <w:r w:rsidRPr="00EE6004">
        <w:t>2016 update of design brief and implementation</w:t>
      </w:r>
      <w:r>
        <w:t>’</w:t>
      </w:r>
      <w:r w:rsidRPr="00EC6347">
        <w:t>, Pacific Leadership and Governance Precinct, January.</w:t>
      </w:r>
    </w:p>
  </w:footnote>
  <w:footnote w:id="59">
    <w:p w:rsidR="00166A4C" w:rsidRPr="001B041F" w:rsidRDefault="00166A4C" w:rsidP="000F4B57">
      <w:pPr>
        <w:pStyle w:val="FootnoteText"/>
      </w:pPr>
      <w:r w:rsidRPr="00EC6347">
        <w:rPr>
          <w:rStyle w:val="FootnoteReference"/>
        </w:rPr>
        <w:footnoteRef/>
      </w:r>
      <w:r w:rsidRPr="00EC6347">
        <w:t xml:space="preserve"> </w:t>
      </w:r>
      <w:r>
        <w:t xml:space="preserve">A.M. </w:t>
      </w:r>
      <w:r w:rsidRPr="00EC6347">
        <w:rPr>
          <w:lang w:val="en-AU"/>
        </w:rPr>
        <w:t xml:space="preserve">Golla, </w:t>
      </w:r>
      <w:r>
        <w:rPr>
          <w:lang w:val="en-AU"/>
        </w:rPr>
        <w:t xml:space="preserve">A. </w:t>
      </w:r>
      <w:r w:rsidRPr="00EC6347">
        <w:rPr>
          <w:lang w:val="en-AU"/>
        </w:rPr>
        <w:t xml:space="preserve">Malhotra, </w:t>
      </w:r>
      <w:r>
        <w:rPr>
          <w:lang w:val="en-AU"/>
        </w:rPr>
        <w:t xml:space="preserve">P. </w:t>
      </w:r>
      <w:r w:rsidRPr="00EC6347">
        <w:rPr>
          <w:lang w:val="en-AU"/>
        </w:rPr>
        <w:t xml:space="preserve">Nanda, </w:t>
      </w:r>
      <w:r>
        <w:rPr>
          <w:lang w:val="en-AU"/>
        </w:rPr>
        <w:t xml:space="preserve">and R. </w:t>
      </w:r>
      <w:r w:rsidRPr="00EC6347">
        <w:rPr>
          <w:lang w:val="en-AU"/>
        </w:rPr>
        <w:t>Mehra</w:t>
      </w:r>
      <w:r>
        <w:rPr>
          <w:lang w:val="en-AU"/>
        </w:rPr>
        <w:t xml:space="preserve"> </w:t>
      </w:r>
      <w:r w:rsidRPr="00EC6347">
        <w:rPr>
          <w:lang w:val="en-AU"/>
        </w:rPr>
        <w:t xml:space="preserve">(2011) </w:t>
      </w:r>
      <w:r w:rsidRPr="00EC6347">
        <w:rPr>
          <w:i/>
          <w:lang w:val="en-AU"/>
        </w:rPr>
        <w:t xml:space="preserve">Understanding and measuring women’s economic </w:t>
      </w:r>
      <w:r w:rsidRPr="001B041F">
        <w:rPr>
          <w:i/>
          <w:lang w:val="en-AU"/>
        </w:rPr>
        <w:t>empowerment: Definition, framework and indicators</w:t>
      </w:r>
      <w:r w:rsidRPr="001B041F">
        <w:rPr>
          <w:lang w:val="en-AU"/>
        </w:rPr>
        <w:t>, ICRW</w:t>
      </w:r>
      <w:r>
        <w:rPr>
          <w:lang w:val="en-AU"/>
        </w:rPr>
        <w:t>, Washington DC</w:t>
      </w:r>
      <w:r w:rsidRPr="001B041F">
        <w:rPr>
          <w:lang w:val="en-AU"/>
        </w:rPr>
        <w:t>.</w:t>
      </w:r>
    </w:p>
  </w:footnote>
  <w:footnote w:id="60">
    <w:p w:rsidR="00166A4C" w:rsidRPr="00EC6347" w:rsidRDefault="00166A4C" w:rsidP="000F4B57">
      <w:pPr>
        <w:pStyle w:val="FootnoteText"/>
      </w:pPr>
      <w:r w:rsidRPr="001B041F">
        <w:rPr>
          <w:rStyle w:val="FootnoteReference"/>
        </w:rPr>
        <w:footnoteRef/>
      </w:r>
      <w:r w:rsidRPr="001B041F">
        <w:t xml:space="preserve"> </w:t>
      </w:r>
      <w:r>
        <w:t>Developmental Leadership Program, (</w:t>
      </w:r>
      <w:r w:rsidRPr="001B041F">
        <w:rPr>
          <w:bCs/>
          <w:lang w:val="en-AU"/>
        </w:rPr>
        <w:t>2014</w:t>
      </w:r>
      <w:r>
        <w:rPr>
          <w:bCs/>
          <w:lang w:val="en-AU"/>
        </w:rPr>
        <w:t>)</w:t>
      </w:r>
      <w:r w:rsidRPr="001B041F">
        <w:rPr>
          <w:bCs/>
          <w:lang w:val="en-AU"/>
        </w:rPr>
        <w:t xml:space="preserve"> </w:t>
      </w:r>
      <w:r>
        <w:rPr>
          <w:bCs/>
          <w:lang w:val="en-AU"/>
        </w:rPr>
        <w:t>‘</w:t>
      </w:r>
      <w:r w:rsidRPr="001B041F">
        <w:rPr>
          <w:bCs/>
          <w:lang w:val="en-AU"/>
        </w:rPr>
        <w:t>Global Report on Gender Equality in Public Administration</w:t>
      </w:r>
      <w:r>
        <w:rPr>
          <w:bCs/>
          <w:lang w:val="en-AU"/>
        </w:rPr>
        <w:t>’</w:t>
      </w:r>
      <w:r w:rsidRPr="001B041F">
        <w:rPr>
          <w:lang w:val="en-AU"/>
        </w:rPr>
        <w:t xml:space="preserve">; </w:t>
      </w:r>
      <w:r>
        <w:rPr>
          <w:lang w:val="en-AU"/>
        </w:rPr>
        <w:t xml:space="preserve">A. </w:t>
      </w:r>
      <w:r w:rsidRPr="001B041F">
        <w:rPr>
          <w:lang w:val="en-AU"/>
        </w:rPr>
        <w:t>McLeod</w:t>
      </w:r>
      <w:r>
        <w:rPr>
          <w:lang w:val="en-AU"/>
        </w:rPr>
        <w:t xml:space="preserve"> </w:t>
      </w:r>
      <w:r w:rsidRPr="001B041F">
        <w:rPr>
          <w:lang w:val="en-AU"/>
        </w:rPr>
        <w:t xml:space="preserve">(2015) </w:t>
      </w:r>
      <w:r>
        <w:rPr>
          <w:lang w:val="en-AU"/>
        </w:rPr>
        <w:t>‘</w:t>
      </w:r>
      <w:r w:rsidRPr="00EE6004">
        <w:rPr>
          <w:iCs/>
          <w:lang w:val="en-AU"/>
        </w:rPr>
        <w:t>Women’s leadership in the Pacific</w:t>
      </w:r>
      <w:r>
        <w:rPr>
          <w:iCs/>
          <w:lang w:val="en-AU"/>
        </w:rPr>
        <w:t>’</w:t>
      </w:r>
      <w:r w:rsidRPr="001B041F">
        <w:rPr>
          <w:i/>
          <w:iCs/>
          <w:lang w:val="en-AU"/>
        </w:rPr>
        <w:t>,</w:t>
      </w:r>
      <w:r w:rsidRPr="001B041F">
        <w:rPr>
          <w:lang w:val="en-AU"/>
        </w:rPr>
        <w:t xml:space="preserve"> Developmental Leadership Program.</w:t>
      </w:r>
    </w:p>
  </w:footnote>
  <w:footnote w:id="61">
    <w:p w:rsidR="00166A4C" w:rsidRPr="00EC6347" w:rsidRDefault="00166A4C" w:rsidP="000F4B57">
      <w:pPr>
        <w:pStyle w:val="FootnoteText"/>
        <w:rPr>
          <w:lang w:val="en-AU"/>
        </w:rPr>
      </w:pPr>
      <w:r w:rsidRPr="00EC6347">
        <w:rPr>
          <w:rStyle w:val="FootnoteReference"/>
        </w:rPr>
        <w:footnoteRef/>
      </w:r>
      <w:r w:rsidRPr="00EC6347">
        <w:rPr>
          <w:lang w:val="en-AU"/>
        </w:rPr>
        <w:t xml:space="preserve"> </w:t>
      </w:r>
      <w:r>
        <w:rPr>
          <w:lang w:val="en-AU"/>
        </w:rPr>
        <w:t xml:space="preserve">D.R. </w:t>
      </w:r>
      <w:r w:rsidRPr="00EC6347">
        <w:rPr>
          <w:lang w:val="en-AU"/>
        </w:rPr>
        <w:t>Shaw</w:t>
      </w:r>
      <w:r>
        <w:rPr>
          <w:lang w:val="en-AU"/>
        </w:rPr>
        <w:t xml:space="preserve"> </w:t>
      </w:r>
      <w:r w:rsidRPr="00EC6347">
        <w:rPr>
          <w:lang w:val="en-AU"/>
        </w:rPr>
        <w:t xml:space="preserve">(1974) ‘The </w:t>
      </w:r>
      <w:r w:rsidRPr="00EE6004">
        <w:rPr>
          <w:i/>
          <w:lang w:val="en-AU"/>
        </w:rPr>
        <w:t>wantok</w:t>
      </w:r>
      <w:r w:rsidRPr="00EC6347">
        <w:rPr>
          <w:lang w:val="en-AU"/>
        </w:rPr>
        <w:t xml:space="preserve"> system’, </w:t>
      </w:r>
      <w:r w:rsidRPr="00EC6347">
        <w:rPr>
          <w:i/>
          <w:lang w:val="en-AU"/>
        </w:rPr>
        <w:t xml:space="preserve">Catalyst </w:t>
      </w:r>
      <w:r w:rsidRPr="00EC6347">
        <w:rPr>
          <w:lang w:val="en-AU"/>
        </w:rPr>
        <w:t>1(1)</w:t>
      </w:r>
      <w:r>
        <w:rPr>
          <w:lang w:val="en-AU"/>
        </w:rPr>
        <w:t>, pp.</w:t>
      </w:r>
      <w:r w:rsidRPr="00EC6347">
        <w:rPr>
          <w:lang w:val="en-AU"/>
        </w:rPr>
        <w:t xml:space="preserve"> 1–11; </w:t>
      </w:r>
      <w:r>
        <w:rPr>
          <w:lang w:val="en-AU"/>
        </w:rPr>
        <w:t xml:space="preserve">P.A. </w:t>
      </w:r>
      <w:r w:rsidRPr="00EC6347">
        <w:rPr>
          <w:lang w:val="en-AU"/>
        </w:rPr>
        <w:t>Tanda</w:t>
      </w:r>
      <w:r>
        <w:rPr>
          <w:lang w:val="en-AU"/>
        </w:rPr>
        <w:t xml:space="preserve"> </w:t>
      </w:r>
      <w:r w:rsidRPr="00EC6347">
        <w:rPr>
          <w:lang w:val="en-AU"/>
        </w:rPr>
        <w:t xml:space="preserve">(2011) ‘An analytical evaluation of the effects of the Wantok System in the South Sea Evangelical Church of Papua New Guinea’, </w:t>
      </w:r>
      <w:r w:rsidRPr="00EC6347">
        <w:rPr>
          <w:i/>
          <w:lang w:val="en-AU"/>
        </w:rPr>
        <w:t>Melanesian Journal of Theology,</w:t>
      </w:r>
      <w:r w:rsidRPr="00EC6347">
        <w:rPr>
          <w:lang w:val="en-AU"/>
        </w:rPr>
        <w:t xml:space="preserve"> 27(1)</w:t>
      </w:r>
      <w:r>
        <w:rPr>
          <w:lang w:val="en-AU"/>
        </w:rPr>
        <w:t>, pp.</w:t>
      </w:r>
      <w:r w:rsidRPr="00EC6347">
        <w:rPr>
          <w:lang w:val="en-AU"/>
        </w:rPr>
        <w:t xml:space="preserve"> 6–39.</w:t>
      </w:r>
    </w:p>
  </w:footnote>
  <w:footnote w:id="62">
    <w:p w:rsidR="00166A4C" w:rsidRPr="00C159F6" w:rsidRDefault="00166A4C" w:rsidP="00C159F6">
      <w:pPr>
        <w:pStyle w:val="FootnoteText"/>
      </w:pPr>
      <w:r w:rsidRPr="00C159F6">
        <w:rPr>
          <w:rStyle w:val="FootnoteReference"/>
          <w:vertAlign w:val="baseline"/>
        </w:rPr>
        <w:footnoteRef/>
      </w:r>
      <w:r w:rsidRPr="00C159F6">
        <w:t xml:space="preserve"> PLGP (2016a) </w:t>
      </w:r>
      <w:r>
        <w:t>‘</w:t>
      </w:r>
      <w:r w:rsidRPr="00C159F6">
        <w:t xml:space="preserve">2016 update of design brief and implementation’, Pacific Leadership and Governance Precinct, January, p. </w:t>
      </w:r>
      <w:r>
        <w:t xml:space="preserve"> </w:t>
      </w:r>
      <w:r w:rsidRPr="00C159F6">
        <w:t>6.</w:t>
      </w:r>
    </w:p>
  </w:footnote>
  <w:footnote w:id="63">
    <w:p w:rsidR="00166A4C" w:rsidRPr="007E7A2E" w:rsidRDefault="00166A4C" w:rsidP="00C159F6">
      <w:pPr>
        <w:pStyle w:val="FootnoteText"/>
      </w:pPr>
      <w:r w:rsidRPr="00C159F6">
        <w:rPr>
          <w:rStyle w:val="FootnoteReference"/>
          <w:vertAlign w:val="baseline"/>
        </w:rPr>
        <w:footnoteRef/>
      </w:r>
      <w:r w:rsidRPr="00A24804">
        <w:t xml:space="preserve"> </w:t>
      </w:r>
      <w:r w:rsidRPr="007E7A2E">
        <w:t xml:space="preserve">Annex 6 in </w:t>
      </w:r>
      <w:r>
        <w:rPr>
          <w:i/>
        </w:rPr>
        <w:t>Ibid</w:t>
      </w:r>
      <w:r w:rsidRPr="00EC6347">
        <w:t>.</w:t>
      </w:r>
    </w:p>
  </w:footnote>
  <w:footnote w:id="64">
    <w:p w:rsidR="00166A4C" w:rsidRPr="00EC6347" w:rsidRDefault="00166A4C" w:rsidP="000F4B57">
      <w:pPr>
        <w:pStyle w:val="FootnoteText"/>
        <w:rPr>
          <w:lang w:val="en-AU"/>
        </w:rPr>
      </w:pPr>
      <w:r w:rsidRPr="00EC6347">
        <w:rPr>
          <w:rStyle w:val="FootnoteReference"/>
        </w:rPr>
        <w:footnoteRef/>
      </w:r>
      <w:r w:rsidRPr="00EC6347">
        <w:t xml:space="preserve"> </w:t>
      </w:r>
      <w:r w:rsidRPr="00EC6347">
        <w:rPr>
          <w:rFonts w:cstheme="minorHAnsi"/>
          <w:lang w:val="en-AU"/>
        </w:rPr>
        <w:t>QTAG</w:t>
      </w:r>
      <w:r>
        <w:rPr>
          <w:rFonts w:cstheme="minorHAnsi"/>
          <w:lang w:val="en-AU"/>
        </w:rPr>
        <w:t xml:space="preserve"> (2018)</w:t>
      </w:r>
      <w:r w:rsidRPr="00EC6347">
        <w:rPr>
          <w:rFonts w:cstheme="minorHAnsi"/>
          <w:lang w:val="en-AU"/>
        </w:rPr>
        <w:t xml:space="preserve"> </w:t>
      </w:r>
      <w:r>
        <w:rPr>
          <w:rFonts w:cstheme="minorHAnsi"/>
          <w:lang w:val="en-AU"/>
        </w:rPr>
        <w:t>‘</w:t>
      </w:r>
      <w:r w:rsidRPr="0000615F">
        <w:rPr>
          <w:rFonts w:cstheme="minorHAnsi"/>
          <w:lang w:val="en-AU"/>
        </w:rPr>
        <w:t>Annual review of PNG Governance Partnership</w:t>
      </w:r>
      <w:r>
        <w:rPr>
          <w:rFonts w:cstheme="minorHAnsi"/>
          <w:lang w:val="en-AU"/>
        </w:rPr>
        <w:t>’, QTAG</w:t>
      </w:r>
      <w:r w:rsidRPr="00EC6347">
        <w:rPr>
          <w:rFonts w:cstheme="minorHAnsi"/>
          <w:i/>
          <w:lang w:val="en-AU"/>
        </w:rPr>
        <w:t>.</w:t>
      </w:r>
    </w:p>
  </w:footnote>
  <w:footnote w:id="65">
    <w:p w:rsidR="00166A4C" w:rsidRDefault="00166A4C" w:rsidP="000F4B57">
      <w:pPr>
        <w:pStyle w:val="FootnoteText"/>
      </w:pPr>
      <w:r w:rsidRPr="00C3176B">
        <w:rPr>
          <w:rStyle w:val="FootnoteReference"/>
        </w:rPr>
        <w:footnoteRef/>
      </w:r>
      <w:r w:rsidRPr="00C3176B">
        <w:t xml:space="preserve"> The explanation provided is that staff from these organisations were able to be released at short notice when nominees from other departments did not take up their training spots. The review highlights this finding so the JSC can reflect on this distribution and what to do to avoid nominated staff from not being released.</w:t>
      </w:r>
      <w:r>
        <w:t xml:space="preserve"> </w:t>
      </w:r>
    </w:p>
  </w:footnote>
  <w:footnote w:id="66">
    <w:p w:rsidR="00166A4C" w:rsidRDefault="00166A4C" w:rsidP="000F4B57">
      <w:pPr>
        <w:pStyle w:val="FootnoteText"/>
      </w:pPr>
      <w:r w:rsidRPr="00C3176B">
        <w:rPr>
          <w:rStyle w:val="FootnoteReference"/>
        </w:rPr>
        <w:footnoteRef/>
      </w:r>
      <w:r w:rsidRPr="00C3176B">
        <w:t xml:space="preserve"> </w:t>
      </w:r>
      <w:r w:rsidRPr="00C3176B">
        <w:rPr>
          <w:lang w:val="en-AU"/>
        </w:rPr>
        <w:t xml:space="preserve">PSLRP (2019) </w:t>
      </w:r>
      <w:r>
        <w:rPr>
          <w:lang w:val="en-AU"/>
        </w:rPr>
        <w:t>‘</w:t>
      </w:r>
      <w:r w:rsidRPr="00C3176B">
        <w:rPr>
          <w:lang w:val="en-AU"/>
        </w:rPr>
        <w:t>PSLR Precinct training participants data</w:t>
      </w:r>
      <w:r>
        <w:rPr>
          <w:lang w:val="en-AU"/>
        </w:rPr>
        <w:t>’</w:t>
      </w:r>
      <w:r w:rsidRPr="00C3176B">
        <w:rPr>
          <w:lang w:val="en-AU"/>
        </w:rPr>
        <w:t>, Abt PNG, 22 January.</w:t>
      </w:r>
    </w:p>
  </w:footnote>
  <w:footnote w:id="67">
    <w:p w:rsidR="00166A4C" w:rsidRPr="00A25000" w:rsidRDefault="00166A4C" w:rsidP="000F4B57">
      <w:pPr>
        <w:pStyle w:val="FootnoteText"/>
        <w:rPr>
          <w:i/>
        </w:rPr>
      </w:pPr>
      <w:r>
        <w:rPr>
          <w:rStyle w:val="FootnoteReference"/>
        </w:rPr>
        <w:footnoteRef/>
      </w:r>
      <w:r>
        <w:t xml:space="preserve"> </w:t>
      </w:r>
      <w:r w:rsidRPr="001A47B5">
        <w:t xml:space="preserve">Commonwealth of Australia </w:t>
      </w:r>
      <w:r>
        <w:t>DFAT (2016b) ‘</w:t>
      </w:r>
      <w:r w:rsidRPr="0000615F">
        <w:t>Gender equality and women’s empowerment strategy 2016</w:t>
      </w:r>
      <w:r>
        <w:t>’, February</w:t>
      </w:r>
      <w:r w:rsidRPr="00A25000">
        <w:rPr>
          <w:i/>
        </w:rPr>
        <w:t>.</w:t>
      </w:r>
    </w:p>
  </w:footnote>
  <w:footnote w:id="68">
    <w:p w:rsidR="00166A4C" w:rsidRPr="00760BF6" w:rsidRDefault="00166A4C" w:rsidP="000F4B57">
      <w:pPr>
        <w:pStyle w:val="FootnoteText"/>
      </w:pPr>
      <w:r>
        <w:rPr>
          <w:rStyle w:val="FootnoteReference"/>
        </w:rPr>
        <w:footnoteRef/>
      </w:r>
      <w:r>
        <w:t xml:space="preserve"> </w:t>
      </w:r>
      <w:r w:rsidRPr="001A47B5">
        <w:t>Commonwealth of Australia DFAT</w:t>
      </w:r>
      <w:r>
        <w:t xml:space="preserve"> (2016a)</w:t>
      </w:r>
      <w:r w:rsidRPr="001A47B5">
        <w:t xml:space="preserve"> </w:t>
      </w:r>
      <w:r>
        <w:t>‘</w:t>
      </w:r>
      <w:r w:rsidRPr="0000615F">
        <w:t>Disability action strategy 2017–2020</w:t>
      </w:r>
      <w:r>
        <w:t>’</w:t>
      </w:r>
      <w:r w:rsidRPr="001A47B5">
        <w:t>, December</w:t>
      </w:r>
      <w:r>
        <w:t>.</w:t>
      </w:r>
    </w:p>
  </w:footnote>
  <w:footnote w:id="69">
    <w:p w:rsidR="00166A4C" w:rsidRPr="008B5CFE" w:rsidRDefault="00166A4C" w:rsidP="000F4B57">
      <w:pPr>
        <w:pStyle w:val="FootnoteText"/>
      </w:pPr>
      <w:r>
        <w:rPr>
          <w:rStyle w:val="FootnoteReference"/>
        </w:rPr>
        <w:footnoteRef/>
      </w:r>
      <w:r>
        <w:t xml:space="preserve"> </w:t>
      </w:r>
      <w:r w:rsidRPr="001A47B5">
        <w:t xml:space="preserve">Commonwealth of Australia DFAT </w:t>
      </w:r>
      <w:r>
        <w:t>(2015) ‘</w:t>
      </w:r>
      <w:r w:rsidRPr="0000615F">
        <w:t>DFAT Indigenous peoples strategy 2015–2019</w:t>
      </w:r>
      <w:r w:rsidRPr="00780A6F">
        <w:t>,</w:t>
      </w:r>
      <w:r w:rsidRPr="00CA20AB">
        <w:t xml:space="preserve"> June 2015</w:t>
      </w:r>
      <w:r w:rsidRPr="008B5CFE">
        <w:t>.</w:t>
      </w:r>
    </w:p>
  </w:footnote>
  <w:footnote w:id="70">
    <w:p w:rsidR="00166A4C" w:rsidRPr="00813E76" w:rsidRDefault="00166A4C" w:rsidP="000F4B57">
      <w:pPr>
        <w:pStyle w:val="FootnoteText"/>
      </w:pPr>
      <w:r w:rsidRPr="00780A6F">
        <w:rPr>
          <w:rStyle w:val="FootnoteReference"/>
        </w:rPr>
        <w:footnoteRef/>
      </w:r>
      <w:r w:rsidRPr="00780A6F">
        <w:t xml:space="preserve"> </w:t>
      </w:r>
      <w:r w:rsidRPr="00CA20AB">
        <w:rPr>
          <w:lang w:val="en-AU"/>
        </w:rPr>
        <w:t xml:space="preserve">PLGP (2016a). </w:t>
      </w:r>
      <w:r w:rsidRPr="0000615F">
        <w:rPr>
          <w:lang w:val="en-AU"/>
        </w:rPr>
        <w:t>2015 update of design brief and implementation</w:t>
      </w:r>
      <w:r>
        <w:rPr>
          <w:lang w:val="en-AU"/>
        </w:rPr>
        <w:t>’</w:t>
      </w:r>
      <w:r w:rsidRPr="00A25000">
        <w:rPr>
          <w:lang w:val="en-AU"/>
        </w:rPr>
        <w:t>, Pacific Leadership and Governance Precinct, January</w:t>
      </w:r>
      <w:r w:rsidRPr="004D5AB3">
        <w:t>.</w:t>
      </w:r>
    </w:p>
  </w:footnote>
  <w:footnote w:id="71">
    <w:p w:rsidR="00166A4C" w:rsidRPr="005E5F5F" w:rsidRDefault="00166A4C" w:rsidP="000F4B57">
      <w:pPr>
        <w:pStyle w:val="FootnoteText"/>
        <w:rPr>
          <w:lang w:val="es-ES"/>
        </w:rPr>
      </w:pPr>
      <w:r>
        <w:rPr>
          <w:rStyle w:val="FootnoteReference"/>
        </w:rPr>
        <w:footnoteRef/>
      </w:r>
      <w:r w:rsidRPr="005E5F5F">
        <w:rPr>
          <w:lang w:val="es-ES"/>
        </w:rPr>
        <w:t xml:space="preserve"> </w:t>
      </w:r>
      <w:r w:rsidRPr="005E5F5F">
        <w:rPr>
          <w:i/>
          <w:lang w:val="es-ES"/>
        </w:rPr>
        <w:t>Ibid</w:t>
      </w:r>
      <w:r w:rsidRPr="005E5F5F">
        <w:rPr>
          <w:lang w:val="es-ES"/>
        </w:rPr>
        <w:t>., p. vii.</w:t>
      </w:r>
    </w:p>
  </w:footnote>
  <w:footnote w:id="72">
    <w:p w:rsidR="00166A4C" w:rsidRPr="005E5F5F" w:rsidRDefault="00166A4C" w:rsidP="000F4B57">
      <w:pPr>
        <w:pStyle w:val="FootnoteText"/>
        <w:rPr>
          <w:lang w:val="es-ES"/>
        </w:rPr>
      </w:pPr>
      <w:r>
        <w:rPr>
          <w:rStyle w:val="FootnoteReference"/>
        </w:rPr>
        <w:footnoteRef/>
      </w:r>
      <w:r w:rsidRPr="005E5F5F">
        <w:rPr>
          <w:lang w:val="es-ES"/>
        </w:rPr>
        <w:t xml:space="preserve"> </w:t>
      </w:r>
      <w:r w:rsidRPr="005E5F5F">
        <w:rPr>
          <w:i/>
          <w:lang w:val="es-ES"/>
        </w:rPr>
        <w:t>Ibid</w:t>
      </w:r>
      <w:r w:rsidRPr="005E5F5F">
        <w:rPr>
          <w:lang w:val="es-ES"/>
        </w:rPr>
        <w:t>., p. 4.</w:t>
      </w:r>
    </w:p>
  </w:footnote>
  <w:footnote w:id="73">
    <w:p w:rsidR="00166A4C" w:rsidRPr="004D5AB3" w:rsidRDefault="00166A4C" w:rsidP="000F4B57">
      <w:pPr>
        <w:pStyle w:val="FootnoteText"/>
      </w:pPr>
      <w:r>
        <w:rPr>
          <w:rStyle w:val="FootnoteReference"/>
        </w:rPr>
        <w:footnoteRef/>
      </w:r>
      <w:r>
        <w:t xml:space="preserve"> </w:t>
      </w:r>
      <w:r w:rsidRPr="0000615F">
        <w:rPr>
          <w:i/>
        </w:rPr>
        <w:t>Ibid</w:t>
      </w:r>
      <w:r>
        <w:t>.</w:t>
      </w:r>
      <w:r w:rsidRPr="004D5AB3">
        <w:t>, p</w:t>
      </w:r>
      <w:r>
        <w:t>. </w:t>
      </w:r>
      <w:r w:rsidRPr="004D5AB3">
        <w:t>4</w:t>
      </w:r>
      <w:r>
        <w:t>.</w:t>
      </w:r>
    </w:p>
  </w:footnote>
  <w:footnote w:id="74">
    <w:p w:rsidR="00166A4C" w:rsidRPr="007754EB" w:rsidRDefault="00166A4C" w:rsidP="000F4B57">
      <w:pPr>
        <w:pStyle w:val="FootnoteText"/>
      </w:pPr>
      <w:r>
        <w:rPr>
          <w:rStyle w:val="FootnoteReference"/>
        </w:rPr>
        <w:footnoteRef/>
      </w:r>
      <w:r>
        <w:t xml:space="preserve"> </w:t>
      </w:r>
      <w:r w:rsidRPr="00DE21C4">
        <w:rPr>
          <w:lang w:val="en-AU"/>
        </w:rPr>
        <w:t>Government of Papua New Guinea (2013</w:t>
      </w:r>
      <w:r>
        <w:rPr>
          <w:lang w:val="en-AU"/>
        </w:rPr>
        <w:t>b</w:t>
      </w:r>
      <w:r w:rsidRPr="00DE21C4">
        <w:rPr>
          <w:lang w:val="en-AU"/>
        </w:rPr>
        <w:t xml:space="preserve">) </w:t>
      </w:r>
      <w:r>
        <w:rPr>
          <w:lang w:val="en-AU"/>
        </w:rPr>
        <w:t>‘</w:t>
      </w:r>
      <w:r w:rsidRPr="0000615F">
        <w:rPr>
          <w:lang w:val="en-AU"/>
        </w:rPr>
        <w:t>National Public Service gender equity &amp; social inclusion (GESI) policy</w:t>
      </w:r>
      <w:r>
        <w:rPr>
          <w:lang w:val="en-AU"/>
        </w:rPr>
        <w:t>’</w:t>
      </w:r>
      <w:r>
        <w:rPr>
          <w:i/>
          <w:lang w:val="en-AU"/>
        </w:rPr>
        <w:t>,</w:t>
      </w:r>
      <w:r w:rsidRPr="00DE21C4">
        <w:rPr>
          <w:lang w:val="en-AU"/>
        </w:rPr>
        <w:t xml:space="preserve"> </w:t>
      </w:r>
      <w:r>
        <w:rPr>
          <w:lang w:val="en-AU"/>
        </w:rPr>
        <w:t>Department of Personnel Management</w:t>
      </w:r>
      <w:r>
        <w:t>.</w:t>
      </w:r>
    </w:p>
  </w:footnote>
  <w:footnote w:id="75">
    <w:p w:rsidR="00166A4C" w:rsidRPr="007D0520" w:rsidRDefault="00166A4C" w:rsidP="000F4B57">
      <w:pPr>
        <w:pStyle w:val="FootnoteText"/>
      </w:pPr>
      <w:r>
        <w:rPr>
          <w:rStyle w:val="FootnoteReference"/>
        </w:rPr>
        <w:footnoteRef/>
      </w:r>
      <w:r>
        <w:t xml:space="preserve"> </w:t>
      </w:r>
      <w:r w:rsidRPr="00DE21C4">
        <w:rPr>
          <w:lang w:val="en-AU"/>
        </w:rPr>
        <w:t>Government of Papua New Guinea</w:t>
      </w:r>
      <w:r>
        <w:rPr>
          <w:lang w:val="en-AU"/>
        </w:rPr>
        <w:t xml:space="preserve"> (2013a)</w:t>
      </w:r>
      <w:r w:rsidRPr="00DE21C4">
        <w:rPr>
          <w:lang w:val="en-AU"/>
        </w:rPr>
        <w:t xml:space="preserve"> </w:t>
      </w:r>
      <w:r>
        <w:rPr>
          <w:lang w:val="en-AU"/>
        </w:rPr>
        <w:t>‘</w:t>
      </w:r>
      <w:r w:rsidRPr="0000615F">
        <w:rPr>
          <w:lang w:val="en-AU"/>
        </w:rPr>
        <w:t>National Public Service ethics and values based executive leadership and management capability framework</w:t>
      </w:r>
      <w:r>
        <w:rPr>
          <w:lang w:val="en-AU"/>
        </w:rPr>
        <w:t>’,</w:t>
      </w:r>
      <w:r w:rsidRPr="004355B6">
        <w:rPr>
          <w:lang w:val="en-AU"/>
        </w:rPr>
        <w:t xml:space="preserve"> </w:t>
      </w:r>
      <w:r w:rsidRPr="00AD0ACD">
        <w:rPr>
          <w:lang w:val="en-AU"/>
        </w:rPr>
        <w:t>Department of Personnel Management and Public Sector Workforce Development</w:t>
      </w:r>
      <w:r>
        <w:rPr>
          <w:lang w:val="en-AU"/>
        </w:rPr>
        <w:t xml:space="preserve"> </w:t>
      </w:r>
      <w:r w:rsidRPr="00AD0ACD">
        <w:rPr>
          <w:lang w:val="en-AU"/>
        </w:rPr>
        <w:t>Program</w:t>
      </w:r>
      <w:r>
        <w:rPr>
          <w:lang w:val="en-AU"/>
        </w:rPr>
        <w:t>.</w:t>
      </w:r>
    </w:p>
  </w:footnote>
  <w:footnote w:id="76">
    <w:p w:rsidR="00166A4C" w:rsidRPr="00A3158C" w:rsidRDefault="00166A4C" w:rsidP="000F4B57">
      <w:pPr>
        <w:pStyle w:val="FootnoteText"/>
      </w:pPr>
      <w:r w:rsidRPr="00A3158C">
        <w:rPr>
          <w:vertAlign w:val="superscript"/>
        </w:rPr>
        <w:footnoteRef/>
      </w:r>
      <w:r w:rsidRPr="00A3158C">
        <w:rPr>
          <w:vertAlign w:val="superscript"/>
        </w:rPr>
        <w:t xml:space="preserve"> </w:t>
      </w:r>
      <w:r w:rsidRPr="00A25000">
        <w:rPr>
          <w:lang w:val="en-AU"/>
        </w:rPr>
        <w:t xml:space="preserve">Abt PNG (2018a) </w:t>
      </w:r>
      <w:r>
        <w:rPr>
          <w:lang w:val="en-AU"/>
        </w:rPr>
        <w:t>‘</w:t>
      </w:r>
      <w:r w:rsidRPr="0000615F">
        <w:rPr>
          <w:lang w:val="en-AU"/>
        </w:rPr>
        <w:t xml:space="preserve">Gender and inclusion stocktake report </w:t>
      </w:r>
      <w:r>
        <w:rPr>
          <w:lang w:val="en-AU"/>
        </w:rPr>
        <w:t>and</w:t>
      </w:r>
      <w:r w:rsidRPr="0000615F">
        <w:rPr>
          <w:lang w:val="en-AU"/>
        </w:rPr>
        <w:t xml:space="preserve"> annexes</w:t>
      </w:r>
      <w:r>
        <w:rPr>
          <w:lang w:val="en-AU"/>
        </w:rPr>
        <w:t>’,</w:t>
      </w:r>
      <w:r w:rsidRPr="00A25000">
        <w:rPr>
          <w:lang w:val="en-AU"/>
        </w:rPr>
        <w:t xml:space="preserve"> June.</w:t>
      </w:r>
    </w:p>
  </w:footnote>
  <w:footnote w:id="77">
    <w:p w:rsidR="00166A4C" w:rsidRPr="00832162" w:rsidRDefault="00166A4C" w:rsidP="000F4B57">
      <w:pPr>
        <w:pStyle w:val="FootnoteText"/>
      </w:pPr>
      <w:r>
        <w:rPr>
          <w:rStyle w:val="FootnoteReference"/>
        </w:rPr>
        <w:footnoteRef/>
      </w:r>
      <w:r>
        <w:t xml:space="preserve"> </w:t>
      </w:r>
      <w:r w:rsidRPr="00DE21C4">
        <w:rPr>
          <w:lang w:val="en-AU"/>
        </w:rPr>
        <w:t>Commonwealth of Australia DFAT</w:t>
      </w:r>
      <w:r>
        <w:rPr>
          <w:lang w:val="en-AU"/>
        </w:rPr>
        <w:t xml:space="preserve"> (2017c) ‘</w:t>
      </w:r>
      <w:r w:rsidRPr="0000615F">
        <w:rPr>
          <w:lang w:val="en-AU"/>
        </w:rPr>
        <w:t xml:space="preserve">Investment design document: </w:t>
      </w:r>
      <w:r>
        <w:rPr>
          <w:lang w:val="en-AU"/>
        </w:rPr>
        <w:t>w</w:t>
      </w:r>
      <w:r w:rsidRPr="00547C7C">
        <w:rPr>
          <w:lang w:val="en-AU"/>
        </w:rPr>
        <w:t>ater</w:t>
      </w:r>
      <w:r w:rsidRPr="0000615F">
        <w:rPr>
          <w:lang w:val="en-AU"/>
        </w:rPr>
        <w:t xml:space="preserve"> for women fund</w:t>
      </w:r>
      <w:r>
        <w:rPr>
          <w:lang w:val="en-AU"/>
        </w:rPr>
        <w:t>’,</w:t>
      </w:r>
      <w:r w:rsidRPr="00DE21C4">
        <w:rPr>
          <w:lang w:val="en-AU"/>
        </w:rPr>
        <w:t xml:space="preserve"> </w:t>
      </w:r>
      <w:r>
        <w:rPr>
          <w:lang w:val="en-AU"/>
        </w:rPr>
        <w:t xml:space="preserve">Vols </w:t>
      </w:r>
      <w:r w:rsidRPr="00DE21C4">
        <w:rPr>
          <w:lang w:val="en-AU"/>
        </w:rPr>
        <w:t xml:space="preserve">1 </w:t>
      </w:r>
      <w:r>
        <w:rPr>
          <w:lang w:val="en-AU"/>
        </w:rPr>
        <w:t xml:space="preserve">and </w:t>
      </w:r>
      <w:r w:rsidRPr="00DE21C4">
        <w:rPr>
          <w:lang w:val="en-AU"/>
        </w:rPr>
        <w:t>2</w:t>
      </w:r>
      <w:r>
        <w:rPr>
          <w:lang w:val="en-AU"/>
        </w:rPr>
        <w:t>. Available at:</w:t>
      </w:r>
      <w:r w:rsidRPr="00DE21C4">
        <w:rPr>
          <w:lang w:val="en-AU"/>
        </w:rPr>
        <w:t xml:space="preserve"> </w:t>
      </w:r>
      <w:hyperlink r:id="rId2" w:history="1">
        <w:r w:rsidRPr="00E27DDD">
          <w:rPr>
            <w:rStyle w:val="Hyperlink"/>
            <w:lang w:val="en-AU"/>
          </w:rPr>
          <w:t>https://dfat.gov.au/about-us/business-opportunities/Pages/investment-design-document-water-for-women-fund.aspx</w:t>
        </w:r>
      </w:hyperlink>
      <w:r>
        <w:rPr>
          <w:lang w:val="en-AU"/>
        </w:rPr>
        <w:t>.</w:t>
      </w:r>
    </w:p>
  </w:footnote>
  <w:footnote w:id="78">
    <w:p w:rsidR="00166A4C" w:rsidRPr="00A17FBE" w:rsidRDefault="00166A4C" w:rsidP="000F4B57">
      <w:pPr>
        <w:pStyle w:val="FootnoteText"/>
      </w:pPr>
      <w:r>
        <w:rPr>
          <w:rStyle w:val="FootnoteReference"/>
        </w:rPr>
        <w:footnoteRef/>
      </w:r>
      <w:r>
        <w:t xml:space="preserve"> A.M. </w:t>
      </w:r>
      <w:r w:rsidRPr="00DE21C4">
        <w:rPr>
          <w:lang w:val="en-AU"/>
        </w:rPr>
        <w:t>Golla</w:t>
      </w:r>
      <w:r>
        <w:rPr>
          <w:lang w:val="en-AU"/>
        </w:rPr>
        <w:t xml:space="preserve">, A. </w:t>
      </w:r>
      <w:r w:rsidRPr="00DE21C4">
        <w:rPr>
          <w:lang w:val="en-AU"/>
        </w:rPr>
        <w:t xml:space="preserve">Malhotra, </w:t>
      </w:r>
      <w:r>
        <w:rPr>
          <w:lang w:val="en-AU"/>
        </w:rPr>
        <w:t xml:space="preserve">P. </w:t>
      </w:r>
      <w:r w:rsidRPr="00DE21C4">
        <w:rPr>
          <w:lang w:val="en-AU"/>
        </w:rPr>
        <w:t xml:space="preserve">Nanda, </w:t>
      </w:r>
      <w:r>
        <w:rPr>
          <w:lang w:val="en-AU"/>
        </w:rPr>
        <w:t xml:space="preserve">and R. </w:t>
      </w:r>
      <w:r w:rsidRPr="00DE21C4">
        <w:rPr>
          <w:lang w:val="en-AU"/>
        </w:rPr>
        <w:t>Mehra</w:t>
      </w:r>
      <w:r>
        <w:rPr>
          <w:lang w:val="en-AU"/>
        </w:rPr>
        <w:t xml:space="preserve"> </w:t>
      </w:r>
      <w:r w:rsidRPr="00DE21C4">
        <w:rPr>
          <w:lang w:val="en-AU"/>
        </w:rPr>
        <w:t xml:space="preserve">(2011) </w:t>
      </w:r>
      <w:r w:rsidRPr="004355B6">
        <w:rPr>
          <w:i/>
          <w:lang w:val="en-AU"/>
        </w:rPr>
        <w:t>Understanding and measuring women’s economic empowerment</w:t>
      </w:r>
      <w:r>
        <w:rPr>
          <w:i/>
          <w:lang w:val="en-AU"/>
        </w:rPr>
        <w:t>: Definition, framework and indicators</w:t>
      </w:r>
      <w:r>
        <w:rPr>
          <w:lang w:val="en-AU"/>
        </w:rPr>
        <w:t>,</w:t>
      </w:r>
      <w:r w:rsidRPr="00DE21C4">
        <w:rPr>
          <w:lang w:val="en-AU"/>
        </w:rPr>
        <w:t xml:space="preserve"> </w:t>
      </w:r>
      <w:r>
        <w:rPr>
          <w:lang w:val="en-AU"/>
        </w:rPr>
        <w:t xml:space="preserve">ICRW, </w:t>
      </w:r>
      <w:r w:rsidRPr="00DE21C4">
        <w:rPr>
          <w:lang w:val="en-AU"/>
        </w:rPr>
        <w:t>Washington</w:t>
      </w:r>
      <w:r>
        <w:rPr>
          <w:lang w:val="en-AU"/>
        </w:rPr>
        <w:t xml:space="preserve"> DC</w:t>
      </w:r>
      <w:r w:rsidRPr="00A25000">
        <w:t>.</w:t>
      </w:r>
    </w:p>
  </w:footnote>
  <w:footnote w:id="79">
    <w:p w:rsidR="00166A4C" w:rsidRPr="001A47B5" w:rsidRDefault="00166A4C" w:rsidP="000F4B57">
      <w:pPr>
        <w:pStyle w:val="FootnoteText"/>
      </w:pPr>
      <w:r w:rsidRPr="001A47B5">
        <w:rPr>
          <w:rStyle w:val="FootnoteReference"/>
        </w:rPr>
        <w:footnoteRef/>
      </w:r>
      <w:r w:rsidRPr="001A47B5">
        <w:t xml:space="preserve"> </w:t>
      </w:r>
      <w:r>
        <w:t xml:space="preserve">R. </w:t>
      </w:r>
      <w:r w:rsidRPr="00DE21C4">
        <w:rPr>
          <w:lang w:val="en-AU"/>
        </w:rPr>
        <w:t>Eves</w:t>
      </w:r>
      <w:r>
        <w:rPr>
          <w:lang w:val="en-AU"/>
        </w:rPr>
        <w:t xml:space="preserve"> </w:t>
      </w:r>
      <w:r w:rsidRPr="00DE21C4">
        <w:rPr>
          <w:lang w:val="en-AU"/>
        </w:rPr>
        <w:t xml:space="preserve">(2016) </w:t>
      </w:r>
      <w:r>
        <w:rPr>
          <w:lang w:val="en-AU"/>
        </w:rPr>
        <w:t>‘</w:t>
      </w:r>
      <w:r w:rsidRPr="0000615F">
        <w:rPr>
          <w:lang w:val="en-AU"/>
        </w:rPr>
        <w:t>The relationship between violence against women and women’s economic empowerment in Bougainville</w:t>
      </w:r>
      <w:r>
        <w:rPr>
          <w:lang w:val="en-AU"/>
        </w:rPr>
        <w:t>’</w:t>
      </w:r>
      <w:r w:rsidRPr="00CA20AB">
        <w:rPr>
          <w:lang w:val="en-AU"/>
        </w:rPr>
        <w:t>,</w:t>
      </w:r>
      <w:r w:rsidRPr="00DE21C4">
        <w:rPr>
          <w:lang w:val="en-AU"/>
        </w:rPr>
        <w:t xml:space="preserve"> </w:t>
      </w:r>
      <w:r w:rsidRPr="0000615F">
        <w:rPr>
          <w:i/>
          <w:lang w:val="en-AU"/>
        </w:rPr>
        <w:t>In Brief 2016/17, State, Society and Governance in Melanesia</w:t>
      </w:r>
      <w:r w:rsidRPr="00DE21C4">
        <w:rPr>
          <w:lang w:val="en-AU"/>
        </w:rPr>
        <w:t>, ANU</w:t>
      </w:r>
      <w:r w:rsidRPr="00A17FBE">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A4C" w:rsidRDefault="00166A4C">
    <w:pPr>
      <w:pStyle w:val="Header"/>
    </w:pPr>
    <w:r>
      <w:rPr>
        <w:lang w:val="en-AU" w:eastAsia="en-AU"/>
      </w:rPr>
      <mc:AlternateContent>
        <mc:Choice Requires="wps">
          <w:drawing>
            <wp:inline distT="0" distB="0" distL="0" distR="0" wp14:anchorId="4003726D" wp14:editId="3AEFEF84">
              <wp:extent cx="5434330" cy="2173605"/>
              <wp:effectExtent l="0" t="0" r="0" b="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34330" cy="2173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66A4C" w:rsidRDefault="00166A4C" w:rsidP="003F3C6B">
                          <w:pPr>
                            <w:pStyle w:val="NormalWeb"/>
                            <w:spacing w:before="0" w:beforeAutospacing="0" w:after="0" w:afterAutospacing="0"/>
                            <w:jc w:val="center"/>
                          </w:pPr>
                          <w:r w:rsidRPr="00CD4495">
                            <w:rPr>
                              <w:rFonts w:ascii="Arial" w:hAnsi="Arial" w:cs="Arial"/>
                              <w:color w:val="000000" w:themeColor="text1"/>
                              <w:sz w:val="2"/>
                              <w:szCs w:val="2"/>
                              <w14:textFill>
                                <w14:solidFill>
                                  <w14:schemeClr w14:val="tx1">
                                    <w14:alpha w14:val="50000"/>
                                  </w14:schemeClr>
                                </w14:solidFill>
                              </w14:textFill>
                            </w:rPr>
                            <w:t>DRAFT</w:t>
                          </w:r>
                        </w:p>
                      </w:txbxContent>
                    </wps:txbx>
                    <wps:bodyPr wrap="square" numCol="1" fromWordArt="1">
                      <a:prstTxWarp prst="textPlain">
                        <a:avLst>
                          <a:gd name="adj" fmla="val 50000"/>
                        </a:avLst>
                      </a:prstTxWarp>
                      <a:spAutoFit/>
                    </wps:bodyPr>
                  </wps:wsp>
                </a:graphicData>
              </a:graphic>
            </wp:inline>
          </w:drawing>
        </mc:Choice>
        <mc:Fallback>
          <w:pict>
            <v:shapetype w14:anchorId="4003726D" id="_x0000_t202" coordsize="21600,21600" o:spt="202" path="m,l,21600r21600,l21600,xe">
              <v:stroke joinstyle="miter"/>
              <v:path gradientshapeok="t" o:connecttype="rect"/>
            </v:shapetype>
            <v:shape id="Text Box 6" o:spid="_x0000_s1031" type="#_x0000_t202" style="width:427.9pt;height:171.1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" filled="f" stroked="f">
              <v:stroke joinstyle="round"/>
              <o:lock v:ext="edit" shapetype="t"/>
              <v:textbox style="mso-fit-shape-to-text:t">
                <w:txbxContent>
                  <w:p w:rsidR="00166A4C" w:rsidRDefault="00166A4C" w:rsidP="003F3C6B">
                    <w:pPr>
                      <w:pStyle w:val="NormalWeb"/>
                      <w:spacing w:before="0" w:beforeAutospacing="0" w:after="0" w:afterAutospacing="0"/>
                      <w:jc w:val="center"/>
                    </w:pPr>
                    <w:r w:rsidRPr="00CD4495">
                      <w:rPr>
                        <w:rFonts w:ascii="Arial" w:hAnsi="Arial" w:cs="Arial"/>
                        <w:color w:val="000000" w:themeColor="text1"/>
                        <w:sz w:val="2"/>
                        <w:szCs w:val="2"/>
                        <w14:textFill>
                          <w14:solidFill>
                            <w14:schemeClr w14:val="tx1">
                              <w14:alpha w14:val="50000"/>
                            </w14:schemeClr>
                          </w14:solidFill>
                        </w14:textFill>
                      </w:rPr>
                      <w:t>DRAFT</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37D" w:rsidRDefault="006663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A4C" w:rsidRDefault="00166A4C" w:rsidP="003F3C6B">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A4C" w:rsidRDefault="00166A4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A4C" w:rsidRPr="00F66996" w:rsidRDefault="00166A4C" w:rsidP="00F66996">
    <w:pPr>
      <w:spacing w:line="240" w:lineRule="auto"/>
      <w:rPr>
        <w:rFonts w:ascii="Roboto Light" w:hAnsi="Roboto Light"/>
        <w:sz w:val="20"/>
      </w:rPr>
    </w:pPr>
    <w:r w:rsidRPr="00F66996">
      <w:rPr>
        <w:rFonts w:ascii="Roboto" w:hAnsi="Roboto"/>
        <w:sz w:val="20"/>
      </w:rPr>
      <w:t>Pacific Leadership and Governance Precinct</w:t>
    </w:r>
    <w:r w:rsidRPr="00F66996">
      <w:rPr>
        <w:rFonts w:ascii="Roboto Light" w:hAnsi="Roboto Light"/>
        <w:sz w:val="20"/>
      </w:rPr>
      <w:t xml:space="preserve"> | Strategic Review Report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A4C" w:rsidRDefault="00166A4C" w:rsidP="00461D63">
    <w:pPr>
      <w:pStyle w:val="Header"/>
      <w:pBdr>
        <w:bottom w:val="none" w:sz="0" w:space="0" w:color="auto"/>
      </w:pBd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5D0F"/>
    <w:multiLevelType w:val="hybridMultilevel"/>
    <w:tmpl w:val="B31A7640"/>
    <w:lvl w:ilvl="0" w:tplc="CECAC4B0">
      <w:start w:val="1"/>
      <w:numFmt w:val="lowerLetter"/>
      <w:pStyle w:val="ListNumbered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467BA"/>
    <w:multiLevelType w:val="hybridMultilevel"/>
    <w:tmpl w:val="4D7AD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B2279"/>
    <w:multiLevelType w:val="hybridMultilevel"/>
    <w:tmpl w:val="45C87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3F1253"/>
    <w:multiLevelType w:val="hybridMultilevel"/>
    <w:tmpl w:val="62F61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11B38"/>
    <w:multiLevelType w:val="hybridMultilevel"/>
    <w:tmpl w:val="B1405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E7294"/>
    <w:multiLevelType w:val="hybridMultilevel"/>
    <w:tmpl w:val="C232811E"/>
    <w:lvl w:ilvl="0" w:tplc="DFCE690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C797B"/>
    <w:multiLevelType w:val="hybridMultilevel"/>
    <w:tmpl w:val="7BA61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5113A0"/>
    <w:multiLevelType w:val="hybridMultilevel"/>
    <w:tmpl w:val="08AE45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F869E5"/>
    <w:multiLevelType w:val="hybridMultilevel"/>
    <w:tmpl w:val="6F9AE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431D7D"/>
    <w:multiLevelType w:val="multilevel"/>
    <w:tmpl w:val="33BE5E92"/>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
      <w:lvlJc w:val="left"/>
      <w:pPr>
        <w:ind w:left="714" w:hanging="357"/>
      </w:pPr>
      <w:rPr>
        <w:rFonts w:ascii="Symbol" w:hAnsi="Symbol" w:hint="default"/>
      </w:rPr>
    </w:lvl>
    <w:lvl w:ilvl="2">
      <w:start w:val="1"/>
      <w:numFmt w:val="bullet"/>
      <w:pStyle w:val="ListBullet3"/>
      <w:lvlText w:val="-"/>
      <w:lvlJc w:val="left"/>
      <w:pPr>
        <w:ind w:left="1071" w:hanging="357"/>
      </w:pPr>
      <w:rPr>
        <w:rFonts w:ascii="Arial" w:hAnsi="Arial" w:hint="default"/>
      </w:rPr>
    </w:lvl>
    <w:lvl w:ilvl="3">
      <w:start w:val="1"/>
      <w:numFmt w:val="bullet"/>
      <w:pStyle w:val="ListBullet4"/>
      <w:lvlText w:val="."/>
      <w:lvlJc w:val="left"/>
      <w:pPr>
        <w:ind w:left="1428" w:hanging="357"/>
      </w:pPr>
      <w:rPr>
        <w:rFonts w:ascii="Arial" w:hAnsi="Arial" w:hint="default"/>
      </w:rPr>
    </w:lvl>
    <w:lvl w:ilvl="4">
      <w:start w:val="1"/>
      <w:numFmt w:val="bullet"/>
      <w:pStyle w:val="ListBullet5"/>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0" w15:restartNumberingAfterBreak="0">
    <w:nsid w:val="26F94D03"/>
    <w:multiLevelType w:val="hybridMultilevel"/>
    <w:tmpl w:val="A0021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1A0A58"/>
    <w:multiLevelType w:val="hybridMultilevel"/>
    <w:tmpl w:val="1BD88852"/>
    <w:lvl w:ilvl="0" w:tplc="8990C250">
      <w:start w:val="1"/>
      <w:numFmt w:val="bullet"/>
      <w:lvlText w:val="•"/>
      <w:lvlJc w:val="left"/>
      <w:pPr>
        <w:ind w:left="360" w:hanging="360"/>
      </w:pPr>
      <w:rPr>
        <w:rFonts w:ascii="Roboto" w:hAnsi="Roboto"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D6C55ED"/>
    <w:multiLevelType w:val="hybridMultilevel"/>
    <w:tmpl w:val="574ECC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B83123"/>
    <w:multiLevelType w:val="hybridMultilevel"/>
    <w:tmpl w:val="DA42A6A2"/>
    <w:lvl w:ilvl="0" w:tplc="338271D0">
      <w:start w:val="1"/>
      <w:numFmt w:val="decimal"/>
      <w:lvlText w:val="%1."/>
      <w:lvlJc w:val="left"/>
      <w:pPr>
        <w:ind w:left="360" w:hanging="360"/>
      </w:pPr>
      <w:rPr>
        <w:rFonts w:asciiTheme="minorHAnsi" w:eastAsiaTheme="minorHAnsi" w:hAnsiTheme="minorHAnsi" w:cstheme="minorHAns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31A718D7"/>
    <w:multiLevelType w:val="hybridMultilevel"/>
    <w:tmpl w:val="5F7CA2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8A6F08"/>
    <w:multiLevelType w:val="hybridMultilevel"/>
    <w:tmpl w:val="A1F26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A634C1"/>
    <w:multiLevelType w:val="hybridMultilevel"/>
    <w:tmpl w:val="1CB84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CF3013"/>
    <w:multiLevelType w:val="hybridMultilevel"/>
    <w:tmpl w:val="180E3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993980"/>
    <w:multiLevelType w:val="hybridMultilevel"/>
    <w:tmpl w:val="5E206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5D3192"/>
    <w:multiLevelType w:val="hybridMultilevel"/>
    <w:tmpl w:val="7234C35C"/>
    <w:lvl w:ilvl="0" w:tplc="42B8F854">
      <w:start w:val="1"/>
      <w:numFmt w:val="bullet"/>
      <w:pStyle w:val="Listbulletfina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D7439D"/>
    <w:multiLevelType w:val="hybridMultilevel"/>
    <w:tmpl w:val="96861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313707"/>
    <w:multiLevelType w:val="hybridMultilevel"/>
    <w:tmpl w:val="9EF0040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F590A12"/>
    <w:multiLevelType w:val="hybridMultilevel"/>
    <w:tmpl w:val="14D0D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AF7B72"/>
    <w:multiLevelType w:val="hybridMultilevel"/>
    <w:tmpl w:val="23A61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7618ED"/>
    <w:multiLevelType w:val="hybridMultilevel"/>
    <w:tmpl w:val="E33AB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3408BF"/>
    <w:multiLevelType w:val="hybridMultilevel"/>
    <w:tmpl w:val="76D426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E362E03"/>
    <w:multiLevelType w:val="hybridMultilevel"/>
    <w:tmpl w:val="CCE2A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32512"/>
    <w:multiLevelType w:val="hybridMultilevel"/>
    <w:tmpl w:val="98E2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FD41C8"/>
    <w:multiLevelType w:val="hybridMultilevel"/>
    <w:tmpl w:val="55C27D3C"/>
    <w:lvl w:ilvl="0" w:tplc="ED22B240">
      <w:start w:val="1"/>
      <w:numFmt w:val="decimal"/>
      <w:lvlText w:val="%1."/>
      <w:lvlJc w:val="left"/>
      <w:pPr>
        <w:ind w:left="720" w:hanging="360"/>
      </w:pPr>
      <w:rPr>
        <w:rFonts w:ascii="Roboto Light" w:eastAsiaTheme="minorHAnsi" w:hAnsi="Roboto Light"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CA2196"/>
    <w:multiLevelType w:val="hybridMultilevel"/>
    <w:tmpl w:val="6468811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0" w15:restartNumberingAfterBreak="0">
    <w:nsid w:val="596A02E8"/>
    <w:multiLevelType w:val="hybridMultilevel"/>
    <w:tmpl w:val="DE1C5DE8"/>
    <w:lvl w:ilvl="0" w:tplc="FFF86752">
      <w:start w:val="1"/>
      <w:numFmt w:val="lowerLetter"/>
      <w:pStyle w:val="List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FC6B49"/>
    <w:multiLevelType w:val="hybridMultilevel"/>
    <w:tmpl w:val="61DA5870"/>
    <w:lvl w:ilvl="0" w:tplc="54C09D3A">
      <w:start w:val="1"/>
      <w:numFmt w:val="decimal"/>
      <w:lvlText w:val="%1."/>
      <w:lvlJc w:val="left"/>
      <w:pPr>
        <w:ind w:left="720" w:hanging="360"/>
      </w:pPr>
      <w:rPr>
        <w:rFonts w:ascii="Roboto" w:hAnsi="Roboto" w:hint="default"/>
        <w:color w:val="000000" w:themeColor="tex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E9071DC"/>
    <w:multiLevelType w:val="hybridMultilevel"/>
    <w:tmpl w:val="8738F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7B1769"/>
    <w:multiLevelType w:val="hybridMultilevel"/>
    <w:tmpl w:val="7FC08C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16E0EC7"/>
    <w:multiLevelType w:val="hybridMultilevel"/>
    <w:tmpl w:val="40545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20E0690"/>
    <w:multiLevelType w:val="hybridMultilevel"/>
    <w:tmpl w:val="CF1A9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D11E31"/>
    <w:multiLevelType w:val="hybridMultilevel"/>
    <w:tmpl w:val="E83AB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D376EA"/>
    <w:multiLevelType w:val="hybridMultilevel"/>
    <w:tmpl w:val="5EAA22E4"/>
    <w:lvl w:ilvl="0" w:tplc="0554E0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2C5F64"/>
    <w:multiLevelType w:val="hybridMultilevel"/>
    <w:tmpl w:val="819A8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135365"/>
    <w:multiLevelType w:val="hybridMultilevel"/>
    <w:tmpl w:val="0B922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A227EE"/>
    <w:multiLevelType w:val="hybridMultilevel"/>
    <w:tmpl w:val="43B6EAF2"/>
    <w:lvl w:ilvl="0" w:tplc="54C09D3A">
      <w:start w:val="1"/>
      <w:numFmt w:val="decimal"/>
      <w:lvlText w:val="%1."/>
      <w:lvlJc w:val="left"/>
      <w:pPr>
        <w:ind w:left="780" w:hanging="360"/>
      </w:pPr>
      <w:rPr>
        <w:rFonts w:ascii="Roboto" w:hAnsi="Roboto" w:hint="default"/>
        <w:color w:val="000000" w:themeColor="text1"/>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6ADD7345"/>
    <w:multiLevelType w:val="hybridMultilevel"/>
    <w:tmpl w:val="5AF859C4"/>
    <w:lvl w:ilvl="0" w:tplc="1B585E9E">
      <w:start w:val="1"/>
      <w:numFmt w:val="lowerRoman"/>
      <w:pStyle w:val="ListNumbered2"/>
      <w:lvlText w:val="%1."/>
      <w:lvlJc w:val="righ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2" w15:restartNumberingAfterBreak="0">
    <w:nsid w:val="6D3D7DBF"/>
    <w:multiLevelType w:val="hybridMultilevel"/>
    <w:tmpl w:val="D3DAC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185EAB"/>
    <w:multiLevelType w:val="hybridMultilevel"/>
    <w:tmpl w:val="206080DA"/>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44" w15:restartNumberingAfterBreak="0">
    <w:nsid w:val="72F85424"/>
    <w:multiLevelType w:val="multilevel"/>
    <w:tmpl w:val="5ED46A82"/>
    <w:lvl w:ilvl="0">
      <w:start w:val="1"/>
      <w:numFmt w:val="upperLetter"/>
      <w:pStyle w:val="Annextitle"/>
      <w:lvlText w:val="Annex %1"/>
      <w:lvlJc w:val="left"/>
      <w:pPr>
        <w:tabs>
          <w:tab w:val="num" w:pos="360"/>
        </w:tabs>
        <w:ind w:left="360" w:hanging="360"/>
      </w:pPr>
      <w:rPr>
        <w:rFonts w:ascii="Poppins" w:hAnsi="Poppins" w:cs="Poppins" w:hint="default"/>
      </w:rPr>
    </w:lvl>
    <w:lvl w:ilvl="1">
      <w:start w:val="1"/>
      <w:numFmt w:val="decimal"/>
      <w:pStyle w:val="Annexheading1"/>
      <w:lvlText w:val="%1.%2"/>
      <w:lvlJc w:val="left"/>
      <w:pPr>
        <w:tabs>
          <w:tab w:val="num" w:pos="5966"/>
        </w:tabs>
        <w:ind w:left="5966"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nnexheading2"/>
      <w:lvlText w:val="%1.%2.%3"/>
      <w:lvlJc w:val="left"/>
      <w:pPr>
        <w:tabs>
          <w:tab w:val="num" w:pos="3272"/>
        </w:tabs>
        <w:ind w:left="3272"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lvlText w:val="Table %1.%5"/>
      <w:lvlJc w:val="left"/>
      <w:pPr>
        <w:tabs>
          <w:tab w:val="num" w:pos="1440"/>
        </w:tabs>
        <w:ind w:left="1440" w:hanging="1440"/>
      </w:pPr>
      <w:rPr>
        <w:rFonts w:hint="default"/>
      </w:rPr>
    </w:lvl>
    <w:lvl w:ilvl="5">
      <w:start w:val="1"/>
      <w:numFmt w:val="decimal"/>
      <w:lvlRestart w:val="1"/>
      <w:lvlText w:val="Figure %1.%6"/>
      <w:lvlJc w:val="left"/>
      <w:pPr>
        <w:tabs>
          <w:tab w:val="num" w:pos="1440"/>
        </w:tabs>
        <w:ind w:left="1440" w:hanging="1440"/>
      </w:pPr>
      <w:rPr>
        <w:rFonts w:hint="default"/>
      </w:rPr>
    </w:lvl>
    <w:lvl w:ilvl="6">
      <w:start w:val="1"/>
      <w:numFmt w:val="decimal"/>
      <w:lvlRestart w:val="1"/>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74606AAD"/>
    <w:multiLevelType w:val="hybridMultilevel"/>
    <w:tmpl w:val="6C661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4F40876"/>
    <w:multiLevelType w:val="hybridMultilevel"/>
    <w:tmpl w:val="759C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855E72"/>
    <w:multiLevelType w:val="multilevel"/>
    <w:tmpl w:val="8CE4770E"/>
    <w:lvl w:ilvl="0">
      <w:start w:val="1"/>
      <w:numFmt w:val="decimal"/>
      <w:pStyle w:val="Heading1"/>
      <w:lvlText w:val="%1"/>
      <w:lvlJc w:val="left"/>
      <w:pPr>
        <w:tabs>
          <w:tab w:val="num" w:pos="851"/>
        </w:tabs>
        <w:ind w:left="851" w:hanging="851"/>
      </w:pPr>
      <w:rPr>
        <w:rFonts w:hint="default"/>
      </w:rPr>
    </w:lvl>
    <w:lvl w:ilvl="1">
      <w:start w:val="1"/>
      <w:numFmt w:val="decimal"/>
      <w:pStyle w:val="Heading2"/>
      <w:isLgl/>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48" w15:restartNumberingAfterBreak="0">
    <w:nsid w:val="79C67CC8"/>
    <w:multiLevelType w:val="hybridMultilevel"/>
    <w:tmpl w:val="AB80EE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ACA7A51"/>
    <w:multiLevelType w:val="hybridMultilevel"/>
    <w:tmpl w:val="95CAF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E350385"/>
    <w:multiLevelType w:val="hybridMultilevel"/>
    <w:tmpl w:val="F8FEAA5C"/>
    <w:lvl w:ilvl="0" w:tplc="15E8BCB4">
      <w:start w:val="1"/>
      <w:numFmt w:val="decimal"/>
      <w:pStyle w:val="ListNumbered"/>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51" w15:restartNumberingAfterBreak="0">
    <w:nsid w:val="7F152689"/>
    <w:multiLevelType w:val="hybridMultilevel"/>
    <w:tmpl w:val="FCD29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FBE6AF8"/>
    <w:multiLevelType w:val="multilevel"/>
    <w:tmpl w:val="33BE5E92"/>
    <w:numStyleLink w:val="ListBullets"/>
  </w:abstractNum>
  <w:num w:numId="1">
    <w:abstractNumId w:val="50"/>
  </w:num>
  <w:num w:numId="2">
    <w:abstractNumId w:val="44"/>
  </w:num>
  <w:num w:numId="3">
    <w:abstractNumId w:val="47"/>
  </w:num>
  <w:num w:numId="4">
    <w:abstractNumId w:val="52"/>
  </w:num>
  <w:num w:numId="5">
    <w:abstractNumId w:val="9"/>
  </w:num>
  <w:num w:numId="6">
    <w:abstractNumId w:val="19"/>
  </w:num>
  <w:num w:numId="7">
    <w:abstractNumId w:val="30"/>
  </w:num>
  <w:num w:numId="8">
    <w:abstractNumId w:val="41"/>
  </w:num>
  <w:num w:numId="9">
    <w:abstractNumId w:val="0"/>
  </w:num>
  <w:num w:numId="10">
    <w:abstractNumId w:val="10"/>
  </w:num>
  <w:num w:numId="11">
    <w:abstractNumId w:val="38"/>
  </w:num>
  <w:num w:numId="12">
    <w:abstractNumId w:val="39"/>
  </w:num>
  <w:num w:numId="13">
    <w:abstractNumId w:val="37"/>
  </w:num>
  <w:num w:numId="14">
    <w:abstractNumId w:val="4"/>
  </w:num>
  <w:num w:numId="15">
    <w:abstractNumId w:val="3"/>
  </w:num>
  <w:num w:numId="16">
    <w:abstractNumId w:val="17"/>
  </w:num>
  <w:num w:numId="17">
    <w:abstractNumId w:val="5"/>
  </w:num>
  <w:num w:numId="18">
    <w:abstractNumId w:val="13"/>
    <w:lvlOverride w:ilvl="0">
      <w:startOverride w:val="1"/>
    </w:lvlOverride>
    <w:lvlOverride w:ilvl="1"/>
    <w:lvlOverride w:ilvl="2"/>
    <w:lvlOverride w:ilvl="3"/>
    <w:lvlOverride w:ilvl="4"/>
    <w:lvlOverride w:ilvl="5"/>
    <w:lvlOverride w:ilvl="6"/>
    <w:lvlOverride w:ilvl="7"/>
    <w:lvlOverride w:ilvl="8"/>
  </w:num>
  <w:num w:numId="19">
    <w:abstractNumId w:val="20"/>
  </w:num>
  <w:num w:numId="20">
    <w:abstractNumId w:val="15"/>
  </w:num>
  <w:num w:numId="21">
    <w:abstractNumId w:val="34"/>
  </w:num>
  <w:num w:numId="22">
    <w:abstractNumId w:val="46"/>
  </w:num>
  <w:num w:numId="23">
    <w:abstractNumId w:val="35"/>
  </w:num>
  <w:num w:numId="24">
    <w:abstractNumId w:val="8"/>
  </w:num>
  <w:num w:numId="25">
    <w:abstractNumId w:val="12"/>
  </w:num>
  <w:num w:numId="26">
    <w:abstractNumId w:val="28"/>
  </w:num>
  <w:num w:numId="27">
    <w:abstractNumId w:val="25"/>
  </w:num>
  <w:num w:numId="28">
    <w:abstractNumId w:val="45"/>
  </w:num>
  <w:num w:numId="29">
    <w:abstractNumId w:val="1"/>
  </w:num>
  <w:num w:numId="30">
    <w:abstractNumId w:val="51"/>
  </w:num>
  <w:num w:numId="31">
    <w:abstractNumId w:val="23"/>
  </w:num>
  <w:num w:numId="32">
    <w:abstractNumId w:val="26"/>
  </w:num>
  <w:num w:numId="33">
    <w:abstractNumId w:val="33"/>
  </w:num>
  <w:num w:numId="34">
    <w:abstractNumId w:val="49"/>
  </w:num>
  <w:num w:numId="35">
    <w:abstractNumId w:val="6"/>
  </w:num>
  <w:num w:numId="36">
    <w:abstractNumId w:val="32"/>
  </w:num>
  <w:num w:numId="37">
    <w:abstractNumId w:val="7"/>
  </w:num>
  <w:num w:numId="38">
    <w:abstractNumId w:val="36"/>
  </w:num>
  <w:num w:numId="39">
    <w:abstractNumId w:val="14"/>
  </w:num>
  <w:num w:numId="40">
    <w:abstractNumId w:val="43"/>
  </w:num>
  <w:num w:numId="41">
    <w:abstractNumId w:val="24"/>
  </w:num>
  <w:num w:numId="42">
    <w:abstractNumId w:val="42"/>
  </w:num>
  <w:num w:numId="43">
    <w:abstractNumId w:val="16"/>
  </w:num>
  <w:num w:numId="44">
    <w:abstractNumId w:val="21"/>
  </w:num>
  <w:num w:numId="45">
    <w:abstractNumId w:val="50"/>
    <w:lvlOverride w:ilvl="0">
      <w:startOverride w:val="1"/>
    </w:lvlOverride>
  </w:num>
  <w:num w:numId="46">
    <w:abstractNumId w:val="2"/>
  </w:num>
  <w:num w:numId="47">
    <w:abstractNumId w:val="22"/>
  </w:num>
  <w:num w:numId="48">
    <w:abstractNumId w:val="18"/>
  </w:num>
  <w:num w:numId="49">
    <w:abstractNumId w:val="48"/>
  </w:num>
  <w:num w:numId="50">
    <w:abstractNumId w:val="31"/>
  </w:num>
  <w:num w:numId="51">
    <w:abstractNumId w:val="40"/>
  </w:num>
  <w:num w:numId="52">
    <w:abstractNumId w:val="29"/>
  </w:num>
  <w:num w:numId="53">
    <w:abstractNumId w:val="11"/>
  </w:num>
  <w:num w:numId="54">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s-ES" w:vendorID="64" w:dllVersion="6" w:nlCheck="1" w:checkStyle="0"/>
  <w:activeWritingStyle w:appName="MSWord" w:lang="en-GB" w:vendorID="64" w:dllVersion="6" w:nlCheck="1" w:checkStyle="1"/>
  <w:activeWritingStyle w:appName="MSWord" w:lang="en-AU" w:vendorID="64" w:dllVersion="6" w:nlCheck="1" w:checkStyle="1"/>
  <w:activeWritingStyle w:appName="MSWord" w:lang="en-GB" w:vendorID="64" w:dllVersion="0" w:nlCheck="1" w:checkStyle="0"/>
  <w:activeWritingStyle w:appName="MSWord" w:lang="en-AU" w:vendorID="64" w:dllVersion="0" w:nlCheck="1" w:checkStyle="0"/>
  <w:activeWritingStyle w:appName="MSWord" w:lang="es-ES" w:vendorID="64" w:dllVersion="0" w:nlCheck="1" w:checkStyle="0"/>
  <w:activeWritingStyle w:appName="MSWord" w:lang="en-AU" w:vendorID="64" w:dllVersion="131078" w:nlCheck="1" w:checkStyle="1"/>
  <w:activeWritingStyle w:appName="MSWord" w:lang="en-GB" w:vendorID="64" w:dllVersion="131078" w:nlCheck="1" w:checkStyle="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PaneSortMethod w:val="0000"/>
  <w:defaultTabStop w:val="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B57"/>
    <w:rsid w:val="00000A21"/>
    <w:rsid w:val="00000B15"/>
    <w:rsid w:val="00000B35"/>
    <w:rsid w:val="000018C6"/>
    <w:rsid w:val="00002163"/>
    <w:rsid w:val="000022AF"/>
    <w:rsid w:val="0000272C"/>
    <w:rsid w:val="000028E2"/>
    <w:rsid w:val="00002B7B"/>
    <w:rsid w:val="00003D60"/>
    <w:rsid w:val="000046B2"/>
    <w:rsid w:val="00004D40"/>
    <w:rsid w:val="00005B1E"/>
    <w:rsid w:val="00005B58"/>
    <w:rsid w:val="00006462"/>
    <w:rsid w:val="000100F1"/>
    <w:rsid w:val="0001037D"/>
    <w:rsid w:val="00010938"/>
    <w:rsid w:val="00010A95"/>
    <w:rsid w:val="000113C9"/>
    <w:rsid w:val="00011968"/>
    <w:rsid w:val="00011C70"/>
    <w:rsid w:val="0001307B"/>
    <w:rsid w:val="00013182"/>
    <w:rsid w:val="00013459"/>
    <w:rsid w:val="00013D3C"/>
    <w:rsid w:val="00013FD0"/>
    <w:rsid w:val="00014971"/>
    <w:rsid w:val="0001591D"/>
    <w:rsid w:val="00017631"/>
    <w:rsid w:val="00017698"/>
    <w:rsid w:val="00017A58"/>
    <w:rsid w:val="000202B2"/>
    <w:rsid w:val="00020A0B"/>
    <w:rsid w:val="00021D3E"/>
    <w:rsid w:val="0002211F"/>
    <w:rsid w:val="000224B9"/>
    <w:rsid w:val="00022A64"/>
    <w:rsid w:val="00022B7B"/>
    <w:rsid w:val="00023557"/>
    <w:rsid w:val="000236DE"/>
    <w:rsid w:val="000247F2"/>
    <w:rsid w:val="000248A6"/>
    <w:rsid w:val="000250AF"/>
    <w:rsid w:val="00025CD2"/>
    <w:rsid w:val="0002623B"/>
    <w:rsid w:val="0002634B"/>
    <w:rsid w:val="00026D14"/>
    <w:rsid w:val="00027A23"/>
    <w:rsid w:val="00027D39"/>
    <w:rsid w:val="000308DB"/>
    <w:rsid w:val="00030C1C"/>
    <w:rsid w:val="00030FBD"/>
    <w:rsid w:val="00032D22"/>
    <w:rsid w:val="00033514"/>
    <w:rsid w:val="00033980"/>
    <w:rsid w:val="0003462A"/>
    <w:rsid w:val="000346A5"/>
    <w:rsid w:val="00034B63"/>
    <w:rsid w:val="00034C39"/>
    <w:rsid w:val="00034EDD"/>
    <w:rsid w:val="0003605B"/>
    <w:rsid w:val="000362FE"/>
    <w:rsid w:val="000368F2"/>
    <w:rsid w:val="0003766D"/>
    <w:rsid w:val="000378F9"/>
    <w:rsid w:val="0004004F"/>
    <w:rsid w:val="0004139E"/>
    <w:rsid w:val="00041A07"/>
    <w:rsid w:val="00042091"/>
    <w:rsid w:val="00042546"/>
    <w:rsid w:val="00042A3A"/>
    <w:rsid w:val="00042D01"/>
    <w:rsid w:val="0004326B"/>
    <w:rsid w:val="0004346E"/>
    <w:rsid w:val="000436A1"/>
    <w:rsid w:val="00043966"/>
    <w:rsid w:val="000441CA"/>
    <w:rsid w:val="00044275"/>
    <w:rsid w:val="00044AC5"/>
    <w:rsid w:val="00044F28"/>
    <w:rsid w:val="00045394"/>
    <w:rsid w:val="0004570F"/>
    <w:rsid w:val="00046A5A"/>
    <w:rsid w:val="00046C3E"/>
    <w:rsid w:val="000476A4"/>
    <w:rsid w:val="00047913"/>
    <w:rsid w:val="00047AFB"/>
    <w:rsid w:val="00047D3A"/>
    <w:rsid w:val="00050280"/>
    <w:rsid w:val="000509DE"/>
    <w:rsid w:val="00050FD0"/>
    <w:rsid w:val="000510D2"/>
    <w:rsid w:val="00051208"/>
    <w:rsid w:val="000513BE"/>
    <w:rsid w:val="00051759"/>
    <w:rsid w:val="000520F5"/>
    <w:rsid w:val="00052506"/>
    <w:rsid w:val="000525FD"/>
    <w:rsid w:val="00052D65"/>
    <w:rsid w:val="00052DCD"/>
    <w:rsid w:val="00052F1C"/>
    <w:rsid w:val="0005315A"/>
    <w:rsid w:val="00053238"/>
    <w:rsid w:val="0005328A"/>
    <w:rsid w:val="00053778"/>
    <w:rsid w:val="00053891"/>
    <w:rsid w:val="00053A47"/>
    <w:rsid w:val="00053CF9"/>
    <w:rsid w:val="0005501D"/>
    <w:rsid w:val="00057663"/>
    <w:rsid w:val="00057671"/>
    <w:rsid w:val="000606A8"/>
    <w:rsid w:val="000610EE"/>
    <w:rsid w:val="00061AAC"/>
    <w:rsid w:val="0006274C"/>
    <w:rsid w:val="00062CD8"/>
    <w:rsid w:val="00063370"/>
    <w:rsid w:val="000639F7"/>
    <w:rsid w:val="00065AA3"/>
    <w:rsid w:val="000667A7"/>
    <w:rsid w:val="00066EB9"/>
    <w:rsid w:val="0006700D"/>
    <w:rsid w:val="00067458"/>
    <w:rsid w:val="00067463"/>
    <w:rsid w:val="00070C0B"/>
    <w:rsid w:val="000714C1"/>
    <w:rsid w:val="00071851"/>
    <w:rsid w:val="00071D6F"/>
    <w:rsid w:val="000720DB"/>
    <w:rsid w:val="000721EE"/>
    <w:rsid w:val="00072A30"/>
    <w:rsid w:val="00072C8C"/>
    <w:rsid w:val="000744F2"/>
    <w:rsid w:val="0007476C"/>
    <w:rsid w:val="000749B8"/>
    <w:rsid w:val="00074B3A"/>
    <w:rsid w:val="0007693E"/>
    <w:rsid w:val="00076B81"/>
    <w:rsid w:val="00077023"/>
    <w:rsid w:val="00080099"/>
    <w:rsid w:val="00080B13"/>
    <w:rsid w:val="00080D31"/>
    <w:rsid w:val="00082162"/>
    <w:rsid w:val="000827C8"/>
    <w:rsid w:val="0008305D"/>
    <w:rsid w:val="00083990"/>
    <w:rsid w:val="00084612"/>
    <w:rsid w:val="00084B49"/>
    <w:rsid w:val="000871CA"/>
    <w:rsid w:val="000904CA"/>
    <w:rsid w:val="00090707"/>
    <w:rsid w:val="00090A5B"/>
    <w:rsid w:val="00090BEB"/>
    <w:rsid w:val="0009125E"/>
    <w:rsid w:val="00091600"/>
    <w:rsid w:val="0009178F"/>
    <w:rsid w:val="00091B5F"/>
    <w:rsid w:val="000926C7"/>
    <w:rsid w:val="0009298E"/>
    <w:rsid w:val="00092F70"/>
    <w:rsid w:val="000932AD"/>
    <w:rsid w:val="00093C8C"/>
    <w:rsid w:val="000940C2"/>
    <w:rsid w:val="000959C2"/>
    <w:rsid w:val="00095A1E"/>
    <w:rsid w:val="00095B64"/>
    <w:rsid w:val="000965A3"/>
    <w:rsid w:val="00097E1E"/>
    <w:rsid w:val="000A0204"/>
    <w:rsid w:val="000A21CE"/>
    <w:rsid w:val="000A2389"/>
    <w:rsid w:val="000A26DB"/>
    <w:rsid w:val="000A2D4A"/>
    <w:rsid w:val="000A3572"/>
    <w:rsid w:val="000A45E2"/>
    <w:rsid w:val="000A588E"/>
    <w:rsid w:val="000A5C9E"/>
    <w:rsid w:val="000A5CB1"/>
    <w:rsid w:val="000A5DBA"/>
    <w:rsid w:val="000A665D"/>
    <w:rsid w:val="000A674F"/>
    <w:rsid w:val="000A683C"/>
    <w:rsid w:val="000A70C2"/>
    <w:rsid w:val="000A7831"/>
    <w:rsid w:val="000A7986"/>
    <w:rsid w:val="000B0D4A"/>
    <w:rsid w:val="000B10C1"/>
    <w:rsid w:val="000B19EB"/>
    <w:rsid w:val="000B26D7"/>
    <w:rsid w:val="000B28A3"/>
    <w:rsid w:val="000B2BBC"/>
    <w:rsid w:val="000B3133"/>
    <w:rsid w:val="000B39E5"/>
    <w:rsid w:val="000B3CCE"/>
    <w:rsid w:val="000B4338"/>
    <w:rsid w:val="000B4400"/>
    <w:rsid w:val="000B5419"/>
    <w:rsid w:val="000B56B1"/>
    <w:rsid w:val="000B5A13"/>
    <w:rsid w:val="000B5F8D"/>
    <w:rsid w:val="000C057F"/>
    <w:rsid w:val="000C12BF"/>
    <w:rsid w:val="000C14FA"/>
    <w:rsid w:val="000C1F83"/>
    <w:rsid w:val="000C2619"/>
    <w:rsid w:val="000C331E"/>
    <w:rsid w:val="000C351F"/>
    <w:rsid w:val="000C3923"/>
    <w:rsid w:val="000C3A3A"/>
    <w:rsid w:val="000C3C67"/>
    <w:rsid w:val="000C49BB"/>
    <w:rsid w:val="000C579E"/>
    <w:rsid w:val="000C5DD4"/>
    <w:rsid w:val="000C5F1D"/>
    <w:rsid w:val="000C6054"/>
    <w:rsid w:val="000C613B"/>
    <w:rsid w:val="000C627C"/>
    <w:rsid w:val="000C6453"/>
    <w:rsid w:val="000C6AA3"/>
    <w:rsid w:val="000C6B9C"/>
    <w:rsid w:val="000C726E"/>
    <w:rsid w:val="000C7C8E"/>
    <w:rsid w:val="000D03C1"/>
    <w:rsid w:val="000D0D3F"/>
    <w:rsid w:val="000D0EA1"/>
    <w:rsid w:val="000D1296"/>
    <w:rsid w:val="000D2608"/>
    <w:rsid w:val="000D3B1B"/>
    <w:rsid w:val="000D3B3D"/>
    <w:rsid w:val="000D3DFE"/>
    <w:rsid w:val="000D4E0D"/>
    <w:rsid w:val="000D4F1B"/>
    <w:rsid w:val="000D5EE3"/>
    <w:rsid w:val="000D6752"/>
    <w:rsid w:val="000D6E06"/>
    <w:rsid w:val="000D7898"/>
    <w:rsid w:val="000D7B93"/>
    <w:rsid w:val="000E07A3"/>
    <w:rsid w:val="000E1429"/>
    <w:rsid w:val="000E1C60"/>
    <w:rsid w:val="000E1DA8"/>
    <w:rsid w:val="000E2941"/>
    <w:rsid w:val="000E35C1"/>
    <w:rsid w:val="000E3BAD"/>
    <w:rsid w:val="000E57A6"/>
    <w:rsid w:val="000E68AA"/>
    <w:rsid w:val="000E6A6C"/>
    <w:rsid w:val="000E7082"/>
    <w:rsid w:val="000E73B1"/>
    <w:rsid w:val="000E758C"/>
    <w:rsid w:val="000E7BB9"/>
    <w:rsid w:val="000F13E5"/>
    <w:rsid w:val="000F14C3"/>
    <w:rsid w:val="000F2262"/>
    <w:rsid w:val="000F22FB"/>
    <w:rsid w:val="000F28DD"/>
    <w:rsid w:val="000F3BEA"/>
    <w:rsid w:val="000F4B57"/>
    <w:rsid w:val="000F4F3C"/>
    <w:rsid w:val="000F5157"/>
    <w:rsid w:val="000F519C"/>
    <w:rsid w:val="000F649B"/>
    <w:rsid w:val="000F680C"/>
    <w:rsid w:val="000F6D3D"/>
    <w:rsid w:val="000F707D"/>
    <w:rsid w:val="000F747F"/>
    <w:rsid w:val="000F7BB7"/>
    <w:rsid w:val="001008F2"/>
    <w:rsid w:val="00100B3D"/>
    <w:rsid w:val="001010F4"/>
    <w:rsid w:val="001036FA"/>
    <w:rsid w:val="00103BEE"/>
    <w:rsid w:val="0010455F"/>
    <w:rsid w:val="0010469F"/>
    <w:rsid w:val="00104B37"/>
    <w:rsid w:val="00105365"/>
    <w:rsid w:val="001055F3"/>
    <w:rsid w:val="00105736"/>
    <w:rsid w:val="001075F1"/>
    <w:rsid w:val="00107843"/>
    <w:rsid w:val="00107BBD"/>
    <w:rsid w:val="00107D5A"/>
    <w:rsid w:val="00107E47"/>
    <w:rsid w:val="00111617"/>
    <w:rsid w:val="00111C15"/>
    <w:rsid w:val="00111D7E"/>
    <w:rsid w:val="00111E66"/>
    <w:rsid w:val="00111F69"/>
    <w:rsid w:val="00112430"/>
    <w:rsid w:val="00112876"/>
    <w:rsid w:val="00113113"/>
    <w:rsid w:val="001139A9"/>
    <w:rsid w:val="00113F1D"/>
    <w:rsid w:val="0011421B"/>
    <w:rsid w:val="0011484A"/>
    <w:rsid w:val="00114E5C"/>
    <w:rsid w:val="00115318"/>
    <w:rsid w:val="001159E1"/>
    <w:rsid w:val="001169AF"/>
    <w:rsid w:val="00116D62"/>
    <w:rsid w:val="00117114"/>
    <w:rsid w:val="00117905"/>
    <w:rsid w:val="00117D7F"/>
    <w:rsid w:val="00117EFD"/>
    <w:rsid w:val="00120D55"/>
    <w:rsid w:val="0012102C"/>
    <w:rsid w:val="001214E4"/>
    <w:rsid w:val="00121975"/>
    <w:rsid w:val="00122024"/>
    <w:rsid w:val="00122C4C"/>
    <w:rsid w:val="001232EE"/>
    <w:rsid w:val="00124533"/>
    <w:rsid w:val="001246A4"/>
    <w:rsid w:val="00124B7E"/>
    <w:rsid w:val="00124C83"/>
    <w:rsid w:val="00124EFD"/>
    <w:rsid w:val="00125EDB"/>
    <w:rsid w:val="00126578"/>
    <w:rsid w:val="00126A3F"/>
    <w:rsid w:val="00126A91"/>
    <w:rsid w:val="001273A0"/>
    <w:rsid w:val="001275E4"/>
    <w:rsid w:val="00127604"/>
    <w:rsid w:val="00130092"/>
    <w:rsid w:val="001300FB"/>
    <w:rsid w:val="001305C5"/>
    <w:rsid w:val="001317DD"/>
    <w:rsid w:val="00132F63"/>
    <w:rsid w:val="001334B3"/>
    <w:rsid w:val="00133711"/>
    <w:rsid w:val="0013376A"/>
    <w:rsid w:val="00134542"/>
    <w:rsid w:val="001349F1"/>
    <w:rsid w:val="00134AC4"/>
    <w:rsid w:val="001350BE"/>
    <w:rsid w:val="001358EA"/>
    <w:rsid w:val="00135CF9"/>
    <w:rsid w:val="00137DA0"/>
    <w:rsid w:val="00140087"/>
    <w:rsid w:val="001422B3"/>
    <w:rsid w:val="001423B7"/>
    <w:rsid w:val="00142CD0"/>
    <w:rsid w:val="00142CFA"/>
    <w:rsid w:val="00143941"/>
    <w:rsid w:val="0014424E"/>
    <w:rsid w:val="00144775"/>
    <w:rsid w:val="00146F78"/>
    <w:rsid w:val="001477B5"/>
    <w:rsid w:val="00147C10"/>
    <w:rsid w:val="001502FC"/>
    <w:rsid w:val="00150BFE"/>
    <w:rsid w:val="0015236B"/>
    <w:rsid w:val="00152FD3"/>
    <w:rsid w:val="00153113"/>
    <w:rsid w:val="00153185"/>
    <w:rsid w:val="0015442A"/>
    <w:rsid w:val="00155A07"/>
    <w:rsid w:val="00155F09"/>
    <w:rsid w:val="0015688F"/>
    <w:rsid w:val="001574D4"/>
    <w:rsid w:val="0015779E"/>
    <w:rsid w:val="00157959"/>
    <w:rsid w:val="00160606"/>
    <w:rsid w:val="00160B03"/>
    <w:rsid w:val="00161813"/>
    <w:rsid w:val="001620B4"/>
    <w:rsid w:val="001621CF"/>
    <w:rsid w:val="001622DB"/>
    <w:rsid w:val="001623A3"/>
    <w:rsid w:val="00162DDB"/>
    <w:rsid w:val="00162F09"/>
    <w:rsid w:val="001631C4"/>
    <w:rsid w:val="00163340"/>
    <w:rsid w:val="0016431E"/>
    <w:rsid w:val="001644C5"/>
    <w:rsid w:val="001669F8"/>
    <w:rsid w:val="00166A4C"/>
    <w:rsid w:val="0016713B"/>
    <w:rsid w:val="00167156"/>
    <w:rsid w:val="00167AA2"/>
    <w:rsid w:val="00170834"/>
    <w:rsid w:val="0017181B"/>
    <w:rsid w:val="00171B75"/>
    <w:rsid w:val="00171DE5"/>
    <w:rsid w:val="0017261A"/>
    <w:rsid w:val="00172B10"/>
    <w:rsid w:val="00173D5F"/>
    <w:rsid w:val="00174295"/>
    <w:rsid w:val="00174D17"/>
    <w:rsid w:val="00176E7F"/>
    <w:rsid w:val="001772F7"/>
    <w:rsid w:val="00177ECD"/>
    <w:rsid w:val="001801D0"/>
    <w:rsid w:val="00180AE5"/>
    <w:rsid w:val="00181084"/>
    <w:rsid w:val="001815D8"/>
    <w:rsid w:val="001819CE"/>
    <w:rsid w:val="00183AFC"/>
    <w:rsid w:val="0018487F"/>
    <w:rsid w:val="00184C50"/>
    <w:rsid w:val="00184CBF"/>
    <w:rsid w:val="0018519C"/>
    <w:rsid w:val="00187065"/>
    <w:rsid w:val="00187081"/>
    <w:rsid w:val="001876D2"/>
    <w:rsid w:val="00187A20"/>
    <w:rsid w:val="001901CF"/>
    <w:rsid w:val="00190326"/>
    <w:rsid w:val="00190905"/>
    <w:rsid w:val="00191D0A"/>
    <w:rsid w:val="00192777"/>
    <w:rsid w:val="00192B95"/>
    <w:rsid w:val="00192E4F"/>
    <w:rsid w:val="00194112"/>
    <w:rsid w:val="0019500A"/>
    <w:rsid w:val="00195138"/>
    <w:rsid w:val="001967C3"/>
    <w:rsid w:val="001973A7"/>
    <w:rsid w:val="00197A72"/>
    <w:rsid w:val="001A02A5"/>
    <w:rsid w:val="001A04B2"/>
    <w:rsid w:val="001A04E5"/>
    <w:rsid w:val="001A1ADB"/>
    <w:rsid w:val="001A1B7B"/>
    <w:rsid w:val="001A23E7"/>
    <w:rsid w:val="001A249A"/>
    <w:rsid w:val="001A2691"/>
    <w:rsid w:val="001A2B13"/>
    <w:rsid w:val="001A2F72"/>
    <w:rsid w:val="001A39C5"/>
    <w:rsid w:val="001A3E73"/>
    <w:rsid w:val="001A4728"/>
    <w:rsid w:val="001A5207"/>
    <w:rsid w:val="001A528A"/>
    <w:rsid w:val="001A77B2"/>
    <w:rsid w:val="001A7C85"/>
    <w:rsid w:val="001A7E11"/>
    <w:rsid w:val="001B0284"/>
    <w:rsid w:val="001B041F"/>
    <w:rsid w:val="001B1303"/>
    <w:rsid w:val="001B141D"/>
    <w:rsid w:val="001B1AA0"/>
    <w:rsid w:val="001B1BEF"/>
    <w:rsid w:val="001B1F70"/>
    <w:rsid w:val="001B227D"/>
    <w:rsid w:val="001B2594"/>
    <w:rsid w:val="001B26E3"/>
    <w:rsid w:val="001B29A1"/>
    <w:rsid w:val="001B2CF0"/>
    <w:rsid w:val="001B30FA"/>
    <w:rsid w:val="001B3117"/>
    <w:rsid w:val="001B3441"/>
    <w:rsid w:val="001B366B"/>
    <w:rsid w:val="001B3704"/>
    <w:rsid w:val="001B41CF"/>
    <w:rsid w:val="001B4587"/>
    <w:rsid w:val="001B4D8A"/>
    <w:rsid w:val="001B5981"/>
    <w:rsid w:val="001B6113"/>
    <w:rsid w:val="001B6BD9"/>
    <w:rsid w:val="001B6DB2"/>
    <w:rsid w:val="001B7648"/>
    <w:rsid w:val="001B786A"/>
    <w:rsid w:val="001B7E50"/>
    <w:rsid w:val="001B7F73"/>
    <w:rsid w:val="001C14B0"/>
    <w:rsid w:val="001C18ED"/>
    <w:rsid w:val="001C1C4D"/>
    <w:rsid w:val="001C2BFE"/>
    <w:rsid w:val="001C4056"/>
    <w:rsid w:val="001C433A"/>
    <w:rsid w:val="001C435F"/>
    <w:rsid w:val="001C457F"/>
    <w:rsid w:val="001C4D24"/>
    <w:rsid w:val="001C559D"/>
    <w:rsid w:val="001C569A"/>
    <w:rsid w:val="001C5A81"/>
    <w:rsid w:val="001C6AEE"/>
    <w:rsid w:val="001C7E8F"/>
    <w:rsid w:val="001C7FE9"/>
    <w:rsid w:val="001D0904"/>
    <w:rsid w:val="001D0B10"/>
    <w:rsid w:val="001D161A"/>
    <w:rsid w:val="001D1BD7"/>
    <w:rsid w:val="001D1CB6"/>
    <w:rsid w:val="001D23C1"/>
    <w:rsid w:val="001D3193"/>
    <w:rsid w:val="001D365F"/>
    <w:rsid w:val="001D3DB6"/>
    <w:rsid w:val="001D58C1"/>
    <w:rsid w:val="001D5E94"/>
    <w:rsid w:val="001D6816"/>
    <w:rsid w:val="001D6903"/>
    <w:rsid w:val="001D6B9D"/>
    <w:rsid w:val="001D6C31"/>
    <w:rsid w:val="001D6C3A"/>
    <w:rsid w:val="001D6EC8"/>
    <w:rsid w:val="001D6FBB"/>
    <w:rsid w:val="001D7B5A"/>
    <w:rsid w:val="001D7EBD"/>
    <w:rsid w:val="001E06F6"/>
    <w:rsid w:val="001E09E8"/>
    <w:rsid w:val="001E0B7E"/>
    <w:rsid w:val="001E0BA1"/>
    <w:rsid w:val="001E1C49"/>
    <w:rsid w:val="001E3410"/>
    <w:rsid w:val="001E36E1"/>
    <w:rsid w:val="001E38E5"/>
    <w:rsid w:val="001E3AFD"/>
    <w:rsid w:val="001E4983"/>
    <w:rsid w:val="001E5C29"/>
    <w:rsid w:val="001F0DA0"/>
    <w:rsid w:val="001F0E51"/>
    <w:rsid w:val="001F11FA"/>
    <w:rsid w:val="001F1595"/>
    <w:rsid w:val="001F1FD5"/>
    <w:rsid w:val="001F2059"/>
    <w:rsid w:val="001F2B41"/>
    <w:rsid w:val="001F36CB"/>
    <w:rsid w:val="001F3F06"/>
    <w:rsid w:val="001F452C"/>
    <w:rsid w:val="001F4634"/>
    <w:rsid w:val="001F4EFA"/>
    <w:rsid w:val="001F505A"/>
    <w:rsid w:val="001F5205"/>
    <w:rsid w:val="001F5B05"/>
    <w:rsid w:val="001F5FA2"/>
    <w:rsid w:val="001F6295"/>
    <w:rsid w:val="001F638A"/>
    <w:rsid w:val="001F65C9"/>
    <w:rsid w:val="001F66FC"/>
    <w:rsid w:val="001F6805"/>
    <w:rsid w:val="001F712B"/>
    <w:rsid w:val="001F7D09"/>
    <w:rsid w:val="002002DE"/>
    <w:rsid w:val="0020274D"/>
    <w:rsid w:val="0020304C"/>
    <w:rsid w:val="002033EF"/>
    <w:rsid w:val="00203C24"/>
    <w:rsid w:val="00203F20"/>
    <w:rsid w:val="00204038"/>
    <w:rsid w:val="00204672"/>
    <w:rsid w:val="00204BDC"/>
    <w:rsid w:val="002051BB"/>
    <w:rsid w:val="0020536A"/>
    <w:rsid w:val="00205D60"/>
    <w:rsid w:val="002079A0"/>
    <w:rsid w:val="00207C9F"/>
    <w:rsid w:val="00207F93"/>
    <w:rsid w:val="0021080C"/>
    <w:rsid w:val="002108D2"/>
    <w:rsid w:val="002109C0"/>
    <w:rsid w:val="00210BDD"/>
    <w:rsid w:val="00210D43"/>
    <w:rsid w:val="002112D1"/>
    <w:rsid w:val="0021188E"/>
    <w:rsid w:val="00211D86"/>
    <w:rsid w:val="00212219"/>
    <w:rsid w:val="00212C59"/>
    <w:rsid w:val="00212F6B"/>
    <w:rsid w:val="002147BF"/>
    <w:rsid w:val="00214882"/>
    <w:rsid w:val="0021525E"/>
    <w:rsid w:val="00215E5A"/>
    <w:rsid w:val="00216BE5"/>
    <w:rsid w:val="00217892"/>
    <w:rsid w:val="002205E1"/>
    <w:rsid w:val="002212A7"/>
    <w:rsid w:val="0022179E"/>
    <w:rsid w:val="002225FF"/>
    <w:rsid w:val="0022319E"/>
    <w:rsid w:val="00224294"/>
    <w:rsid w:val="00224CE8"/>
    <w:rsid w:val="002251B3"/>
    <w:rsid w:val="0022600D"/>
    <w:rsid w:val="00226298"/>
    <w:rsid w:val="0022694E"/>
    <w:rsid w:val="00226FB3"/>
    <w:rsid w:val="0023029E"/>
    <w:rsid w:val="002306CB"/>
    <w:rsid w:val="00230854"/>
    <w:rsid w:val="00230999"/>
    <w:rsid w:val="00230FFD"/>
    <w:rsid w:val="00233624"/>
    <w:rsid w:val="00233A1C"/>
    <w:rsid w:val="002344F4"/>
    <w:rsid w:val="00235EAB"/>
    <w:rsid w:val="00236F79"/>
    <w:rsid w:val="00237463"/>
    <w:rsid w:val="00237B71"/>
    <w:rsid w:val="0024017E"/>
    <w:rsid w:val="00240654"/>
    <w:rsid w:val="002408E1"/>
    <w:rsid w:val="00240CF2"/>
    <w:rsid w:val="00242631"/>
    <w:rsid w:val="00243659"/>
    <w:rsid w:val="00244C3C"/>
    <w:rsid w:val="00247978"/>
    <w:rsid w:val="002479FE"/>
    <w:rsid w:val="00247BC5"/>
    <w:rsid w:val="002500CE"/>
    <w:rsid w:val="0025054D"/>
    <w:rsid w:val="00250907"/>
    <w:rsid w:val="00250B20"/>
    <w:rsid w:val="00250BCD"/>
    <w:rsid w:val="00251577"/>
    <w:rsid w:val="0025165C"/>
    <w:rsid w:val="00251666"/>
    <w:rsid w:val="00252A62"/>
    <w:rsid w:val="00252BC1"/>
    <w:rsid w:val="00253378"/>
    <w:rsid w:val="00253610"/>
    <w:rsid w:val="002540A9"/>
    <w:rsid w:val="00254826"/>
    <w:rsid w:val="00254C45"/>
    <w:rsid w:val="00254D16"/>
    <w:rsid w:val="00255000"/>
    <w:rsid w:val="002553C5"/>
    <w:rsid w:val="002556C0"/>
    <w:rsid w:val="0025649A"/>
    <w:rsid w:val="00256B0E"/>
    <w:rsid w:val="002601D9"/>
    <w:rsid w:val="00260284"/>
    <w:rsid w:val="00260DA8"/>
    <w:rsid w:val="002610ED"/>
    <w:rsid w:val="00262047"/>
    <w:rsid w:val="00262061"/>
    <w:rsid w:val="00262314"/>
    <w:rsid w:val="00264670"/>
    <w:rsid w:val="00264746"/>
    <w:rsid w:val="002648A1"/>
    <w:rsid w:val="002648EC"/>
    <w:rsid w:val="00264C33"/>
    <w:rsid w:val="00265774"/>
    <w:rsid w:val="00265890"/>
    <w:rsid w:val="0026611D"/>
    <w:rsid w:val="0026687C"/>
    <w:rsid w:val="002672A9"/>
    <w:rsid w:val="00267AE8"/>
    <w:rsid w:val="0027065B"/>
    <w:rsid w:val="002739FC"/>
    <w:rsid w:val="0027497F"/>
    <w:rsid w:val="00274D23"/>
    <w:rsid w:val="002750B3"/>
    <w:rsid w:val="00275249"/>
    <w:rsid w:val="002754C1"/>
    <w:rsid w:val="00275E64"/>
    <w:rsid w:val="0027613F"/>
    <w:rsid w:val="00277B6A"/>
    <w:rsid w:val="00277DEB"/>
    <w:rsid w:val="00282524"/>
    <w:rsid w:val="00283B1E"/>
    <w:rsid w:val="00286357"/>
    <w:rsid w:val="00287188"/>
    <w:rsid w:val="0028749A"/>
    <w:rsid w:val="00287B25"/>
    <w:rsid w:val="00291198"/>
    <w:rsid w:val="00291254"/>
    <w:rsid w:val="002919FD"/>
    <w:rsid w:val="00291E35"/>
    <w:rsid w:val="002921CD"/>
    <w:rsid w:val="00292793"/>
    <w:rsid w:val="00293962"/>
    <w:rsid w:val="00293C38"/>
    <w:rsid w:val="00293C9C"/>
    <w:rsid w:val="00293FD4"/>
    <w:rsid w:val="00294153"/>
    <w:rsid w:val="00295EC9"/>
    <w:rsid w:val="00295FD8"/>
    <w:rsid w:val="002961F6"/>
    <w:rsid w:val="002965B0"/>
    <w:rsid w:val="00297CA4"/>
    <w:rsid w:val="002A01A8"/>
    <w:rsid w:val="002A052A"/>
    <w:rsid w:val="002A0F55"/>
    <w:rsid w:val="002A12CD"/>
    <w:rsid w:val="002A1305"/>
    <w:rsid w:val="002A15B3"/>
    <w:rsid w:val="002A2AF1"/>
    <w:rsid w:val="002A2EE7"/>
    <w:rsid w:val="002A32A8"/>
    <w:rsid w:val="002A3B1D"/>
    <w:rsid w:val="002A4203"/>
    <w:rsid w:val="002A4FFC"/>
    <w:rsid w:val="002A5322"/>
    <w:rsid w:val="002A60FF"/>
    <w:rsid w:val="002A68CB"/>
    <w:rsid w:val="002A7099"/>
    <w:rsid w:val="002A75F7"/>
    <w:rsid w:val="002A7669"/>
    <w:rsid w:val="002B0448"/>
    <w:rsid w:val="002B0592"/>
    <w:rsid w:val="002B075F"/>
    <w:rsid w:val="002B09F3"/>
    <w:rsid w:val="002B1F5E"/>
    <w:rsid w:val="002B294E"/>
    <w:rsid w:val="002B2BFD"/>
    <w:rsid w:val="002B5150"/>
    <w:rsid w:val="002B63E5"/>
    <w:rsid w:val="002B6B58"/>
    <w:rsid w:val="002B7344"/>
    <w:rsid w:val="002C02F5"/>
    <w:rsid w:val="002C0A80"/>
    <w:rsid w:val="002C0B6C"/>
    <w:rsid w:val="002C0EA2"/>
    <w:rsid w:val="002C1092"/>
    <w:rsid w:val="002C1224"/>
    <w:rsid w:val="002C152E"/>
    <w:rsid w:val="002C17B3"/>
    <w:rsid w:val="002C2370"/>
    <w:rsid w:val="002C2E41"/>
    <w:rsid w:val="002C2FC0"/>
    <w:rsid w:val="002C35E1"/>
    <w:rsid w:val="002C3617"/>
    <w:rsid w:val="002C3660"/>
    <w:rsid w:val="002C545F"/>
    <w:rsid w:val="002C557A"/>
    <w:rsid w:val="002C5B6F"/>
    <w:rsid w:val="002C65E0"/>
    <w:rsid w:val="002C6A56"/>
    <w:rsid w:val="002C6D62"/>
    <w:rsid w:val="002D051C"/>
    <w:rsid w:val="002D13B5"/>
    <w:rsid w:val="002D1C6E"/>
    <w:rsid w:val="002D1D7F"/>
    <w:rsid w:val="002D2327"/>
    <w:rsid w:val="002D27A2"/>
    <w:rsid w:val="002D3C0B"/>
    <w:rsid w:val="002D55E1"/>
    <w:rsid w:val="002D5CC2"/>
    <w:rsid w:val="002D6AC7"/>
    <w:rsid w:val="002D6B0F"/>
    <w:rsid w:val="002D6D82"/>
    <w:rsid w:val="002D7425"/>
    <w:rsid w:val="002E22E9"/>
    <w:rsid w:val="002E38D7"/>
    <w:rsid w:val="002E4A4A"/>
    <w:rsid w:val="002E79D9"/>
    <w:rsid w:val="002E7B12"/>
    <w:rsid w:val="002F0499"/>
    <w:rsid w:val="002F0905"/>
    <w:rsid w:val="002F2CD1"/>
    <w:rsid w:val="002F2D32"/>
    <w:rsid w:val="002F2D4D"/>
    <w:rsid w:val="002F42D1"/>
    <w:rsid w:val="002F46BE"/>
    <w:rsid w:val="002F48AA"/>
    <w:rsid w:val="002F49B2"/>
    <w:rsid w:val="002F4D4E"/>
    <w:rsid w:val="002F4F24"/>
    <w:rsid w:val="002F52B5"/>
    <w:rsid w:val="002F5A27"/>
    <w:rsid w:val="002F5E4F"/>
    <w:rsid w:val="002F744A"/>
    <w:rsid w:val="002F7D18"/>
    <w:rsid w:val="00300491"/>
    <w:rsid w:val="00300E86"/>
    <w:rsid w:val="00302D2B"/>
    <w:rsid w:val="00302D8A"/>
    <w:rsid w:val="00302F46"/>
    <w:rsid w:val="00303968"/>
    <w:rsid w:val="00303E4F"/>
    <w:rsid w:val="00305457"/>
    <w:rsid w:val="00305A89"/>
    <w:rsid w:val="00306193"/>
    <w:rsid w:val="0030644B"/>
    <w:rsid w:val="003065C7"/>
    <w:rsid w:val="0030709A"/>
    <w:rsid w:val="00307A17"/>
    <w:rsid w:val="00310196"/>
    <w:rsid w:val="00310542"/>
    <w:rsid w:val="00310D38"/>
    <w:rsid w:val="003120C7"/>
    <w:rsid w:val="00314371"/>
    <w:rsid w:val="003152C6"/>
    <w:rsid w:val="003157FA"/>
    <w:rsid w:val="00315865"/>
    <w:rsid w:val="00315E84"/>
    <w:rsid w:val="00316489"/>
    <w:rsid w:val="00316A7B"/>
    <w:rsid w:val="00316C19"/>
    <w:rsid w:val="003170D5"/>
    <w:rsid w:val="00317CB6"/>
    <w:rsid w:val="0032045C"/>
    <w:rsid w:val="003207DF"/>
    <w:rsid w:val="00320F46"/>
    <w:rsid w:val="00322B11"/>
    <w:rsid w:val="0032314B"/>
    <w:rsid w:val="00323A06"/>
    <w:rsid w:val="00323A54"/>
    <w:rsid w:val="0032468C"/>
    <w:rsid w:val="00325163"/>
    <w:rsid w:val="003254B8"/>
    <w:rsid w:val="003269CF"/>
    <w:rsid w:val="0032741B"/>
    <w:rsid w:val="00331658"/>
    <w:rsid w:val="00331E84"/>
    <w:rsid w:val="00331E86"/>
    <w:rsid w:val="003320CD"/>
    <w:rsid w:val="00332769"/>
    <w:rsid w:val="00332EC7"/>
    <w:rsid w:val="00334004"/>
    <w:rsid w:val="00335C17"/>
    <w:rsid w:val="00335D5A"/>
    <w:rsid w:val="00335D76"/>
    <w:rsid w:val="00336BCE"/>
    <w:rsid w:val="00336F1D"/>
    <w:rsid w:val="00337DDC"/>
    <w:rsid w:val="00337E15"/>
    <w:rsid w:val="00340106"/>
    <w:rsid w:val="00340517"/>
    <w:rsid w:val="00340AC7"/>
    <w:rsid w:val="00340BCC"/>
    <w:rsid w:val="00341B3C"/>
    <w:rsid w:val="0034274B"/>
    <w:rsid w:val="00343AED"/>
    <w:rsid w:val="00344CD7"/>
    <w:rsid w:val="003450AC"/>
    <w:rsid w:val="00345543"/>
    <w:rsid w:val="0034571C"/>
    <w:rsid w:val="00345E73"/>
    <w:rsid w:val="003460DF"/>
    <w:rsid w:val="00346D0E"/>
    <w:rsid w:val="00347111"/>
    <w:rsid w:val="003475AD"/>
    <w:rsid w:val="00350344"/>
    <w:rsid w:val="0035267F"/>
    <w:rsid w:val="00353281"/>
    <w:rsid w:val="0035359C"/>
    <w:rsid w:val="00353B3A"/>
    <w:rsid w:val="003543F1"/>
    <w:rsid w:val="003548EA"/>
    <w:rsid w:val="00355414"/>
    <w:rsid w:val="00355A46"/>
    <w:rsid w:val="00355D96"/>
    <w:rsid w:val="00355E01"/>
    <w:rsid w:val="003564AC"/>
    <w:rsid w:val="00356854"/>
    <w:rsid w:val="0035765A"/>
    <w:rsid w:val="0036132F"/>
    <w:rsid w:val="00362015"/>
    <w:rsid w:val="00362C7B"/>
    <w:rsid w:val="00363375"/>
    <w:rsid w:val="003636D4"/>
    <w:rsid w:val="00363BCB"/>
    <w:rsid w:val="00364159"/>
    <w:rsid w:val="00364333"/>
    <w:rsid w:val="0036444E"/>
    <w:rsid w:val="00364600"/>
    <w:rsid w:val="00364DA5"/>
    <w:rsid w:val="003654B7"/>
    <w:rsid w:val="00365E38"/>
    <w:rsid w:val="0036712E"/>
    <w:rsid w:val="0036739C"/>
    <w:rsid w:val="00367F1D"/>
    <w:rsid w:val="00370DA1"/>
    <w:rsid w:val="00370DA4"/>
    <w:rsid w:val="00371294"/>
    <w:rsid w:val="00371BCA"/>
    <w:rsid w:val="00373080"/>
    <w:rsid w:val="0037397D"/>
    <w:rsid w:val="00373A68"/>
    <w:rsid w:val="00374AA2"/>
    <w:rsid w:val="00374B19"/>
    <w:rsid w:val="00374B5A"/>
    <w:rsid w:val="00374EAA"/>
    <w:rsid w:val="00375E86"/>
    <w:rsid w:val="00376624"/>
    <w:rsid w:val="0037686A"/>
    <w:rsid w:val="00376990"/>
    <w:rsid w:val="00376AC8"/>
    <w:rsid w:val="00376C39"/>
    <w:rsid w:val="00376D77"/>
    <w:rsid w:val="003775DA"/>
    <w:rsid w:val="00377D34"/>
    <w:rsid w:val="003800CF"/>
    <w:rsid w:val="00380615"/>
    <w:rsid w:val="003816F4"/>
    <w:rsid w:val="00381EFB"/>
    <w:rsid w:val="003820C5"/>
    <w:rsid w:val="00382370"/>
    <w:rsid w:val="003823B4"/>
    <w:rsid w:val="00382F5E"/>
    <w:rsid w:val="003832CD"/>
    <w:rsid w:val="00384BD0"/>
    <w:rsid w:val="003851D8"/>
    <w:rsid w:val="00385440"/>
    <w:rsid w:val="003859BC"/>
    <w:rsid w:val="00386466"/>
    <w:rsid w:val="003865C3"/>
    <w:rsid w:val="003870AC"/>
    <w:rsid w:val="0038714D"/>
    <w:rsid w:val="00387AA0"/>
    <w:rsid w:val="003903EA"/>
    <w:rsid w:val="003904E2"/>
    <w:rsid w:val="00390A89"/>
    <w:rsid w:val="00390F5F"/>
    <w:rsid w:val="003910CC"/>
    <w:rsid w:val="003910E0"/>
    <w:rsid w:val="00391362"/>
    <w:rsid w:val="003915E6"/>
    <w:rsid w:val="00391712"/>
    <w:rsid w:val="0039289C"/>
    <w:rsid w:val="0039307D"/>
    <w:rsid w:val="003948A2"/>
    <w:rsid w:val="00394EA1"/>
    <w:rsid w:val="0039601B"/>
    <w:rsid w:val="003974DA"/>
    <w:rsid w:val="003978B8"/>
    <w:rsid w:val="00397D12"/>
    <w:rsid w:val="003A00F2"/>
    <w:rsid w:val="003A059C"/>
    <w:rsid w:val="003A05CC"/>
    <w:rsid w:val="003A41C1"/>
    <w:rsid w:val="003A444B"/>
    <w:rsid w:val="003A4766"/>
    <w:rsid w:val="003A51A3"/>
    <w:rsid w:val="003A609A"/>
    <w:rsid w:val="003A6C6D"/>
    <w:rsid w:val="003A6D06"/>
    <w:rsid w:val="003A7908"/>
    <w:rsid w:val="003A7FB8"/>
    <w:rsid w:val="003B06CE"/>
    <w:rsid w:val="003B11C7"/>
    <w:rsid w:val="003B23D9"/>
    <w:rsid w:val="003B24DF"/>
    <w:rsid w:val="003B266A"/>
    <w:rsid w:val="003B2803"/>
    <w:rsid w:val="003B2986"/>
    <w:rsid w:val="003B347E"/>
    <w:rsid w:val="003B3DA9"/>
    <w:rsid w:val="003B51F7"/>
    <w:rsid w:val="003B522E"/>
    <w:rsid w:val="003B5BE0"/>
    <w:rsid w:val="003B5E06"/>
    <w:rsid w:val="003B64B2"/>
    <w:rsid w:val="003B7A8A"/>
    <w:rsid w:val="003B7DC2"/>
    <w:rsid w:val="003C1080"/>
    <w:rsid w:val="003C2F63"/>
    <w:rsid w:val="003C3391"/>
    <w:rsid w:val="003C3A29"/>
    <w:rsid w:val="003C3C3A"/>
    <w:rsid w:val="003C3D8B"/>
    <w:rsid w:val="003C422D"/>
    <w:rsid w:val="003C460E"/>
    <w:rsid w:val="003C46B8"/>
    <w:rsid w:val="003C4FF6"/>
    <w:rsid w:val="003C5372"/>
    <w:rsid w:val="003C5B4E"/>
    <w:rsid w:val="003C6D01"/>
    <w:rsid w:val="003C6FF5"/>
    <w:rsid w:val="003C7EE1"/>
    <w:rsid w:val="003D091D"/>
    <w:rsid w:val="003D1132"/>
    <w:rsid w:val="003D18A0"/>
    <w:rsid w:val="003D1B45"/>
    <w:rsid w:val="003D1C12"/>
    <w:rsid w:val="003D1F95"/>
    <w:rsid w:val="003D2089"/>
    <w:rsid w:val="003D3979"/>
    <w:rsid w:val="003D39A7"/>
    <w:rsid w:val="003D4183"/>
    <w:rsid w:val="003D4409"/>
    <w:rsid w:val="003D6D5E"/>
    <w:rsid w:val="003D6D68"/>
    <w:rsid w:val="003D6FB3"/>
    <w:rsid w:val="003D7059"/>
    <w:rsid w:val="003D74FA"/>
    <w:rsid w:val="003D78C7"/>
    <w:rsid w:val="003E016E"/>
    <w:rsid w:val="003E01E8"/>
    <w:rsid w:val="003E044F"/>
    <w:rsid w:val="003E0F0C"/>
    <w:rsid w:val="003E2300"/>
    <w:rsid w:val="003E2753"/>
    <w:rsid w:val="003E29A4"/>
    <w:rsid w:val="003E3098"/>
    <w:rsid w:val="003E30B5"/>
    <w:rsid w:val="003E3428"/>
    <w:rsid w:val="003E344B"/>
    <w:rsid w:val="003E34F5"/>
    <w:rsid w:val="003E39BE"/>
    <w:rsid w:val="003E3A6D"/>
    <w:rsid w:val="003E4E11"/>
    <w:rsid w:val="003E4E2C"/>
    <w:rsid w:val="003E52C4"/>
    <w:rsid w:val="003E5ACF"/>
    <w:rsid w:val="003E5DD6"/>
    <w:rsid w:val="003E6319"/>
    <w:rsid w:val="003E762C"/>
    <w:rsid w:val="003F0B6E"/>
    <w:rsid w:val="003F0E6E"/>
    <w:rsid w:val="003F14B5"/>
    <w:rsid w:val="003F14F4"/>
    <w:rsid w:val="003F1AB2"/>
    <w:rsid w:val="003F27D6"/>
    <w:rsid w:val="003F27E0"/>
    <w:rsid w:val="003F2E2D"/>
    <w:rsid w:val="003F2E32"/>
    <w:rsid w:val="003F3A4F"/>
    <w:rsid w:val="003F3C6B"/>
    <w:rsid w:val="003F3E69"/>
    <w:rsid w:val="003F4553"/>
    <w:rsid w:val="003F4605"/>
    <w:rsid w:val="003F57A5"/>
    <w:rsid w:val="003F5979"/>
    <w:rsid w:val="003F5FF8"/>
    <w:rsid w:val="003F6137"/>
    <w:rsid w:val="003F6675"/>
    <w:rsid w:val="003F6792"/>
    <w:rsid w:val="003F6C3C"/>
    <w:rsid w:val="003F6D06"/>
    <w:rsid w:val="003F7250"/>
    <w:rsid w:val="003F7359"/>
    <w:rsid w:val="003F7734"/>
    <w:rsid w:val="003F787F"/>
    <w:rsid w:val="003F7EC0"/>
    <w:rsid w:val="00400539"/>
    <w:rsid w:val="00400F6E"/>
    <w:rsid w:val="00402C79"/>
    <w:rsid w:val="004038B1"/>
    <w:rsid w:val="00403EA3"/>
    <w:rsid w:val="00404585"/>
    <w:rsid w:val="00404B30"/>
    <w:rsid w:val="004063E8"/>
    <w:rsid w:val="00407CC8"/>
    <w:rsid w:val="00407D9A"/>
    <w:rsid w:val="00407D9E"/>
    <w:rsid w:val="004119CB"/>
    <w:rsid w:val="00411DC0"/>
    <w:rsid w:val="00412118"/>
    <w:rsid w:val="004121FE"/>
    <w:rsid w:val="00412299"/>
    <w:rsid w:val="0041229D"/>
    <w:rsid w:val="00412996"/>
    <w:rsid w:val="00413605"/>
    <w:rsid w:val="0041398F"/>
    <w:rsid w:val="00413FE2"/>
    <w:rsid w:val="004144FB"/>
    <w:rsid w:val="004149EE"/>
    <w:rsid w:val="00414EAE"/>
    <w:rsid w:val="00414EC1"/>
    <w:rsid w:val="00415B1C"/>
    <w:rsid w:val="00415C1C"/>
    <w:rsid w:val="00415ECA"/>
    <w:rsid w:val="004160A2"/>
    <w:rsid w:val="004164B5"/>
    <w:rsid w:val="00417183"/>
    <w:rsid w:val="00417935"/>
    <w:rsid w:val="00420524"/>
    <w:rsid w:val="00420EAA"/>
    <w:rsid w:val="0042164B"/>
    <w:rsid w:val="004230A2"/>
    <w:rsid w:val="00423AFC"/>
    <w:rsid w:val="0042517A"/>
    <w:rsid w:val="004251CC"/>
    <w:rsid w:val="00425369"/>
    <w:rsid w:val="004255CA"/>
    <w:rsid w:val="0042665C"/>
    <w:rsid w:val="00426FB2"/>
    <w:rsid w:val="004278EB"/>
    <w:rsid w:val="00430679"/>
    <w:rsid w:val="0043090C"/>
    <w:rsid w:val="00431883"/>
    <w:rsid w:val="0043202F"/>
    <w:rsid w:val="004322C1"/>
    <w:rsid w:val="004323F6"/>
    <w:rsid w:val="00433076"/>
    <w:rsid w:val="0043310B"/>
    <w:rsid w:val="00433C1F"/>
    <w:rsid w:val="00433C46"/>
    <w:rsid w:val="004340E5"/>
    <w:rsid w:val="00434B32"/>
    <w:rsid w:val="00435715"/>
    <w:rsid w:val="00435B1A"/>
    <w:rsid w:val="00435C19"/>
    <w:rsid w:val="00436645"/>
    <w:rsid w:val="00436DD1"/>
    <w:rsid w:val="00437053"/>
    <w:rsid w:val="004370C2"/>
    <w:rsid w:val="0043747B"/>
    <w:rsid w:val="00437C13"/>
    <w:rsid w:val="00437FC8"/>
    <w:rsid w:val="00440BF4"/>
    <w:rsid w:val="00440F95"/>
    <w:rsid w:val="00442055"/>
    <w:rsid w:val="004423CB"/>
    <w:rsid w:val="00442C53"/>
    <w:rsid w:val="00442FA6"/>
    <w:rsid w:val="00443493"/>
    <w:rsid w:val="0044371C"/>
    <w:rsid w:val="00443D67"/>
    <w:rsid w:val="00443E76"/>
    <w:rsid w:val="00443FAC"/>
    <w:rsid w:val="004447DE"/>
    <w:rsid w:val="00444825"/>
    <w:rsid w:val="00445063"/>
    <w:rsid w:val="00445453"/>
    <w:rsid w:val="00445808"/>
    <w:rsid w:val="00445EA0"/>
    <w:rsid w:val="00446731"/>
    <w:rsid w:val="00446982"/>
    <w:rsid w:val="00447D31"/>
    <w:rsid w:val="004518D1"/>
    <w:rsid w:val="004521DA"/>
    <w:rsid w:val="004521E1"/>
    <w:rsid w:val="004523F8"/>
    <w:rsid w:val="004544DD"/>
    <w:rsid w:val="00454584"/>
    <w:rsid w:val="0045495E"/>
    <w:rsid w:val="00454F04"/>
    <w:rsid w:val="00455462"/>
    <w:rsid w:val="0045566D"/>
    <w:rsid w:val="00455766"/>
    <w:rsid w:val="00455BE2"/>
    <w:rsid w:val="00455C00"/>
    <w:rsid w:val="00455D98"/>
    <w:rsid w:val="00456C24"/>
    <w:rsid w:val="00456E4B"/>
    <w:rsid w:val="0045701F"/>
    <w:rsid w:val="004576A4"/>
    <w:rsid w:val="00457CAB"/>
    <w:rsid w:val="00457CFF"/>
    <w:rsid w:val="00460E58"/>
    <w:rsid w:val="0046179C"/>
    <w:rsid w:val="00461AFD"/>
    <w:rsid w:val="00461B26"/>
    <w:rsid w:val="00461D63"/>
    <w:rsid w:val="00463CDC"/>
    <w:rsid w:val="00464016"/>
    <w:rsid w:val="00464132"/>
    <w:rsid w:val="00464586"/>
    <w:rsid w:val="00465B15"/>
    <w:rsid w:val="00465FDB"/>
    <w:rsid w:val="00466A64"/>
    <w:rsid w:val="00466AD0"/>
    <w:rsid w:val="00466CE3"/>
    <w:rsid w:val="00466ECB"/>
    <w:rsid w:val="00466F94"/>
    <w:rsid w:val="00467052"/>
    <w:rsid w:val="00467632"/>
    <w:rsid w:val="004678B1"/>
    <w:rsid w:val="00467A81"/>
    <w:rsid w:val="00467AFB"/>
    <w:rsid w:val="00467C26"/>
    <w:rsid w:val="00467E97"/>
    <w:rsid w:val="00470BA1"/>
    <w:rsid w:val="00470D93"/>
    <w:rsid w:val="00471C5B"/>
    <w:rsid w:val="0047256A"/>
    <w:rsid w:val="004737C9"/>
    <w:rsid w:val="00474049"/>
    <w:rsid w:val="00474952"/>
    <w:rsid w:val="00475405"/>
    <w:rsid w:val="00476525"/>
    <w:rsid w:val="00477481"/>
    <w:rsid w:val="00477672"/>
    <w:rsid w:val="00477C9C"/>
    <w:rsid w:val="00477E24"/>
    <w:rsid w:val="00477E64"/>
    <w:rsid w:val="00481182"/>
    <w:rsid w:val="0048391B"/>
    <w:rsid w:val="004839AE"/>
    <w:rsid w:val="00483CF3"/>
    <w:rsid w:val="0048474F"/>
    <w:rsid w:val="00484BF7"/>
    <w:rsid w:val="0048572D"/>
    <w:rsid w:val="00485B7D"/>
    <w:rsid w:val="00486574"/>
    <w:rsid w:val="004879A7"/>
    <w:rsid w:val="00487AE6"/>
    <w:rsid w:val="00487F98"/>
    <w:rsid w:val="00493069"/>
    <w:rsid w:val="00494183"/>
    <w:rsid w:val="00494733"/>
    <w:rsid w:val="004950D2"/>
    <w:rsid w:val="0049539B"/>
    <w:rsid w:val="00495BEA"/>
    <w:rsid w:val="0049604F"/>
    <w:rsid w:val="004964E9"/>
    <w:rsid w:val="0049780E"/>
    <w:rsid w:val="004979B7"/>
    <w:rsid w:val="004A013F"/>
    <w:rsid w:val="004A0411"/>
    <w:rsid w:val="004A05EF"/>
    <w:rsid w:val="004A060F"/>
    <w:rsid w:val="004A06A5"/>
    <w:rsid w:val="004A09F8"/>
    <w:rsid w:val="004A0D2A"/>
    <w:rsid w:val="004A1B64"/>
    <w:rsid w:val="004A28EA"/>
    <w:rsid w:val="004A2C63"/>
    <w:rsid w:val="004A39F0"/>
    <w:rsid w:val="004A3FED"/>
    <w:rsid w:val="004A4095"/>
    <w:rsid w:val="004A42E9"/>
    <w:rsid w:val="004A46E3"/>
    <w:rsid w:val="004A56E1"/>
    <w:rsid w:val="004A5BAE"/>
    <w:rsid w:val="004A5BFB"/>
    <w:rsid w:val="004A6126"/>
    <w:rsid w:val="004A7D54"/>
    <w:rsid w:val="004B0540"/>
    <w:rsid w:val="004B05FE"/>
    <w:rsid w:val="004B0932"/>
    <w:rsid w:val="004B1905"/>
    <w:rsid w:val="004B338A"/>
    <w:rsid w:val="004B349B"/>
    <w:rsid w:val="004B3DCD"/>
    <w:rsid w:val="004B3DDE"/>
    <w:rsid w:val="004B3F92"/>
    <w:rsid w:val="004B4DA1"/>
    <w:rsid w:val="004B4DAC"/>
    <w:rsid w:val="004B65AF"/>
    <w:rsid w:val="004B678A"/>
    <w:rsid w:val="004B6E37"/>
    <w:rsid w:val="004C07C0"/>
    <w:rsid w:val="004C0A58"/>
    <w:rsid w:val="004C0EFA"/>
    <w:rsid w:val="004C2382"/>
    <w:rsid w:val="004C2A7C"/>
    <w:rsid w:val="004C43FE"/>
    <w:rsid w:val="004C55F2"/>
    <w:rsid w:val="004C5A43"/>
    <w:rsid w:val="004C6248"/>
    <w:rsid w:val="004C6323"/>
    <w:rsid w:val="004C64D7"/>
    <w:rsid w:val="004C6EE6"/>
    <w:rsid w:val="004C7742"/>
    <w:rsid w:val="004C7755"/>
    <w:rsid w:val="004C7C3A"/>
    <w:rsid w:val="004D133D"/>
    <w:rsid w:val="004D23A0"/>
    <w:rsid w:val="004D2E37"/>
    <w:rsid w:val="004D3C6E"/>
    <w:rsid w:val="004D413F"/>
    <w:rsid w:val="004D4D86"/>
    <w:rsid w:val="004D65EA"/>
    <w:rsid w:val="004D66C3"/>
    <w:rsid w:val="004D7A7A"/>
    <w:rsid w:val="004D7B87"/>
    <w:rsid w:val="004E07C4"/>
    <w:rsid w:val="004E08B0"/>
    <w:rsid w:val="004E0B66"/>
    <w:rsid w:val="004E0DFC"/>
    <w:rsid w:val="004E1312"/>
    <w:rsid w:val="004E19B1"/>
    <w:rsid w:val="004E1F50"/>
    <w:rsid w:val="004E265F"/>
    <w:rsid w:val="004E291A"/>
    <w:rsid w:val="004E2EFE"/>
    <w:rsid w:val="004E32A6"/>
    <w:rsid w:val="004E35B7"/>
    <w:rsid w:val="004E36E9"/>
    <w:rsid w:val="004E3908"/>
    <w:rsid w:val="004E515C"/>
    <w:rsid w:val="004E5419"/>
    <w:rsid w:val="004E6319"/>
    <w:rsid w:val="004E6AA3"/>
    <w:rsid w:val="004E6DA3"/>
    <w:rsid w:val="004E7256"/>
    <w:rsid w:val="004E7D44"/>
    <w:rsid w:val="004F0042"/>
    <w:rsid w:val="004F1027"/>
    <w:rsid w:val="004F1386"/>
    <w:rsid w:val="004F19F8"/>
    <w:rsid w:val="004F1EF6"/>
    <w:rsid w:val="004F1F20"/>
    <w:rsid w:val="004F294D"/>
    <w:rsid w:val="004F2DA2"/>
    <w:rsid w:val="004F3323"/>
    <w:rsid w:val="004F3961"/>
    <w:rsid w:val="004F3BA1"/>
    <w:rsid w:val="004F3E5B"/>
    <w:rsid w:val="004F42DB"/>
    <w:rsid w:val="004F4A96"/>
    <w:rsid w:val="004F5007"/>
    <w:rsid w:val="004F546E"/>
    <w:rsid w:val="004F5AE6"/>
    <w:rsid w:val="004F5E80"/>
    <w:rsid w:val="004F6577"/>
    <w:rsid w:val="004F762E"/>
    <w:rsid w:val="004F7AAC"/>
    <w:rsid w:val="004F7BD9"/>
    <w:rsid w:val="00501A62"/>
    <w:rsid w:val="00501AB4"/>
    <w:rsid w:val="00501BA5"/>
    <w:rsid w:val="005021D9"/>
    <w:rsid w:val="0050246C"/>
    <w:rsid w:val="00503524"/>
    <w:rsid w:val="00503BB6"/>
    <w:rsid w:val="005065DC"/>
    <w:rsid w:val="00507936"/>
    <w:rsid w:val="00511789"/>
    <w:rsid w:val="00512591"/>
    <w:rsid w:val="00512B95"/>
    <w:rsid w:val="00512DBF"/>
    <w:rsid w:val="00513E6D"/>
    <w:rsid w:val="00515658"/>
    <w:rsid w:val="0051569E"/>
    <w:rsid w:val="00515916"/>
    <w:rsid w:val="00515B40"/>
    <w:rsid w:val="00515E0E"/>
    <w:rsid w:val="00516022"/>
    <w:rsid w:val="00516653"/>
    <w:rsid w:val="005167A8"/>
    <w:rsid w:val="00517477"/>
    <w:rsid w:val="00517936"/>
    <w:rsid w:val="00517CB1"/>
    <w:rsid w:val="00520B36"/>
    <w:rsid w:val="005229D1"/>
    <w:rsid w:val="005238E4"/>
    <w:rsid w:val="0052398D"/>
    <w:rsid w:val="005248C3"/>
    <w:rsid w:val="00524E6A"/>
    <w:rsid w:val="00524F04"/>
    <w:rsid w:val="00524FEE"/>
    <w:rsid w:val="00524FFE"/>
    <w:rsid w:val="0052728E"/>
    <w:rsid w:val="005275FA"/>
    <w:rsid w:val="005279DA"/>
    <w:rsid w:val="005279F3"/>
    <w:rsid w:val="00527D47"/>
    <w:rsid w:val="00530085"/>
    <w:rsid w:val="0053074C"/>
    <w:rsid w:val="00530AA8"/>
    <w:rsid w:val="00530E2E"/>
    <w:rsid w:val="00531792"/>
    <w:rsid w:val="00531981"/>
    <w:rsid w:val="00531CA3"/>
    <w:rsid w:val="0053275E"/>
    <w:rsid w:val="00532E35"/>
    <w:rsid w:val="0053430E"/>
    <w:rsid w:val="00534786"/>
    <w:rsid w:val="005358E2"/>
    <w:rsid w:val="00535AC8"/>
    <w:rsid w:val="005366BE"/>
    <w:rsid w:val="00536C83"/>
    <w:rsid w:val="005373BB"/>
    <w:rsid w:val="00537D42"/>
    <w:rsid w:val="00540683"/>
    <w:rsid w:val="005406F6"/>
    <w:rsid w:val="00540833"/>
    <w:rsid w:val="00540CB8"/>
    <w:rsid w:val="00540F17"/>
    <w:rsid w:val="00541099"/>
    <w:rsid w:val="00541ABD"/>
    <w:rsid w:val="00541DB9"/>
    <w:rsid w:val="00541F2A"/>
    <w:rsid w:val="00541FEE"/>
    <w:rsid w:val="00542188"/>
    <w:rsid w:val="00543936"/>
    <w:rsid w:val="00543AE8"/>
    <w:rsid w:val="00544738"/>
    <w:rsid w:val="005455A7"/>
    <w:rsid w:val="0054576B"/>
    <w:rsid w:val="005460A2"/>
    <w:rsid w:val="00547611"/>
    <w:rsid w:val="00547C7C"/>
    <w:rsid w:val="00547E1E"/>
    <w:rsid w:val="005501AE"/>
    <w:rsid w:val="005501DE"/>
    <w:rsid w:val="005518A7"/>
    <w:rsid w:val="005521B6"/>
    <w:rsid w:val="00552D61"/>
    <w:rsid w:val="00552EA1"/>
    <w:rsid w:val="00553FD0"/>
    <w:rsid w:val="005542D7"/>
    <w:rsid w:val="00554DD5"/>
    <w:rsid w:val="00554E68"/>
    <w:rsid w:val="0055501C"/>
    <w:rsid w:val="00555A6D"/>
    <w:rsid w:val="00555F5A"/>
    <w:rsid w:val="0055613E"/>
    <w:rsid w:val="00557482"/>
    <w:rsid w:val="005576FF"/>
    <w:rsid w:val="00560300"/>
    <w:rsid w:val="0056062C"/>
    <w:rsid w:val="00560BEF"/>
    <w:rsid w:val="005610FA"/>
    <w:rsid w:val="00561F4D"/>
    <w:rsid w:val="00563312"/>
    <w:rsid w:val="0056613D"/>
    <w:rsid w:val="0056713D"/>
    <w:rsid w:val="00567BD7"/>
    <w:rsid w:val="00572360"/>
    <w:rsid w:val="00572B5B"/>
    <w:rsid w:val="00573144"/>
    <w:rsid w:val="0057417B"/>
    <w:rsid w:val="00574C12"/>
    <w:rsid w:val="00574E23"/>
    <w:rsid w:val="005755F0"/>
    <w:rsid w:val="00575EF3"/>
    <w:rsid w:val="005761A6"/>
    <w:rsid w:val="00577807"/>
    <w:rsid w:val="005802A5"/>
    <w:rsid w:val="005809FA"/>
    <w:rsid w:val="005817C3"/>
    <w:rsid w:val="005824E4"/>
    <w:rsid w:val="00582A83"/>
    <w:rsid w:val="00583A64"/>
    <w:rsid w:val="00583D34"/>
    <w:rsid w:val="005840BA"/>
    <w:rsid w:val="0058430E"/>
    <w:rsid w:val="005847EF"/>
    <w:rsid w:val="00584A29"/>
    <w:rsid w:val="00585F54"/>
    <w:rsid w:val="00586CE2"/>
    <w:rsid w:val="00586D30"/>
    <w:rsid w:val="00586E3E"/>
    <w:rsid w:val="005902C3"/>
    <w:rsid w:val="0059056B"/>
    <w:rsid w:val="00590F94"/>
    <w:rsid w:val="005917FA"/>
    <w:rsid w:val="00592EC6"/>
    <w:rsid w:val="00592EE6"/>
    <w:rsid w:val="00593071"/>
    <w:rsid w:val="00593432"/>
    <w:rsid w:val="00593693"/>
    <w:rsid w:val="00593859"/>
    <w:rsid w:val="00594F8A"/>
    <w:rsid w:val="00595073"/>
    <w:rsid w:val="005953EB"/>
    <w:rsid w:val="00596F7D"/>
    <w:rsid w:val="005975B5"/>
    <w:rsid w:val="0059795C"/>
    <w:rsid w:val="005A0415"/>
    <w:rsid w:val="005A07B3"/>
    <w:rsid w:val="005A0E6F"/>
    <w:rsid w:val="005A1C1D"/>
    <w:rsid w:val="005A312B"/>
    <w:rsid w:val="005A3502"/>
    <w:rsid w:val="005A3767"/>
    <w:rsid w:val="005A3B76"/>
    <w:rsid w:val="005A4266"/>
    <w:rsid w:val="005A4D6D"/>
    <w:rsid w:val="005A4F8F"/>
    <w:rsid w:val="005A53F7"/>
    <w:rsid w:val="005A5C44"/>
    <w:rsid w:val="005A664F"/>
    <w:rsid w:val="005A667D"/>
    <w:rsid w:val="005A6912"/>
    <w:rsid w:val="005A768A"/>
    <w:rsid w:val="005B0091"/>
    <w:rsid w:val="005B20A9"/>
    <w:rsid w:val="005B2185"/>
    <w:rsid w:val="005B2316"/>
    <w:rsid w:val="005B24C2"/>
    <w:rsid w:val="005B282E"/>
    <w:rsid w:val="005B3638"/>
    <w:rsid w:val="005B3A0A"/>
    <w:rsid w:val="005B45F4"/>
    <w:rsid w:val="005B4DCF"/>
    <w:rsid w:val="005B6CE0"/>
    <w:rsid w:val="005C0F8F"/>
    <w:rsid w:val="005C12C0"/>
    <w:rsid w:val="005C1829"/>
    <w:rsid w:val="005C1AD3"/>
    <w:rsid w:val="005C2098"/>
    <w:rsid w:val="005C24F7"/>
    <w:rsid w:val="005C2992"/>
    <w:rsid w:val="005C2CE5"/>
    <w:rsid w:val="005C33D1"/>
    <w:rsid w:val="005C5185"/>
    <w:rsid w:val="005C5879"/>
    <w:rsid w:val="005C5883"/>
    <w:rsid w:val="005C60A4"/>
    <w:rsid w:val="005C6F02"/>
    <w:rsid w:val="005C72E9"/>
    <w:rsid w:val="005C7C70"/>
    <w:rsid w:val="005D11E7"/>
    <w:rsid w:val="005D401E"/>
    <w:rsid w:val="005D42DC"/>
    <w:rsid w:val="005D4FFC"/>
    <w:rsid w:val="005D52CF"/>
    <w:rsid w:val="005D603C"/>
    <w:rsid w:val="005D6932"/>
    <w:rsid w:val="005D6ADA"/>
    <w:rsid w:val="005D7B22"/>
    <w:rsid w:val="005E0086"/>
    <w:rsid w:val="005E01BA"/>
    <w:rsid w:val="005E0A5C"/>
    <w:rsid w:val="005E19A2"/>
    <w:rsid w:val="005E1FF9"/>
    <w:rsid w:val="005E36F2"/>
    <w:rsid w:val="005E48E4"/>
    <w:rsid w:val="005E56D1"/>
    <w:rsid w:val="005E5F1D"/>
    <w:rsid w:val="005E5F5F"/>
    <w:rsid w:val="005E654D"/>
    <w:rsid w:val="005E7E20"/>
    <w:rsid w:val="005F0C66"/>
    <w:rsid w:val="005F1679"/>
    <w:rsid w:val="005F23AA"/>
    <w:rsid w:val="005F2652"/>
    <w:rsid w:val="005F2F0C"/>
    <w:rsid w:val="005F2FA3"/>
    <w:rsid w:val="005F3116"/>
    <w:rsid w:val="005F3166"/>
    <w:rsid w:val="005F3942"/>
    <w:rsid w:val="005F3980"/>
    <w:rsid w:val="005F3D21"/>
    <w:rsid w:val="005F3E58"/>
    <w:rsid w:val="005F4A3F"/>
    <w:rsid w:val="005F4ABF"/>
    <w:rsid w:val="005F4CA7"/>
    <w:rsid w:val="005F5016"/>
    <w:rsid w:val="005F5258"/>
    <w:rsid w:val="005F6558"/>
    <w:rsid w:val="005F6BAE"/>
    <w:rsid w:val="005F6EA2"/>
    <w:rsid w:val="005F6EE8"/>
    <w:rsid w:val="005F74B0"/>
    <w:rsid w:val="005F7E20"/>
    <w:rsid w:val="006002B0"/>
    <w:rsid w:val="006004A5"/>
    <w:rsid w:val="006005D5"/>
    <w:rsid w:val="006007B1"/>
    <w:rsid w:val="00600D18"/>
    <w:rsid w:val="0060186A"/>
    <w:rsid w:val="00601DEF"/>
    <w:rsid w:val="0060234F"/>
    <w:rsid w:val="00603F75"/>
    <w:rsid w:val="006041B3"/>
    <w:rsid w:val="00604399"/>
    <w:rsid w:val="00604690"/>
    <w:rsid w:val="006047BD"/>
    <w:rsid w:val="006051D5"/>
    <w:rsid w:val="0060555E"/>
    <w:rsid w:val="00606645"/>
    <w:rsid w:val="00606DCC"/>
    <w:rsid w:val="00607146"/>
    <w:rsid w:val="006074AE"/>
    <w:rsid w:val="00610871"/>
    <w:rsid w:val="00610F06"/>
    <w:rsid w:val="00610F11"/>
    <w:rsid w:val="0061111D"/>
    <w:rsid w:val="00611271"/>
    <w:rsid w:val="00611744"/>
    <w:rsid w:val="006118DC"/>
    <w:rsid w:val="00611CF8"/>
    <w:rsid w:val="0061362C"/>
    <w:rsid w:val="00613C6A"/>
    <w:rsid w:val="00613CAA"/>
    <w:rsid w:val="00613D09"/>
    <w:rsid w:val="00614526"/>
    <w:rsid w:val="006157DE"/>
    <w:rsid w:val="00615D19"/>
    <w:rsid w:val="00616693"/>
    <w:rsid w:val="006166A9"/>
    <w:rsid w:val="00616E23"/>
    <w:rsid w:val="00617423"/>
    <w:rsid w:val="00617F12"/>
    <w:rsid w:val="0062150C"/>
    <w:rsid w:val="00622528"/>
    <w:rsid w:val="006225B7"/>
    <w:rsid w:val="00623C2E"/>
    <w:rsid w:val="00624555"/>
    <w:rsid w:val="006245EC"/>
    <w:rsid w:val="0062470E"/>
    <w:rsid w:val="00624AAE"/>
    <w:rsid w:val="00625B60"/>
    <w:rsid w:val="00626A10"/>
    <w:rsid w:val="00626C4E"/>
    <w:rsid w:val="00627312"/>
    <w:rsid w:val="00627D12"/>
    <w:rsid w:val="00630D17"/>
    <w:rsid w:val="00632ABF"/>
    <w:rsid w:val="006332DC"/>
    <w:rsid w:val="00634682"/>
    <w:rsid w:val="006355FF"/>
    <w:rsid w:val="0063647C"/>
    <w:rsid w:val="006365CC"/>
    <w:rsid w:val="00636706"/>
    <w:rsid w:val="00636786"/>
    <w:rsid w:val="006376C0"/>
    <w:rsid w:val="00637AAD"/>
    <w:rsid w:val="00637E95"/>
    <w:rsid w:val="00642839"/>
    <w:rsid w:val="00642E35"/>
    <w:rsid w:val="0064498B"/>
    <w:rsid w:val="006458DF"/>
    <w:rsid w:val="0064660C"/>
    <w:rsid w:val="00646A8F"/>
    <w:rsid w:val="006472DF"/>
    <w:rsid w:val="00650186"/>
    <w:rsid w:val="00651399"/>
    <w:rsid w:val="00651C79"/>
    <w:rsid w:val="00652978"/>
    <w:rsid w:val="00652AAB"/>
    <w:rsid w:val="00653761"/>
    <w:rsid w:val="00653B29"/>
    <w:rsid w:val="006541BC"/>
    <w:rsid w:val="00654AF1"/>
    <w:rsid w:val="006552BB"/>
    <w:rsid w:val="0065698E"/>
    <w:rsid w:val="006577DA"/>
    <w:rsid w:val="0065797E"/>
    <w:rsid w:val="00661C3B"/>
    <w:rsid w:val="00662213"/>
    <w:rsid w:val="00662C66"/>
    <w:rsid w:val="00662E27"/>
    <w:rsid w:val="00663267"/>
    <w:rsid w:val="00663D3C"/>
    <w:rsid w:val="00663E15"/>
    <w:rsid w:val="006640A6"/>
    <w:rsid w:val="00664489"/>
    <w:rsid w:val="006649FA"/>
    <w:rsid w:val="006653E5"/>
    <w:rsid w:val="0066637D"/>
    <w:rsid w:val="00666590"/>
    <w:rsid w:val="006672E5"/>
    <w:rsid w:val="006706CC"/>
    <w:rsid w:val="00670895"/>
    <w:rsid w:val="006719BC"/>
    <w:rsid w:val="00671BDC"/>
    <w:rsid w:val="00672756"/>
    <w:rsid w:val="00673437"/>
    <w:rsid w:val="00674656"/>
    <w:rsid w:val="00674776"/>
    <w:rsid w:val="00674B26"/>
    <w:rsid w:val="00674E17"/>
    <w:rsid w:val="00675582"/>
    <w:rsid w:val="00675E9A"/>
    <w:rsid w:val="00676191"/>
    <w:rsid w:val="00676BA7"/>
    <w:rsid w:val="00677527"/>
    <w:rsid w:val="0067779E"/>
    <w:rsid w:val="00677CE3"/>
    <w:rsid w:val="00680082"/>
    <w:rsid w:val="006807E8"/>
    <w:rsid w:val="00682BFD"/>
    <w:rsid w:val="00682C9F"/>
    <w:rsid w:val="00682CD3"/>
    <w:rsid w:val="00684D08"/>
    <w:rsid w:val="00684F85"/>
    <w:rsid w:val="00684FE8"/>
    <w:rsid w:val="0068647B"/>
    <w:rsid w:val="00686DC5"/>
    <w:rsid w:val="00687CAF"/>
    <w:rsid w:val="00687F73"/>
    <w:rsid w:val="00690D22"/>
    <w:rsid w:val="006919B4"/>
    <w:rsid w:val="00692E5E"/>
    <w:rsid w:val="00693C17"/>
    <w:rsid w:val="0069420A"/>
    <w:rsid w:val="00694F29"/>
    <w:rsid w:val="00694FD2"/>
    <w:rsid w:val="00695442"/>
    <w:rsid w:val="006959A4"/>
    <w:rsid w:val="006961E1"/>
    <w:rsid w:val="00696258"/>
    <w:rsid w:val="00696E36"/>
    <w:rsid w:val="006A039E"/>
    <w:rsid w:val="006A063C"/>
    <w:rsid w:val="006A2719"/>
    <w:rsid w:val="006A2786"/>
    <w:rsid w:val="006A2EA3"/>
    <w:rsid w:val="006A30A9"/>
    <w:rsid w:val="006A31BD"/>
    <w:rsid w:val="006A422E"/>
    <w:rsid w:val="006A6120"/>
    <w:rsid w:val="006A6142"/>
    <w:rsid w:val="006A715C"/>
    <w:rsid w:val="006A78E5"/>
    <w:rsid w:val="006A7C62"/>
    <w:rsid w:val="006A7CEC"/>
    <w:rsid w:val="006A7FBC"/>
    <w:rsid w:val="006B136C"/>
    <w:rsid w:val="006B1907"/>
    <w:rsid w:val="006B1D35"/>
    <w:rsid w:val="006B21B1"/>
    <w:rsid w:val="006B23D2"/>
    <w:rsid w:val="006B2807"/>
    <w:rsid w:val="006B2E92"/>
    <w:rsid w:val="006B2EAB"/>
    <w:rsid w:val="006B3ACB"/>
    <w:rsid w:val="006B4345"/>
    <w:rsid w:val="006B46A5"/>
    <w:rsid w:val="006B4A48"/>
    <w:rsid w:val="006B4BEC"/>
    <w:rsid w:val="006B54F2"/>
    <w:rsid w:val="006B576F"/>
    <w:rsid w:val="006B63E7"/>
    <w:rsid w:val="006B6A55"/>
    <w:rsid w:val="006B73C8"/>
    <w:rsid w:val="006C023C"/>
    <w:rsid w:val="006C182B"/>
    <w:rsid w:val="006C1DAF"/>
    <w:rsid w:val="006C47C2"/>
    <w:rsid w:val="006C51C0"/>
    <w:rsid w:val="006C5EE4"/>
    <w:rsid w:val="006C61BB"/>
    <w:rsid w:val="006C61F5"/>
    <w:rsid w:val="006C6243"/>
    <w:rsid w:val="006C63A8"/>
    <w:rsid w:val="006C6D49"/>
    <w:rsid w:val="006C6DBE"/>
    <w:rsid w:val="006C716E"/>
    <w:rsid w:val="006C730F"/>
    <w:rsid w:val="006D004F"/>
    <w:rsid w:val="006D06C6"/>
    <w:rsid w:val="006D06C7"/>
    <w:rsid w:val="006D06F7"/>
    <w:rsid w:val="006D0BC4"/>
    <w:rsid w:val="006D102B"/>
    <w:rsid w:val="006D104E"/>
    <w:rsid w:val="006D1A34"/>
    <w:rsid w:val="006D1E30"/>
    <w:rsid w:val="006D2C76"/>
    <w:rsid w:val="006D3B7A"/>
    <w:rsid w:val="006D46D4"/>
    <w:rsid w:val="006D4C61"/>
    <w:rsid w:val="006D4D6F"/>
    <w:rsid w:val="006D4DAC"/>
    <w:rsid w:val="006D4F2D"/>
    <w:rsid w:val="006D5911"/>
    <w:rsid w:val="006D67CE"/>
    <w:rsid w:val="006E0269"/>
    <w:rsid w:val="006E0C02"/>
    <w:rsid w:val="006E0D05"/>
    <w:rsid w:val="006E1107"/>
    <w:rsid w:val="006E126A"/>
    <w:rsid w:val="006E1359"/>
    <w:rsid w:val="006E1889"/>
    <w:rsid w:val="006E2588"/>
    <w:rsid w:val="006E40F5"/>
    <w:rsid w:val="006E4363"/>
    <w:rsid w:val="006E580B"/>
    <w:rsid w:val="006E5A68"/>
    <w:rsid w:val="006E6288"/>
    <w:rsid w:val="006E76DB"/>
    <w:rsid w:val="006E76E1"/>
    <w:rsid w:val="006F14C1"/>
    <w:rsid w:val="006F1578"/>
    <w:rsid w:val="006F268A"/>
    <w:rsid w:val="006F273D"/>
    <w:rsid w:val="006F27D0"/>
    <w:rsid w:val="006F2D70"/>
    <w:rsid w:val="006F2DD5"/>
    <w:rsid w:val="006F3187"/>
    <w:rsid w:val="006F324A"/>
    <w:rsid w:val="006F3B80"/>
    <w:rsid w:val="006F3F17"/>
    <w:rsid w:val="006F41E4"/>
    <w:rsid w:val="006F4709"/>
    <w:rsid w:val="006F476F"/>
    <w:rsid w:val="006F7299"/>
    <w:rsid w:val="006F7817"/>
    <w:rsid w:val="0070074B"/>
    <w:rsid w:val="007009E8"/>
    <w:rsid w:val="00700CE4"/>
    <w:rsid w:val="007018B6"/>
    <w:rsid w:val="007022BB"/>
    <w:rsid w:val="00702332"/>
    <w:rsid w:val="00702D0D"/>
    <w:rsid w:val="007039C3"/>
    <w:rsid w:val="00704491"/>
    <w:rsid w:val="00704E1B"/>
    <w:rsid w:val="0070535D"/>
    <w:rsid w:val="00706CE0"/>
    <w:rsid w:val="00710C28"/>
    <w:rsid w:val="00711390"/>
    <w:rsid w:val="00711935"/>
    <w:rsid w:val="007122FC"/>
    <w:rsid w:val="007126C6"/>
    <w:rsid w:val="00714EA3"/>
    <w:rsid w:val="00715AF3"/>
    <w:rsid w:val="0071659C"/>
    <w:rsid w:val="0071681F"/>
    <w:rsid w:val="00716E9A"/>
    <w:rsid w:val="007175AD"/>
    <w:rsid w:val="007177E4"/>
    <w:rsid w:val="00717E9B"/>
    <w:rsid w:val="007205C7"/>
    <w:rsid w:val="007208D2"/>
    <w:rsid w:val="00720C02"/>
    <w:rsid w:val="00720F44"/>
    <w:rsid w:val="007215F9"/>
    <w:rsid w:val="00721E79"/>
    <w:rsid w:val="00721FFF"/>
    <w:rsid w:val="007226C5"/>
    <w:rsid w:val="0072309F"/>
    <w:rsid w:val="00723A2A"/>
    <w:rsid w:val="00723CE8"/>
    <w:rsid w:val="0072473B"/>
    <w:rsid w:val="00726663"/>
    <w:rsid w:val="0072682C"/>
    <w:rsid w:val="007276D1"/>
    <w:rsid w:val="00727C6A"/>
    <w:rsid w:val="00727D43"/>
    <w:rsid w:val="007301C8"/>
    <w:rsid w:val="00730D03"/>
    <w:rsid w:val="00731576"/>
    <w:rsid w:val="00731CE8"/>
    <w:rsid w:val="00731E8D"/>
    <w:rsid w:val="0073207B"/>
    <w:rsid w:val="0073208C"/>
    <w:rsid w:val="0073251E"/>
    <w:rsid w:val="007329BA"/>
    <w:rsid w:val="0073396F"/>
    <w:rsid w:val="00733B58"/>
    <w:rsid w:val="00734C44"/>
    <w:rsid w:val="007350FC"/>
    <w:rsid w:val="007352AA"/>
    <w:rsid w:val="00735333"/>
    <w:rsid w:val="00735699"/>
    <w:rsid w:val="00735CA3"/>
    <w:rsid w:val="00735CF7"/>
    <w:rsid w:val="00735DD3"/>
    <w:rsid w:val="0073687E"/>
    <w:rsid w:val="00736896"/>
    <w:rsid w:val="00737473"/>
    <w:rsid w:val="007377D4"/>
    <w:rsid w:val="007400C5"/>
    <w:rsid w:val="007405F7"/>
    <w:rsid w:val="00740912"/>
    <w:rsid w:val="00740EDE"/>
    <w:rsid w:val="00740F86"/>
    <w:rsid w:val="00742320"/>
    <w:rsid w:val="00742342"/>
    <w:rsid w:val="00742CF5"/>
    <w:rsid w:val="007430F8"/>
    <w:rsid w:val="00743638"/>
    <w:rsid w:val="007441D6"/>
    <w:rsid w:val="007456CC"/>
    <w:rsid w:val="007501D0"/>
    <w:rsid w:val="00750496"/>
    <w:rsid w:val="007519F9"/>
    <w:rsid w:val="00752BA6"/>
    <w:rsid w:val="00752CC3"/>
    <w:rsid w:val="00753A8F"/>
    <w:rsid w:val="00754487"/>
    <w:rsid w:val="00755049"/>
    <w:rsid w:val="00755290"/>
    <w:rsid w:val="007555D7"/>
    <w:rsid w:val="00755820"/>
    <w:rsid w:val="00755DA6"/>
    <w:rsid w:val="00756831"/>
    <w:rsid w:val="0075756A"/>
    <w:rsid w:val="007576B4"/>
    <w:rsid w:val="00757C4D"/>
    <w:rsid w:val="00757FBE"/>
    <w:rsid w:val="007607B4"/>
    <w:rsid w:val="00760D26"/>
    <w:rsid w:val="00760E07"/>
    <w:rsid w:val="00761BB2"/>
    <w:rsid w:val="007623A1"/>
    <w:rsid w:val="0076392C"/>
    <w:rsid w:val="007639D5"/>
    <w:rsid w:val="007643AD"/>
    <w:rsid w:val="00764703"/>
    <w:rsid w:val="007649D7"/>
    <w:rsid w:val="00766BFD"/>
    <w:rsid w:val="00767065"/>
    <w:rsid w:val="00767779"/>
    <w:rsid w:val="00767C26"/>
    <w:rsid w:val="00770B25"/>
    <w:rsid w:val="00771282"/>
    <w:rsid w:val="00771735"/>
    <w:rsid w:val="00772885"/>
    <w:rsid w:val="00772BAF"/>
    <w:rsid w:val="00773407"/>
    <w:rsid w:val="00773B26"/>
    <w:rsid w:val="00773BD8"/>
    <w:rsid w:val="00773CDC"/>
    <w:rsid w:val="00773EDF"/>
    <w:rsid w:val="00774E68"/>
    <w:rsid w:val="0077577C"/>
    <w:rsid w:val="00775C2A"/>
    <w:rsid w:val="00775C4E"/>
    <w:rsid w:val="00776AAF"/>
    <w:rsid w:val="00777099"/>
    <w:rsid w:val="00777445"/>
    <w:rsid w:val="00777CD7"/>
    <w:rsid w:val="00777E6B"/>
    <w:rsid w:val="0078001C"/>
    <w:rsid w:val="007800F8"/>
    <w:rsid w:val="007801F1"/>
    <w:rsid w:val="00780265"/>
    <w:rsid w:val="007802E1"/>
    <w:rsid w:val="00780A61"/>
    <w:rsid w:val="00780A6F"/>
    <w:rsid w:val="00782C01"/>
    <w:rsid w:val="0078385A"/>
    <w:rsid w:val="007839F9"/>
    <w:rsid w:val="00783A29"/>
    <w:rsid w:val="00783F4B"/>
    <w:rsid w:val="00784D75"/>
    <w:rsid w:val="007850FA"/>
    <w:rsid w:val="007854DD"/>
    <w:rsid w:val="00785594"/>
    <w:rsid w:val="00785CEA"/>
    <w:rsid w:val="00785E7B"/>
    <w:rsid w:val="00786047"/>
    <w:rsid w:val="007863F3"/>
    <w:rsid w:val="007865ED"/>
    <w:rsid w:val="00787292"/>
    <w:rsid w:val="00787651"/>
    <w:rsid w:val="0078767D"/>
    <w:rsid w:val="007879AD"/>
    <w:rsid w:val="00787AB4"/>
    <w:rsid w:val="00787B64"/>
    <w:rsid w:val="00790126"/>
    <w:rsid w:val="007906D5"/>
    <w:rsid w:val="00790F23"/>
    <w:rsid w:val="00791317"/>
    <w:rsid w:val="0079147E"/>
    <w:rsid w:val="007918F6"/>
    <w:rsid w:val="00791C67"/>
    <w:rsid w:val="0079269B"/>
    <w:rsid w:val="00793A5A"/>
    <w:rsid w:val="00793B80"/>
    <w:rsid w:val="00793C0E"/>
    <w:rsid w:val="00794250"/>
    <w:rsid w:val="00794732"/>
    <w:rsid w:val="007947B7"/>
    <w:rsid w:val="0079575C"/>
    <w:rsid w:val="00796636"/>
    <w:rsid w:val="00796726"/>
    <w:rsid w:val="007A082E"/>
    <w:rsid w:val="007A0C23"/>
    <w:rsid w:val="007A1309"/>
    <w:rsid w:val="007A1638"/>
    <w:rsid w:val="007A1C23"/>
    <w:rsid w:val="007A1EDE"/>
    <w:rsid w:val="007A2257"/>
    <w:rsid w:val="007A350D"/>
    <w:rsid w:val="007A3A2C"/>
    <w:rsid w:val="007A4B59"/>
    <w:rsid w:val="007A55A1"/>
    <w:rsid w:val="007A5678"/>
    <w:rsid w:val="007A5FCB"/>
    <w:rsid w:val="007A6EFC"/>
    <w:rsid w:val="007A7257"/>
    <w:rsid w:val="007A79CA"/>
    <w:rsid w:val="007A7EBD"/>
    <w:rsid w:val="007A7FA9"/>
    <w:rsid w:val="007B091A"/>
    <w:rsid w:val="007B0A4C"/>
    <w:rsid w:val="007B0E50"/>
    <w:rsid w:val="007B121D"/>
    <w:rsid w:val="007B18D2"/>
    <w:rsid w:val="007B1F40"/>
    <w:rsid w:val="007B4B08"/>
    <w:rsid w:val="007B4B22"/>
    <w:rsid w:val="007B5687"/>
    <w:rsid w:val="007B6B5E"/>
    <w:rsid w:val="007B7E30"/>
    <w:rsid w:val="007C0A5F"/>
    <w:rsid w:val="007C10F7"/>
    <w:rsid w:val="007C1362"/>
    <w:rsid w:val="007C1A9F"/>
    <w:rsid w:val="007C1EB1"/>
    <w:rsid w:val="007C2201"/>
    <w:rsid w:val="007C25E7"/>
    <w:rsid w:val="007C27D8"/>
    <w:rsid w:val="007C3A2B"/>
    <w:rsid w:val="007C44C4"/>
    <w:rsid w:val="007C4C2F"/>
    <w:rsid w:val="007C4DA9"/>
    <w:rsid w:val="007C5574"/>
    <w:rsid w:val="007C5A8C"/>
    <w:rsid w:val="007C636B"/>
    <w:rsid w:val="007C66BB"/>
    <w:rsid w:val="007C718C"/>
    <w:rsid w:val="007C79E8"/>
    <w:rsid w:val="007C7D65"/>
    <w:rsid w:val="007C7FEA"/>
    <w:rsid w:val="007D0A23"/>
    <w:rsid w:val="007D17E4"/>
    <w:rsid w:val="007D1A1B"/>
    <w:rsid w:val="007D2487"/>
    <w:rsid w:val="007D24E5"/>
    <w:rsid w:val="007D3034"/>
    <w:rsid w:val="007D3221"/>
    <w:rsid w:val="007D330A"/>
    <w:rsid w:val="007D3442"/>
    <w:rsid w:val="007D3F34"/>
    <w:rsid w:val="007D49C1"/>
    <w:rsid w:val="007D5469"/>
    <w:rsid w:val="007D5A67"/>
    <w:rsid w:val="007D5C0C"/>
    <w:rsid w:val="007D727E"/>
    <w:rsid w:val="007D7775"/>
    <w:rsid w:val="007E007E"/>
    <w:rsid w:val="007E030A"/>
    <w:rsid w:val="007E09DE"/>
    <w:rsid w:val="007E0F60"/>
    <w:rsid w:val="007E158B"/>
    <w:rsid w:val="007E36DA"/>
    <w:rsid w:val="007E38FE"/>
    <w:rsid w:val="007E4243"/>
    <w:rsid w:val="007E49DA"/>
    <w:rsid w:val="007E49E0"/>
    <w:rsid w:val="007E4B0B"/>
    <w:rsid w:val="007E5FBB"/>
    <w:rsid w:val="007E7A2E"/>
    <w:rsid w:val="007F01D6"/>
    <w:rsid w:val="007F03BB"/>
    <w:rsid w:val="007F1EF9"/>
    <w:rsid w:val="007F27F9"/>
    <w:rsid w:val="007F2B93"/>
    <w:rsid w:val="007F2E2D"/>
    <w:rsid w:val="007F3D3F"/>
    <w:rsid w:val="007F4116"/>
    <w:rsid w:val="007F43AE"/>
    <w:rsid w:val="007F4629"/>
    <w:rsid w:val="007F4926"/>
    <w:rsid w:val="007F4C35"/>
    <w:rsid w:val="007F68EB"/>
    <w:rsid w:val="007F77C9"/>
    <w:rsid w:val="007F7AF5"/>
    <w:rsid w:val="008000F0"/>
    <w:rsid w:val="0080129E"/>
    <w:rsid w:val="00801877"/>
    <w:rsid w:val="0080189A"/>
    <w:rsid w:val="00802346"/>
    <w:rsid w:val="00802C2C"/>
    <w:rsid w:val="00802E06"/>
    <w:rsid w:val="00802E4E"/>
    <w:rsid w:val="0080342B"/>
    <w:rsid w:val="008043ED"/>
    <w:rsid w:val="0080468B"/>
    <w:rsid w:val="00804DC1"/>
    <w:rsid w:val="00805A06"/>
    <w:rsid w:val="00806862"/>
    <w:rsid w:val="00806E5E"/>
    <w:rsid w:val="00807523"/>
    <w:rsid w:val="00807A20"/>
    <w:rsid w:val="008106A6"/>
    <w:rsid w:val="00811C3A"/>
    <w:rsid w:val="00812489"/>
    <w:rsid w:val="008131B6"/>
    <w:rsid w:val="0081334D"/>
    <w:rsid w:val="00813593"/>
    <w:rsid w:val="00814D56"/>
    <w:rsid w:val="00814D78"/>
    <w:rsid w:val="00815084"/>
    <w:rsid w:val="00815789"/>
    <w:rsid w:val="0081618D"/>
    <w:rsid w:val="00816630"/>
    <w:rsid w:val="00820BEE"/>
    <w:rsid w:val="00820C4C"/>
    <w:rsid w:val="008213B8"/>
    <w:rsid w:val="008216C5"/>
    <w:rsid w:val="00821FD3"/>
    <w:rsid w:val="00822DE6"/>
    <w:rsid w:val="008235F3"/>
    <w:rsid w:val="00823A76"/>
    <w:rsid w:val="00824B64"/>
    <w:rsid w:val="00824B8B"/>
    <w:rsid w:val="00824E63"/>
    <w:rsid w:val="00825777"/>
    <w:rsid w:val="008259D0"/>
    <w:rsid w:val="00825AC9"/>
    <w:rsid w:val="00825B89"/>
    <w:rsid w:val="00825FD1"/>
    <w:rsid w:val="008269A5"/>
    <w:rsid w:val="00826FB3"/>
    <w:rsid w:val="00827384"/>
    <w:rsid w:val="00827838"/>
    <w:rsid w:val="0083002E"/>
    <w:rsid w:val="0083355B"/>
    <w:rsid w:val="00833ED2"/>
    <w:rsid w:val="0083443D"/>
    <w:rsid w:val="008356D2"/>
    <w:rsid w:val="0083638E"/>
    <w:rsid w:val="0083692D"/>
    <w:rsid w:val="00836C4C"/>
    <w:rsid w:val="00836F4D"/>
    <w:rsid w:val="0083767B"/>
    <w:rsid w:val="00840EB0"/>
    <w:rsid w:val="008411E1"/>
    <w:rsid w:val="008418C7"/>
    <w:rsid w:val="00841D50"/>
    <w:rsid w:val="008422C5"/>
    <w:rsid w:val="008428B0"/>
    <w:rsid w:val="00843F24"/>
    <w:rsid w:val="00844D04"/>
    <w:rsid w:val="008464BD"/>
    <w:rsid w:val="00846BF1"/>
    <w:rsid w:val="00846EE2"/>
    <w:rsid w:val="008471B6"/>
    <w:rsid w:val="0084725E"/>
    <w:rsid w:val="00847462"/>
    <w:rsid w:val="00847E89"/>
    <w:rsid w:val="008506A1"/>
    <w:rsid w:val="0085070C"/>
    <w:rsid w:val="008509BA"/>
    <w:rsid w:val="008511C7"/>
    <w:rsid w:val="00851396"/>
    <w:rsid w:val="008531C3"/>
    <w:rsid w:val="00854E60"/>
    <w:rsid w:val="00855306"/>
    <w:rsid w:val="008563E8"/>
    <w:rsid w:val="008579C7"/>
    <w:rsid w:val="00857D87"/>
    <w:rsid w:val="008608E9"/>
    <w:rsid w:val="008609F1"/>
    <w:rsid w:val="0086102C"/>
    <w:rsid w:val="0086119A"/>
    <w:rsid w:val="00861D42"/>
    <w:rsid w:val="008621E1"/>
    <w:rsid w:val="00863501"/>
    <w:rsid w:val="00864F5A"/>
    <w:rsid w:val="00865F23"/>
    <w:rsid w:val="00866019"/>
    <w:rsid w:val="00867236"/>
    <w:rsid w:val="00867AB0"/>
    <w:rsid w:val="00867B66"/>
    <w:rsid w:val="008700BE"/>
    <w:rsid w:val="00870763"/>
    <w:rsid w:val="00872A63"/>
    <w:rsid w:val="00872F64"/>
    <w:rsid w:val="00873AEC"/>
    <w:rsid w:val="00873DB7"/>
    <w:rsid w:val="00874923"/>
    <w:rsid w:val="00874CBC"/>
    <w:rsid w:val="008753C7"/>
    <w:rsid w:val="00875CCA"/>
    <w:rsid w:val="008762DA"/>
    <w:rsid w:val="00876D6B"/>
    <w:rsid w:val="0088136D"/>
    <w:rsid w:val="008816C4"/>
    <w:rsid w:val="008821C1"/>
    <w:rsid w:val="0088267F"/>
    <w:rsid w:val="008828AC"/>
    <w:rsid w:val="00882A12"/>
    <w:rsid w:val="00882F34"/>
    <w:rsid w:val="00883146"/>
    <w:rsid w:val="00883C22"/>
    <w:rsid w:val="008840B8"/>
    <w:rsid w:val="008856B6"/>
    <w:rsid w:val="00886695"/>
    <w:rsid w:val="00886B23"/>
    <w:rsid w:val="00886CDA"/>
    <w:rsid w:val="00887281"/>
    <w:rsid w:val="008876AB"/>
    <w:rsid w:val="008901A2"/>
    <w:rsid w:val="00891BC2"/>
    <w:rsid w:val="00891EBD"/>
    <w:rsid w:val="00891EF7"/>
    <w:rsid w:val="00891F96"/>
    <w:rsid w:val="00892F25"/>
    <w:rsid w:val="00893223"/>
    <w:rsid w:val="00893434"/>
    <w:rsid w:val="00893640"/>
    <w:rsid w:val="00894701"/>
    <w:rsid w:val="00896EB2"/>
    <w:rsid w:val="00896F53"/>
    <w:rsid w:val="00897851"/>
    <w:rsid w:val="0089799E"/>
    <w:rsid w:val="00897AB3"/>
    <w:rsid w:val="008A02CC"/>
    <w:rsid w:val="008A0A42"/>
    <w:rsid w:val="008A2140"/>
    <w:rsid w:val="008A2508"/>
    <w:rsid w:val="008A3675"/>
    <w:rsid w:val="008A51B3"/>
    <w:rsid w:val="008A5582"/>
    <w:rsid w:val="008A577A"/>
    <w:rsid w:val="008A5F23"/>
    <w:rsid w:val="008A62B8"/>
    <w:rsid w:val="008A713F"/>
    <w:rsid w:val="008A7AA0"/>
    <w:rsid w:val="008A7F94"/>
    <w:rsid w:val="008B002C"/>
    <w:rsid w:val="008B0658"/>
    <w:rsid w:val="008B12F5"/>
    <w:rsid w:val="008B1E91"/>
    <w:rsid w:val="008B223D"/>
    <w:rsid w:val="008B25E1"/>
    <w:rsid w:val="008B26CA"/>
    <w:rsid w:val="008B2D3B"/>
    <w:rsid w:val="008B2E89"/>
    <w:rsid w:val="008B3190"/>
    <w:rsid w:val="008B3559"/>
    <w:rsid w:val="008B36E2"/>
    <w:rsid w:val="008B3C5A"/>
    <w:rsid w:val="008B4D61"/>
    <w:rsid w:val="008B5080"/>
    <w:rsid w:val="008B578D"/>
    <w:rsid w:val="008B5CFE"/>
    <w:rsid w:val="008B63CA"/>
    <w:rsid w:val="008B703E"/>
    <w:rsid w:val="008B73AB"/>
    <w:rsid w:val="008B77B1"/>
    <w:rsid w:val="008B790B"/>
    <w:rsid w:val="008C040F"/>
    <w:rsid w:val="008C08CA"/>
    <w:rsid w:val="008C20F7"/>
    <w:rsid w:val="008C2C5E"/>
    <w:rsid w:val="008C30CA"/>
    <w:rsid w:val="008C331E"/>
    <w:rsid w:val="008C34EE"/>
    <w:rsid w:val="008C3D41"/>
    <w:rsid w:val="008C44E7"/>
    <w:rsid w:val="008C5372"/>
    <w:rsid w:val="008C56E2"/>
    <w:rsid w:val="008C638D"/>
    <w:rsid w:val="008C6703"/>
    <w:rsid w:val="008C6A1D"/>
    <w:rsid w:val="008C6E4E"/>
    <w:rsid w:val="008C7A73"/>
    <w:rsid w:val="008D003B"/>
    <w:rsid w:val="008D08C5"/>
    <w:rsid w:val="008D09C8"/>
    <w:rsid w:val="008D14D7"/>
    <w:rsid w:val="008D1A6B"/>
    <w:rsid w:val="008D2146"/>
    <w:rsid w:val="008D23E6"/>
    <w:rsid w:val="008D2DD9"/>
    <w:rsid w:val="008D2E8C"/>
    <w:rsid w:val="008D2F29"/>
    <w:rsid w:val="008D37C2"/>
    <w:rsid w:val="008D4195"/>
    <w:rsid w:val="008D438B"/>
    <w:rsid w:val="008D4643"/>
    <w:rsid w:val="008D714D"/>
    <w:rsid w:val="008D790E"/>
    <w:rsid w:val="008D7B0C"/>
    <w:rsid w:val="008E06E3"/>
    <w:rsid w:val="008E09F5"/>
    <w:rsid w:val="008E0D91"/>
    <w:rsid w:val="008E0E41"/>
    <w:rsid w:val="008E1745"/>
    <w:rsid w:val="008E34C3"/>
    <w:rsid w:val="008E38C6"/>
    <w:rsid w:val="008E4658"/>
    <w:rsid w:val="008E4EF7"/>
    <w:rsid w:val="008E5AE9"/>
    <w:rsid w:val="008E6485"/>
    <w:rsid w:val="008E6E23"/>
    <w:rsid w:val="008E7282"/>
    <w:rsid w:val="008E793E"/>
    <w:rsid w:val="008F08B7"/>
    <w:rsid w:val="008F0AA1"/>
    <w:rsid w:val="008F0C4D"/>
    <w:rsid w:val="008F106F"/>
    <w:rsid w:val="008F2535"/>
    <w:rsid w:val="008F2547"/>
    <w:rsid w:val="008F2C89"/>
    <w:rsid w:val="008F2DAC"/>
    <w:rsid w:val="008F2E24"/>
    <w:rsid w:val="008F336F"/>
    <w:rsid w:val="008F35A9"/>
    <w:rsid w:val="008F3657"/>
    <w:rsid w:val="008F3B8D"/>
    <w:rsid w:val="008F3F5F"/>
    <w:rsid w:val="008F3FEF"/>
    <w:rsid w:val="008F42EA"/>
    <w:rsid w:val="008F48A0"/>
    <w:rsid w:val="008F4BB8"/>
    <w:rsid w:val="008F5054"/>
    <w:rsid w:val="008F6256"/>
    <w:rsid w:val="008F7A55"/>
    <w:rsid w:val="00900EEB"/>
    <w:rsid w:val="00901D6C"/>
    <w:rsid w:val="0090220E"/>
    <w:rsid w:val="00902603"/>
    <w:rsid w:val="0090300D"/>
    <w:rsid w:val="009038FB"/>
    <w:rsid w:val="00903A7F"/>
    <w:rsid w:val="00903DA6"/>
    <w:rsid w:val="00903FDE"/>
    <w:rsid w:val="00904118"/>
    <w:rsid w:val="009043E2"/>
    <w:rsid w:val="00905E82"/>
    <w:rsid w:val="00906071"/>
    <w:rsid w:val="00906442"/>
    <w:rsid w:val="009064B2"/>
    <w:rsid w:val="00910295"/>
    <w:rsid w:val="00910434"/>
    <w:rsid w:val="00910621"/>
    <w:rsid w:val="00910D1C"/>
    <w:rsid w:val="00911075"/>
    <w:rsid w:val="009124D2"/>
    <w:rsid w:val="00912781"/>
    <w:rsid w:val="00913C20"/>
    <w:rsid w:val="00914142"/>
    <w:rsid w:val="00914F47"/>
    <w:rsid w:val="0091530D"/>
    <w:rsid w:val="00915767"/>
    <w:rsid w:val="00915E7E"/>
    <w:rsid w:val="00916070"/>
    <w:rsid w:val="009162CC"/>
    <w:rsid w:val="0091665E"/>
    <w:rsid w:val="00916C96"/>
    <w:rsid w:val="00916E82"/>
    <w:rsid w:val="00917599"/>
    <w:rsid w:val="0091799C"/>
    <w:rsid w:val="00917BF3"/>
    <w:rsid w:val="009207B2"/>
    <w:rsid w:val="00920EB4"/>
    <w:rsid w:val="00920FAB"/>
    <w:rsid w:val="009211D3"/>
    <w:rsid w:val="0092198A"/>
    <w:rsid w:val="00921DD0"/>
    <w:rsid w:val="0092233F"/>
    <w:rsid w:val="00922AA4"/>
    <w:rsid w:val="009236C1"/>
    <w:rsid w:val="0092429F"/>
    <w:rsid w:val="00924492"/>
    <w:rsid w:val="00924BE1"/>
    <w:rsid w:val="00924CBA"/>
    <w:rsid w:val="00926A33"/>
    <w:rsid w:val="00926C05"/>
    <w:rsid w:val="00926D62"/>
    <w:rsid w:val="00927890"/>
    <w:rsid w:val="00927EF1"/>
    <w:rsid w:val="00931686"/>
    <w:rsid w:val="00931BFA"/>
    <w:rsid w:val="0093239D"/>
    <w:rsid w:val="009329BB"/>
    <w:rsid w:val="00932ECF"/>
    <w:rsid w:val="00932FD0"/>
    <w:rsid w:val="00933295"/>
    <w:rsid w:val="00934222"/>
    <w:rsid w:val="00934608"/>
    <w:rsid w:val="00935404"/>
    <w:rsid w:val="009359D4"/>
    <w:rsid w:val="00935AA6"/>
    <w:rsid w:val="0093641B"/>
    <w:rsid w:val="009365CE"/>
    <w:rsid w:val="00936DCD"/>
    <w:rsid w:val="009370C5"/>
    <w:rsid w:val="00937B3D"/>
    <w:rsid w:val="00937E1C"/>
    <w:rsid w:val="00940484"/>
    <w:rsid w:val="0094112A"/>
    <w:rsid w:val="0094123B"/>
    <w:rsid w:val="009415B2"/>
    <w:rsid w:val="00941B69"/>
    <w:rsid w:val="00941FDB"/>
    <w:rsid w:val="00942291"/>
    <w:rsid w:val="0094333B"/>
    <w:rsid w:val="00944CDF"/>
    <w:rsid w:val="00945A80"/>
    <w:rsid w:val="00945C18"/>
    <w:rsid w:val="00946934"/>
    <w:rsid w:val="00946D1E"/>
    <w:rsid w:val="00946FCF"/>
    <w:rsid w:val="00947589"/>
    <w:rsid w:val="009503AB"/>
    <w:rsid w:val="00950A9A"/>
    <w:rsid w:val="00950FD7"/>
    <w:rsid w:val="009514A7"/>
    <w:rsid w:val="009516A9"/>
    <w:rsid w:val="00952083"/>
    <w:rsid w:val="00952A0C"/>
    <w:rsid w:val="00953666"/>
    <w:rsid w:val="00954A1B"/>
    <w:rsid w:val="00954CDC"/>
    <w:rsid w:val="00955838"/>
    <w:rsid w:val="00955A4F"/>
    <w:rsid w:val="00955B9B"/>
    <w:rsid w:val="0095627B"/>
    <w:rsid w:val="00957224"/>
    <w:rsid w:val="009602D5"/>
    <w:rsid w:val="00960D5C"/>
    <w:rsid w:val="00961588"/>
    <w:rsid w:val="00961888"/>
    <w:rsid w:val="00961BF1"/>
    <w:rsid w:val="009622FE"/>
    <w:rsid w:val="009625E3"/>
    <w:rsid w:val="0096350F"/>
    <w:rsid w:val="0096381F"/>
    <w:rsid w:val="0096388E"/>
    <w:rsid w:val="0096390F"/>
    <w:rsid w:val="00964499"/>
    <w:rsid w:val="009657F6"/>
    <w:rsid w:val="0096601F"/>
    <w:rsid w:val="00966746"/>
    <w:rsid w:val="00966897"/>
    <w:rsid w:val="00966CF5"/>
    <w:rsid w:val="009673AE"/>
    <w:rsid w:val="009676CF"/>
    <w:rsid w:val="00967CDE"/>
    <w:rsid w:val="009709D9"/>
    <w:rsid w:val="00973AFB"/>
    <w:rsid w:val="00973D89"/>
    <w:rsid w:val="00975AB2"/>
    <w:rsid w:val="00976A48"/>
    <w:rsid w:val="009776C5"/>
    <w:rsid w:val="009805F5"/>
    <w:rsid w:val="00980944"/>
    <w:rsid w:val="00981800"/>
    <w:rsid w:val="009818DB"/>
    <w:rsid w:val="00981F16"/>
    <w:rsid w:val="0098249E"/>
    <w:rsid w:val="00982687"/>
    <w:rsid w:val="00982DD1"/>
    <w:rsid w:val="00983FC4"/>
    <w:rsid w:val="00983FF6"/>
    <w:rsid w:val="009842CE"/>
    <w:rsid w:val="009846BD"/>
    <w:rsid w:val="009846E1"/>
    <w:rsid w:val="00985A4B"/>
    <w:rsid w:val="00985B7C"/>
    <w:rsid w:val="00985D16"/>
    <w:rsid w:val="009863AE"/>
    <w:rsid w:val="009864BC"/>
    <w:rsid w:val="009867D0"/>
    <w:rsid w:val="009868F4"/>
    <w:rsid w:val="00986BD4"/>
    <w:rsid w:val="00987BF0"/>
    <w:rsid w:val="00987CC7"/>
    <w:rsid w:val="009902BB"/>
    <w:rsid w:val="009905D1"/>
    <w:rsid w:val="009917CE"/>
    <w:rsid w:val="00991A6A"/>
    <w:rsid w:val="0099311E"/>
    <w:rsid w:val="00993395"/>
    <w:rsid w:val="009935CA"/>
    <w:rsid w:val="0099379B"/>
    <w:rsid w:val="009940F6"/>
    <w:rsid w:val="00994BB1"/>
    <w:rsid w:val="00994BF3"/>
    <w:rsid w:val="009957E5"/>
    <w:rsid w:val="00995B83"/>
    <w:rsid w:val="00995C07"/>
    <w:rsid w:val="00995CD6"/>
    <w:rsid w:val="0099783F"/>
    <w:rsid w:val="009A023C"/>
    <w:rsid w:val="009A1B77"/>
    <w:rsid w:val="009A1E76"/>
    <w:rsid w:val="009A279C"/>
    <w:rsid w:val="009A29FC"/>
    <w:rsid w:val="009A2F13"/>
    <w:rsid w:val="009A39EC"/>
    <w:rsid w:val="009A3AE9"/>
    <w:rsid w:val="009A4999"/>
    <w:rsid w:val="009A5BD7"/>
    <w:rsid w:val="009A6912"/>
    <w:rsid w:val="009A6BC9"/>
    <w:rsid w:val="009A6F9F"/>
    <w:rsid w:val="009A7553"/>
    <w:rsid w:val="009A7DAD"/>
    <w:rsid w:val="009A7E35"/>
    <w:rsid w:val="009B0273"/>
    <w:rsid w:val="009B0D51"/>
    <w:rsid w:val="009B104A"/>
    <w:rsid w:val="009B1752"/>
    <w:rsid w:val="009B2103"/>
    <w:rsid w:val="009B2162"/>
    <w:rsid w:val="009B23E1"/>
    <w:rsid w:val="009B2553"/>
    <w:rsid w:val="009B2853"/>
    <w:rsid w:val="009B31DA"/>
    <w:rsid w:val="009B33F3"/>
    <w:rsid w:val="009B450F"/>
    <w:rsid w:val="009B46D7"/>
    <w:rsid w:val="009B46FB"/>
    <w:rsid w:val="009B51EE"/>
    <w:rsid w:val="009B585B"/>
    <w:rsid w:val="009B594F"/>
    <w:rsid w:val="009B5995"/>
    <w:rsid w:val="009B65B5"/>
    <w:rsid w:val="009B7201"/>
    <w:rsid w:val="009B7EE1"/>
    <w:rsid w:val="009C032A"/>
    <w:rsid w:val="009C09CE"/>
    <w:rsid w:val="009C0F4F"/>
    <w:rsid w:val="009C28DE"/>
    <w:rsid w:val="009C3CF5"/>
    <w:rsid w:val="009C3FB4"/>
    <w:rsid w:val="009C5090"/>
    <w:rsid w:val="009C5446"/>
    <w:rsid w:val="009C5495"/>
    <w:rsid w:val="009C6084"/>
    <w:rsid w:val="009C66A2"/>
    <w:rsid w:val="009C6935"/>
    <w:rsid w:val="009C789B"/>
    <w:rsid w:val="009C7EF8"/>
    <w:rsid w:val="009D0878"/>
    <w:rsid w:val="009D1242"/>
    <w:rsid w:val="009D1B10"/>
    <w:rsid w:val="009D1D8F"/>
    <w:rsid w:val="009D2092"/>
    <w:rsid w:val="009D20D2"/>
    <w:rsid w:val="009D286F"/>
    <w:rsid w:val="009D2CF7"/>
    <w:rsid w:val="009D32D3"/>
    <w:rsid w:val="009D369A"/>
    <w:rsid w:val="009D4477"/>
    <w:rsid w:val="009D52D5"/>
    <w:rsid w:val="009D617A"/>
    <w:rsid w:val="009D6E72"/>
    <w:rsid w:val="009D7312"/>
    <w:rsid w:val="009D7442"/>
    <w:rsid w:val="009D7795"/>
    <w:rsid w:val="009D7894"/>
    <w:rsid w:val="009D7F27"/>
    <w:rsid w:val="009E022C"/>
    <w:rsid w:val="009E08FE"/>
    <w:rsid w:val="009E0A30"/>
    <w:rsid w:val="009E1A2E"/>
    <w:rsid w:val="009E2516"/>
    <w:rsid w:val="009E2648"/>
    <w:rsid w:val="009E3ADD"/>
    <w:rsid w:val="009E5153"/>
    <w:rsid w:val="009E5404"/>
    <w:rsid w:val="009E55A6"/>
    <w:rsid w:val="009E5880"/>
    <w:rsid w:val="009E628C"/>
    <w:rsid w:val="009E6EB0"/>
    <w:rsid w:val="009E7B98"/>
    <w:rsid w:val="009F0102"/>
    <w:rsid w:val="009F04B7"/>
    <w:rsid w:val="009F0746"/>
    <w:rsid w:val="009F099A"/>
    <w:rsid w:val="009F110A"/>
    <w:rsid w:val="009F1265"/>
    <w:rsid w:val="009F1F46"/>
    <w:rsid w:val="009F210E"/>
    <w:rsid w:val="009F2185"/>
    <w:rsid w:val="009F21D2"/>
    <w:rsid w:val="009F2436"/>
    <w:rsid w:val="009F2ECF"/>
    <w:rsid w:val="009F3B14"/>
    <w:rsid w:val="009F3E5C"/>
    <w:rsid w:val="009F4C52"/>
    <w:rsid w:val="009F5553"/>
    <w:rsid w:val="009F5992"/>
    <w:rsid w:val="009F6704"/>
    <w:rsid w:val="009F70F5"/>
    <w:rsid w:val="009F759A"/>
    <w:rsid w:val="00A010C5"/>
    <w:rsid w:val="00A0193D"/>
    <w:rsid w:val="00A01A67"/>
    <w:rsid w:val="00A01B67"/>
    <w:rsid w:val="00A02068"/>
    <w:rsid w:val="00A024F8"/>
    <w:rsid w:val="00A027F7"/>
    <w:rsid w:val="00A0287D"/>
    <w:rsid w:val="00A039CB"/>
    <w:rsid w:val="00A0503A"/>
    <w:rsid w:val="00A05AED"/>
    <w:rsid w:val="00A06674"/>
    <w:rsid w:val="00A06D98"/>
    <w:rsid w:val="00A07297"/>
    <w:rsid w:val="00A077D9"/>
    <w:rsid w:val="00A07B30"/>
    <w:rsid w:val="00A10456"/>
    <w:rsid w:val="00A10493"/>
    <w:rsid w:val="00A12E19"/>
    <w:rsid w:val="00A1321E"/>
    <w:rsid w:val="00A13527"/>
    <w:rsid w:val="00A1446E"/>
    <w:rsid w:val="00A1450C"/>
    <w:rsid w:val="00A149B7"/>
    <w:rsid w:val="00A14BF7"/>
    <w:rsid w:val="00A14C00"/>
    <w:rsid w:val="00A1536F"/>
    <w:rsid w:val="00A15620"/>
    <w:rsid w:val="00A15724"/>
    <w:rsid w:val="00A1630B"/>
    <w:rsid w:val="00A17071"/>
    <w:rsid w:val="00A201E6"/>
    <w:rsid w:val="00A20AB4"/>
    <w:rsid w:val="00A20D4A"/>
    <w:rsid w:val="00A21D19"/>
    <w:rsid w:val="00A22AF9"/>
    <w:rsid w:val="00A230D7"/>
    <w:rsid w:val="00A23574"/>
    <w:rsid w:val="00A2361F"/>
    <w:rsid w:val="00A23AA5"/>
    <w:rsid w:val="00A23EC9"/>
    <w:rsid w:val="00A24804"/>
    <w:rsid w:val="00A25FF3"/>
    <w:rsid w:val="00A26110"/>
    <w:rsid w:val="00A269AD"/>
    <w:rsid w:val="00A27090"/>
    <w:rsid w:val="00A27D50"/>
    <w:rsid w:val="00A30CB4"/>
    <w:rsid w:val="00A319E2"/>
    <w:rsid w:val="00A32094"/>
    <w:rsid w:val="00A340D8"/>
    <w:rsid w:val="00A349E9"/>
    <w:rsid w:val="00A34C3A"/>
    <w:rsid w:val="00A34EDB"/>
    <w:rsid w:val="00A35F23"/>
    <w:rsid w:val="00A37ECA"/>
    <w:rsid w:val="00A401B8"/>
    <w:rsid w:val="00A407D7"/>
    <w:rsid w:val="00A41173"/>
    <w:rsid w:val="00A4134E"/>
    <w:rsid w:val="00A416DE"/>
    <w:rsid w:val="00A4218A"/>
    <w:rsid w:val="00A42839"/>
    <w:rsid w:val="00A430A8"/>
    <w:rsid w:val="00A44DA9"/>
    <w:rsid w:val="00A46819"/>
    <w:rsid w:val="00A468A4"/>
    <w:rsid w:val="00A46CEE"/>
    <w:rsid w:val="00A47A55"/>
    <w:rsid w:val="00A47CC5"/>
    <w:rsid w:val="00A507D8"/>
    <w:rsid w:val="00A508B9"/>
    <w:rsid w:val="00A512DD"/>
    <w:rsid w:val="00A5151B"/>
    <w:rsid w:val="00A51DAB"/>
    <w:rsid w:val="00A5286B"/>
    <w:rsid w:val="00A53131"/>
    <w:rsid w:val="00A53238"/>
    <w:rsid w:val="00A53F9C"/>
    <w:rsid w:val="00A5409F"/>
    <w:rsid w:val="00A54561"/>
    <w:rsid w:val="00A5485E"/>
    <w:rsid w:val="00A54EE7"/>
    <w:rsid w:val="00A552E1"/>
    <w:rsid w:val="00A557BC"/>
    <w:rsid w:val="00A55953"/>
    <w:rsid w:val="00A56035"/>
    <w:rsid w:val="00A569E4"/>
    <w:rsid w:val="00A56C6A"/>
    <w:rsid w:val="00A57A69"/>
    <w:rsid w:val="00A57CA4"/>
    <w:rsid w:val="00A60F55"/>
    <w:rsid w:val="00A61095"/>
    <w:rsid w:val="00A6196B"/>
    <w:rsid w:val="00A61F5D"/>
    <w:rsid w:val="00A62CD4"/>
    <w:rsid w:val="00A63692"/>
    <w:rsid w:val="00A63ABD"/>
    <w:rsid w:val="00A63BCF"/>
    <w:rsid w:val="00A64595"/>
    <w:rsid w:val="00A6565A"/>
    <w:rsid w:val="00A65B43"/>
    <w:rsid w:val="00A66940"/>
    <w:rsid w:val="00A67CEE"/>
    <w:rsid w:val="00A67F69"/>
    <w:rsid w:val="00A71F97"/>
    <w:rsid w:val="00A7338B"/>
    <w:rsid w:val="00A7385B"/>
    <w:rsid w:val="00A73E24"/>
    <w:rsid w:val="00A74A49"/>
    <w:rsid w:val="00A7573D"/>
    <w:rsid w:val="00A760DF"/>
    <w:rsid w:val="00A776D2"/>
    <w:rsid w:val="00A816D9"/>
    <w:rsid w:val="00A82125"/>
    <w:rsid w:val="00A826B4"/>
    <w:rsid w:val="00A82A31"/>
    <w:rsid w:val="00A82B01"/>
    <w:rsid w:val="00A838A0"/>
    <w:rsid w:val="00A8393C"/>
    <w:rsid w:val="00A83BFC"/>
    <w:rsid w:val="00A84064"/>
    <w:rsid w:val="00A84D48"/>
    <w:rsid w:val="00A84F4D"/>
    <w:rsid w:val="00A8519D"/>
    <w:rsid w:val="00A852B3"/>
    <w:rsid w:val="00A85443"/>
    <w:rsid w:val="00A86623"/>
    <w:rsid w:val="00A86DE3"/>
    <w:rsid w:val="00A87E8A"/>
    <w:rsid w:val="00A90B8F"/>
    <w:rsid w:val="00A91121"/>
    <w:rsid w:val="00A91D43"/>
    <w:rsid w:val="00A91D73"/>
    <w:rsid w:val="00A92613"/>
    <w:rsid w:val="00A92B3E"/>
    <w:rsid w:val="00A92BD9"/>
    <w:rsid w:val="00A92FAF"/>
    <w:rsid w:val="00A9323B"/>
    <w:rsid w:val="00A932F0"/>
    <w:rsid w:val="00A93703"/>
    <w:rsid w:val="00A942EB"/>
    <w:rsid w:val="00A9483C"/>
    <w:rsid w:val="00A96407"/>
    <w:rsid w:val="00A9667E"/>
    <w:rsid w:val="00A966C6"/>
    <w:rsid w:val="00A968A5"/>
    <w:rsid w:val="00A96F6B"/>
    <w:rsid w:val="00A9703A"/>
    <w:rsid w:val="00AA0311"/>
    <w:rsid w:val="00AA112B"/>
    <w:rsid w:val="00AA1A46"/>
    <w:rsid w:val="00AA1AC1"/>
    <w:rsid w:val="00AA1C8A"/>
    <w:rsid w:val="00AA1E63"/>
    <w:rsid w:val="00AA1FBE"/>
    <w:rsid w:val="00AA2521"/>
    <w:rsid w:val="00AA2645"/>
    <w:rsid w:val="00AA2A3D"/>
    <w:rsid w:val="00AA46C0"/>
    <w:rsid w:val="00AA5317"/>
    <w:rsid w:val="00AA6332"/>
    <w:rsid w:val="00AA74CA"/>
    <w:rsid w:val="00AA766D"/>
    <w:rsid w:val="00AA77E5"/>
    <w:rsid w:val="00AB088F"/>
    <w:rsid w:val="00AB18C4"/>
    <w:rsid w:val="00AB1948"/>
    <w:rsid w:val="00AB1966"/>
    <w:rsid w:val="00AB24F9"/>
    <w:rsid w:val="00AB3AB2"/>
    <w:rsid w:val="00AB3EF9"/>
    <w:rsid w:val="00AB4166"/>
    <w:rsid w:val="00AB4885"/>
    <w:rsid w:val="00AB496B"/>
    <w:rsid w:val="00AB4A27"/>
    <w:rsid w:val="00AB54D6"/>
    <w:rsid w:val="00AB5626"/>
    <w:rsid w:val="00AB5A13"/>
    <w:rsid w:val="00AB7255"/>
    <w:rsid w:val="00AC0080"/>
    <w:rsid w:val="00AC0415"/>
    <w:rsid w:val="00AC099B"/>
    <w:rsid w:val="00AC1664"/>
    <w:rsid w:val="00AC1EC5"/>
    <w:rsid w:val="00AC1EFD"/>
    <w:rsid w:val="00AC2107"/>
    <w:rsid w:val="00AC2D5F"/>
    <w:rsid w:val="00AC3489"/>
    <w:rsid w:val="00AC3EDE"/>
    <w:rsid w:val="00AC4085"/>
    <w:rsid w:val="00AC4539"/>
    <w:rsid w:val="00AC55A6"/>
    <w:rsid w:val="00AC6C03"/>
    <w:rsid w:val="00AC710F"/>
    <w:rsid w:val="00AC711E"/>
    <w:rsid w:val="00AC7DDF"/>
    <w:rsid w:val="00AC7FC2"/>
    <w:rsid w:val="00AD0048"/>
    <w:rsid w:val="00AD1B15"/>
    <w:rsid w:val="00AD2594"/>
    <w:rsid w:val="00AD2761"/>
    <w:rsid w:val="00AD2BA4"/>
    <w:rsid w:val="00AD2F47"/>
    <w:rsid w:val="00AD35B5"/>
    <w:rsid w:val="00AD3A8F"/>
    <w:rsid w:val="00AD3FF0"/>
    <w:rsid w:val="00AD45EB"/>
    <w:rsid w:val="00AD527C"/>
    <w:rsid w:val="00AD6428"/>
    <w:rsid w:val="00AD69FC"/>
    <w:rsid w:val="00AD73CC"/>
    <w:rsid w:val="00AD7D7D"/>
    <w:rsid w:val="00AE08BD"/>
    <w:rsid w:val="00AE0CA1"/>
    <w:rsid w:val="00AE110C"/>
    <w:rsid w:val="00AE12CE"/>
    <w:rsid w:val="00AE1D68"/>
    <w:rsid w:val="00AE1F4B"/>
    <w:rsid w:val="00AE21F4"/>
    <w:rsid w:val="00AE264E"/>
    <w:rsid w:val="00AE280D"/>
    <w:rsid w:val="00AE37B2"/>
    <w:rsid w:val="00AE4362"/>
    <w:rsid w:val="00AE4B91"/>
    <w:rsid w:val="00AE54B3"/>
    <w:rsid w:val="00AE6D8F"/>
    <w:rsid w:val="00AE7A76"/>
    <w:rsid w:val="00AE7D8A"/>
    <w:rsid w:val="00AE7FA5"/>
    <w:rsid w:val="00AF0420"/>
    <w:rsid w:val="00AF0873"/>
    <w:rsid w:val="00AF244C"/>
    <w:rsid w:val="00AF3410"/>
    <w:rsid w:val="00AF37E7"/>
    <w:rsid w:val="00AF561D"/>
    <w:rsid w:val="00AF5FB5"/>
    <w:rsid w:val="00AF6544"/>
    <w:rsid w:val="00AF6D30"/>
    <w:rsid w:val="00AF7A49"/>
    <w:rsid w:val="00B00123"/>
    <w:rsid w:val="00B001EF"/>
    <w:rsid w:val="00B004EE"/>
    <w:rsid w:val="00B00A39"/>
    <w:rsid w:val="00B01AB5"/>
    <w:rsid w:val="00B01F95"/>
    <w:rsid w:val="00B0260E"/>
    <w:rsid w:val="00B02E93"/>
    <w:rsid w:val="00B02FD5"/>
    <w:rsid w:val="00B03678"/>
    <w:rsid w:val="00B03762"/>
    <w:rsid w:val="00B03833"/>
    <w:rsid w:val="00B044FC"/>
    <w:rsid w:val="00B05D54"/>
    <w:rsid w:val="00B05EB5"/>
    <w:rsid w:val="00B0603A"/>
    <w:rsid w:val="00B06356"/>
    <w:rsid w:val="00B06ADF"/>
    <w:rsid w:val="00B06C97"/>
    <w:rsid w:val="00B07A03"/>
    <w:rsid w:val="00B108A5"/>
    <w:rsid w:val="00B10CEA"/>
    <w:rsid w:val="00B11299"/>
    <w:rsid w:val="00B11A37"/>
    <w:rsid w:val="00B12A17"/>
    <w:rsid w:val="00B13A1C"/>
    <w:rsid w:val="00B1443A"/>
    <w:rsid w:val="00B14C45"/>
    <w:rsid w:val="00B14F61"/>
    <w:rsid w:val="00B15989"/>
    <w:rsid w:val="00B1651E"/>
    <w:rsid w:val="00B16B2E"/>
    <w:rsid w:val="00B172FA"/>
    <w:rsid w:val="00B212CB"/>
    <w:rsid w:val="00B21842"/>
    <w:rsid w:val="00B21A52"/>
    <w:rsid w:val="00B21E80"/>
    <w:rsid w:val="00B224D9"/>
    <w:rsid w:val="00B2273E"/>
    <w:rsid w:val="00B2281B"/>
    <w:rsid w:val="00B2463E"/>
    <w:rsid w:val="00B24D38"/>
    <w:rsid w:val="00B24F2C"/>
    <w:rsid w:val="00B2580D"/>
    <w:rsid w:val="00B26843"/>
    <w:rsid w:val="00B26AC1"/>
    <w:rsid w:val="00B26DFD"/>
    <w:rsid w:val="00B2700F"/>
    <w:rsid w:val="00B332E7"/>
    <w:rsid w:val="00B34574"/>
    <w:rsid w:val="00B34603"/>
    <w:rsid w:val="00B34E59"/>
    <w:rsid w:val="00B34FFA"/>
    <w:rsid w:val="00B35245"/>
    <w:rsid w:val="00B358A1"/>
    <w:rsid w:val="00B36169"/>
    <w:rsid w:val="00B3621A"/>
    <w:rsid w:val="00B36962"/>
    <w:rsid w:val="00B36E5B"/>
    <w:rsid w:val="00B37B8B"/>
    <w:rsid w:val="00B37C0F"/>
    <w:rsid w:val="00B37C9B"/>
    <w:rsid w:val="00B406FB"/>
    <w:rsid w:val="00B40805"/>
    <w:rsid w:val="00B4100C"/>
    <w:rsid w:val="00B4144E"/>
    <w:rsid w:val="00B415EC"/>
    <w:rsid w:val="00B41776"/>
    <w:rsid w:val="00B41D94"/>
    <w:rsid w:val="00B41F18"/>
    <w:rsid w:val="00B41F62"/>
    <w:rsid w:val="00B42175"/>
    <w:rsid w:val="00B42E27"/>
    <w:rsid w:val="00B43245"/>
    <w:rsid w:val="00B43387"/>
    <w:rsid w:val="00B4397F"/>
    <w:rsid w:val="00B44E1C"/>
    <w:rsid w:val="00B44E67"/>
    <w:rsid w:val="00B44F1C"/>
    <w:rsid w:val="00B454A8"/>
    <w:rsid w:val="00B45702"/>
    <w:rsid w:val="00B466D1"/>
    <w:rsid w:val="00B466E6"/>
    <w:rsid w:val="00B46D23"/>
    <w:rsid w:val="00B46DA4"/>
    <w:rsid w:val="00B46E57"/>
    <w:rsid w:val="00B47139"/>
    <w:rsid w:val="00B4721D"/>
    <w:rsid w:val="00B472CE"/>
    <w:rsid w:val="00B472D0"/>
    <w:rsid w:val="00B4774B"/>
    <w:rsid w:val="00B47C8F"/>
    <w:rsid w:val="00B47EDB"/>
    <w:rsid w:val="00B50EEF"/>
    <w:rsid w:val="00B51F91"/>
    <w:rsid w:val="00B53A55"/>
    <w:rsid w:val="00B53B5D"/>
    <w:rsid w:val="00B53BBA"/>
    <w:rsid w:val="00B5409F"/>
    <w:rsid w:val="00B56D82"/>
    <w:rsid w:val="00B57638"/>
    <w:rsid w:val="00B576E0"/>
    <w:rsid w:val="00B57A9E"/>
    <w:rsid w:val="00B57B5B"/>
    <w:rsid w:val="00B57D55"/>
    <w:rsid w:val="00B60634"/>
    <w:rsid w:val="00B608D6"/>
    <w:rsid w:val="00B611A9"/>
    <w:rsid w:val="00B62EB2"/>
    <w:rsid w:val="00B63A5E"/>
    <w:rsid w:val="00B6402D"/>
    <w:rsid w:val="00B65835"/>
    <w:rsid w:val="00B6663C"/>
    <w:rsid w:val="00B66691"/>
    <w:rsid w:val="00B66B35"/>
    <w:rsid w:val="00B67112"/>
    <w:rsid w:val="00B67148"/>
    <w:rsid w:val="00B70B9F"/>
    <w:rsid w:val="00B70C80"/>
    <w:rsid w:val="00B70CFF"/>
    <w:rsid w:val="00B7169A"/>
    <w:rsid w:val="00B73CBC"/>
    <w:rsid w:val="00B74E7E"/>
    <w:rsid w:val="00B75605"/>
    <w:rsid w:val="00B760F2"/>
    <w:rsid w:val="00B80585"/>
    <w:rsid w:val="00B80883"/>
    <w:rsid w:val="00B80A84"/>
    <w:rsid w:val="00B80AA7"/>
    <w:rsid w:val="00B80E39"/>
    <w:rsid w:val="00B80F9C"/>
    <w:rsid w:val="00B815C3"/>
    <w:rsid w:val="00B83B43"/>
    <w:rsid w:val="00B83B63"/>
    <w:rsid w:val="00B840F1"/>
    <w:rsid w:val="00B84372"/>
    <w:rsid w:val="00B84395"/>
    <w:rsid w:val="00B849EC"/>
    <w:rsid w:val="00B853C9"/>
    <w:rsid w:val="00B8546A"/>
    <w:rsid w:val="00B87D0F"/>
    <w:rsid w:val="00B900C4"/>
    <w:rsid w:val="00B9108D"/>
    <w:rsid w:val="00B911B7"/>
    <w:rsid w:val="00B91328"/>
    <w:rsid w:val="00B91330"/>
    <w:rsid w:val="00B91357"/>
    <w:rsid w:val="00B91500"/>
    <w:rsid w:val="00B93B5C"/>
    <w:rsid w:val="00B93EF2"/>
    <w:rsid w:val="00B94C1A"/>
    <w:rsid w:val="00B95F71"/>
    <w:rsid w:val="00B96624"/>
    <w:rsid w:val="00B96694"/>
    <w:rsid w:val="00B96920"/>
    <w:rsid w:val="00B96985"/>
    <w:rsid w:val="00B96A13"/>
    <w:rsid w:val="00BA0278"/>
    <w:rsid w:val="00BA0443"/>
    <w:rsid w:val="00BA1B28"/>
    <w:rsid w:val="00BA1DF5"/>
    <w:rsid w:val="00BA2128"/>
    <w:rsid w:val="00BA2797"/>
    <w:rsid w:val="00BA2BF1"/>
    <w:rsid w:val="00BA2E99"/>
    <w:rsid w:val="00BA32AA"/>
    <w:rsid w:val="00BA33B4"/>
    <w:rsid w:val="00BA34C2"/>
    <w:rsid w:val="00BA3D1F"/>
    <w:rsid w:val="00BA3D97"/>
    <w:rsid w:val="00BA575E"/>
    <w:rsid w:val="00BA62B5"/>
    <w:rsid w:val="00BA6354"/>
    <w:rsid w:val="00BA6466"/>
    <w:rsid w:val="00BA7B51"/>
    <w:rsid w:val="00BB0696"/>
    <w:rsid w:val="00BB0C6D"/>
    <w:rsid w:val="00BB2696"/>
    <w:rsid w:val="00BB2976"/>
    <w:rsid w:val="00BB35F5"/>
    <w:rsid w:val="00BB5928"/>
    <w:rsid w:val="00BB5FFC"/>
    <w:rsid w:val="00BB61EF"/>
    <w:rsid w:val="00BB62FA"/>
    <w:rsid w:val="00BB68DC"/>
    <w:rsid w:val="00BB6D13"/>
    <w:rsid w:val="00BB723E"/>
    <w:rsid w:val="00BB726C"/>
    <w:rsid w:val="00BB7750"/>
    <w:rsid w:val="00BB7D98"/>
    <w:rsid w:val="00BB7DCB"/>
    <w:rsid w:val="00BC0018"/>
    <w:rsid w:val="00BC085F"/>
    <w:rsid w:val="00BC3DA8"/>
    <w:rsid w:val="00BC4134"/>
    <w:rsid w:val="00BC43A7"/>
    <w:rsid w:val="00BC4C78"/>
    <w:rsid w:val="00BC59AD"/>
    <w:rsid w:val="00BC6E41"/>
    <w:rsid w:val="00BC7289"/>
    <w:rsid w:val="00BC732D"/>
    <w:rsid w:val="00BC7AF6"/>
    <w:rsid w:val="00BC7C86"/>
    <w:rsid w:val="00BC7F5F"/>
    <w:rsid w:val="00BD0399"/>
    <w:rsid w:val="00BD0E92"/>
    <w:rsid w:val="00BD1C96"/>
    <w:rsid w:val="00BD1EDD"/>
    <w:rsid w:val="00BD22FC"/>
    <w:rsid w:val="00BD23CA"/>
    <w:rsid w:val="00BD26B8"/>
    <w:rsid w:val="00BD274B"/>
    <w:rsid w:val="00BD300D"/>
    <w:rsid w:val="00BD3806"/>
    <w:rsid w:val="00BD3E52"/>
    <w:rsid w:val="00BD429F"/>
    <w:rsid w:val="00BD44C8"/>
    <w:rsid w:val="00BD472B"/>
    <w:rsid w:val="00BD5104"/>
    <w:rsid w:val="00BD5B17"/>
    <w:rsid w:val="00BD5D79"/>
    <w:rsid w:val="00BD6162"/>
    <w:rsid w:val="00BD6541"/>
    <w:rsid w:val="00BD70B8"/>
    <w:rsid w:val="00BE0064"/>
    <w:rsid w:val="00BE03E8"/>
    <w:rsid w:val="00BE1DFD"/>
    <w:rsid w:val="00BE1E11"/>
    <w:rsid w:val="00BE3752"/>
    <w:rsid w:val="00BE3CB7"/>
    <w:rsid w:val="00BE3CD9"/>
    <w:rsid w:val="00BE49A2"/>
    <w:rsid w:val="00BE4CD9"/>
    <w:rsid w:val="00BE536C"/>
    <w:rsid w:val="00BE575C"/>
    <w:rsid w:val="00BE5C48"/>
    <w:rsid w:val="00BE6292"/>
    <w:rsid w:val="00BE62E1"/>
    <w:rsid w:val="00BE62FC"/>
    <w:rsid w:val="00BE69B6"/>
    <w:rsid w:val="00BF0292"/>
    <w:rsid w:val="00BF062C"/>
    <w:rsid w:val="00BF084C"/>
    <w:rsid w:val="00BF0ACE"/>
    <w:rsid w:val="00BF0B95"/>
    <w:rsid w:val="00BF0C74"/>
    <w:rsid w:val="00BF0E02"/>
    <w:rsid w:val="00BF1367"/>
    <w:rsid w:val="00BF1BB9"/>
    <w:rsid w:val="00BF25AF"/>
    <w:rsid w:val="00BF354A"/>
    <w:rsid w:val="00BF35C5"/>
    <w:rsid w:val="00BF3919"/>
    <w:rsid w:val="00BF3A57"/>
    <w:rsid w:val="00BF3D6B"/>
    <w:rsid w:val="00BF3F97"/>
    <w:rsid w:val="00BF475E"/>
    <w:rsid w:val="00BF48AD"/>
    <w:rsid w:val="00BF4F55"/>
    <w:rsid w:val="00BF5963"/>
    <w:rsid w:val="00BF5AB0"/>
    <w:rsid w:val="00BF5EAE"/>
    <w:rsid w:val="00BF7297"/>
    <w:rsid w:val="00BF7FA6"/>
    <w:rsid w:val="00C0081D"/>
    <w:rsid w:val="00C01579"/>
    <w:rsid w:val="00C01E3C"/>
    <w:rsid w:val="00C021FB"/>
    <w:rsid w:val="00C03A52"/>
    <w:rsid w:val="00C03F98"/>
    <w:rsid w:val="00C041B5"/>
    <w:rsid w:val="00C0448E"/>
    <w:rsid w:val="00C047BC"/>
    <w:rsid w:val="00C04B64"/>
    <w:rsid w:val="00C04BB5"/>
    <w:rsid w:val="00C05BD2"/>
    <w:rsid w:val="00C06543"/>
    <w:rsid w:val="00C06A3D"/>
    <w:rsid w:val="00C073A9"/>
    <w:rsid w:val="00C0745A"/>
    <w:rsid w:val="00C0756B"/>
    <w:rsid w:val="00C077E6"/>
    <w:rsid w:val="00C10B4A"/>
    <w:rsid w:val="00C119BC"/>
    <w:rsid w:val="00C11A77"/>
    <w:rsid w:val="00C11B20"/>
    <w:rsid w:val="00C12FEB"/>
    <w:rsid w:val="00C13016"/>
    <w:rsid w:val="00C1342A"/>
    <w:rsid w:val="00C137F7"/>
    <w:rsid w:val="00C14C0D"/>
    <w:rsid w:val="00C1590A"/>
    <w:rsid w:val="00C159F6"/>
    <w:rsid w:val="00C15EF4"/>
    <w:rsid w:val="00C166D3"/>
    <w:rsid w:val="00C16814"/>
    <w:rsid w:val="00C16D4B"/>
    <w:rsid w:val="00C16D9F"/>
    <w:rsid w:val="00C17C52"/>
    <w:rsid w:val="00C17EDD"/>
    <w:rsid w:val="00C17F3C"/>
    <w:rsid w:val="00C20E71"/>
    <w:rsid w:val="00C22539"/>
    <w:rsid w:val="00C232AC"/>
    <w:rsid w:val="00C2337B"/>
    <w:rsid w:val="00C23B15"/>
    <w:rsid w:val="00C23C4C"/>
    <w:rsid w:val="00C23CC9"/>
    <w:rsid w:val="00C2478D"/>
    <w:rsid w:val="00C24EE1"/>
    <w:rsid w:val="00C25273"/>
    <w:rsid w:val="00C26884"/>
    <w:rsid w:val="00C26E3D"/>
    <w:rsid w:val="00C27BDA"/>
    <w:rsid w:val="00C27CCE"/>
    <w:rsid w:val="00C302B0"/>
    <w:rsid w:val="00C30678"/>
    <w:rsid w:val="00C307BE"/>
    <w:rsid w:val="00C30E5D"/>
    <w:rsid w:val="00C31185"/>
    <w:rsid w:val="00C3176B"/>
    <w:rsid w:val="00C31C5B"/>
    <w:rsid w:val="00C32475"/>
    <w:rsid w:val="00C325EC"/>
    <w:rsid w:val="00C32E57"/>
    <w:rsid w:val="00C33DC0"/>
    <w:rsid w:val="00C3517B"/>
    <w:rsid w:val="00C40D75"/>
    <w:rsid w:val="00C41EE5"/>
    <w:rsid w:val="00C424E5"/>
    <w:rsid w:val="00C45F10"/>
    <w:rsid w:val="00C460F7"/>
    <w:rsid w:val="00C463BF"/>
    <w:rsid w:val="00C464D7"/>
    <w:rsid w:val="00C46A97"/>
    <w:rsid w:val="00C4729A"/>
    <w:rsid w:val="00C4796A"/>
    <w:rsid w:val="00C50411"/>
    <w:rsid w:val="00C508C9"/>
    <w:rsid w:val="00C514E8"/>
    <w:rsid w:val="00C51B41"/>
    <w:rsid w:val="00C52D14"/>
    <w:rsid w:val="00C53982"/>
    <w:rsid w:val="00C55070"/>
    <w:rsid w:val="00C55864"/>
    <w:rsid w:val="00C55A3A"/>
    <w:rsid w:val="00C55D04"/>
    <w:rsid w:val="00C55F7E"/>
    <w:rsid w:val="00C5705C"/>
    <w:rsid w:val="00C578BD"/>
    <w:rsid w:val="00C57EBB"/>
    <w:rsid w:val="00C6038A"/>
    <w:rsid w:val="00C614DE"/>
    <w:rsid w:val="00C61F5C"/>
    <w:rsid w:val="00C62CC2"/>
    <w:rsid w:val="00C637BA"/>
    <w:rsid w:val="00C63FBA"/>
    <w:rsid w:val="00C646C1"/>
    <w:rsid w:val="00C65373"/>
    <w:rsid w:val="00C65536"/>
    <w:rsid w:val="00C65AD0"/>
    <w:rsid w:val="00C65D53"/>
    <w:rsid w:val="00C66986"/>
    <w:rsid w:val="00C675FA"/>
    <w:rsid w:val="00C67E0F"/>
    <w:rsid w:val="00C707BB"/>
    <w:rsid w:val="00C71657"/>
    <w:rsid w:val="00C719C1"/>
    <w:rsid w:val="00C71F61"/>
    <w:rsid w:val="00C727D9"/>
    <w:rsid w:val="00C73106"/>
    <w:rsid w:val="00C736D6"/>
    <w:rsid w:val="00C73714"/>
    <w:rsid w:val="00C744BA"/>
    <w:rsid w:val="00C74521"/>
    <w:rsid w:val="00C75084"/>
    <w:rsid w:val="00C75A09"/>
    <w:rsid w:val="00C764AF"/>
    <w:rsid w:val="00C7669D"/>
    <w:rsid w:val="00C76726"/>
    <w:rsid w:val="00C7695E"/>
    <w:rsid w:val="00C773CA"/>
    <w:rsid w:val="00C77665"/>
    <w:rsid w:val="00C80078"/>
    <w:rsid w:val="00C8015D"/>
    <w:rsid w:val="00C808A8"/>
    <w:rsid w:val="00C808F5"/>
    <w:rsid w:val="00C819B4"/>
    <w:rsid w:val="00C820BB"/>
    <w:rsid w:val="00C82E43"/>
    <w:rsid w:val="00C8364A"/>
    <w:rsid w:val="00C83753"/>
    <w:rsid w:val="00C8476D"/>
    <w:rsid w:val="00C84EEA"/>
    <w:rsid w:val="00C879CB"/>
    <w:rsid w:val="00C91057"/>
    <w:rsid w:val="00C9130B"/>
    <w:rsid w:val="00C915E9"/>
    <w:rsid w:val="00C91B7C"/>
    <w:rsid w:val="00C91F0E"/>
    <w:rsid w:val="00C9210A"/>
    <w:rsid w:val="00C922BC"/>
    <w:rsid w:val="00C924D2"/>
    <w:rsid w:val="00C925FE"/>
    <w:rsid w:val="00C9270C"/>
    <w:rsid w:val="00C92887"/>
    <w:rsid w:val="00C92C69"/>
    <w:rsid w:val="00C932B2"/>
    <w:rsid w:val="00C9471B"/>
    <w:rsid w:val="00C949B3"/>
    <w:rsid w:val="00C9607C"/>
    <w:rsid w:val="00C97C91"/>
    <w:rsid w:val="00C97DAC"/>
    <w:rsid w:val="00CA0B67"/>
    <w:rsid w:val="00CA20AB"/>
    <w:rsid w:val="00CA2A03"/>
    <w:rsid w:val="00CA39E9"/>
    <w:rsid w:val="00CA4B6A"/>
    <w:rsid w:val="00CA4F13"/>
    <w:rsid w:val="00CA58B4"/>
    <w:rsid w:val="00CA5D5C"/>
    <w:rsid w:val="00CA67EA"/>
    <w:rsid w:val="00CA6B9A"/>
    <w:rsid w:val="00CA6F2E"/>
    <w:rsid w:val="00CA7857"/>
    <w:rsid w:val="00CA7E32"/>
    <w:rsid w:val="00CB0823"/>
    <w:rsid w:val="00CB20F5"/>
    <w:rsid w:val="00CB2813"/>
    <w:rsid w:val="00CB2A98"/>
    <w:rsid w:val="00CB339B"/>
    <w:rsid w:val="00CB372F"/>
    <w:rsid w:val="00CB3E97"/>
    <w:rsid w:val="00CB5643"/>
    <w:rsid w:val="00CB647D"/>
    <w:rsid w:val="00CB67FB"/>
    <w:rsid w:val="00CB693C"/>
    <w:rsid w:val="00CB6CEC"/>
    <w:rsid w:val="00CB706D"/>
    <w:rsid w:val="00CB7465"/>
    <w:rsid w:val="00CB7AC4"/>
    <w:rsid w:val="00CB7DEE"/>
    <w:rsid w:val="00CC0583"/>
    <w:rsid w:val="00CC1278"/>
    <w:rsid w:val="00CC38F9"/>
    <w:rsid w:val="00CC3EFB"/>
    <w:rsid w:val="00CC414C"/>
    <w:rsid w:val="00CC51AC"/>
    <w:rsid w:val="00CC650C"/>
    <w:rsid w:val="00CC68BF"/>
    <w:rsid w:val="00CD040B"/>
    <w:rsid w:val="00CD1192"/>
    <w:rsid w:val="00CD21BE"/>
    <w:rsid w:val="00CD2C77"/>
    <w:rsid w:val="00CD32C3"/>
    <w:rsid w:val="00CD3C43"/>
    <w:rsid w:val="00CD3DF3"/>
    <w:rsid w:val="00CD40FD"/>
    <w:rsid w:val="00CD4291"/>
    <w:rsid w:val="00CD4495"/>
    <w:rsid w:val="00CD44C4"/>
    <w:rsid w:val="00CD56C1"/>
    <w:rsid w:val="00CD6769"/>
    <w:rsid w:val="00CD6DE2"/>
    <w:rsid w:val="00CD7B08"/>
    <w:rsid w:val="00CE01C8"/>
    <w:rsid w:val="00CE0367"/>
    <w:rsid w:val="00CE0D6E"/>
    <w:rsid w:val="00CE15B2"/>
    <w:rsid w:val="00CE2D05"/>
    <w:rsid w:val="00CE3EF7"/>
    <w:rsid w:val="00CE4AA6"/>
    <w:rsid w:val="00CE4C45"/>
    <w:rsid w:val="00CE5C23"/>
    <w:rsid w:val="00CE6577"/>
    <w:rsid w:val="00CE6C88"/>
    <w:rsid w:val="00CE7409"/>
    <w:rsid w:val="00CE7DC5"/>
    <w:rsid w:val="00CF0248"/>
    <w:rsid w:val="00CF0BC1"/>
    <w:rsid w:val="00CF1154"/>
    <w:rsid w:val="00CF11D3"/>
    <w:rsid w:val="00CF1ACC"/>
    <w:rsid w:val="00CF1B3F"/>
    <w:rsid w:val="00CF2BCD"/>
    <w:rsid w:val="00CF2DA6"/>
    <w:rsid w:val="00CF2E9D"/>
    <w:rsid w:val="00CF323C"/>
    <w:rsid w:val="00CF45C5"/>
    <w:rsid w:val="00CF4ABD"/>
    <w:rsid w:val="00CF4CCB"/>
    <w:rsid w:val="00CF52C3"/>
    <w:rsid w:val="00CF5C8C"/>
    <w:rsid w:val="00CF62BF"/>
    <w:rsid w:val="00CF7687"/>
    <w:rsid w:val="00CF7CB6"/>
    <w:rsid w:val="00CF7D96"/>
    <w:rsid w:val="00D00439"/>
    <w:rsid w:val="00D016B3"/>
    <w:rsid w:val="00D01B7D"/>
    <w:rsid w:val="00D01D4C"/>
    <w:rsid w:val="00D029BD"/>
    <w:rsid w:val="00D03201"/>
    <w:rsid w:val="00D036EF"/>
    <w:rsid w:val="00D03BA2"/>
    <w:rsid w:val="00D04A67"/>
    <w:rsid w:val="00D04B2D"/>
    <w:rsid w:val="00D04F09"/>
    <w:rsid w:val="00D04F5B"/>
    <w:rsid w:val="00D04F8F"/>
    <w:rsid w:val="00D05230"/>
    <w:rsid w:val="00D05472"/>
    <w:rsid w:val="00D063BD"/>
    <w:rsid w:val="00D06894"/>
    <w:rsid w:val="00D079B7"/>
    <w:rsid w:val="00D07FAB"/>
    <w:rsid w:val="00D102A8"/>
    <w:rsid w:val="00D10DE7"/>
    <w:rsid w:val="00D1102B"/>
    <w:rsid w:val="00D11F56"/>
    <w:rsid w:val="00D12E8A"/>
    <w:rsid w:val="00D13B4E"/>
    <w:rsid w:val="00D1419C"/>
    <w:rsid w:val="00D145A0"/>
    <w:rsid w:val="00D149AC"/>
    <w:rsid w:val="00D15B7F"/>
    <w:rsid w:val="00D15DF7"/>
    <w:rsid w:val="00D15EF9"/>
    <w:rsid w:val="00D1610D"/>
    <w:rsid w:val="00D1651E"/>
    <w:rsid w:val="00D16686"/>
    <w:rsid w:val="00D16898"/>
    <w:rsid w:val="00D177EA"/>
    <w:rsid w:val="00D17FEE"/>
    <w:rsid w:val="00D20064"/>
    <w:rsid w:val="00D2045A"/>
    <w:rsid w:val="00D20ED6"/>
    <w:rsid w:val="00D20FA3"/>
    <w:rsid w:val="00D212F1"/>
    <w:rsid w:val="00D2150C"/>
    <w:rsid w:val="00D218D4"/>
    <w:rsid w:val="00D21D9A"/>
    <w:rsid w:val="00D2233A"/>
    <w:rsid w:val="00D2288B"/>
    <w:rsid w:val="00D229B6"/>
    <w:rsid w:val="00D22E0D"/>
    <w:rsid w:val="00D24E7C"/>
    <w:rsid w:val="00D25B2D"/>
    <w:rsid w:val="00D25F29"/>
    <w:rsid w:val="00D2722E"/>
    <w:rsid w:val="00D274DE"/>
    <w:rsid w:val="00D27534"/>
    <w:rsid w:val="00D3007D"/>
    <w:rsid w:val="00D30912"/>
    <w:rsid w:val="00D30DEB"/>
    <w:rsid w:val="00D318AE"/>
    <w:rsid w:val="00D32029"/>
    <w:rsid w:val="00D340E8"/>
    <w:rsid w:val="00D34508"/>
    <w:rsid w:val="00D346FD"/>
    <w:rsid w:val="00D35058"/>
    <w:rsid w:val="00D354FD"/>
    <w:rsid w:val="00D35F52"/>
    <w:rsid w:val="00D36E3A"/>
    <w:rsid w:val="00D36E86"/>
    <w:rsid w:val="00D36EDA"/>
    <w:rsid w:val="00D377CA"/>
    <w:rsid w:val="00D37B23"/>
    <w:rsid w:val="00D37DCE"/>
    <w:rsid w:val="00D403F3"/>
    <w:rsid w:val="00D40C8D"/>
    <w:rsid w:val="00D41810"/>
    <w:rsid w:val="00D41BAC"/>
    <w:rsid w:val="00D41BC1"/>
    <w:rsid w:val="00D41C1C"/>
    <w:rsid w:val="00D41EF3"/>
    <w:rsid w:val="00D42AB2"/>
    <w:rsid w:val="00D42FEE"/>
    <w:rsid w:val="00D44148"/>
    <w:rsid w:val="00D4496A"/>
    <w:rsid w:val="00D45384"/>
    <w:rsid w:val="00D4597E"/>
    <w:rsid w:val="00D46EF2"/>
    <w:rsid w:val="00D471F1"/>
    <w:rsid w:val="00D47D9B"/>
    <w:rsid w:val="00D50949"/>
    <w:rsid w:val="00D51874"/>
    <w:rsid w:val="00D51DA9"/>
    <w:rsid w:val="00D52402"/>
    <w:rsid w:val="00D53291"/>
    <w:rsid w:val="00D53BE5"/>
    <w:rsid w:val="00D55CEC"/>
    <w:rsid w:val="00D56989"/>
    <w:rsid w:val="00D56F14"/>
    <w:rsid w:val="00D571F2"/>
    <w:rsid w:val="00D57919"/>
    <w:rsid w:val="00D604A9"/>
    <w:rsid w:val="00D60ACE"/>
    <w:rsid w:val="00D6141E"/>
    <w:rsid w:val="00D6200C"/>
    <w:rsid w:val="00D626A3"/>
    <w:rsid w:val="00D62942"/>
    <w:rsid w:val="00D62983"/>
    <w:rsid w:val="00D62BD0"/>
    <w:rsid w:val="00D62D25"/>
    <w:rsid w:val="00D630F0"/>
    <w:rsid w:val="00D635EC"/>
    <w:rsid w:val="00D63AC6"/>
    <w:rsid w:val="00D648C0"/>
    <w:rsid w:val="00D655D3"/>
    <w:rsid w:val="00D667F3"/>
    <w:rsid w:val="00D675AC"/>
    <w:rsid w:val="00D67A7D"/>
    <w:rsid w:val="00D70502"/>
    <w:rsid w:val="00D713BF"/>
    <w:rsid w:val="00D7158E"/>
    <w:rsid w:val="00D71639"/>
    <w:rsid w:val="00D71B6A"/>
    <w:rsid w:val="00D7207E"/>
    <w:rsid w:val="00D72098"/>
    <w:rsid w:val="00D72E1B"/>
    <w:rsid w:val="00D73354"/>
    <w:rsid w:val="00D735E2"/>
    <w:rsid w:val="00D73874"/>
    <w:rsid w:val="00D7418A"/>
    <w:rsid w:val="00D757AE"/>
    <w:rsid w:val="00D75856"/>
    <w:rsid w:val="00D75F7D"/>
    <w:rsid w:val="00D7641A"/>
    <w:rsid w:val="00D76491"/>
    <w:rsid w:val="00D765F1"/>
    <w:rsid w:val="00D76D27"/>
    <w:rsid w:val="00D77DB2"/>
    <w:rsid w:val="00D8080B"/>
    <w:rsid w:val="00D808DE"/>
    <w:rsid w:val="00D808F8"/>
    <w:rsid w:val="00D80E3B"/>
    <w:rsid w:val="00D8124B"/>
    <w:rsid w:val="00D81E9C"/>
    <w:rsid w:val="00D81EDD"/>
    <w:rsid w:val="00D82571"/>
    <w:rsid w:val="00D829CB"/>
    <w:rsid w:val="00D82B7D"/>
    <w:rsid w:val="00D83017"/>
    <w:rsid w:val="00D858C4"/>
    <w:rsid w:val="00D85B59"/>
    <w:rsid w:val="00D8657C"/>
    <w:rsid w:val="00D87CE1"/>
    <w:rsid w:val="00D900AD"/>
    <w:rsid w:val="00D9035C"/>
    <w:rsid w:val="00D905DD"/>
    <w:rsid w:val="00D90D18"/>
    <w:rsid w:val="00D91B77"/>
    <w:rsid w:val="00D91E55"/>
    <w:rsid w:val="00D9466D"/>
    <w:rsid w:val="00D94C2E"/>
    <w:rsid w:val="00D958A9"/>
    <w:rsid w:val="00D95B68"/>
    <w:rsid w:val="00D9602F"/>
    <w:rsid w:val="00D9636B"/>
    <w:rsid w:val="00D97030"/>
    <w:rsid w:val="00D9779E"/>
    <w:rsid w:val="00D97E30"/>
    <w:rsid w:val="00DA0A12"/>
    <w:rsid w:val="00DA1803"/>
    <w:rsid w:val="00DA20C4"/>
    <w:rsid w:val="00DA29DA"/>
    <w:rsid w:val="00DA2C68"/>
    <w:rsid w:val="00DA3520"/>
    <w:rsid w:val="00DA3B6F"/>
    <w:rsid w:val="00DA3F49"/>
    <w:rsid w:val="00DA5DED"/>
    <w:rsid w:val="00DA6072"/>
    <w:rsid w:val="00DA6C2B"/>
    <w:rsid w:val="00DA6E1F"/>
    <w:rsid w:val="00DA6E71"/>
    <w:rsid w:val="00DA7660"/>
    <w:rsid w:val="00DA77E8"/>
    <w:rsid w:val="00DB04FF"/>
    <w:rsid w:val="00DB07C4"/>
    <w:rsid w:val="00DB115A"/>
    <w:rsid w:val="00DB2CE5"/>
    <w:rsid w:val="00DB464F"/>
    <w:rsid w:val="00DB4C58"/>
    <w:rsid w:val="00DB5BE8"/>
    <w:rsid w:val="00DB5DD0"/>
    <w:rsid w:val="00DB667C"/>
    <w:rsid w:val="00DB67C5"/>
    <w:rsid w:val="00DB69FE"/>
    <w:rsid w:val="00DB76C6"/>
    <w:rsid w:val="00DB7AB0"/>
    <w:rsid w:val="00DB7C3A"/>
    <w:rsid w:val="00DB7DF5"/>
    <w:rsid w:val="00DB7EEF"/>
    <w:rsid w:val="00DC056E"/>
    <w:rsid w:val="00DC0BB3"/>
    <w:rsid w:val="00DC1389"/>
    <w:rsid w:val="00DC14AC"/>
    <w:rsid w:val="00DC167B"/>
    <w:rsid w:val="00DC1AE6"/>
    <w:rsid w:val="00DC2A50"/>
    <w:rsid w:val="00DC2F10"/>
    <w:rsid w:val="00DC3948"/>
    <w:rsid w:val="00DC3C84"/>
    <w:rsid w:val="00DC4488"/>
    <w:rsid w:val="00DC60F0"/>
    <w:rsid w:val="00DD0F6B"/>
    <w:rsid w:val="00DD1A73"/>
    <w:rsid w:val="00DD1BA4"/>
    <w:rsid w:val="00DD1E3F"/>
    <w:rsid w:val="00DD2700"/>
    <w:rsid w:val="00DD281F"/>
    <w:rsid w:val="00DD3D3C"/>
    <w:rsid w:val="00DD549A"/>
    <w:rsid w:val="00DD6FA1"/>
    <w:rsid w:val="00DD7790"/>
    <w:rsid w:val="00DE0121"/>
    <w:rsid w:val="00DE04A0"/>
    <w:rsid w:val="00DE0503"/>
    <w:rsid w:val="00DE0AE7"/>
    <w:rsid w:val="00DE109A"/>
    <w:rsid w:val="00DE1868"/>
    <w:rsid w:val="00DE1928"/>
    <w:rsid w:val="00DE197E"/>
    <w:rsid w:val="00DE1C50"/>
    <w:rsid w:val="00DE1CC9"/>
    <w:rsid w:val="00DE3646"/>
    <w:rsid w:val="00DE470F"/>
    <w:rsid w:val="00DE4B99"/>
    <w:rsid w:val="00DE4F93"/>
    <w:rsid w:val="00DE4FD8"/>
    <w:rsid w:val="00DE5F0F"/>
    <w:rsid w:val="00DE62BE"/>
    <w:rsid w:val="00DE6CD2"/>
    <w:rsid w:val="00DF0378"/>
    <w:rsid w:val="00DF03FE"/>
    <w:rsid w:val="00DF097A"/>
    <w:rsid w:val="00DF0DB1"/>
    <w:rsid w:val="00DF125A"/>
    <w:rsid w:val="00DF1A6A"/>
    <w:rsid w:val="00DF1BAF"/>
    <w:rsid w:val="00DF21AF"/>
    <w:rsid w:val="00DF2672"/>
    <w:rsid w:val="00DF2C81"/>
    <w:rsid w:val="00DF37F5"/>
    <w:rsid w:val="00DF487D"/>
    <w:rsid w:val="00DF5193"/>
    <w:rsid w:val="00DF51F1"/>
    <w:rsid w:val="00DF5579"/>
    <w:rsid w:val="00DF6EC1"/>
    <w:rsid w:val="00DF6FD1"/>
    <w:rsid w:val="00E00574"/>
    <w:rsid w:val="00E00B17"/>
    <w:rsid w:val="00E01F60"/>
    <w:rsid w:val="00E02D19"/>
    <w:rsid w:val="00E033C2"/>
    <w:rsid w:val="00E03D50"/>
    <w:rsid w:val="00E03D7C"/>
    <w:rsid w:val="00E03F4D"/>
    <w:rsid w:val="00E0493B"/>
    <w:rsid w:val="00E052F2"/>
    <w:rsid w:val="00E06B5B"/>
    <w:rsid w:val="00E0756B"/>
    <w:rsid w:val="00E07C4D"/>
    <w:rsid w:val="00E07ED1"/>
    <w:rsid w:val="00E10593"/>
    <w:rsid w:val="00E107B3"/>
    <w:rsid w:val="00E10AD7"/>
    <w:rsid w:val="00E10D0E"/>
    <w:rsid w:val="00E10E86"/>
    <w:rsid w:val="00E11999"/>
    <w:rsid w:val="00E11AB8"/>
    <w:rsid w:val="00E11B76"/>
    <w:rsid w:val="00E11DE8"/>
    <w:rsid w:val="00E128A5"/>
    <w:rsid w:val="00E12D17"/>
    <w:rsid w:val="00E134EE"/>
    <w:rsid w:val="00E1494A"/>
    <w:rsid w:val="00E14F24"/>
    <w:rsid w:val="00E15318"/>
    <w:rsid w:val="00E1569C"/>
    <w:rsid w:val="00E15C06"/>
    <w:rsid w:val="00E17728"/>
    <w:rsid w:val="00E17E01"/>
    <w:rsid w:val="00E2004A"/>
    <w:rsid w:val="00E20C2C"/>
    <w:rsid w:val="00E20E75"/>
    <w:rsid w:val="00E225E0"/>
    <w:rsid w:val="00E23664"/>
    <w:rsid w:val="00E236BD"/>
    <w:rsid w:val="00E23F96"/>
    <w:rsid w:val="00E24453"/>
    <w:rsid w:val="00E24C52"/>
    <w:rsid w:val="00E24F8F"/>
    <w:rsid w:val="00E27038"/>
    <w:rsid w:val="00E270C4"/>
    <w:rsid w:val="00E30AF0"/>
    <w:rsid w:val="00E30D95"/>
    <w:rsid w:val="00E31758"/>
    <w:rsid w:val="00E319A4"/>
    <w:rsid w:val="00E319C1"/>
    <w:rsid w:val="00E31B1B"/>
    <w:rsid w:val="00E33BD3"/>
    <w:rsid w:val="00E33CCA"/>
    <w:rsid w:val="00E33F03"/>
    <w:rsid w:val="00E347C7"/>
    <w:rsid w:val="00E34DFF"/>
    <w:rsid w:val="00E35AC1"/>
    <w:rsid w:val="00E37840"/>
    <w:rsid w:val="00E37A91"/>
    <w:rsid w:val="00E37D8A"/>
    <w:rsid w:val="00E401F8"/>
    <w:rsid w:val="00E40322"/>
    <w:rsid w:val="00E40C7C"/>
    <w:rsid w:val="00E40DD4"/>
    <w:rsid w:val="00E41062"/>
    <w:rsid w:val="00E41114"/>
    <w:rsid w:val="00E4250D"/>
    <w:rsid w:val="00E42B6E"/>
    <w:rsid w:val="00E42FF3"/>
    <w:rsid w:val="00E43740"/>
    <w:rsid w:val="00E44E0E"/>
    <w:rsid w:val="00E44E78"/>
    <w:rsid w:val="00E45028"/>
    <w:rsid w:val="00E451C4"/>
    <w:rsid w:val="00E45FA6"/>
    <w:rsid w:val="00E46956"/>
    <w:rsid w:val="00E47286"/>
    <w:rsid w:val="00E47951"/>
    <w:rsid w:val="00E517B1"/>
    <w:rsid w:val="00E51862"/>
    <w:rsid w:val="00E555B8"/>
    <w:rsid w:val="00E55F17"/>
    <w:rsid w:val="00E5613E"/>
    <w:rsid w:val="00E5649A"/>
    <w:rsid w:val="00E57149"/>
    <w:rsid w:val="00E60B7A"/>
    <w:rsid w:val="00E628AB"/>
    <w:rsid w:val="00E63778"/>
    <w:rsid w:val="00E6423D"/>
    <w:rsid w:val="00E64526"/>
    <w:rsid w:val="00E65073"/>
    <w:rsid w:val="00E66242"/>
    <w:rsid w:val="00E66709"/>
    <w:rsid w:val="00E66A8D"/>
    <w:rsid w:val="00E6730F"/>
    <w:rsid w:val="00E707B9"/>
    <w:rsid w:val="00E70BD5"/>
    <w:rsid w:val="00E7110A"/>
    <w:rsid w:val="00E7189B"/>
    <w:rsid w:val="00E71949"/>
    <w:rsid w:val="00E71C80"/>
    <w:rsid w:val="00E71E4A"/>
    <w:rsid w:val="00E71F3E"/>
    <w:rsid w:val="00E722DB"/>
    <w:rsid w:val="00E72B02"/>
    <w:rsid w:val="00E72D5E"/>
    <w:rsid w:val="00E732B0"/>
    <w:rsid w:val="00E74F0B"/>
    <w:rsid w:val="00E759B9"/>
    <w:rsid w:val="00E760E0"/>
    <w:rsid w:val="00E76747"/>
    <w:rsid w:val="00E76848"/>
    <w:rsid w:val="00E8032B"/>
    <w:rsid w:val="00E815CA"/>
    <w:rsid w:val="00E81B25"/>
    <w:rsid w:val="00E822CE"/>
    <w:rsid w:val="00E8257F"/>
    <w:rsid w:val="00E83A52"/>
    <w:rsid w:val="00E83D3B"/>
    <w:rsid w:val="00E855EC"/>
    <w:rsid w:val="00E857B1"/>
    <w:rsid w:val="00E85925"/>
    <w:rsid w:val="00E85B7E"/>
    <w:rsid w:val="00E86DA3"/>
    <w:rsid w:val="00E86DC9"/>
    <w:rsid w:val="00E86E7E"/>
    <w:rsid w:val="00E86EB2"/>
    <w:rsid w:val="00E87298"/>
    <w:rsid w:val="00E87EC6"/>
    <w:rsid w:val="00E9049E"/>
    <w:rsid w:val="00E9069B"/>
    <w:rsid w:val="00E913E1"/>
    <w:rsid w:val="00E91421"/>
    <w:rsid w:val="00E91528"/>
    <w:rsid w:val="00E91733"/>
    <w:rsid w:val="00E91B01"/>
    <w:rsid w:val="00E92539"/>
    <w:rsid w:val="00E92A74"/>
    <w:rsid w:val="00E92D89"/>
    <w:rsid w:val="00E93596"/>
    <w:rsid w:val="00E93B2D"/>
    <w:rsid w:val="00E93C95"/>
    <w:rsid w:val="00E93DC9"/>
    <w:rsid w:val="00E93EAE"/>
    <w:rsid w:val="00E94C28"/>
    <w:rsid w:val="00E95783"/>
    <w:rsid w:val="00E973FF"/>
    <w:rsid w:val="00E97BF2"/>
    <w:rsid w:val="00EA0790"/>
    <w:rsid w:val="00EA1AB1"/>
    <w:rsid w:val="00EA1B7F"/>
    <w:rsid w:val="00EA2ABE"/>
    <w:rsid w:val="00EA2D65"/>
    <w:rsid w:val="00EA30F1"/>
    <w:rsid w:val="00EA39A2"/>
    <w:rsid w:val="00EA3E65"/>
    <w:rsid w:val="00EA3EC3"/>
    <w:rsid w:val="00EA508E"/>
    <w:rsid w:val="00EA53AA"/>
    <w:rsid w:val="00EA560A"/>
    <w:rsid w:val="00EA5680"/>
    <w:rsid w:val="00EA5F56"/>
    <w:rsid w:val="00EA6200"/>
    <w:rsid w:val="00EA6A75"/>
    <w:rsid w:val="00EA6B7F"/>
    <w:rsid w:val="00EA6C99"/>
    <w:rsid w:val="00EA7ADD"/>
    <w:rsid w:val="00EB0E2E"/>
    <w:rsid w:val="00EB14C0"/>
    <w:rsid w:val="00EB1C39"/>
    <w:rsid w:val="00EB2195"/>
    <w:rsid w:val="00EB22D2"/>
    <w:rsid w:val="00EB2713"/>
    <w:rsid w:val="00EB2D65"/>
    <w:rsid w:val="00EB30AE"/>
    <w:rsid w:val="00EB3C7D"/>
    <w:rsid w:val="00EB3CF0"/>
    <w:rsid w:val="00EB3DCA"/>
    <w:rsid w:val="00EB471A"/>
    <w:rsid w:val="00EB52E5"/>
    <w:rsid w:val="00EB6565"/>
    <w:rsid w:val="00EB66B5"/>
    <w:rsid w:val="00EB6AB6"/>
    <w:rsid w:val="00EB766E"/>
    <w:rsid w:val="00EB7B90"/>
    <w:rsid w:val="00EB7D5E"/>
    <w:rsid w:val="00EC016A"/>
    <w:rsid w:val="00EC0E01"/>
    <w:rsid w:val="00EC1277"/>
    <w:rsid w:val="00EC176C"/>
    <w:rsid w:val="00EC1E59"/>
    <w:rsid w:val="00EC33FF"/>
    <w:rsid w:val="00EC3C47"/>
    <w:rsid w:val="00EC4DB3"/>
    <w:rsid w:val="00EC4FB2"/>
    <w:rsid w:val="00EC5D5B"/>
    <w:rsid w:val="00EC6347"/>
    <w:rsid w:val="00EC6621"/>
    <w:rsid w:val="00EC6E41"/>
    <w:rsid w:val="00EC7376"/>
    <w:rsid w:val="00ED0A93"/>
    <w:rsid w:val="00ED0F07"/>
    <w:rsid w:val="00ED1F4A"/>
    <w:rsid w:val="00ED242B"/>
    <w:rsid w:val="00ED25EB"/>
    <w:rsid w:val="00ED2A2F"/>
    <w:rsid w:val="00ED30FA"/>
    <w:rsid w:val="00ED331D"/>
    <w:rsid w:val="00ED455E"/>
    <w:rsid w:val="00ED4A6B"/>
    <w:rsid w:val="00ED4FDF"/>
    <w:rsid w:val="00ED5348"/>
    <w:rsid w:val="00ED53F3"/>
    <w:rsid w:val="00ED5772"/>
    <w:rsid w:val="00ED587B"/>
    <w:rsid w:val="00ED6026"/>
    <w:rsid w:val="00ED6DE4"/>
    <w:rsid w:val="00ED72C3"/>
    <w:rsid w:val="00ED7364"/>
    <w:rsid w:val="00ED7535"/>
    <w:rsid w:val="00ED7732"/>
    <w:rsid w:val="00EE12DF"/>
    <w:rsid w:val="00EE225A"/>
    <w:rsid w:val="00EE2732"/>
    <w:rsid w:val="00EE308F"/>
    <w:rsid w:val="00EE395B"/>
    <w:rsid w:val="00EE3B42"/>
    <w:rsid w:val="00EE50A8"/>
    <w:rsid w:val="00EE5706"/>
    <w:rsid w:val="00EE611C"/>
    <w:rsid w:val="00EE61B2"/>
    <w:rsid w:val="00EE644A"/>
    <w:rsid w:val="00EE6845"/>
    <w:rsid w:val="00EE73D9"/>
    <w:rsid w:val="00EE75ED"/>
    <w:rsid w:val="00EF044D"/>
    <w:rsid w:val="00EF0CA6"/>
    <w:rsid w:val="00EF0F6B"/>
    <w:rsid w:val="00EF1CB7"/>
    <w:rsid w:val="00EF1E62"/>
    <w:rsid w:val="00EF1F8A"/>
    <w:rsid w:val="00EF2EC9"/>
    <w:rsid w:val="00EF40DA"/>
    <w:rsid w:val="00EF412D"/>
    <w:rsid w:val="00EF4A0A"/>
    <w:rsid w:val="00EF4F0D"/>
    <w:rsid w:val="00EF50AD"/>
    <w:rsid w:val="00EF5592"/>
    <w:rsid w:val="00EF5CC1"/>
    <w:rsid w:val="00EF5F34"/>
    <w:rsid w:val="00EF60FC"/>
    <w:rsid w:val="00EF6467"/>
    <w:rsid w:val="00EF699F"/>
    <w:rsid w:val="00EF69DA"/>
    <w:rsid w:val="00EF7051"/>
    <w:rsid w:val="00F00488"/>
    <w:rsid w:val="00F006BF"/>
    <w:rsid w:val="00F01319"/>
    <w:rsid w:val="00F01527"/>
    <w:rsid w:val="00F01C48"/>
    <w:rsid w:val="00F02691"/>
    <w:rsid w:val="00F02EAA"/>
    <w:rsid w:val="00F02F58"/>
    <w:rsid w:val="00F034D4"/>
    <w:rsid w:val="00F036ED"/>
    <w:rsid w:val="00F0571E"/>
    <w:rsid w:val="00F05B0B"/>
    <w:rsid w:val="00F06682"/>
    <w:rsid w:val="00F07FBF"/>
    <w:rsid w:val="00F104BB"/>
    <w:rsid w:val="00F10D47"/>
    <w:rsid w:val="00F11028"/>
    <w:rsid w:val="00F1188E"/>
    <w:rsid w:val="00F11D3D"/>
    <w:rsid w:val="00F11F9A"/>
    <w:rsid w:val="00F1215E"/>
    <w:rsid w:val="00F13A2E"/>
    <w:rsid w:val="00F14443"/>
    <w:rsid w:val="00F14AD5"/>
    <w:rsid w:val="00F14FFB"/>
    <w:rsid w:val="00F17F36"/>
    <w:rsid w:val="00F17FB8"/>
    <w:rsid w:val="00F2257C"/>
    <w:rsid w:val="00F22819"/>
    <w:rsid w:val="00F2322F"/>
    <w:rsid w:val="00F236F7"/>
    <w:rsid w:val="00F244F0"/>
    <w:rsid w:val="00F24722"/>
    <w:rsid w:val="00F24BCA"/>
    <w:rsid w:val="00F25D2E"/>
    <w:rsid w:val="00F263A3"/>
    <w:rsid w:val="00F26668"/>
    <w:rsid w:val="00F26A3C"/>
    <w:rsid w:val="00F30778"/>
    <w:rsid w:val="00F30F19"/>
    <w:rsid w:val="00F31EA7"/>
    <w:rsid w:val="00F32086"/>
    <w:rsid w:val="00F32F29"/>
    <w:rsid w:val="00F331B0"/>
    <w:rsid w:val="00F346A4"/>
    <w:rsid w:val="00F34885"/>
    <w:rsid w:val="00F34D5B"/>
    <w:rsid w:val="00F35510"/>
    <w:rsid w:val="00F35840"/>
    <w:rsid w:val="00F3615B"/>
    <w:rsid w:val="00F369E8"/>
    <w:rsid w:val="00F36F55"/>
    <w:rsid w:val="00F418C3"/>
    <w:rsid w:val="00F41AEB"/>
    <w:rsid w:val="00F443CB"/>
    <w:rsid w:val="00F4480E"/>
    <w:rsid w:val="00F4481E"/>
    <w:rsid w:val="00F449DD"/>
    <w:rsid w:val="00F44B8A"/>
    <w:rsid w:val="00F45806"/>
    <w:rsid w:val="00F45E04"/>
    <w:rsid w:val="00F465FA"/>
    <w:rsid w:val="00F467CB"/>
    <w:rsid w:val="00F4710C"/>
    <w:rsid w:val="00F47186"/>
    <w:rsid w:val="00F47345"/>
    <w:rsid w:val="00F47EAB"/>
    <w:rsid w:val="00F50BEE"/>
    <w:rsid w:val="00F50C3B"/>
    <w:rsid w:val="00F5258F"/>
    <w:rsid w:val="00F528F6"/>
    <w:rsid w:val="00F52F10"/>
    <w:rsid w:val="00F538E2"/>
    <w:rsid w:val="00F53B99"/>
    <w:rsid w:val="00F5437B"/>
    <w:rsid w:val="00F54799"/>
    <w:rsid w:val="00F5499D"/>
    <w:rsid w:val="00F54A84"/>
    <w:rsid w:val="00F551D4"/>
    <w:rsid w:val="00F557FC"/>
    <w:rsid w:val="00F55B9A"/>
    <w:rsid w:val="00F56538"/>
    <w:rsid w:val="00F56684"/>
    <w:rsid w:val="00F56C0D"/>
    <w:rsid w:val="00F60BEA"/>
    <w:rsid w:val="00F61476"/>
    <w:rsid w:val="00F61C17"/>
    <w:rsid w:val="00F61D11"/>
    <w:rsid w:val="00F620B9"/>
    <w:rsid w:val="00F621A5"/>
    <w:rsid w:val="00F631F4"/>
    <w:rsid w:val="00F63FB0"/>
    <w:rsid w:val="00F646B8"/>
    <w:rsid w:val="00F646D7"/>
    <w:rsid w:val="00F6582B"/>
    <w:rsid w:val="00F66616"/>
    <w:rsid w:val="00F66668"/>
    <w:rsid w:val="00F66996"/>
    <w:rsid w:val="00F707A8"/>
    <w:rsid w:val="00F70A65"/>
    <w:rsid w:val="00F7138A"/>
    <w:rsid w:val="00F71BD3"/>
    <w:rsid w:val="00F72453"/>
    <w:rsid w:val="00F72DD0"/>
    <w:rsid w:val="00F7337A"/>
    <w:rsid w:val="00F7365A"/>
    <w:rsid w:val="00F7376B"/>
    <w:rsid w:val="00F7390D"/>
    <w:rsid w:val="00F73AC5"/>
    <w:rsid w:val="00F73E28"/>
    <w:rsid w:val="00F744DC"/>
    <w:rsid w:val="00F74890"/>
    <w:rsid w:val="00F74F7D"/>
    <w:rsid w:val="00F7585F"/>
    <w:rsid w:val="00F75F69"/>
    <w:rsid w:val="00F76509"/>
    <w:rsid w:val="00F76541"/>
    <w:rsid w:val="00F771C1"/>
    <w:rsid w:val="00F80AE4"/>
    <w:rsid w:val="00F812F8"/>
    <w:rsid w:val="00F81631"/>
    <w:rsid w:val="00F820A6"/>
    <w:rsid w:val="00F829D9"/>
    <w:rsid w:val="00F834B8"/>
    <w:rsid w:val="00F839BE"/>
    <w:rsid w:val="00F839DB"/>
    <w:rsid w:val="00F83DBD"/>
    <w:rsid w:val="00F84AE7"/>
    <w:rsid w:val="00F8503C"/>
    <w:rsid w:val="00F850EC"/>
    <w:rsid w:val="00F85269"/>
    <w:rsid w:val="00F87218"/>
    <w:rsid w:val="00F87C80"/>
    <w:rsid w:val="00F92756"/>
    <w:rsid w:val="00F92B6B"/>
    <w:rsid w:val="00F9360B"/>
    <w:rsid w:val="00F93AF5"/>
    <w:rsid w:val="00F941B2"/>
    <w:rsid w:val="00F94394"/>
    <w:rsid w:val="00F95F90"/>
    <w:rsid w:val="00F970E5"/>
    <w:rsid w:val="00FA0061"/>
    <w:rsid w:val="00FA018B"/>
    <w:rsid w:val="00FA0229"/>
    <w:rsid w:val="00FA15CC"/>
    <w:rsid w:val="00FA1D2E"/>
    <w:rsid w:val="00FA2D9E"/>
    <w:rsid w:val="00FA4967"/>
    <w:rsid w:val="00FA4D04"/>
    <w:rsid w:val="00FA59F8"/>
    <w:rsid w:val="00FA5BCA"/>
    <w:rsid w:val="00FA5EFB"/>
    <w:rsid w:val="00FA60C4"/>
    <w:rsid w:val="00FA6969"/>
    <w:rsid w:val="00FA69AA"/>
    <w:rsid w:val="00FA731E"/>
    <w:rsid w:val="00FA7477"/>
    <w:rsid w:val="00FA7B74"/>
    <w:rsid w:val="00FA7D31"/>
    <w:rsid w:val="00FB0052"/>
    <w:rsid w:val="00FB0A43"/>
    <w:rsid w:val="00FB0AF9"/>
    <w:rsid w:val="00FB201E"/>
    <w:rsid w:val="00FB23CD"/>
    <w:rsid w:val="00FB2604"/>
    <w:rsid w:val="00FB2F38"/>
    <w:rsid w:val="00FB2F92"/>
    <w:rsid w:val="00FB31E0"/>
    <w:rsid w:val="00FB3391"/>
    <w:rsid w:val="00FB36D0"/>
    <w:rsid w:val="00FB3AA8"/>
    <w:rsid w:val="00FB4CC5"/>
    <w:rsid w:val="00FB5BF5"/>
    <w:rsid w:val="00FB616A"/>
    <w:rsid w:val="00FB67F8"/>
    <w:rsid w:val="00FB697F"/>
    <w:rsid w:val="00FB6EF2"/>
    <w:rsid w:val="00FB74AF"/>
    <w:rsid w:val="00FB7594"/>
    <w:rsid w:val="00FC03AA"/>
    <w:rsid w:val="00FC064E"/>
    <w:rsid w:val="00FC066C"/>
    <w:rsid w:val="00FC14EA"/>
    <w:rsid w:val="00FC1B9D"/>
    <w:rsid w:val="00FC29C1"/>
    <w:rsid w:val="00FC2BB8"/>
    <w:rsid w:val="00FC2C8D"/>
    <w:rsid w:val="00FC3115"/>
    <w:rsid w:val="00FC457B"/>
    <w:rsid w:val="00FC490F"/>
    <w:rsid w:val="00FC59DA"/>
    <w:rsid w:val="00FC5CFB"/>
    <w:rsid w:val="00FC6F92"/>
    <w:rsid w:val="00FC7364"/>
    <w:rsid w:val="00FC7464"/>
    <w:rsid w:val="00FC76DD"/>
    <w:rsid w:val="00FC7794"/>
    <w:rsid w:val="00FC7A19"/>
    <w:rsid w:val="00FD028E"/>
    <w:rsid w:val="00FD0532"/>
    <w:rsid w:val="00FD08C5"/>
    <w:rsid w:val="00FD0992"/>
    <w:rsid w:val="00FD157E"/>
    <w:rsid w:val="00FD28AD"/>
    <w:rsid w:val="00FD32B1"/>
    <w:rsid w:val="00FD3F60"/>
    <w:rsid w:val="00FD50F9"/>
    <w:rsid w:val="00FD57AB"/>
    <w:rsid w:val="00FD5872"/>
    <w:rsid w:val="00FD5E87"/>
    <w:rsid w:val="00FD64E2"/>
    <w:rsid w:val="00FD65BD"/>
    <w:rsid w:val="00FD679F"/>
    <w:rsid w:val="00FD68EC"/>
    <w:rsid w:val="00FD6CE4"/>
    <w:rsid w:val="00FD7DA7"/>
    <w:rsid w:val="00FE0415"/>
    <w:rsid w:val="00FE155A"/>
    <w:rsid w:val="00FE16D9"/>
    <w:rsid w:val="00FE2E80"/>
    <w:rsid w:val="00FE433B"/>
    <w:rsid w:val="00FE4454"/>
    <w:rsid w:val="00FE4AEB"/>
    <w:rsid w:val="00FE5565"/>
    <w:rsid w:val="00FE5D65"/>
    <w:rsid w:val="00FE60D9"/>
    <w:rsid w:val="00FE65FD"/>
    <w:rsid w:val="00FE6DE6"/>
    <w:rsid w:val="00FE75FE"/>
    <w:rsid w:val="00FE7B7B"/>
    <w:rsid w:val="00FF0D19"/>
    <w:rsid w:val="00FF2091"/>
    <w:rsid w:val="00FF2425"/>
    <w:rsid w:val="00FF25C3"/>
    <w:rsid w:val="00FF26A9"/>
    <w:rsid w:val="00FF2A02"/>
    <w:rsid w:val="00FF39C5"/>
    <w:rsid w:val="00FF3BFA"/>
    <w:rsid w:val="00FF3E3A"/>
    <w:rsid w:val="00FF4290"/>
    <w:rsid w:val="00FF4550"/>
    <w:rsid w:val="00FF4555"/>
    <w:rsid w:val="00FF4AC1"/>
    <w:rsid w:val="00FF56BB"/>
    <w:rsid w:val="00FF56C0"/>
    <w:rsid w:val="00FF65A1"/>
    <w:rsid w:val="00FF67FF"/>
    <w:rsid w:val="00FF74C6"/>
    <w:rsid w:val="00FF7739"/>
    <w:rsid w:val="00FF7D65"/>
    <w:rsid w:val="3EA501F5"/>
    <w:rsid w:val="67A460E2"/>
    <w:rsid w:val="6984D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
    <w:semiHidden/>
    <w:rsid w:val="0058430E"/>
    <w:pPr>
      <w:spacing w:after="200" w:line="360" w:lineRule="auto"/>
    </w:pPr>
    <w:rPr>
      <w:rFonts w:ascii="Arial" w:hAnsi="Arial" w:cs="Arial"/>
      <w:sz w:val="22"/>
      <w:szCs w:val="22"/>
      <w:lang w:val="en-GB" w:eastAsia="en-GB"/>
    </w:rPr>
  </w:style>
  <w:style w:type="paragraph" w:styleId="Heading1">
    <w:name w:val="heading 1"/>
    <w:basedOn w:val="Normal"/>
    <w:next w:val="BodyText"/>
    <w:link w:val="Heading1Char"/>
    <w:uiPriority w:val="9"/>
    <w:qFormat/>
    <w:rsid w:val="00637AAD"/>
    <w:pPr>
      <w:keepNext/>
      <w:pageBreakBefore/>
      <w:numPr>
        <w:numId w:val="3"/>
      </w:numPr>
      <w:pBdr>
        <w:top w:val="single" w:sz="48" w:space="1" w:color="45A7E1" w:themeColor="accent1"/>
      </w:pBdr>
      <w:spacing w:after="240" w:line="240" w:lineRule="auto"/>
      <w:outlineLvl w:val="0"/>
    </w:pPr>
    <w:rPr>
      <w:rFonts w:ascii="Poppins" w:eastAsia="Times New Roman" w:hAnsi="Poppins" w:cs="Times New Roman"/>
      <w:b/>
      <w:bCs/>
      <w:color w:val="0B1F51"/>
      <w:sz w:val="46"/>
      <w:szCs w:val="20"/>
    </w:rPr>
  </w:style>
  <w:style w:type="paragraph" w:styleId="Heading2">
    <w:name w:val="heading 2"/>
    <w:basedOn w:val="Heading1"/>
    <w:next w:val="BodyText"/>
    <w:link w:val="Heading2Char"/>
    <w:uiPriority w:val="9"/>
    <w:qFormat/>
    <w:rsid w:val="00174295"/>
    <w:pPr>
      <w:pageBreakBefore w:val="0"/>
      <w:numPr>
        <w:ilvl w:val="1"/>
      </w:numPr>
      <w:pBdr>
        <w:top w:val="none" w:sz="0" w:space="0" w:color="auto"/>
      </w:pBdr>
      <w:spacing w:before="360"/>
      <w:outlineLvl w:val="1"/>
    </w:pPr>
    <w:rPr>
      <w:kern w:val="32"/>
      <w:sz w:val="28"/>
      <w:szCs w:val="28"/>
    </w:rPr>
  </w:style>
  <w:style w:type="paragraph" w:styleId="Heading3">
    <w:name w:val="heading 3"/>
    <w:next w:val="BodyText"/>
    <w:link w:val="Heading3Char"/>
    <w:uiPriority w:val="9"/>
    <w:qFormat/>
    <w:rsid w:val="00174295"/>
    <w:pPr>
      <w:keepNext/>
      <w:numPr>
        <w:ilvl w:val="2"/>
        <w:numId w:val="3"/>
      </w:numPr>
      <w:spacing w:before="360" w:after="240"/>
      <w:outlineLvl w:val="2"/>
    </w:pPr>
    <w:rPr>
      <w:rFonts w:ascii="Arial" w:eastAsia="Helvetica" w:hAnsi="Arial" w:cs="Arial"/>
      <w:b/>
      <w:color w:val="0B1F51"/>
      <w:sz w:val="28"/>
      <w:szCs w:val="20"/>
      <w:lang w:val="en-GB" w:eastAsia="en-GB"/>
    </w:rPr>
  </w:style>
  <w:style w:type="paragraph" w:styleId="Heading4">
    <w:name w:val="heading 4"/>
    <w:next w:val="BodyText"/>
    <w:link w:val="Heading4Char"/>
    <w:qFormat/>
    <w:rsid w:val="00637AAD"/>
    <w:pPr>
      <w:keepNext/>
      <w:keepLines/>
      <w:spacing w:before="260" w:after="260"/>
      <w:outlineLvl w:val="3"/>
    </w:pPr>
    <w:rPr>
      <w:rFonts w:ascii="Poppins" w:eastAsia="Helvetica" w:hAnsi="Poppins" w:cs="Arial"/>
      <w:iCs/>
      <w:color w:val="0A1F50" w:themeColor="text2"/>
      <w:szCs w:val="22"/>
      <w:lang w:val="en-GB" w:eastAsia="en-GB"/>
    </w:rPr>
  </w:style>
  <w:style w:type="paragraph" w:styleId="Heading5">
    <w:name w:val="heading 5"/>
    <w:basedOn w:val="Heading4"/>
    <w:next w:val="Normal"/>
    <w:link w:val="Heading5Char"/>
    <w:locked/>
    <w:rsid w:val="00A14BF7"/>
    <w:pPr>
      <w:spacing w:after="60"/>
      <w:outlineLvl w:val="4"/>
    </w:pPr>
    <w:rPr>
      <w:sz w:val="22"/>
    </w:rPr>
  </w:style>
  <w:style w:type="paragraph" w:styleId="Heading6">
    <w:name w:val="heading 6"/>
    <w:basedOn w:val="Heading4"/>
    <w:next w:val="Normal"/>
    <w:link w:val="Heading6Char"/>
    <w:semiHidden/>
    <w:locked/>
    <w:rsid w:val="007865ED"/>
    <w:pPr>
      <w:outlineLvl w:val="5"/>
    </w:pPr>
  </w:style>
  <w:style w:type="paragraph" w:styleId="Heading7">
    <w:name w:val="heading 7"/>
    <w:basedOn w:val="Heading4"/>
    <w:next w:val="Normal"/>
    <w:link w:val="Heading7Char"/>
    <w:semiHidden/>
    <w:locked/>
    <w:rsid w:val="007865ED"/>
    <w:pPr>
      <w:outlineLvl w:val="6"/>
    </w:pPr>
  </w:style>
  <w:style w:type="paragraph" w:styleId="Heading8">
    <w:name w:val="heading 8"/>
    <w:basedOn w:val="Heading4"/>
    <w:next w:val="Normal"/>
    <w:link w:val="Heading8Char"/>
    <w:semiHidden/>
    <w:locked/>
    <w:rsid w:val="007865ED"/>
    <w:pPr>
      <w:outlineLvl w:val="7"/>
    </w:pPr>
  </w:style>
  <w:style w:type="paragraph" w:styleId="Heading9">
    <w:name w:val="heading 9"/>
    <w:basedOn w:val="Heading4"/>
    <w:next w:val="Normal"/>
    <w:link w:val="Heading9Char"/>
    <w:semiHidden/>
    <w:locked/>
    <w:rsid w:val="0078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bulletfinal">
    <w:name w:val="List bullet final"/>
    <w:basedOn w:val="Normal"/>
    <w:next w:val="Normal"/>
    <w:rsid w:val="00A14BF7"/>
    <w:pPr>
      <w:numPr>
        <w:numId w:val="6"/>
      </w:numPr>
      <w:spacing w:after="240" w:line="240" w:lineRule="auto"/>
      <w:ind w:left="284" w:hanging="284"/>
    </w:pPr>
    <w:rPr>
      <w:rFonts w:eastAsia="Times New Roman" w:cs="Times New Roman"/>
      <w:szCs w:val="20"/>
      <w:lang w:eastAsia="en-US"/>
    </w:rPr>
  </w:style>
  <w:style w:type="paragraph" w:customStyle="1" w:styleId="Prelim">
    <w:name w:val="Prelim"/>
    <w:qFormat/>
    <w:rsid w:val="008D4643"/>
    <w:pPr>
      <w:spacing w:after="260"/>
    </w:pPr>
    <w:rPr>
      <w:rFonts w:ascii="Arial" w:hAnsi="Arial" w:cs="Arial"/>
      <w:b/>
      <w:color w:val="0B1F51"/>
      <w:sz w:val="32"/>
      <w:lang w:val="en-GB" w:eastAsia="en-GB"/>
    </w:rPr>
  </w:style>
  <w:style w:type="paragraph" w:styleId="Header">
    <w:name w:val="header"/>
    <w:basedOn w:val="BodyText"/>
    <w:link w:val="HeaderChar"/>
    <w:uiPriority w:val="99"/>
    <w:unhideWhenUsed/>
    <w:qFormat/>
    <w:rsid w:val="00791C67"/>
    <w:pPr>
      <w:pBdr>
        <w:bottom w:val="single" w:sz="4" w:space="1" w:color="auto"/>
      </w:pBdr>
      <w:tabs>
        <w:tab w:val="center" w:pos="4513"/>
        <w:tab w:val="right" w:pos="9026"/>
      </w:tabs>
    </w:pPr>
    <w:rPr>
      <w:noProof/>
      <w:sz w:val="18"/>
      <w:szCs w:val="18"/>
    </w:rPr>
  </w:style>
  <w:style w:type="paragraph" w:customStyle="1" w:styleId="Quotation">
    <w:name w:val="Quotation"/>
    <w:basedOn w:val="Normal"/>
    <w:qFormat/>
    <w:rsid w:val="00A14BF7"/>
    <w:pPr>
      <w:spacing w:before="260" w:after="260" w:line="240" w:lineRule="auto"/>
      <w:ind w:left="357" w:right="357"/>
    </w:pPr>
  </w:style>
  <w:style w:type="table" w:customStyle="1" w:styleId="OPMTable">
    <w:name w:val="OPM Table"/>
    <w:basedOn w:val="TableNormal"/>
    <w:uiPriority w:val="99"/>
    <w:rsid w:val="00000B15"/>
    <w:pPr>
      <w:jc w:val="right"/>
    </w:pPr>
    <w:rPr>
      <w:rFonts w:ascii="Arial" w:hAnsi="Arial"/>
      <w:sz w:val="20"/>
    </w:rPr>
    <w:tblPr>
      <w:tblStyleRowBandSize w:val="1"/>
      <w:tblStyleColBandSize w:val="1"/>
    </w:tblPr>
    <w:tcPr>
      <w:shd w:val="clear" w:color="auto" w:fill="DAE4EC" w:themeFill="background2"/>
      <w:tcMar>
        <w:top w:w="57" w:type="dxa"/>
        <w:left w:w="170" w:type="dxa"/>
        <w:bottom w:w="57" w:type="dxa"/>
        <w:right w:w="170" w:type="dxa"/>
      </w:tcMar>
      <w:vAlign w:val="center"/>
    </w:tcPr>
    <w:tblStylePr w:type="firstRow">
      <w:pPr>
        <w:jc w:val="right"/>
      </w:pPr>
      <w:rPr>
        <w:rFonts w:ascii="Arial" w:hAnsi="Arial"/>
        <w:b/>
        <w:color w:val="0B1F51"/>
        <w:sz w:val="20"/>
      </w:rPr>
      <w:tblPr/>
      <w:tcPr>
        <w:tcBorders>
          <w:top w:val="nil"/>
          <w:left w:val="nil"/>
          <w:bottom w:val="single" w:sz="4" w:space="0" w:color="45A7E1" w:themeColor="accent1"/>
          <w:right w:val="nil"/>
          <w:insideH w:val="nil"/>
          <w:insideV w:val="nil"/>
          <w:tl2br w:val="nil"/>
          <w:tr2bl w:val="nil"/>
        </w:tcBorders>
      </w:tcPr>
    </w:tblStylePr>
    <w:tblStylePr w:type="lastRow">
      <w:rPr>
        <w:rFonts w:ascii="Arial" w:hAnsi="Arial"/>
        <w:sz w:val="20"/>
      </w:rPr>
    </w:tblStylePr>
    <w:tblStylePr w:type="firstCol">
      <w:pPr>
        <w:jc w:val="left"/>
      </w:pPr>
      <w:rPr>
        <w:rFonts w:ascii="Arial" w:hAnsi="Arial"/>
        <w:b/>
        <w:sz w:val="20"/>
      </w:rPr>
    </w:tblStylePr>
    <w:tblStylePr w:type="lastCol">
      <w:rPr>
        <w:rFonts w:ascii="Arial" w:hAnsi="Arial"/>
        <w:sz w:val="20"/>
      </w:r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StylePr>
    <w:tblStylePr w:type="band2Horz">
      <w:rPr>
        <w:rFonts w:ascii="Arial" w:hAnsi="Arial"/>
        <w:sz w:val="20"/>
      </w:rPr>
    </w:tblStylePr>
    <w:tblStylePr w:type="neCell">
      <w:rPr>
        <w:rFonts w:ascii="Arial" w:hAnsi="Arial"/>
        <w:sz w:val="20"/>
      </w:rPr>
    </w:tblStylePr>
    <w:tblStylePr w:type="nwCell">
      <w:pPr>
        <w:jc w:val="left"/>
      </w:pPr>
      <w:rPr>
        <w:rFonts w:ascii="Arial" w:hAnsi="Arial"/>
        <w:b/>
        <w:color w:val="0B1F51"/>
        <w:sz w:val="20"/>
      </w:rPr>
    </w:tblStylePr>
    <w:tblStylePr w:type="seCell">
      <w:rPr>
        <w:rFonts w:ascii="Arial" w:hAnsi="Arial"/>
        <w:sz w:val="20"/>
      </w:rPr>
    </w:tblStylePr>
    <w:tblStylePr w:type="swCell">
      <w:rPr>
        <w:rFonts w:ascii="Arial" w:hAnsi="Arial"/>
        <w:sz w:val="20"/>
      </w:rPr>
    </w:tblStylePr>
  </w:style>
  <w:style w:type="character" w:styleId="PageNumber">
    <w:name w:val="page number"/>
    <w:basedOn w:val="DefaultParagraphFont"/>
    <w:uiPriority w:val="99"/>
    <w:semiHidden/>
    <w:unhideWhenUsed/>
    <w:rsid w:val="00991A6A"/>
  </w:style>
  <w:style w:type="paragraph" w:styleId="NormalWeb">
    <w:name w:val="Normal (Web)"/>
    <w:basedOn w:val="Normal"/>
    <w:uiPriority w:val="99"/>
    <w:unhideWhenUsed/>
    <w:rsid w:val="009B2103"/>
    <w:pPr>
      <w:spacing w:before="100" w:beforeAutospacing="1" w:after="100" w:afterAutospacing="1" w:line="240" w:lineRule="auto"/>
    </w:pPr>
    <w:rPr>
      <w:rFonts w:ascii="Times New Roman" w:hAnsi="Times New Roman" w:cs="Times New Roman"/>
      <w:sz w:val="24"/>
      <w:szCs w:val="24"/>
    </w:rPr>
  </w:style>
  <w:style w:type="paragraph" w:styleId="TOC5">
    <w:name w:val="toc 5"/>
    <w:basedOn w:val="Normal"/>
    <w:next w:val="Normal"/>
    <w:uiPriority w:val="39"/>
    <w:locked/>
    <w:rsid w:val="00475405"/>
    <w:pPr>
      <w:ind w:left="880"/>
    </w:pPr>
  </w:style>
  <w:style w:type="character" w:customStyle="1" w:styleId="Heading5Char">
    <w:name w:val="Heading 5 Char"/>
    <w:basedOn w:val="DefaultParagraphFont"/>
    <w:link w:val="Heading5"/>
    <w:rsid w:val="00A14BF7"/>
    <w:rPr>
      <w:rFonts w:ascii="Arial" w:eastAsia="Helvetica" w:hAnsi="Arial" w:cs="Arial"/>
      <w:b/>
      <w:iCs/>
      <w:color w:val="0A1F50" w:themeColor="text2"/>
      <w:sz w:val="22"/>
      <w:szCs w:val="22"/>
      <w:lang w:val="en-GB" w:eastAsia="en-GB"/>
    </w:rPr>
  </w:style>
  <w:style w:type="character" w:customStyle="1" w:styleId="Heading3Char">
    <w:name w:val="Heading 3 Char"/>
    <w:basedOn w:val="DefaultParagraphFont"/>
    <w:link w:val="Heading3"/>
    <w:uiPriority w:val="9"/>
    <w:rsid w:val="00174295"/>
    <w:rPr>
      <w:rFonts w:ascii="Arial" w:eastAsia="Helvetica" w:hAnsi="Arial" w:cs="Arial"/>
      <w:b/>
      <w:color w:val="0B1F51"/>
      <w:sz w:val="28"/>
      <w:szCs w:val="20"/>
      <w:lang w:val="en-GB" w:eastAsia="en-GB"/>
    </w:rPr>
  </w:style>
  <w:style w:type="character" w:customStyle="1" w:styleId="Heading1Char">
    <w:name w:val="Heading 1 Char"/>
    <w:basedOn w:val="DefaultParagraphFont"/>
    <w:link w:val="Heading1"/>
    <w:uiPriority w:val="9"/>
    <w:rsid w:val="00637AAD"/>
    <w:rPr>
      <w:rFonts w:ascii="Poppins" w:eastAsia="Times New Roman" w:hAnsi="Poppins" w:cs="Times New Roman"/>
      <w:b/>
      <w:bCs/>
      <w:color w:val="0B1F51"/>
      <w:sz w:val="46"/>
      <w:szCs w:val="20"/>
      <w:lang w:val="en-GB" w:eastAsia="en-GB"/>
    </w:rPr>
  </w:style>
  <w:style w:type="character" w:customStyle="1" w:styleId="Heading2Char">
    <w:name w:val="Heading 2 Char"/>
    <w:basedOn w:val="DefaultParagraphFont"/>
    <w:link w:val="Heading2"/>
    <w:uiPriority w:val="9"/>
    <w:rsid w:val="00174295"/>
    <w:rPr>
      <w:rFonts w:ascii="Arial" w:eastAsia="Times New Roman" w:hAnsi="Arial" w:cs="Times New Roman"/>
      <w:b/>
      <w:bCs/>
      <w:color w:val="0B1F51"/>
      <w:kern w:val="32"/>
      <w:sz w:val="28"/>
      <w:szCs w:val="28"/>
      <w:lang w:val="en-GB" w:eastAsia="en-GB"/>
    </w:rPr>
  </w:style>
  <w:style w:type="character" w:customStyle="1" w:styleId="Heading4Char">
    <w:name w:val="Heading 4 Char"/>
    <w:basedOn w:val="DefaultParagraphFont"/>
    <w:link w:val="Heading4"/>
    <w:rsid w:val="00637AAD"/>
    <w:rPr>
      <w:rFonts w:ascii="Poppins" w:eastAsia="Helvetica" w:hAnsi="Poppins" w:cs="Arial"/>
      <w:iCs/>
      <w:color w:val="0A1F50" w:themeColor="text2"/>
      <w:szCs w:val="22"/>
      <w:lang w:val="en-GB" w:eastAsia="en-GB"/>
    </w:rPr>
  </w:style>
  <w:style w:type="character" w:customStyle="1" w:styleId="Heading6Char">
    <w:name w:val="Heading 6 Char"/>
    <w:basedOn w:val="DefaultParagraphFont"/>
    <w:link w:val="Heading6"/>
    <w:uiPriority w:val="9"/>
    <w:semiHidden/>
    <w:rsid w:val="0041229D"/>
    <w:rPr>
      <w:rFonts w:ascii="Helvetica" w:eastAsia="Helvetica" w:hAnsi="Helvetica" w:cs="Helvetica"/>
      <w:iCs/>
      <w:color w:val="0A1F50" w:themeColor="text2"/>
      <w:sz w:val="20"/>
      <w:szCs w:val="22"/>
      <w:lang w:val="en-GB" w:eastAsia="en-GB"/>
    </w:rPr>
  </w:style>
  <w:style w:type="character" w:customStyle="1" w:styleId="Heading7Char">
    <w:name w:val="Heading 7 Char"/>
    <w:basedOn w:val="DefaultParagraphFont"/>
    <w:link w:val="Heading7"/>
    <w:uiPriority w:val="9"/>
    <w:semiHidden/>
    <w:rsid w:val="0041229D"/>
    <w:rPr>
      <w:rFonts w:ascii="Helvetica" w:eastAsia="Helvetica" w:hAnsi="Helvetica" w:cs="Helvetica"/>
      <w:iCs/>
      <w:color w:val="0A1F50" w:themeColor="text2"/>
      <w:sz w:val="20"/>
      <w:szCs w:val="22"/>
      <w:lang w:val="en-GB" w:eastAsia="en-GB"/>
    </w:rPr>
  </w:style>
  <w:style w:type="character" w:customStyle="1" w:styleId="Heading8Char">
    <w:name w:val="Heading 8 Char"/>
    <w:basedOn w:val="DefaultParagraphFont"/>
    <w:link w:val="Heading8"/>
    <w:uiPriority w:val="9"/>
    <w:semiHidden/>
    <w:rsid w:val="0041229D"/>
    <w:rPr>
      <w:rFonts w:ascii="Helvetica" w:eastAsia="Helvetica" w:hAnsi="Helvetica" w:cs="Helvetica"/>
      <w:iCs/>
      <w:color w:val="0A1F50" w:themeColor="text2"/>
      <w:sz w:val="20"/>
      <w:szCs w:val="22"/>
      <w:lang w:val="en-GB" w:eastAsia="en-GB"/>
    </w:rPr>
  </w:style>
  <w:style w:type="character" w:customStyle="1" w:styleId="Heading9Char">
    <w:name w:val="Heading 9 Char"/>
    <w:basedOn w:val="DefaultParagraphFont"/>
    <w:link w:val="Heading9"/>
    <w:uiPriority w:val="9"/>
    <w:semiHidden/>
    <w:rsid w:val="0041229D"/>
    <w:rPr>
      <w:rFonts w:ascii="Helvetica" w:eastAsia="Helvetica" w:hAnsi="Helvetica" w:cs="Helvetica"/>
      <w:iCs/>
      <w:color w:val="0A1F50" w:themeColor="text2"/>
      <w:sz w:val="20"/>
      <w:szCs w:val="22"/>
      <w:lang w:val="en-GB" w:eastAsia="en-GB"/>
    </w:rPr>
  </w:style>
  <w:style w:type="paragraph" w:styleId="TOC6">
    <w:name w:val="toc 6"/>
    <w:basedOn w:val="Normal"/>
    <w:next w:val="Normal"/>
    <w:uiPriority w:val="39"/>
    <w:locked/>
    <w:rsid w:val="00475405"/>
    <w:pPr>
      <w:ind w:left="1100"/>
    </w:pPr>
  </w:style>
  <w:style w:type="paragraph" w:customStyle="1" w:styleId="ListNumbered">
    <w:name w:val="List Numbered"/>
    <w:basedOn w:val="BodyText"/>
    <w:qFormat/>
    <w:rsid w:val="00941B69"/>
    <w:pPr>
      <w:numPr>
        <w:numId w:val="1"/>
      </w:numPr>
      <w:spacing w:after="60"/>
      <w:ind w:left="357" w:hanging="357"/>
    </w:pPr>
  </w:style>
  <w:style w:type="paragraph" w:styleId="TOC7">
    <w:name w:val="toc 7"/>
    <w:basedOn w:val="Normal"/>
    <w:next w:val="Normal"/>
    <w:uiPriority w:val="39"/>
    <w:locked/>
    <w:rsid w:val="00475405"/>
    <w:pPr>
      <w:ind w:left="1320"/>
    </w:pPr>
  </w:style>
  <w:style w:type="paragraph" w:styleId="TOC8">
    <w:name w:val="toc 8"/>
    <w:basedOn w:val="Normal"/>
    <w:next w:val="Normal"/>
    <w:uiPriority w:val="39"/>
    <w:locked/>
    <w:rsid w:val="00475405"/>
    <w:pPr>
      <w:ind w:left="1540"/>
    </w:pPr>
  </w:style>
  <w:style w:type="paragraph" w:styleId="FootnoteText">
    <w:name w:val="footnote text"/>
    <w:basedOn w:val="Normal"/>
    <w:link w:val="FootnoteTextChar"/>
    <w:uiPriority w:val="99"/>
    <w:unhideWhenUsed/>
    <w:qFormat/>
    <w:rsid w:val="00AF3410"/>
    <w:pPr>
      <w:adjustRightInd w:val="0"/>
      <w:spacing w:after="0" w:line="240" w:lineRule="auto"/>
    </w:pPr>
    <w:rPr>
      <w:rFonts w:ascii="Roboto Light" w:hAnsi="Roboto Light"/>
      <w:sz w:val="18"/>
      <w:szCs w:val="18"/>
    </w:rPr>
  </w:style>
  <w:style w:type="character" w:customStyle="1" w:styleId="FootnoteTextChar">
    <w:name w:val="Footnote Text Char"/>
    <w:basedOn w:val="DefaultParagraphFont"/>
    <w:link w:val="FootnoteText"/>
    <w:uiPriority w:val="99"/>
    <w:rsid w:val="00AF3410"/>
    <w:rPr>
      <w:rFonts w:ascii="Roboto Light" w:hAnsi="Roboto Light" w:cs="Arial"/>
      <w:sz w:val="18"/>
      <w:szCs w:val="18"/>
      <w:lang w:val="en-GB" w:eastAsia="en-GB"/>
    </w:rPr>
  </w:style>
  <w:style w:type="character" w:styleId="FootnoteReference">
    <w:name w:val="footnote reference"/>
    <w:aliases w:val="ftref,16 Point,Superscript 6 Point,Ref,de nota al pie,(NECG) Footnote Reference,fr,BVI fnr Car Car Car Car Char Char Char1 Char,BVI fnr Char Char Char Char,BVI fnr Char Char,BVI fnr Car Car Char Char,Footnote,BVI fnr,Знак сноски 1"/>
    <w:basedOn w:val="DefaultParagraphFont"/>
    <w:uiPriority w:val="99"/>
    <w:unhideWhenUsed/>
    <w:qFormat/>
    <w:rsid w:val="00A01B67"/>
    <w:rPr>
      <w:vertAlign w:val="superscript"/>
    </w:rPr>
  </w:style>
  <w:style w:type="paragraph" w:customStyle="1" w:styleId="References">
    <w:name w:val="References"/>
    <w:basedOn w:val="BodyText"/>
    <w:qFormat/>
    <w:rsid w:val="008259D0"/>
    <w:pPr>
      <w:adjustRightInd w:val="0"/>
      <w:ind w:left="340" w:hanging="340"/>
    </w:pPr>
    <w:rPr>
      <w:sz w:val="18"/>
      <w:szCs w:val="18"/>
    </w:rPr>
  </w:style>
  <w:style w:type="paragraph" w:customStyle="1" w:styleId="ListNumbered2">
    <w:name w:val="List Numbered 2"/>
    <w:basedOn w:val="ListNumbered"/>
    <w:rsid w:val="004E36E9"/>
    <w:pPr>
      <w:numPr>
        <w:numId w:val="8"/>
      </w:numPr>
      <w:ind w:left="717"/>
    </w:pPr>
  </w:style>
  <w:style w:type="table" w:styleId="TableGrid">
    <w:name w:val="Table Grid"/>
    <w:basedOn w:val="TableNormal"/>
    <w:rsid w:val="00682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s">
    <w:name w:val="Table notes"/>
    <w:basedOn w:val="Normal"/>
    <w:next w:val="BodyText"/>
    <w:rsid w:val="00BE49A2"/>
    <w:pPr>
      <w:spacing w:before="120" w:after="240" w:line="240" w:lineRule="auto"/>
    </w:pPr>
    <w:rPr>
      <w:rFonts w:eastAsia="Times New Roman" w:cs="Times New Roman"/>
      <w:sz w:val="18"/>
      <w:szCs w:val="20"/>
      <w:lang w:eastAsia="en-US"/>
    </w:rPr>
  </w:style>
  <w:style w:type="table" w:styleId="PlainTable1">
    <w:name w:val="Plain Table 1"/>
    <w:basedOn w:val="TableNormal"/>
    <w:uiPriority w:val="41"/>
    <w:rsid w:val="00000B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BodyText"/>
    <w:next w:val="BodyText"/>
    <w:uiPriority w:val="35"/>
    <w:unhideWhenUsed/>
    <w:qFormat/>
    <w:rsid w:val="00C637BA"/>
    <w:pPr>
      <w:keepNext/>
      <w:spacing w:after="120"/>
      <w:ind w:left="1134" w:hanging="1134"/>
      <w:outlineLvl w:val="2"/>
    </w:pPr>
    <w:rPr>
      <w:rFonts w:ascii="Roboto" w:eastAsia="Times New Roman" w:hAnsi="Roboto" w:cs="Times New Roman"/>
      <w:b/>
      <w:bCs/>
      <w:color w:val="0B1F51"/>
      <w:lang w:eastAsia="en-US"/>
    </w:rPr>
  </w:style>
  <w:style w:type="paragraph" w:styleId="TOC1">
    <w:name w:val="toc 1"/>
    <w:basedOn w:val="BodyText"/>
    <w:next w:val="BodyText"/>
    <w:uiPriority w:val="39"/>
    <w:unhideWhenUsed/>
    <w:qFormat/>
    <w:rsid w:val="00316A7B"/>
    <w:pPr>
      <w:spacing w:after="120"/>
    </w:pPr>
    <w:rPr>
      <w:bCs/>
      <w:noProof/>
      <w:szCs w:val="24"/>
    </w:rPr>
  </w:style>
  <w:style w:type="paragraph" w:styleId="TOC2">
    <w:name w:val="toc 2"/>
    <w:basedOn w:val="BodyText"/>
    <w:next w:val="BodyText"/>
    <w:uiPriority w:val="39"/>
    <w:unhideWhenUsed/>
    <w:qFormat/>
    <w:rsid w:val="004A2C63"/>
    <w:pPr>
      <w:spacing w:after="120"/>
      <w:ind w:left="261"/>
    </w:pPr>
    <w:rPr>
      <w:bCs/>
      <w:noProof/>
      <w:szCs w:val="20"/>
    </w:rPr>
  </w:style>
  <w:style w:type="paragraph" w:styleId="TOC3">
    <w:name w:val="toc 3"/>
    <w:basedOn w:val="BodyText"/>
    <w:next w:val="BodyText"/>
    <w:uiPriority w:val="39"/>
    <w:unhideWhenUsed/>
    <w:qFormat/>
    <w:rsid w:val="009F6704"/>
    <w:pPr>
      <w:tabs>
        <w:tab w:val="right" w:pos="8488"/>
      </w:tabs>
      <w:ind w:left="261"/>
    </w:pPr>
    <w:rPr>
      <w:noProof/>
      <w:szCs w:val="20"/>
    </w:rPr>
  </w:style>
  <w:style w:type="character" w:customStyle="1" w:styleId="HeaderChar">
    <w:name w:val="Header Char"/>
    <w:basedOn w:val="DefaultParagraphFont"/>
    <w:link w:val="Header"/>
    <w:uiPriority w:val="99"/>
    <w:rsid w:val="00791C67"/>
    <w:rPr>
      <w:rFonts w:ascii="Arial" w:hAnsi="Arial" w:cs="Arial"/>
      <w:noProof/>
      <w:sz w:val="18"/>
      <w:szCs w:val="18"/>
      <w:lang w:val="en-GB" w:eastAsia="en-GB"/>
    </w:rPr>
  </w:style>
  <w:style w:type="paragraph" w:styleId="Footer">
    <w:name w:val="footer"/>
    <w:basedOn w:val="BodyText"/>
    <w:link w:val="FooterChar"/>
    <w:uiPriority w:val="99"/>
    <w:unhideWhenUsed/>
    <w:qFormat/>
    <w:rsid w:val="00475405"/>
    <w:rPr>
      <w:sz w:val="18"/>
      <w:szCs w:val="18"/>
    </w:rPr>
  </w:style>
  <w:style w:type="character" w:customStyle="1" w:styleId="FooterChar">
    <w:name w:val="Footer Char"/>
    <w:basedOn w:val="DefaultParagraphFont"/>
    <w:link w:val="Footer"/>
    <w:uiPriority w:val="99"/>
    <w:rsid w:val="00B80A84"/>
    <w:rPr>
      <w:rFonts w:ascii="Arial" w:hAnsi="Arial" w:cs="Arial"/>
      <w:sz w:val="18"/>
      <w:szCs w:val="18"/>
      <w:lang w:val="en-GB" w:eastAsia="en-GB"/>
    </w:rPr>
  </w:style>
  <w:style w:type="paragraph" w:customStyle="1" w:styleId="CoverSubhead">
    <w:name w:val="Cover Subhead"/>
    <w:basedOn w:val="Normal"/>
    <w:qFormat/>
    <w:rsid w:val="000D3B1B"/>
    <w:pPr>
      <w:spacing w:after="0"/>
    </w:pPr>
    <w:rPr>
      <w:b/>
      <w:color w:val="0B1F51"/>
      <w:sz w:val="24"/>
      <w:szCs w:val="24"/>
    </w:rPr>
  </w:style>
  <w:style w:type="paragraph" w:styleId="Title">
    <w:name w:val="Title"/>
    <w:next w:val="BodyText"/>
    <w:link w:val="TitleChar"/>
    <w:uiPriority w:val="10"/>
    <w:qFormat/>
    <w:rsid w:val="00456E4B"/>
    <w:pPr>
      <w:spacing w:after="1134"/>
      <w:contextualSpacing/>
    </w:pPr>
    <w:rPr>
      <w:rFonts w:ascii="Arial" w:eastAsiaTheme="majorEastAsia" w:hAnsi="Arial" w:cs="Arial"/>
      <w:b/>
      <w:color w:val="0B1F51"/>
      <w:spacing w:val="-10"/>
      <w:kern w:val="28"/>
      <w:sz w:val="70"/>
      <w:szCs w:val="70"/>
      <w:lang w:val="en-GB" w:eastAsia="en-GB"/>
    </w:rPr>
  </w:style>
  <w:style w:type="character" w:customStyle="1" w:styleId="TitleChar">
    <w:name w:val="Title Char"/>
    <w:basedOn w:val="DefaultParagraphFont"/>
    <w:link w:val="Title"/>
    <w:uiPriority w:val="10"/>
    <w:rsid w:val="00456E4B"/>
    <w:rPr>
      <w:rFonts w:ascii="Arial" w:eastAsiaTheme="majorEastAsia" w:hAnsi="Arial" w:cs="Arial"/>
      <w:b/>
      <w:color w:val="0B1F51"/>
      <w:spacing w:val="-10"/>
      <w:kern w:val="28"/>
      <w:sz w:val="70"/>
      <w:szCs w:val="70"/>
      <w:lang w:val="en-GB" w:eastAsia="en-GB"/>
    </w:rPr>
  </w:style>
  <w:style w:type="table" w:customStyle="1" w:styleId="CoverTable">
    <w:name w:val="Cover Table"/>
    <w:basedOn w:val="TableNormal"/>
    <w:uiPriority w:val="99"/>
    <w:rsid w:val="00B65835"/>
    <w:rPr>
      <w:rFonts w:ascii="Roboto" w:hAnsi="Roboto"/>
      <w:color w:val="FFFFFF" w:themeColor="background1"/>
    </w:rPr>
    <w:tblPr/>
    <w:tcPr>
      <w:tcMar>
        <w:left w:w="0" w:type="dxa"/>
        <w:right w:w="0" w:type="dxa"/>
      </w:tcMar>
    </w:tcPr>
  </w:style>
  <w:style w:type="paragraph" w:customStyle="1" w:styleId="Contacts">
    <w:name w:val="Contacts"/>
    <w:basedOn w:val="BodyText"/>
    <w:qFormat/>
    <w:rsid w:val="000E1429"/>
    <w:pPr>
      <w:spacing w:after="0"/>
    </w:pPr>
    <w:rPr>
      <w:sz w:val="18"/>
      <w:szCs w:val="18"/>
    </w:rPr>
  </w:style>
  <w:style w:type="character" w:styleId="Hyperlink">
    <w:name w:val="Hyperlink"/>
    <w:basedOn w:val="DefaultParagraphFont"/>
    <w:uiPriority w:val="99"/>
    <w:unhideWhenUsed/>
    <w:rsid w:val="008563E8"/>
    <w:rPr>
      <w:color w:val="auto"/>
      <w:u w:val="single"/>
    </w:rPr>
  </w:style>
  <w:style w:type="character" w:styleId="FollowedHyperlink">
    <w:name w:val="FollowedHyperlink"/>
    <w:basedOn w:val="DefaultParagraphFont"/>
    <w:uiPriority w:val="99"/>
    <w:semiHidden/>
    <w:unhideWhenUsed/>
    <w:rsid w:val="00CB6CEC"/>
    <w:rPr>
      <w:color w:val="45A7E1" w:themeColor="followedHyperlink"/>
      <w:u w:val="single"/>
    </w:rPr>
  </w:style>
  <w:style w:type="paragraph" w:styleId="TableofFigures">
    <w:name w:val="table of figures"/>
    <w:basedOn w:val="BodyText"/>
    <w:next w:val="Normal"/>
    <w:uiPriority w:val="99"/>
    <w:unhideWhenUsed/>
    <w:qFormat/>
    <w:rsid w:val="00B466D1"/>
    <w:pPr>
      <w:spacing w:after="120"/>
    </w:pPr>
  </w:style>
  <w:style w:type="paragraph" w:styleId="Subtitle">
    <w:name w:val="Subtitle"/>
    <w:basedOn w:val="Normal"/>
    <w:next w:val="Normal"/>
    <w:link w:val="SubtitleChar"/>
    <w:uiPriority w:val="11"/>
    <w:semiHidden/>
    <w:locked/>
    <w:rsid w:val="00E347C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semiHidden/>
    <w:rsid w:val="0041229D"/>
    <w:rPr>
      <w:rFonts w:eastAsiaTheme="minorEastAsia"/>
      <w:color w:val="5A5A5A" w:themeColor="text1" w:themeTint="A5"/>
      <w:spacing w:val="15"/>
      <w:sz w:val="22"/>
      <w:szCs w:val="22"/>
      <w:lang w:val="en-GB" w:eastAsia="en-GB"/>
    </w:rPr>
  </w:style>
  <w:style w:type="character" w:styleId="SubtleEmphasis">
    <w:name w:val="Subtle Emphasis"/>
    <w:basedOn w:val="DefaultParagraphFont"/>
    <w:uiPriority w:val="19"/>
    <w:semiHidden/>
    <w:locked/>
    <w:rsid w:val="00E347C7"/>
    <w:rPr>
      <w:i/>
      <w:iCs/>
      <w:color w:val="404040" w:themeColor="text1" w:themeTint="BF"/>
    </w:rPr>
  </w:style>
  <w:style w:type="character" w:styleId="IntenseEmphasis">
    <w:name w:val="Intense Emphasis"/>
    <w:basedOn w:val="DefaultParagraphFont"/>
    <w:uiPriority w:val="21"/>
    <w:semiHidden/>
    <w:locked/>
    <w:rsid w:val="00E347C7"/>
    <w:rPr>
      <w:i/>
      <w:iCs/>
      <w:color w:val="45A7E1" w:themeColor="accent1"/>
    </w:rPr>
  </w:style>
  <w:style w:type="character" w:styleId="Strong">
    <w:name w:val="Strong"/>
    <w:basedOn w:val="DefaultParagraphFont"/>
    <w:uiPriority w:val="22"/>
    <w:qFormat/>
    <w:locked/>
    <w:rsid w:val="00E347C7"/>
    <w:rPr>
      <w:b/>
      <w:bCs/>
    </w:rPr>
  </w:style>
  <w:style w:type="paragraph" w:styleId="Quote">
    <w:name w:val="Quote"/>
    <w:basedOn w:val="Normal"/>
    <w:next w:val="Normal"/>
    <w:link w:val="QuoteChar"/>
    <w:uiPriority w:val="29"/>
    <w:semiHidden/>
    <w:locked/>
    <w:rsid w:val="00E347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41229D"/>
    <w:rPr>
      <w:rFonts w:ascii="Arial" w:hAnsi="Arial" w:cs="Arial"/>
      <w:i/>
      <w:iCs/>
      <w:color w:val="404040" w:themeColor="text1" w:themeTint="BF"/>
      <w:sz w:val="22"/>
      <w:szCs w:val="22"/>
      <w:lang w:val="en-GB" w:eastAsia="en-GB"/>
    </w:rPr>
  </w:style>
  <w:style w:type="character" w:styleId="IntenseReference">
    <w:name w:val="Intense Reference"/>
    <w:basedOn w:val="DefaultParagraphFont"/>
    <w:uiPriority w:val="32"/>
    <w:semiHidden/>
    <w:locked/>
    <w:rsid w:val="00E347C7"/>
    <w:rPr>
      <w:b/>
      <w:bCs/>
      <w:smallCaps/>
      <w:color w:val="45A7E1" w:themeColor="accent1"/>
      <w:spacing w:val="5"/>
    </w:rPr>
  </w:style>
  <w:style w:type="character" w:styleId="SubtleReference">
    <w:name w:val="Subtle Reference"/>
    <w:basedOn w:val="DefaultParagraphFont"/>
    <w:uiPriority w:val="31"/>
    <w:semiHidden/>
    <w:locked/>
    <w:rsid w:val="00E347C7"/>
    <w:rPr>
      <w:smallCaps/>
      <w:color w:val="5A5A5A" w:themeColor="text1" w:themeTint="A5"/>
    </w:rPr>
  </w:style>
  <w:style w:type="paragraph" w:styleId="IntenseQuote">
    <w:name w:val="Intense Quote"/>
    <w:basedOn w:val="Normal"/>
    <w:next w:val="Normal"/>
    <w:link w:val="IntenseQuoteChar"/>
    <w:uiPriority w:val="30"/>
    <w:semiHidden/>
    <w:locked/>
    <w:rsid w:val="00E347C7"/>
    <w:pPr>
      <w:pBdr>
        <w:top w:val="single" w:sz="4" w:space="10" w:color="45A7E1" w:themeColor="accent1"/>
        <w:bottom w:val="single" w:sz="4" w:space="10" w:color="45A7E1" w:themeColor="accent1"/>
      </w:pBdr>
      <w:spacing w:before="360" w:after="360"/>
      <w:ind w:left="864" w:right="864"/>
      <w:jc w:val="center"/>
    </w:pPr>
    <w:rPr>
      <w:i/>
      <w:iCs/>
      <w:color w:val="45A7E1" w:themeColor="accent1"/>
    </w:rPr>
  </w:style>
  <w:style w:type="character" w:customStyle="1" w:styleId="IntenseQuoteChar">
    <w:name w:val="Intense Quote Char"/>
    <w:basedOn w:val="DefaultParagraphFont"/>
    <w:link w:val="IntenseQuote"/>
    <w:uiPriority w:val="30"/>
    <w:semiHidden/>
    <w:rsid w:val="0041229D"/>
    <w:rPr>
      <w:rFonts w:ascii="Arial" w:hAnsi="Arial" w:cs="Arial"/>
      <w:i/>
      <w:iCs/>
      <w:color w:val="45A7E1" w:themeColor="accent1"/>
      <w:sz w:val="22"/>
      <w:szCs w:val="22"/>
      <w:lang w:val="en-GB" w:eastAsia="en-GB"/>
    </w:rPr>
  </w:style>
  <w:style w:type="paragraph" w:styleId="ListParagraph">
    <w:name w:val="List Paragraph"/>
    <w:aliases w:val="List Paragraph1,Recommendation,List Paragraph11,L,CV text,F5 List Paragraph,Dot pt,Medium Grid 1 - Accent 21,Numbered Paragraph,List Paragraph111,List Paragraph2,Bulleted Para,NFP GP Bulleted List,FooterText,numbered,列出段落,列出段落1,COOP"/>
    <w:basedOn w:val="Normal"/>
    <w:link w:val="ListParagraphChar"/>
    <w:uiPriority w:val="34"/>
    <w:qFormat/>
    <w:rsid w:val="00E347C7"/>
    <w:pPr>
      <w:ind w:left="720"/>
      <w:contextualSpacing/>
    </w:pPr>
  </w:style>
  <w:style w:type="paragraph" w:styleId="TOCHeading">
    <w:name w:val="TOC Heading"/>
    <w:basedOn w:val="Heading1"/>
    <w:next w:val="Normal"/>
    <w:uiPriority w:val="39"/>
    <w:unhideWhenUsed/>
    <w:qFormat/>
    <w:rsid w:val="00E347C7"/>
    <w:pPr>
      <w:pBdr>
        <w:top w:val="none" w:sz="0" w:space="0" w:color="auto"/>
      </w:pBdr>
      <w:spacing w:before="240" w:after="0"/>
      <w:outlineLvl w:val="9"/>
    </w:pPr>
    <w:rPr>
      <w:rFonts w:asciiTheme="majorHAnsi" w:hAnsiTheme="majorHAnsi" w:cstheme="majorBidi"/>
      <w:b w:val="0"/>
      <w:color w:val="1E82BD" w:themeColor="accent1" w:themeShade="BF"/>
      <w:sz w:val="32"/>
      <w:szCs w:val="32"/>
    </w:rPr>
  </w:style>
  <w:style w:type="paragraph" w:styleId="BodyText">
    <w:name w:val="Body Text"/>
    <w:link w:val="BodyTextChar"/>
    <w:qFormat/>
    <w:rsid w:val="006B136C"/>
    <w:pPr>
      <w:spacing w:after="200"/>
    </w:pPr>
    <w:rPr>
      <w:rFonts w:ascii="Roboto Light" w:hAnsi="Roboto Light" w:cs="Arial"/>
      <w:sz w:val="22"/>
      <w:szCs w:val="22"/>
      <w:lang w:val="en-GB" w:eastAsia="en-GB"/>
    </w:rPr>
  </w:style>
  <w:style w:type="character" w:customStyle="1" w:styleId="BodyTextChar">
    <w:name w:val="Body Text Char"/>
    <w:basedOn w:val="DefaultParagraphFont"/>
    <w:link w:val="BodyText"/>
    <w:rsid w:val="006B136C"/>
    <w:rPr>
      <w:rFonts w:ascii="Roboto Light" w:hAnsi="Roboto Light" w:cs="Arial"/>
      <w:sz w:val="22"/>
      <w:szCs w:val="22"/>
      <w:lang w:val="en-GB" w:eastAsia="en-GB"/>
    </w:rPr>
  </w:style>
  <w:style w:type="paragraph" w:customStyle="1" w:styleId="Annextitle">
    <w:name w:val="Annex title"/>
    <w:basedOn w:val="Normal"/>
    <w:next w:val="Normal"/>
    <w:link w:val="AnnextitleChar"/>
    <w:rsid w:val="003254B8"/>
    <w:pPr>
      <w:keepNext/>
      <w:pageBreakBefore/>
      <w:numPr>
        <w:numId w:val="2"/>
      </w:numPr>
      <w:pBdr>
        <w:top w:val="single" w:sz="48" w:space="1" w:color="45A7E1" w:themeColor="accent1"/>
      </w:pBdr>
      <w:tabs>
        <w:tab w:val="clear" w:pos="360"/>
        <w:tab w:val="left" w:pos="2835"/>
      </w:tabs>
      <w:spacing w:after="400" w:line="240" w:lineRule="auto"/>
      <w:ind w:left="2835" w:hanging="2835"/>
      <w:outlineLvl w:val="0"/>
    </w:pPr>
    <w:rPr>
      <w:rFonts w:eastAsia="Times New Roman" w:cs="Times New Roman"/>
      <w:b/>
      <w:color w:val="0B1F51"/>
      <w:kern w:val="32"/>
      <w:sz w:val="46"/>
      <w:szCs w:val="46"/>
      <w:lang w:eastAsia="en-US"/>
    </w:rPr>
  </w:style>
  <w:style w:type="paragraph" w:customStyle="1" w:styleId="Annexheading1">
    <w:name w:val="Annex heading 1"/>
    <w:basedOn w:val="Normal"/>
    <w:next w:val="BodyText"/>
    <w:link w:val="Annexheading1Char"/>
    <w:rsid w:val="005406F6"/>
    <w:pPr>
      <w:keepNext/>
      <w:numPr>
        <w:ilvl w:val="1"/>
        <w:numId w:val="2"/>
      </w:numPr>
      <w:spacing w:before="240" w:after="240" w:line="240" w:lineRule="auto"/>
      <w:outlineLvl w:val="1"/>
    </w:pPr>
    <w:rPr>
      <w:rFonts w:eastAsia="Times New Roman" w:cs="Times New Roman"/>
      <w:b/>
      <w:color w:val="0B1F51"/>
      <w:sz w:val="28"/>
      <w:szCs w:val="20"/>
      <w:lang w:eastAsia="en-US"/>
    </w:rPr>
  </w:style>
  <w:style w:type="paragraph" w:customStyle="1" w:styleId="Annexheading2">
    <w:name w:val="Annex heading 2"/>
    <w:basedOn w:val="Normal"/>
    <w:next w:val="BodyText"/>
    <w:rsid w:val="00C16D4B"/>
    <w:pPr>
      <w:keepNext/>
      <w:numPr>
        <w:ilvl w:val="2"/>
        <w:numId w:val="2"/>
      </w:numPr>
      <w:spacing w:before="160" w:after="240" w:line="240" w:lineRule="auto"/>
      <w:ind w:left="720"/>
      <w:outlineLvl w:val="2"/>
    </w:pPr>
    <w:rPr>
      <w:rFonts w:eastAsia="Times New Roman" w:cs="Times New Roman"/>
      <w:b/>
      <w:kern w:val="32"/>
      <w:sz w:val="24"/>
      <w:szCs w:val="20"/>
      <w:lang w:eastAsia="en-US"/>
    </w:rPr>
  </w:style>
  <w:style w:type="paragraph" w:customStyle="1" w:styleId="Annexheading3">
    <w:name w:val="Annex heading 3"/>
    <w:basedOn w:val="Normal"/>
    <w:next w:val="BodyText"/>
    <w:rsid w:val="00C16D4B"/>
    <w:pPr>
      <w:keepNext/>
      <w:numPr>
        <w:ilvl w:val="3"/>
        <w:numId w:val="2"/>
      </w:numPr>
      <w:spacing w:after="240" w:line="240" w:lineRule="auto"/>
      <w:outlineLvl w:val="3"/>
    </w:pPr>
    <w:rPr>
      <w:rFonts w:eastAsia="Times New Roman" w:cs="Times New Roman"/>
      <w:b/>
      <w:szCs w:val="20"/>
      <w:lang w:eastAsia="en-US"/>
    </w:rPr>
  </w:style>
  <w:style w:type="paragraph" w:customStyle="1" w:styleId="Abbreviation">
    <w:name w:val="Abbreviation"/>
    <w:basedOn w:val="Normal"/>
    <w:rsid w:val="00BE49A2"/>
    <w:pPr>
      <w:tabs>
        <w:tab w:val="left" w:pos="1701"/>
      </w:tabs>
      <w:spacing w:after="240" w:line="240" w:lineRule="auto"/>
      <w:ind w:left="1701" w:hanging="1701"/>
    </w:pPr>
    <w:rPr>
      <w:rFonts w:eastAsia="Times New Roman" w:cs="Times New Roman"/>
      <w:szCs w:val="20"/>
      <w:lang w:eastAsia="en-US"/>
    </w:rPr>
  </w:style>
  <w:style w:type="paragraph" w:customStyle="1" w:styleId="Projecttitle">
    <w:name w:val="Project title"/>
    <w:basedOn w:val="Normal"/>
    <w:next w:val="Normal"/>
    <w:qFormat/>
    <w:rsid w:val="00BE49A2"/>
    <w:pPr>
      <w:spacing w:before="4000" w:after="0"/>
    </w:pPr>
    <w:rPr>
      <w:rFonts w:ascii="Georgia" w:eastAsia="Times New Roman" w:hAnsi="Georgia" w:cs="Times New Roman"/>
      <w:b/>
      <w:color w:val="002147"/>
      <w:kern w:val="28"/>
      <w:sz w:val="48"/>
      <w:szCs w:val="20"/>
      <w:lang w:eastAsia="en-US"/>
    </w:rPr>
  </w:style>
  <w:style w:type="paragraph" w:customStyle="1" w:styleId="ToCTitle">
    <w:name w:val="ToC Title"/>
    <w:basedOn w:val="Heading1"/>
    <w:rsid w:val="003C3D8B"/>
    <w:pPr>
      <w:numPr>
        <w:numId w:val="0"/>
      </w:numPr>
      <w:spacing w:after="480"/>
    </w:pPr>
    <w:rPr>
      <w:bCs w:val="0"/>
      <w:sz w:val="32"/>
    </w:rPr>
  </w:style>
  <w:style w:type="paragraph" w:customStyle="1" w:styleId="Heading2NONUM">
    <w:name w:val="Heading 2 NO NUM"/>
    <w:basedOn w:val="Heading2"/>
    <w:next w:val="Normal"/>
    <w:qFormat/>
    <w:rsid w:val="00637AAD"/>
    <w:pPr>
      <w:numPr>
        <w:ilvl w:val="0"/>
        <w:numId w:val="0"/>
      </w:numPr>
    </w:pPr>
    <w:rPr>
      <w:sz w:val="32"/>
      <w:lang w:eastAsia="en-US"/>
    </w:rPr>
  </w:style>
  <w:style w:type="paragraph" w:customStyle="1" w:styleId="Heading3NONUM">
    <w:name w:val="Heading 3 NO NUM"/>
    <w:basedOn w:val="Heading3"/>
    <w:next w:val="Normal"/>
    <w:qFormat/>
    <w:rsid w:val="00D71B6A"/>
    <w:pPr>
      <w:numPr>
        <w:ilvl w:val="0"/>
        <w:numId w:val="0"/>
      </w:numPr>
    </w:pPr>
    <w:rPr>
      <w:rFonts w:eastAsia="Times New Roman" w:cs="Times New Roman"/>
      <w:kern w:val="32"/>
      <w:szCs w:val="24"/>
      <w:lang w:eastAsia="en-US"/>
    </w:rPr>
  </w:style>
  <w:style w:type="numbering" w:customStyle="1" w:styleId="ListBullets">
    <w:name w:val="ListBullets"/>
    <w:uiPriority w:val="99"/>
    <w:rsid w:val="00E94C28"/>
    <w:pPr>
      <w:numPr>
        <w:numId w:val="5"/>
      </w:numPr>
    </w:pPr>
  </w:style>
  <w:style w:type="paragraph" w:styleId="ListBullet">
    <w:name w:val="List Bullet"/>
    <w:basedOn w:val="Normal"/>
    <w:qFormat/>
    <w:rsid w:val="00A14BF7"/>
    <w:pPr>
      <w:numPr>
        <w:numId w:val="5"/>
      </w:numPr>
      <w:spacing w:after="60" w:line="240" w:lineRule="auto"/>
    </w:pPr>
    <w:rPr>
      <w:rFonts w:eastAsia="Times New Roman" w:cs="Times New Roman"/>
      <w:szCs w:val="20"/>
      <w:lang w:eastAsia="en-US"/>
    </w:rPr>
  </w:style>
  <w:style w:type="paragraph" w:styleId="ListBullet2">
    <w:name w:val="List Bullet 2"/>
    <w:basedOn w:val="Normal"/>
    <w:qFormat/>
    <w:rsid w:val="00E94C28"/>
    <w:pPr>
      <w:numPr>
        <w:ilvl w:val="1"/>
        <w:numId w:val="5"/>
      </w:numPr>
      <w:spacing w:after="60" w:line="276" w:lineRule="atLeast"/>
    </w:pPr>
    <w:rPr>
      <w:rFonts w:eastAsia="Times New Roman" w:cs="Times New Roman"/>
      <w:szCs w:val="20"/>
      <w:lang w:eastAsia="en-US"/>
    </w:rPr>
  </w:style>
  <w:style w:type="paragraph" w:styleId="ListBullet3">
    <w:name w:val="List Bullet 3"/>
    <w:basedOn w:val="Normal"/>
    <w:qFormat/>
    <w:rsid w:val="00E94C28"/>
    <w:pPr>
      <w:numPr>
        <w:ilvl w:val="2"/>
        <w:numId w:val="4"/>
      </w:numPr>
      <w:spacing w:after="60" w:line="276" w:lineRule="atLeast"/>
    </w:pPr>
  </w:style>
  <w:style w:type="paragraph" w:styleId="ListBullet4">
    <w:name w:val="List Bullet 4"/>
    <w:basedOn w:val="Normal"/>
    <w:qFormat/>
    <w:rsid w:val="00E94C28"/>
    <w:pPr>
      <w:numPr>
        <w:ilvl w:val="3"/>
        <w:numId w:val="4"/>
      </w:numPr>
      <w:spacing w:after="60" w:line="276" w:lineRule="atLeast"/>
    </w:pPr>
  </w:style>
  <w:style w:type="paragraph" w:styleId="ListBullet5">
    <w:name w:val="List Bullet 5"/>
    <w:basedOn w:val="Normal"/>
    <w:qFormat/>
    <w:rsid w:val="00E94C28"/>
    <w:pPr>
      <w:numPr>
        <w:ilvl w:val="4"/>
        <w:numId w:val="5"/>
      </w:numPr>
      <w:spacing w:after="60" w:line="276" w:lineRule="atLeast"/>
    </w:pPr>
    <w:rPr>
      <w:rFonts w:eastAsia="Times New Roman" w:cs="Times New Roman"/>
      <w:szCs w:val="20"/>
      <w:lang w:eastAsia="en-US"/>
    </w:rPr>
  </w:style>
  <w:style w:type="paragraph" w:customStyle="1" w:styleId="Reference">
    <w:name w:val="Reference"/>
    <w:basedOn w:val="Normal"/>
    <w:rsid w:val="007D24E5"/>
    <w:pPr>
      <w:tabs>
        <w:tab w:val="left" w:pos="357"/>
      </w:tabs>
      <w:spacing w:after="120" w:line="240" w:lineRule="auto"/>
      <w:ind w:left="357" w:hanging="357"/>
    </w:pPr>
    <w:rPr>
      <w:rFonts w:eastAsia="Times New Roman" w:cs="Times New Roman"/>
      <w:szCs w:val="20"/>
      <w:lang w:eastAsia="en-US"/>
    </w:rPr>
  </w:style>
  <w:style w:type="paragraph" w:customStyle="1" w:styleId="Boxtext">
    <w:name w:val="Box text"/>
    <w:basedOn w:val="Normal"/>
    <w:qFormat/>
    <w:rsid w:val="005C33D1"/>
    <w:pPr>
      <w:keepNext/>
      <w:spacing w:before="120" w:after="120" w:line="240" w:lineRule="auto"/>
    </w:pPr>
    <w:rPr>
      <w:rFonts w:eastAsia="Times New Roman" w:cs="Times New Roman"/>
      <w:sz w:val="20"/>
      <w:szCs w:val="20"/>
      <w:lang w:eastAsia="en-US"/>
    </w:rPr>
  </w:style>
  <w:style w:type="paragraph" w:customStyle="1" w:styleId="Heading1NONUM">
    <w:name w:val="Heading 1 NO NUM"/>
    <w:basedOn w:val="Heading1"/>
    <w:qFormat/>
    <w:rsid w:val="002D2327"/>
    <w:pPr>
      <w:numPr>
        <w:numId w:val="0"/>
      </w:numPr>
    </w:pPr>
    <w:rPr>
      <w:bCs w:val="0"/>
    </w:rPr>
  </w:style>
  <w:style w:type="paragraph" w:customStyle="1" w:styleId="Boxcaption">
    <w:name w:val="Box caption"/>
    <w:basedOn w:val="Caption"/>
    <w:qFormat/>
    <w:rsid w:val="002B0448"/>
    <w:pPr>
      <w:spacing w:before="120"/>
    </w:pPr>
  </w:style>
  <w:style w:type="paragraph" w:customStyle="1" w:styleId="ListLetter">
    <w:name w:val="List Letter"/>
    <w:basedOn w:val="Normal"/>
    <w:rsid w:val="00EB3DCA"/>
    <w:pPr>
      <w:numPr>
        <w:numId w:val="7"/>
      </w:numPr>
      <w:spacing w:after="60" w:line="240" w:lineRule="auto"/>
      <w:ind w:left="360"/>
    </w:pPr>
    <w:rPr>
      <w:rFonts w:eastAsia="Times New Roman" w:cs="Times New Roman"/>
      <w:szCs w:val="20"/>
      <w:lang w:eastAsia="en-US"/>
    </w:rPr>
  </w:style>
  <w:style w:type="character" w:customStyle="1" w:styleId="Hashtag1">
    <w:name w:val="Hashtag1"/>
    <w:basedOn w:val="DefaultParagraphFont"/>
    <w:uiPriority w:val="99"/>
    <w:rsid w:val="006E0C02"/>
    <w:rPr>
      <w:color w:val="2B579A"/>
      <w:shd w:val="clear" w:color="auto" w:fill="E6E6E6"/>
    </w:rPr>
  </w:style>
  <w:style w:type="paragraph" w:customStyle="1" w:styleId="Secondarytitle">
    <w:name w:val="Secondary title"/>
    <w:basedOn w:val="Normal"/>
    <w:rsid w:val="00A14BF7"/>
    <w:pPr>
      <w:spacing w:after="0"/>
    </w:pPr>
    <w:rPr>
      <w:rFonts w:asciiTheme="majorHAnsi" w:eastAsia="Times New Roman" w:hAnsiTheme="majorHAnsi" w:cstheme="majorHAnsi"/>
      <w:sz w:val="40"/>
      <w:szCs w:val="40"/>
      <w:lang w:eastAsia="en-US"/>
    </w:rPr>
  </w:style>
  <w:style w:type="paragraph" w:customStyle="1" w:styleId="Author">
    <w:name w:val="Author"/>
    <w:basedOn w:val="Normal"/>
    <w:qFormat/>
    <w:rsid w:val="00A14BF7"/>
    <w:pPr>
      <w:spacing w:before="1440" w:after="0"/>
    </w:pPr>
    <w:rPr>
      <w:rFonts w:eastAsia="Times New Roman" w:cs="Times New Roman"/>
      <w:sz w:val="28"/>
      <w:szCs w:val="20"/>
      <w:lang w:eastAsia="en-US"/>
    </w:rPr>
  </w:style>
  <w:style w:type="paragraph" w:customStyle="1" w:styleId="ListNumberedFinal">
    <w:name w:val="List Numbered Final"/>
    <w:basedOn w:val="ListNumbered"/>
    <w:next w:val="BodyText"/>
    <w:rsid w:val="00941B69"/>
    <w:pPr>
      <w:spacing w:after="240"/>
    </w:pPr>
    <w:rPr>
      <w:rFonts w:eastAsia="Times New Roman" w:cs="Times New Roman"/>
      <w:szCs w:val="20"/>
    </w:rPr>
  </w:style>
  <w:style w:type="paragraph" w:customStyle="1" w:styleId="ListLetterFinal">
    <w:name w:val="List Letter Final"/>
    <w:basedOn w:val="ListLetter"/>
    <w:next w:val="BodyText"/>
    <w:rsid w:val="00957224"/>
    <w:pPr>
      <w:spacing w:after="240"/>
    </w:pPr>
  </w:style>
  <w:style w:type="paragraph" w:customStyle="1" w:styleId="ListNumbered3">
    <w:name w:val="List Numbered 3"/>
    <w:basedOn w:val="ListNumbered"/>
    <w:rsid w:val="004E36E9"/>
    <w:pPr>
      <w:numPr>
        <w:numId w:val="9"/>
      </w:numPr>
      <w:ind w:left="1074"/>
    </w:pPr>
  </w:style>
  <w:style w:type="table" w:customStyle="1" w:styleId="OPMBoxstyle">
    <w:name w:val="OPM Box style"/>
    <w:basedOn w:val="TableNormal"/>
    <w:uiPriority w:val="99"/>
    <w:rsid w:val="00D2722E"/>
    <w:tblPr>
      <w:tblBorders>
        <w:top w:val="single" w:sz="4" w:space="0" w:color="45A7E1" w:themeColor="accent1"/>
        <w:left w:val="single" w:sz="4" w:space="0" w:color="45A7E1" w:themeColor="accent1"/>
        <w:bottom w:val="single" w:sz="4" w:space="0" w:color="45A7E1" w:themeColor="accent1"/>
        <w:right w:val="single" w:sz="4" w:space="0" w:color="45A7E1" w:themeColor="accent1"/>
      </w:tblBorders>
    </w:tblPr>
    <w:tcPr>
      <w:shd w:val="clear" w:color="auto" w:fill="DAE4EC" w:themeFill="background2"/>
    </w:tcPr>
    <w:tblStylePr w:type="firstRow">
      <w:tblPr/>
      <w:tcPr>
        <w:tcBorders>
          <w:top w:val="single" w:sz="4" w:space="0" w:color="45A7E1" w:themeColor="accent1"/>
          <w:left w:val="single" w:sz="4" w:space="0" w:color="45A7E1" w:themeColor="accent1"/>
          <w:bottom w:val="single" w:sz="4" w:space="0" w:color="45A7E1" w:themeColor="accent1"/>
          <w:right w:val="single" w:sz="4" w:space="0" w:color="45A7E1" w:themeColor="accent1"/>
          <w:insideH w:val="single" w:sz="4" w:space="0" w:color="45A7E1" w:themeColor="accent1"/>
          <w:insideV w:val="nil"/>
          <w:tl2br w:val="nil"/>
          <w:tr2bl w:val="nil"/>
        </w:tcBorders>
        <w:shd w:val="clear" w:color="auto" w:fill="DAE4EC" w:themeFill="background2"/>
      </w:tcPr>
    </w:tblStylePr>
  </w:style>
  <w:style w:type="paragraph" w:customStyle="1" w:styleId="Tabletext">
    <w:name w:val="Table text"/>
    <w:basedOn w:val="BodyText"/>
    <w:rsid w:val="00704491"/>
    <w:pPr>
      <w:spacing w:before="40" w:after="40"/>
      <w:ind w:left="113" w:right="113"/>
    </w:pPr>
    <w:rPr>
      <w:sz w:val="20"/>
      <w:lang w:eastAsia="en-US"/>
    </w:rPr>
  </w:style>
  <w:style w:type="paragraph" w:customStyle="1" w:styleId="DateCover">
    <w:name w:val="Date (Cover)"/>
    <w:basedOn w:val="Author"/>
    <w:rsid w:val="002C2370"/>
    <w:rPr>
      <w:sz w:val="22"/>
    </w:rPr>
  </w:style>
  <w:style w:type="table" w:customStyle="1" w:styleId="PlainTable11">
    <w:name w:val="Plain Table 11"/>
    <w:basedOn w:val="TableNormal"/>
    <w:uiPriority w:val="41"/>
    <w:rsid w:val="000F4B5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ashtag10">
    <w:name w:val="Hashtag1"/>
    <w:basedOn w:val="DefaultParagraphFont"/>
    <w:uiPriority w:val="99"/>
    <w:rsid w:val="000F4B57"/>
    <w:rPr>
      <w:color w:val="2B579A"/>
      <w:shd w:val="clear" w:color="auto" w:fill="E6E6E6"/>
    </w:rPr>
  </w:style>
  <w:style w:type="paragraph" w:styleId="BalloonText">
    <w:name w:val="Balloon Text"/>
    <w:basedOn w:val="Normal"/>
    <w:link w:val="BalloonTextChar"/>
    <w:uiPriority w:val="99"/>
    <w:semiHidden/>
    <w:unhideWhenUsed/>
    <w:rsid w:val="000F4B57"/>
    <w:pPr>
      <w:spacing w:after="0" w:line="240" w:lineRule="auto"/>
    </w:pPr>
    <w:rPr>
      <w:rFonts w:ascii="Segoe UI" w:eastAsia="Times New Roman" w:hAnsi="Segoe UI" w:cs="Segoe UI"/>
      <w:sz w:val="18"/>
      <w:szCs w:val="18"/>
      <w:lang w:eastAsia="en-US"/>
    </w:rPr>
  </w:style>
  <w:style w:type="character" w:customStyle="1" w:styleId="BalloonTextChar">
    <w:name w:val="Balloon Text Char"/>
    <w:basedOn w:val="DefaultParagraphFont"/>
    <w:link w:val="BalloonText"/>
    <w:uiPriority w:val="99"/>
    <w:semiHidden/>
    <w:rsid w:val="000F4B57"/>
    <w:rPr>
      <w:rFonts w:ascii="Segoe UI" w:eastAsia="Times New Roman" w:hAnsi="Segoe UI" w:cs="Segoe UI"/>
      <w:sz w:val="18"/>
      <w:szCs w:val="18"/>
      <w:lang w:val="en-GB"/>
    </w:rPr>
  </w:style>
  <w:style w:type="character" w:styleId="CommentReference">
    <w:name w:val="annotation reference"/>
    <w:basedOn w:val="DefaultParagraphFont"/>
    <w:uiPriority w:val="99"/>
    <w:semiHidden/>
    <w:unhideWhenUsed/>
    <w:rsid w:val="000F4B57"/>
    <w:rPr>
      <w:sz w:val="16"/>
      <w:szCs w:val="16"/>
    </w:rPr>
  </w:style>
  <w:style w:type="paragraph" w:styleId="CommentText">
    <w:name w:val="annotation text"/>
    <w:basedOn w:val="Normal"/>
    <w:link w:val="CommentTextChar"/>
    <w:uiPriority w:val="99"/>
    <w:unhideWhenUsed/>
    <w:rsid w:val="000F4B57"/>
    <w:pPr>
      <w:spacing w:after="240" w:line="240" w:lineRule="auto"/>
    </w:pPr>
    <w:rPr>
      <w:rFonts w:ascii="Roboto" w:eastAsia="Times New Roman" w:hAnsi="Roboto" w:cs="Times New Roman"/>
      <w:sz w:val="20"/>
      <w:szCs w:val="20"/>
      <w:lang w:eastAsia="en-US"/>
    </w:rPr>
  </w:style>
  <w:style w:type="character" w:customStyle="1" w:styleId="CommentTextChar">
    <w:name w:val="Comment Text Char"/>
    <w:basedOn w:val="DefaultParagraphFont"/>
    <w:link w:val="CommentText"/>
    <w:uiPriority w:val="99"/>
    <w:rsid w:val="000F4B57"/>
    <w:rPr>
      <w:rFonts w:ascii="Roboto" w:eastAsia="Times New Roman" w:hAnsi="Roboto"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0F4B57"/>
    <w:pPr>
      <w:spacing w:after="200"/>
    </w:pPr>
    <w:rPr>
      <w:rFonts w:ascii="Arial" w:hAnsi="Arial"/>
      <w:b/>
      <w:bCs/>
    </w:rPr>
  </w:style>
  <w:style w:type="character" w:customStyle="1" w:styleId="CommentSubjectChar">
    <w:name w:val="Comment Subject Char"/>
    <w:basedOn w:val="CommentTextChar"/>
    <w:link w:val="CommentSubject"/>
    <w:uiPriority w:val="99"/>
    <w:semiHidden/>
    <w:rsid w:val="000F4B57"/>
    <w:rPr>
      <w:rFonts w:ascii="Arial" w:eastAsia="Times New Roman" w:hAnsi="Arial" w:cs="Times New Roman"/>
      <w:b/>
      <w:bCs/>
      <w:sz w:val="20"/>
      <w:szCs w:val="20"/>
      <w:lang w:val="en-GB"/>
    </w:rPr>
  </w:style>
  <w:style w:type="character" w:customStyle="1" w:styleId="ListParagraphChar">
    <w:name w:val="List Paragraph Char"/>
    <w:aliases w:val="List Paragraph1 Char,Recommendation Char,List Paragraph11 Char,L Char,CV text Char,F5 List Paragraph Char,Dot pt Char,Medium Grid 1 - Accent 21 Char,Numbered Paragraph Char,List Paragraph111 Char,List Paragraph2 Char,FooterText Char"/>
    <w:basedOn w:val="DefaultParagraphFont"/>
    <w:link w:val="ListParagraph"/>
    <w:uiPriority w:val="34"/>
    <w:qFormat/>
    <w:locked/>
    <w:rsid w:val="000F4B57"/>
    <w:rPr>
      <w:rFonts w:ascii="Arial" w:hAnsi="Arial" w:cs="Arial"/>
      <w:sz w:val="22"/>
      <w:szCs w:val="22"/>
      <w:lang w:val="en-GB" w:eastAsia="en-GB"/>
    </w:rPr>
  </w:style>
  <w:style w:type="paragraph" w:styleId="TOC4">
    <w:name w:val="toc 4"/>
    <w:basedOn w:val="Normal"/>
    <w:next w:val="Normal"/>
    <w:autoRedefine/>
    <w:uiPriority w:val="39"/>
    <w:unhideWhenUsed/>
    <w:rsid w:val="000F4B57"/>
    <w:pPr>
      <w:spacing w:after="100" w:line="240" w:lineRule="auto"/>
      <w:ind w:left="660"/>
    </w:pPr>
    <w:rPr>
      <w:rFonts w:asciiTheme="minorHAnsi" w:eastAsia="Times New Roman" w:hAnsiTheme="minorHAnsi" w:cs="Times New Roman"/>
      <w:szCs w:val="24"/>
      <w:lang w:eastAsia="en-US"/>
    </w:rPr>
  </w:style>
  <w:style w:type="paragraph" w:styleId="TOC9">
    <w:name w:val="toc 9"/>
    <w:basedOn w:val="Normal"/>
    <w:next w:val="Normal"/>
    <w:autoRedefine/>
    <w:uiPriority w:val="39"/>
    <w:unhideWhenUsed/>
    <w:locked/>
    <w:rsid w:val="000F4B57"/>
    <w:pPr>
      <w:spacing w:after="100" w:line="259" w:lineRule="auto"/>
      <w:ind w:left="1760"/>
    </w:pPr>
    <w:rPr>
      <w:rFonts w:asciiTheme="minorHAnsi" w:eastAsia="Times New Roman" w:hAnsiTheme="minorHAnsi" w:cstheme="minorBidi"/>
      <w:szCs w:val="24"/>
      <w:lang w:val="en-US" w:eastAsia="en-US"/>
    </w:rPr>
  </w:style>
  <w:style w:type="paragraph" w:customStyle="1" w:styleId="NumberList">
    <w:name w:val="Number List"/>
    <w:basedOn w:val="Normal"/>
    <w:qFormat/>
    <w:rsid w:val="000F4B57"/>
    <w:pPr>
      <w:spacing w:after="240" w:line="276" w:lineRule="atLeast"/>
      <w:ind w:left="357" w:hanging="357"/>
    </w:pPr>
    <w:rPr>
      <w:rFonts w:ascii="Roboto" w:eastAsia="Times New Roman" w:hAnsi="Roboto" w:cs="Times New Roman"/>
      <w:szCs w:val="24"/>
      <w:lang w:eastAsia="en-US"/>
    </w:rPr>
  </w:style>
  <w:style w:type="paragraph" w:styleId="Revision">
    <w:name w:val="Revision"/>
    <w:hidden/>
    <w:uiPriority w:val="99"/>
    <w:semiHidden/>
    <w:rsid w:val="000F4B57"/>
    <w:rPr>
      <w:rFonts w:ascii="Arial" w:hAnsi="Arial" w:cs="Arial"/>
      <w:sz w:val="22"/>
      <w:szCs w:val="22"/>
      <w:lang w:val="en-GB" w:eastAsia="en-GB"/>
    </w:rPr>
  </w:style>
  <w:style w:type="table" w:customStyle="1" w:styleId="TableGrid4">
    <w:name w:val="Table Grid4"/>
    <w:basedOn w:val="TableNormal"/>
    <w:next w:val="TableGrid"/>
    <w:uiPriority w:val="59"/>
    <w:rsid w:val="000F4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LeftAligned">
    <w:name w:val="Table Body Left Aligned"/>
    <w:basedOn w:val="Normal"/>
    <w:qFormat/>
    <w:rsid w:val="000F4B57"/>
    <w:pPr>
      <w:spacing w:after="0" w:line="276" w:lineRule="atLeast"/>
    </w:pPr>
    <w:rPr>
      <w:rFonts w:ascii="Roboto" w:eastAsia="Times New Roman" w:hAnsi="Roboto" w:cs="Times New Roman"/>
      <w:color w:val="000000" w:themeColor="text1"/>
      <w:szCs w:val="24"/>
      <w:lang w:eastAsia="en-US"/>
    </w:rPr>
  </w:style>
  <w:style w:type="table" w:customStyle="1" w:styleId="TableGrid1">
    <w:name w:val="Table Grid1"/>
    <w:basedOn w:val="TableNormal"/>
    <w:next w:val="TableGrid"/>
    <w:uiPriority w:val="39"/>
    <w:rsid w:val="000F4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PMBoxstyle1">
    <w:name w:val="OPM Box style1"/>
    <w:basedOn w:val="TableNormal"/>
    <w:uiPriority w:val="99"/>
    <w:rsid w:val="000F4B57"/>
    <w:tblPr>
      <w:tblBorders>
        <w:top w:val="single" w:sz="4" w:space="0" w:color="45A7E1" w:themeColor="accent1"/>
        <w:left w:val="single" w:sz="4" w:space="0" w:color="45A7E1" w:themeColor="accent1"/>
        <w:bottom w:val="single" w:sz="4" w:space="0" w:color="45A7E1" w:themeColor="accent1"/>
        <w:right w:val="single" w:sz="4" w:space="0" w:color="45A7E1" w:themeColor="accent1"/>
      </w:tblBorders>
    </w:tblPr>
    <w:tcPr>
      <w:shd w:val="clear" w:color="auto" w:fill="DAE4EC" w:themeFill="background2"/>
    </w:tcPr>
    <w:tblStylePr w:type="firstRow">
      <w:tblPr/>
      <w:tcPr>
        <w:tcBorders>
          <w:top w:val="single" w:sz="4" w:space="0" w:color="45A7E1" w:themeColor="accent1"/>
          <w:left w:val="single" w:sz="4" w:space="0" w:color="45A7E1" w:themeColor="accent1"/>
          <w:bottom w:val="single" w:sz="4" w:space="0" w:color="45A7E1" w:themeColor="accent1"/>
          <w:right w:val="single" w:sz="4" w:space="0" w:color="45A7E1" w:themeColor="accent1"/>
          <w:insideH w:val="single" w:sz="4" w:space="0" w:color="45A7E1" w:themeColor="accent1"/>
          <w:insideV w:val="nil"/>
          <w:tl2br w:val="nil"/>
          <w:tr2bl w:val="nil"/>
        </w:tcBorders>
        <w:shd w:val="clear" w:color="auto" w:fill="DAE4EC" w:themeFill="background2"/>
      </w:tcPr>
    </w:tblStylePr>
  </w:style>
  <w:style w:type="table" w:customStyle="1" w:styleId="TableGrid2">
    <w:name w:val="Table Grid2"/>
    <w:basedOn w:val="TableNormal"/>
    <w:next w:val="TableGrid"/>
    <w:uiPriority w:val="39"/>
    <w:rsid w:val="000F4B57"/>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F4B57"/>
    <w:rPr>
      <w:i/>
      <w:iCs/>
    </w:rPr>
  </w:style>
  <w:style w:type="character" w:customStyle="1" w:styleId="UnresolvedMention1">
    <w:name w:val="Unresolved Mention1"/>
    <w:basedOn w:val="DefaultParagraphFont"/>
    <w:uiPriority w:val="99"/>
    <w:semiHidden/>
    <w:unhideWhenUsed/>
    <w:rsid w:val="000F4B57"/>
    <w:rPr>
      <w:color w:val="605E5C"/>
      <w:shd w:val="clear" w:color="auto" w:fill="E1DFDD"/>
    </w:rPr>
  </w:style>
  <w:style w:type="paragraph" w:customStyle="1" w:styleId="Default">
    <w:name w:val="Default"/>
    <w:rsid w:val="000F4B57"/>
    <w:pPr>
      <w:autoSpaceDE w:val="0"/>
      <w:autoSpaceDN w:val="0"/>
      <w:adjustRightInd w:val="0"/>
    </w:pPr>
    <w:rPr>
      <w:rFonts w:ascii="Times New Roman" w:hAnsi="Times New Roman" w:cs="Times New Roman"/>
      <w:color w:val="000000"/>
    </w:rPr>
  </w:style>
  <w:style w:type="character" w:customStyle="1" w:styleId="normaltextrun">
    <w:name w:val="normaltextrun"/>
    <w:basedOn w:val="DefaultParagraphFont"/>
    <w:rsid w:val="000F4B57"/>
  </w:style>
  <w:style w:type="paragraph" w:customStyle="1" w:styleId="paragraph">
    <w:name w:val="paragraph"/>
    <w:basedOn w:val="Normal"/>
    <w:rsid w:val="000F4B57"/>
    <w:pPr>
      <w:spacing w:before="100" w:beforeAutospacing="1" w:after="100" w:afterAutospacing="1" w:line="240" w:lineRule="auto"/>
    </w:pPr>
    <w:rPr>
      <w:rFonts w:asciiTheme="minorHAnsi" w:eastAsia="Times New Roman" w:hAnsiTheme="minorHAnsi" w:cs="Times New Roman"/>
      <w:szCs w:val="24"/>
      <w:lang w:eastAsia="en-US"/>
    </w:rPr>
  </w:style>
  <w:style w:type="character" w:customStyle="1" w:styleId="contextualspellingandgrammarerror">
    <w:name w:val="contextualspellingandgrammarerror"/>
    <w:basedOn w:val="DefaultParagraphFont"/>
    <w:rsid w:val="000F4B57"/>
  </w:style>
  <w:style w:type="character" w:customStyle="1" w:styleId="eop">
    <w:name w:val="eop"/>
    <w:basedOn w:val="DefaultParagraphFont"/>
    <w:rsid w:val="000F4B57"/>
  </w:style>
  <w:style w:type="table" w:customStyle="1" w:styleId="GridTable4-Accent11">
    <w:name w:val="Grid Table 4 - Accent 11"/>
    <w:basedOn w:val="TableNormal"/>
    <w:uiPriority w:val="49"/>
    <w:rsid w:val="000F4B57"/>
    <w:tblPr>
      <w:tblStyleRowBandSize w:val="1"/>
      <w:tblStyleColBandSize w:val="1"/>
      <w:tblBorders>
        <w:top w:val="single" w:sz="4" w:space="0" w:color="8FCAED" w:themeColor="accent1" w:themeTint="99"/>
        <w:left w:val="single" w:sz="4" w:space="0" w:color="8FCAED" w:themeColor="accent1" w:themeTint="99"/>
        <w:bottom w:val="single" w:sz="4" w:space="0" w:color="8FCAED" w:themeColor="accent1" w:themeTint="99"/>
        <w:right w:val="single" w:sz="4" w:space="0" w:color="8FCAED" w:themeColor="accent1" w:themeTint="99"/>
        <w:insideH w:val="single" w:sz="4" w:space="0" w:color="8FCAED" w:themeColor="accent1" w:themeTint="99"/>
        <w:insideV w:val="single" w:sz="4" w:space="0" w:color="8FCAED" w:themeColor="accent1" w:themeTint="99"/>
      </w:tblBorders>
    </w:tblPr>
    <w:tblStylePr w:type="firstRow">
      <w:rPr>
        <w:b/>
        <w:bCs/>
        <w:color w:val="FFFFFF" w:themeColor="background1"/>
      </w:rPr>
      <w:tblPr/>
      <w:tcPr>
        <w:tcBorders>
          <w:top w:val="single" w:sz="4" w:space="0" w:color="45A7E1" w:themeColor="accent1"/>
          <w:left w:val="single" w:sz="4" w:space="0" w:color="45A7E1" w:themeColor="accent1"/>
          <w:bottom w:val="single" w:sz="4" w:space="0" w:color="45A7E1" w:themeColor="accent1"/>
          <w:right w:val="single" w:sz="4" w:space="0" w:color="45A7E1" w:themeColor="accent1"/>
          <w:insideH w:val="nil"/>
          <w:insideV w:val="nil"/>
        </w:tcBorders>
        <w:shd w:val="clear" w:color="auto" w:fill="45A7E1" w:themeFill="accent1"/>
      </w:tcPr>
    </w:tblStylePr>
    <w:tblStylePr w:type="lastRow">
      <w:rPr>
        <w:b/>
        <w:bCs/>
      </w:rPr>
      <w:tblPr/>
      <w:tcPr>
        <w:tcBorders>
          <w:top w:val="double" w:sz="4" w:space="0" w:color="45A7E1" w:themeColor="accent1"/>
        </w:tcBorders>
      </w:tcPr>
    </w:tblStylePr>
    <w:tblStylePr w:type="firstCol">
      <w:rPr>
        <w:b/>
        <w:bCs/>
      </w:rPr>
    </w:tblStylePr>
    <w:tblStylePr w:type="lastCol">
      <w:rPr>
        <w:b/>
        <w:bCs/>
      </w:rPr>
    </w:tblStylePr>
    <w:tblStylePr w:type="band1Vert">
      <w:tblPr/>
      <w:tcPr>
        <w:shd w:val="clear" w:color="auto" w:fill="D9EDF9" w:themeFill="accent1" w:themeFillTint="33"/>
      </w:tcPr>
    </w:tblStylePr>
    <w:tblStylePr w:type="band1Horz">
      <w:tblPr/>
      <w:tcPr>
        <w:shd w:val="clear" w:color="auto" w:fill="D9EDF9" w:themeFill="accent1" w:themeFillTint="33"/>
      </w:tcPr>
    </w:tblStylePr>
  </w:style>
  <w:style w:type="paragraph" w:customStyle="1" w:styleId="BODYCOPY">
    <w:name w:val="BODY COPY"/>
    <w:basedOn w:val="Normal"/>
    <w:qFormat/>
    <w:rsid w:val="000F4B57"/>
    <w:pPr>
      <w:spacing w:before="140" w:after="140" w:line="240" w:lineRule="auto"/>
    </w:pPr>
    <w:rPr>
      <w:rFonts w:asciiTheme="minorHAnsi" w:eastAsia="Times New Roman" w:hAnsiTheme="minorHAnsi" w:cs="Times New Roman"/>
      <w:bCs/>
      <w:color w:val="5E5E5E"/>
      <w:sz w:val="20"/>
      <w:szCs w:val="20"/>
      <w:lang w:eastAsia="en-US"/>
    </w:rPr>
  </w:style>
  <w:style w:type="character" w:customStyle="1" w:styleId="UnresolvedMention2">
    <w:name w:val="Unresolved Mention2"/>
    <w:basedOn w:val="DefaultParagraphFont"/>
    <w:uiPriority w:val="99"/>
    <w:semiHidden/>
    <w:unhideWhenUsed/>
    <w:rsid w:val="000F4B57"/>
    <w:rPr>
      <w:color w:val="605E5C"/>
      <w:shd w:val="clear" w:color="auto" w:fill="E1DFDD"/>
    </w:rPr>
  </w:style>
  <w:style w:type="character" w:customStyle="1" w:styleId="apple-converted-space">
    <w:name w:val="apple-converted-space"/>
    <w:basedOn w:val="DefaultParagraphFont"/>
    <w:rsid w:val="000F4B57"/>
  </w:style>
  <w:style w:type="paragraph" w:styleId="Bibliography">
    <w:name w:val="Bibliography"/>
    <w:basedOn w:val="Normal"/>
    <w:next w:val="Normal"/>
    <w:uiPriority w:val="37"/>
    <w:unhideWhenUsed/>
    <w:rsid w:val="000F4B57"/>
    <w:pPr>
      <w:spacing w:after="0" w:line="240" w:lineRule="auto"/>
    </w:pPr>
    <w:rPr>
      <w:rFonts w:asciiTheme="minorHAnsi" w:hAnsiTheme="minorHAnsi" w:cstheme="minorBidi"/>
      <w:szCs w:val="24"/>
      <w:lang w:eastAsia="en-US"/>
    </w:rPr>
  </w:style>
  <w:style w:type="paragraph" w:customStyle="1" w:styleId="textbox">
    <w:name w:val="textbox"/>
    <w:basedOn w:val="Normal"/>
    <w:rsid w:val="000F4B57"/>
    <w:pPr>
      <w:spacing w:before="100" w:beforeAutospacing="1" w:after="100" w:afterAutospacing="1" w:line="240" w:lineRule="auto"/>
    </w:pPr>
    <w:rPr>
      <w:rFonts w:asciiTheme="minorHAnsi" w:eastAsia="Times New Roman" w:hAnsiTheme="minorHAnsi" w:cs="Times New Roman"/>
      <w:szCs w:val="24"/>
      <w:lang w:eastAsia="en-US"/>
    </w:rPr>
  </w:style>
  <w:style w:type="table" w:customStyle="1" w:styleId="TableGrid3">
    <w:name w:val="Table Grid3"/>
    <w:basedOn w:val="TableNormal"/>
    <w:next w:val="TableGrid"/>
    <w:rsid w:val="000F4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0F4B57"/>
    <w:rPr>
      <w:vertAlign w:val="superscript"/>
    </w:rPr>
  </w:style>
  <w:style w:type="paragraph" w:styleId="EndnoteText">
    <w:name w:val="endnote text"/>
    <w:basedOn w:val="Normal"/>
    <w:link w:val="EndnoteTextChar"/>
    <w:uiPriority w:val="99"/>
    <w:semiHidden/>
    <w:unhideWhenUsed/>
    <w:rsid w:val="000F4B57"/>
    <w:pPr>
      <w:spacing w:after="0" w:line="240" w:lineRule="auto"/>
    </w:pPr>
    <w:rPr>
      <w:rFonts w:asciiTheme="minorHAnsi" w:eastAsia="Times New Roman" w:hAnsiTheme="minorHAnsi" w:cs="Times New Roman"/>
      <w:sz w:val="20"/>
      <w:szCs w:val="20"/>
      <w:lang w:eastAsia="en-US"/>
    </w:rPr>
  </w:style>
  <w:style w:type="character" w:customStyle="1" w:styleId="EndnoteTextChar">
    <w:name w:val="Endnote Text Char"/>
    <w:basedOn w:val="DefaultParagraphFont"/>
    <w:link w:val="EndnoteText"/>
    <w:uiPriority w:val="99"/>
    <w:semiHidden/>
    <w:rsid w:val="000F4B57"/>
    <w:rPr>
      <w:rFonts w:eastAsia="Times New Roman" w:cs="Times New Roman"/>
      <w:sz w:val="20"/>
      <w:szCs w:val="20"/>
      <w:lang w:val="en-GB"/>
    </w:rPr>
  </w:style>
  <w:style w:type="character" w:customStyle="1" w:styleId="UnresolvedMention3">
    <w:name w:val="Unresolved Mention3"/>
    <w:basedOn w:val="DefaultParagraphFont"/>
    <w:uiPriority w:val="99"/>
    <w:semiHidden/>
    <w:unhideWhenUsed/>
    <w:rsid w:val="000F4B57"/>
    <w:rPr>
      <w:color w:val="605E5C"/>
      <w:shd w:val="clear" w:color="auto" w:fill="E1DFDD"/>
    </w:rPr>
  </w:style>
  <w:style w:type="character" w:customStyle="1" w:styleId="il">
    <w:name w:val="il"/>
    <w:basedOn w:val="DefaultParagraphFont"/>
    <w:rsid w:val="000F4B57"/>
  </w:style>
  <w:style w:type="paragraph" w:customStyle="1" w:styleId="StyleBoxtext10pt">
    <w:name w:val="Style Box text + 10 pt"/>
    <w:basedOn w:val="Boxtext"/>
    <w:rsid w:val="000F22FB"/>
  </w:style>
  <w:style w:type="paragraph" w:customStyle="1" w:styleId="Recommendationthing">
    <w:name w:val="Recommendation thing"/>
    <w:basedOn w:val="BodyText"/>
    <w:link w:val="RecommendationthingChar"/>
    <w:qFormat/>
    <w:rsid w:val="00D11F56"/>
    <w:rPr>
      <w:rFonts w:ascii="Poppins" w:hAnsi="Poppins"/>
      <w:b/>
      <w:color w:val="0A1F50" w:themeColor="text2"/>
      <w:sz w:val="24"/>
      <w:lang w:val="en-AU"/>
    </w:rPr>
  </w:style>
  <w:style w:type="character" w:customStyle="1" w:styleId="RecommendationthingChar">
    <w:name w:val="Recommendation thing Char"/>
    <w:basedOn w:val="BodyTextChar"/>
    <w:link w:val="Recommendationthing"/>
    <w:rsid w:val="00D11F56"/>
    <w:rPr>
      <w:rFonts w:ascii="Poppins" w:hAnsi="Poppins" w:cs="Arial"/>
      <w:b/>
      <w:color w:val="0A1F50" w:themeColor="text2"/>
      <w:sz w:val="22"/>
      <w:szCs w:val="22"/>
      <w:lang w:val="en-AU" w:eastAsia="en-GB"/>
    </w:rPr>
  </w:style>
  <w:style w:type="table" w:customStyle="1" w:styleId="TableGrid5">
    <w:name w:val="Table Grid5"/>
    <w:basedOn w:val="TableNormal"/>
    <w:next w:val="TableGrid"/>
    <w:uiPriority w:val="39"/>
    <w:rsid w:val="005574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umberedlist">
    <w:name w:val="Annex numbered list"/>
    <w:basedOn w:val="Annextitle"/>
    <w:link w:val="AnnexnumberedlistChar"/>
    <w:qFormat/>
    <w:rsid w:val="00CE3EF7"/>
    <w:rPr>
      <w:rFonts w:ascii="Poppins" w:hAnsi="Poppins" w:cs="Poppins"/>
      <w:lang w:val="en-AU"/>
    </w:rPr>
  </w:style>
  <w:style w:type="paragraph" w:customStyle="1" w:styleId="Annexnumberedlist2">
    <w:name w:val="Annex numbered list 2"/>
    <w:basedOn w:val="Annexnumberedlist"/>
    <w:link w:val="Annexnumberedlist2Char"/>
    <w:qFormat/>
    <w:rsid w:val="00CE3EF7"/>
  </w:style>
  <w:style w:type="character" w:customStyle="1" w:styleId="AnnextitleChar">
    <w:name w:val="Annex title Char"/>
    <w:basedOn w:val="DefaultParagraphFont"/>
    <w:link w:val="Annextitle"/>
    <w:rsid w:val="00CE3EF7"/>
    <w:rPr>
      <w:rFonts w:ascii="Arial" w:eastAsia="Times New Roman" w:hAnsi="Arial" w:cs="Times New Roman"/>
      <w:b/>
      <w:color w:val="0B1F51"/>
      <w:kern w:val="32"/>
      <w:sz w:val="46"/>
      <w:szCs w:val="46"/>
      <w:lang w:val="en-GB"/>
    </w:rPr>
  </w:style>
  <w:style w:type="character" w:customStyle="1" w:styleId="AnnexnumberedlistChar">
    <w:name w:val="Annex numbered list Char"/>
    <w:basedOn w:val="AnnextitleChar"/>
    <w:link w:val="Annexnumberedlist"/>
    <w:rsid w:val="00CE3EF7"/>
    <w:rPr>
      <w:rFonts w:ascii="Poppins" w:eastAsia="Times New Roman" w:hAnsi="Poppins" w:cs="Poppins"/>
      <w:b/>
      <w:color w:val="0B1F51"/>
      <w:kern w:val="32"/>
      <w:sz w:val="46"/>
      <w:szCs w:val="46"/>
      <w:lang w:val="en-AU"/>
    </w:rPr>
  </w:style>
  <w:style w:type="paragraph" w:customStyle="1" w:styleId="level2annexlist">
    <w:name w:val="level 2 annex list"/>
    <w:basedOn w:val="Annexheading1"/>
    <w:link w:val="level2annexlistChar"/>
    <w:qFormat/>
    <w:rsid w:val="008E1745"/>
    <w:pPr>
      <w:ind w:left="720"/>
    </w:pPr>
    <w:rPr>
      <w:rFonts w:ascii="Poppins" w:hAnsi="Poppins" w:cs="Poppins"/>
      <w:lang w:val="en-AU"/>
    </w:rPr>
  </w:style>
  <w:style w:type="character" w:customStyle="1" w:styleId="Annexnumberedlist2Char">
    <w:name w:val="Annex numbered list 2 Char"/>
    <w:basedOn w:val="AnnexnumberedlistChar"/>
    <w:link w:val="Annexnumberedlist2"/>
    <w:rsid w:val="00CE3EF7"/>
    <w:rPr>
      <w:rFonts w:ascii="Poppins" w:eastAsia="Times New Roman" w:hAnsi="Poppins" w:cs="Poppins"/>
      <w:b/>
      <w:color w:val="0B1F51"/>
      <w:kern w:val="32"/>
      <w:sz w:val="46"/>
      <w:szCs w:val="46"/>
      <w:lang w:val="en-AU"/>
    </w:rPr>
  </w:style>
  <w:style w:type="paragraph" w:customStyle="1" w:styleId="Questions">
    <w:name w:val="Questions"/>
    <w:basedOn w:val="BodyText"/>
    <w:link w:val="QuestionsChar"/>
    <w:qFormat/>
    <w:rsid w:val="008E1745"/>
    <w:pPr>
      <w:spacing w:before="120" w:after="120"/>
    </w:pPr>
    <w:rPr>
      <w:rFonts w:ascii="Poppins" w:hAnsi="Poppins"/>
      <w:color w:val="0A1F50" w:themeColor="text2"/>
      <w:sz w:val="20"/>
      <w:lang w:val="en-AU"/>
    </w:rPr>
  </w:style>
  <w:style w:type="character" w:customStyle="1" w:styleId="Annexheading1Char">
    <w:name w:val="Annex heading 1 Char"/>
    <w:basedOn w:val="DefaultParagraphFont"/>
    <w:link w:val="Annexheading1"/>
    <w:rsid w:val="006D004F"/>
    <w:rPr>
      <w:rFonts w:ascii="Arial" w:eastAsia="Times New Roman" w:hAnsi="Arial" w:cs="Times New Roman"/>
      <w:b/>
      <w:color w:val="0B1F51"/>
      <w:sz w:val="28"/>
      <w:szCs w:val="20"/>
      <w:lang w:val="en-GB"/>
    </w:rPr>
  </w:style>
  <w:style w:type="character" w:customStyle="1" w:styleId="level2annexlistChar">
    <w:name w:val="level 2 annex list Char"/>
    <w:basedOn w:val="Annexheading1Char"/>
    <w:link w:val="level2annexlist"/>
    <w:rsid w:val="008E1745"/>
    <w:rPr>
      <w:rFonts w:ascii="Poppins" w:eastAsia="Times New Roman" w:hAnsi="Poppins" w:cs="Poppins"/>
      <w:b/>
      <w:color w:val="0B1F51"/>
      <w:sz w:val="28"/>
      <w:szCs w:val="20"/>
      <w:lang w:val="en-AU"/>
    </w:rPr>
  </w:style>
  <w:style w:type="character" w:customStyle="1" w:styleId="QuestionsChar">
    <w:name w:val="Questions Char"/>
    <w:basedOn w:val="BodyTextChar"/>
    <w:link w:val="Questions"/>
    <w:rsid w:val="008E1745"/>
    <w:rPr>
      <w:rFonts w:ascii="Poppins" w:hAnsi="Poppins" w:cs="Arial"/>
      <w:color w:val="0A1F50" w:themeColor="text2"/>
      <w:sz w:val="20"/>
      <w:szCs w:val="22"/>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3988">
      <w:bodyDiv w:val="1"/>
      <w:marLeft w:val="0"/>
      <w:marRight w:val="0"/>
      <w:marTop w:val="0"/>
      <w:marBottom w:val="0"/>
      <w:divBdr>
        <w:top w:val="none" w:sz="0" w:space="0" w:color="auto"/>
        <w:left w:val="none" w:sz="0" w:space="0" w:color="auto"/>
        <w:bottom w:val="none" w:sz="0" w:space="0" w:color="auto"/>
        <w:right w:val="none" w:sz="0" w:space="0" w:color="auto"/>
      </w:divBdr>
    </w:div>
    <w:div w:id="95563161">
      <w:bodyDiv w:val="1"/>
      <w:marLeft w:val="0"/>
      <w:marRight w:val="0"/>
      <w:marTop w:val="0"/>
      <w:marBottom w:val="0"/>
      <w:divBdr>
        <w:top w:val="none" w:sz="0" w:space="0" w:color="auto"/>
        <w:left w:val="none" w:sz="0" w:space="0" w:color="auto"/>
        <w:bottom w:val="none" w:sz="0" w:space="0" w:color="auto"/>
        <w:right w:val="none" w:sz="0" w:space="0" w:color="auto"/>
      </w:divBdr>
    </w:div>
    <w:div w:id="171843063">
      <w:bodyDiv w:val="1"/>
      <w:marLeft w:val="0"/>
      <w:marRight w:val="0"/>
      <w:marTop w:val="0"/>
      <w:marBottom w:val="0"/>
      <w:divBdr>
        <w:top w:val="none" w:sz="0" w:space="0" w:color="auto"/>
        <w:left w:val="none" w:sz="0" w:space="0" w:color="auto"/>
        <w:bottom w:val="none" w:sz="0" w:space="0" w:color="auto"/>
        <w:right w:val="none" w:sz="0" w:space="0" w:color="auto"/>
      </w:divBdr>
    </w:div>
    <w:div w:id="180749606">
      <w:bodyDiv w:val="1"/>
      <w:marLeft w:val="0"/>
      <w:marRight w:val="0"/>
      <w:marTop w:val="0"/>
      <w:marBottom w:val="0"/>
      <w:divBdr>
        <w:top w:val="none" w:sz="0" w:space="0" w:color="auto"/>
        <w:left w:val="none" w:sz="0" w:space="0" w:color="auto"/>
        <w:bottom w:val="none" w:sz="0" w:space="0" w:color="auto"/>
        <w:right w:val="none" w:sz="0" w:space="0" w:color="auto"/>
      </w:divBdr>
    </w:div>
    <w:div w:id="298456717">
      <w:bodyDiv w:val="1"/>
      <w:marLeft w:val="0"/>
      <w:marRight w:val="0"/>
      <w:marTop w:val="0"/>
      <w:marBottom w:val="0"/>
      <w:divBdr>
        <w:top w:val="none" w:sz="0" w:space="0" w:color="auto"/>
        <w:left w:val="none" w:sz="0" w:space="0" w:color="auto"/>
        <w:bottom w:val="none" w:sz="0" w:space="0" w:color="auto"/>
        <w:right w:val="none" w:sz="0" w:space="0" w:color="auto"/>
      </w:divBdr>
    </w:div>
    <w:div w:id="455102341">
      <w:bodyDiv w:val="1"/>
      <w:marLeft w:val="0"/>
      <w:marRight w:val="0"/>
      <w:marTop w:val="0"/>
      <w:marBottom w:val="0"/>
      <w:divBdr>
        <w:top w:val="none" w:sz="0" w:space="0" w:color="auto"/>
        <w:left w:val="none" w:sz="0" w:space="0" w:color="auto"/>
        <w:bottom w:val="none" w:sz="0" w:space="0" w:color="auto"/>
        <w:right w:val="none" w:sz="0" w:space="0" w:color="auto"/>
      </w:divBdr>
    </w:div>
    <w:div w:id="490175781">
      <w:bodyDiv w:val="1"/>
      <w:marLeft w:val="0"/>
      <w:marRight w:val="0"/>
      <w:marTop w:val="0"/>
      <w:marBottom w:val="0"/>
      <w:divBdr>
        <w:top w:val="none" w:sz="0" w:space="0" w:color="auto"/>
        <w:left w:val="none" w:sz="0" w:space="0" w:color="auto"/>
        <w:bottom w:val="none" w:sz="0" w:space="0" w:color="auto"/>
        <w:right w:val="none" w:sz="0" w:space="0" w:color="auto"/>
      </w:divBdr>
    </w:div>
    <w:div w:id="490294552">
      <w:bodyDiv w:val="1"/>
      <w:marLeft w:val="0"/>
      <w:marRight w:val="0"/>
      <w:marTop w:val="0"/>
      <w:marBottom w:val="0"/>
      <w:divBdr>
        <w:top w:val="none" w:sz="0" w:space="0" w:color="auto"/>
        <w:left w:val="none" w:sz="0" w:space="0" w:color="auto"/>
        <w:bottom w:val="none" w:sz="0" w:space="0" w:color="auto"/>
        <w:right w:val="none" w:sz="0" w:space="0" w:color="auto"/>
      </w:divBdr>
    </w:div>
    <w:div w:id="567885059">
      <w:bodyDiv w:val="1"/>
      <w:marLeft w:val="0"/>
      <w:marRight w:val="0"/>
      <w:marTop w:val="0"/>
      <w:marBottom w:val="0"/>
      <w:divBdr>
        <w:top w:val="none" w:sz="0" w:space="0" w:color="auto"/>
        <w:left w:val="none" w:sz="0" w:space="0" w:color="auto"/>
        <w:bottom w:val="none" w:sz="0" w:space="0" w:color="auto"/>
        <w:right w:val="none" w:sz="0" w:space="0" w:color="auto"/>
      </w:divBdr>
    </w:div>
    <w:div w:id="614214328">
      <w:bodyDiv w:val="1"/>
      <w:marLeft w:val="0"/>
      <w:marRight w:val="0"/>
      <w:marTop w:val="0"/>
      <w:marBottom w:val="0"/>
      <w:divBdr>
        <w:top w:val="none" w:sz="0" w:space="0" w:color="auto"/>
        <w:left w:val="none" w:sz="0" w:space="0" w:color="auto"/>
        <w:bottom w:val="none" w:sz="0" w:space="0" w:color="auto"/>
        <w:right w:val="none" w:sz="0" w:space="0" w:color="auto"/>
      </w:divBdr>
    </w:div>
    <w:div w:id="856239421">
      <w:bodyDiv w:val="1"/>
      <w:marLeft w:val="0"/>
      <w:marRight w:val="0"/>
      <w:marTop w:val="0"/>
      <w:marBottom w:val="0"/>
      <w:divBdr>
        <w:top w:val="none" w:sz="0" w:space="0" w:color="auto"/>
        <w:left w:val="none" w:sz="0" w:space="0" w:color="auto"/>
        <w:bottom w:val="none" w:sz="0" w:space="0" w:color="auto"/>
        <w:right w:val="none" w:sz="0" w:space="0" w:color="auto"/>
      </w:divBdr>
    </w:div>
    <w:div w:id="1026521419">
      <w:bodyDiv w:val="1"/>
      <w:marLeft w:val="0"/>
      <w:marRight w:val="0"/>
      <w:marTop w:val="0"/>
      <w:marBottom w:val="0"/>
      <w:divBdr>
        <w:top w:val="none" w:sz="0" w:space="0" w:color="auto"/>
        <w:left w:val="none" w:sz="0" w:space="0" w:color="auto"/>
        <w:bottom w:val="none" w:sz="0" w:space="0" w:color="auto"/>
        <w:right w:val="none" w:sz="0" w:space="0" w:color="auto"/>
      </w:divBdr>
    </w:div>
    <w:div w:id="1178692616">
      <w:bodyDiv w:val="1"/>
      <w:marLeft w:val="0"/>
      <w:marRight w:val="0"/>
      <w:marTop w:val="0"/>
      <w:marBottom w:val="0"/>
      <w:divBdr>
        <w:top w:val="none" w:sz="0" w:space="0" w:color="auto"/>
        <w:left w:val="none" w:sz="0" w:space="0" w:color="auto"/>
        <w:bottom w:val="none" w:sz="0" w:space="0" w:color="auto"/>
        <w:right w:val="none" w:sz="0" w:space="0" w:color="auto"/>
      </w:divBdr>
    </w:div>
    <w:div w:id="1231111141">
      <w:bodyDiv w:val="1"/>
      <w:marLeft w:val="0"/>
      <w:marRight w:val="0"/>
      <w:marTop w:val="0"/>
      <w:marBottom w:val="0"/>
      <w:divBdr>
        <w:top w:val="none" w:sz="0" w:space="0" w:color="auto"/>
        <w:left w:val="none" w:sz="0" w:space="0" w:color="auto"/>
        <w:bottom w:val="none" w:sz="0" w:space="0" w:color="auto"/>
        <w:right w:val="none" w:sz="0" w:space="0" w:color="auto"/>
      </w:divBdr>
    </w:div>
    <w:div w:id="1339577859">
      <w:bodyDiv w:val="1"/>
      <w:marLeft w:val="0"/>
      <w:marRight w:val="0"/>
      <w:marTop w:val="0"/>
      <w:marBottom w:val="0"/>
      <w:divBdr>
        <w:top w:val="none" w:sz="0" w:space="0" w:color="auto"/>
        <w:left w:val="none" w:sz="0" w:space="0" w:color="auto"/>
        <w:bottom w:val="none" w:sz="0" w:space="0" w:color="auto"/>
        <w:right w:val="none" w:sz="0" w:space="0" w:color="auto"/>
      </w:divBdr>
    </w:div>
    <w:div w:id="1346058838">
      <w:bodyDiv w:val="1"/>
      <w:marLeft w:val="0"/>
      <w:marRight w:val="0"/>
      <w:marTop w:val="0"/>
      <w:marBottom w:val="0"/>
      <w:divBdr>
        <w:top w:val="none" w:sz="0" w:space="0" w:color="auto"/>
        <w:left w:val="none" w:sz="0" w:space="0" w:color="auto"/>
        <w:bottom w:val="none" w:sz="0" w:space="0" w:color="auto"/>
        <w:right w:val="none" w:sz="0" w:space="0" w:color="auto"/>
      </w:divBdr>
    </w:div>
    <w:div w:id="1489710010">
      <w:bodyDiv w:val="1"/>
      <w:marLeft w:val="0"/>
      <w:marRight w:val="0"/>
      <w:marTop w:val="0"/>
      <w:marBottom w:val="0"/>
      <w:divBdr>
        <w:top w:val="none" w:sz="0" w:space="0" w:color="auto"/>
        <w:left w:val="none" w:sz="0" w:space="0" w:color="auto"/>
        <w:bottom w:val="none" w:sz="0" w:space="0" w:color="auto"/>
        <w:right w:val="none" w:sz="0" w:space="0" w:color="auto"/>
      </w:divBdr>
    </w:div>
    <w:div w:id="1636064165">
      <w:bodyDiv w:val="1"/>
      <w:marLeft w:val="0"/>
      <w:marRight w:val="0"/>
      <w:marTop w:val="0"/>
      <w:marBottom w:val="0"/>
      <w:divBdr>
        <w:top w:val="none" w:sz="0" w:space="0" w:color="auto"/>
        <w:left w:val="none" w:sz="0" w:space="0" w:color="auto"/>
        <w:bottom w:val="none" w:sz="0" w:space="0" w:color="auto"/>
        <w:right w:val="none" w:sz="0" w:space="0" w:color="auto"/>
      </w:divBdr>
    </w:div>
    <w:div w:id="1696075907">
      <w:bodyDiv w:val="1"/>
      <w:marLeft w:val="0"/>
      <w:marRight w:val="0"/>
      <w:marTop w:val="0"/>
      <w:marBottom w:val="0"/>
      <w:divBdr>
        <w:top w:val="none" w:sz="0" w:space="0" w:color="auto"/>
        <w:left w:val="none" w:sz="0" w:space="0" w:color="auto"/>
        <w:bottom w:val="none" w:sz="0" w:space="0" w:color="auto"/>
        <w:right w:val="none" w:sz="0" w:space="0" w:color="auto"/>
      </w:divBdr>
    </w:div>
    <w:div w:id="1738554878">
      <w:bodyDiv w:val="1"/>
      <w:marLeft w:val="0"/>
      <w:marRight w:val="0"/>
      <w:marTop w:val="0"/>
      <w:marBottom w:val="0"/>
      <w:divBdr>
        <w:top w:val="none" w:sz="0" w:space="0" w:color="auto"/>
        <w:left w:val="none" w:sz="0" w:space="0" w:color="auto"/>
        <w:bottom w:val="none" w:sz="0" w:space="0" w:color="auto"/>
        <w:right w:val="none" w:sz="0" w:space="0" w:color="auto"/>
      </w:divBdr>
    </w:div>
    <w:div w:id="1822190899">
      <w:bodyDiv w:val="1"/>
      <w:marLeft w:val="0"/>
      <w:marRight w:val="0"/>
      <w:marTop w:val="0"/>
      <w:marBottom w:val="0"/>
      <w:divBdr>
        <w:top w:val="none" w:sz="0" w:space="0" w:color="auto"/>
        <w:left w:val="none" w:sz="0" w:space="0" w:color="auto"/>
        <w:bottom w:val="none" w:sz="0" w:space="0" w:color="auto"/>
        <w:right w:val="none" w:sz="0" w:space="0" w:color="auto"/>
      </w:divBdr>
    </w:div>
    <w:div w:id="1924610206">
      <w:bodyDiv w:val="1"/>
      <w:marLeft w:val="0"/>
      <w:marRight w:val="0"/>
      <w:marTop w:val="0"/>
      <w:marBottom w:val="0"/>
      <w:divBdr>
        <w:top w:val="none" w:sz="0" w:space="0" w:color="auto"/>
        <w:left w:val="none" w:sz="0" w:space="0" w:color="auto"/>
        <w:bottom w:val="none" w:sz="0" w:space="0" w:color="auto"/>
        <w:right w:val="none" w:sz="0" w:space="0" w:color="auto"/>
      </w:divBdr>
    </w:div>
    <w:div w:id="1997493476">
      <w:bodyDiv w:val="1"/>
      <w:marLeft w:val="0"/>
      <w:marRight w:val="0"/>
      <w:marTop w:val="0"/>
      <w:marBottom w:val="0"/>
      <w:divBdr>
        <w:top w:val="none" w:sz="0" w:space="0" w:color="auto"/>
        <w:left w:val="none" w:sz="0" w:space="0" w:color="auto"/>
        <w:bottom w:val="none" w:sz="0" w:space="0" w:color="auto"/>
        <w:right w:val="none" w:sz="0" w:space="0" w:color="auto"/>
      </w:divBdr>
    </w:div>
    <w:div w:id="20265884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dpm.gov.pg/projects/pswdp/" TargetMode="External"/><Relationship Id="rId26" Type="http://schemas.openxmlformats.org/officeDocument/2006/relationships/hyperlink" Target="http://thevoicepng.org/" TargetMode="External"/><Relationship Id="rId39" Type="http://schemas.openxmlformats.org/officeDocument/2006/relationships/hyperlink" Target="http://publications.dlprog.org/Learning%20and%20Leadership.pdf" TargetMode="External"/><Relationship Id="rId21" Type="http://schemas.openxmlformats.org/officeDocument/2006/relationships/image" Target="media/image2.png"/><Relationship Id="rId34" Type="http://schemas.openxmlformats.org/officeDocument/2006/relationships/hyperlink" Target="http://devpolicy.org/pdf/website/ANU-UPNG/ANU_UPNG_Report_Jul-Dec2016_online.pdf" TargetMode="External"/><Relationship Id="rId42" Type="http://schemas.openxmlformats.org/officeDocument/2006/relationships/hyperlink" Target="https://dfat.gov.au/about-us/publications/Documents/gender-equality-and-womens-empowerment-strategy.pdf" TargetMode="External"/><Relationship Id="rId47" Type="http://schemas.openxmlformats.org/officeDocument/2006/relationships/hyperlink" Target="http://www.dlprog.org/publications/brief-power-politics-and-coalitions-in-the-pacific-lessons-from-collective-action-on-gender-and-power.php" TargetMode="External"/><Relationship Id="rId50" Type="http://schemas.openxmlformats.org/officeDocument/2006/relationships/hyperlink" Target="http://www.devpolicy.org/upng-student-employment-outcomes-survey-results-20180725/" TargetMode="External"/><Relationship Id="rId55" Type="http://schemas.openxmlformats.org/officeDocument/2006/relationships/hyperlink" Target="https://openresearch-repository.anu.edu.au/bitstream/1885/11527/1/Ketan%20Political%20governance%202014.pdf" TargetMode="External"/><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pml.sharepoint.com/sites/hub2015/A2525/ProjectDocuments/1.%20Technical/5.%20Precinct%20Ind%20Evaluation/2019%2002%2026%20Precinct%20FINAL_mergedF.docx" TargetMode="External"/><Relationship Id="rId20" Type="http://schemas.openxmlformats.org/officeDocument/2006/relationships/image" Target="media/image1.png"/><Relationship Id="rId29" Type="http://schemas.openxmlformats.org/officeDocument/2006/relationships/image" Target="media/image8.png"/><Relationship Id="rId41" Type="http://schemas.openxmlformats.org/officeDocument/2006/relationships/hyperlink" Target="https://dfat.gov.au/about-us/publications/Pages/disability-action-strategy-2017-2020.aspx" TargetMode="External"/><Relationship Id="rId54" Type="http://schemas.openxmlformats.org/officeDocument/2006/relationships/hyperlink" Target="https://os-data-2.s3-ap-southeast-2.amazonaws.com/dpm-gov-pg/bundle5/doc_gesipolicyv14210113.pdf" TargetMode="External"/><Relationship Id="rId62"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yperlink" Target="http://devpolicy.org/UPNG%20reports/ANU_UPNG_report_Jan-Jun2016_1Aug2016_online.pdf" TargetMode="External"/><Relationship Id="rId37" Type="http://schemas.openxmlformats.org/officeDocument/2006/relationships/hyperlink" Target="http://dfat.gov.au/about-us/publications/Documents/australia-awards-statistical-profile.pdf" TargetMode="External"/><Relationship Id="rId40" Type="http://schemas.openxmlformats.org/officeDocument/2006/relationships/hyperlink" Target="https://dfat.gov.au/about-us/publications/Documents/dfat-indigenous-peoples-strategy-2015-2019.pdf" TargetMode="External"/><Relationship Id="rId45" Type="http://schemas.openxmlformats.org/officeDocument/2006/relationships/hyperlink" Target="https://securelivelihoods.org/wp-content/uploads/Service-delivery-and-state-capacity_Findings-from-the-Secure-Livelihoods-Research-Consortium.pdf" TargetMode="External"/><Relationship Id="rId53" Type="http://schemas.openxmlformats.org/officeDocument/2006/relationships/hyperlink" Target="https://os-data-2.s3-ap-southeast-2.amazonaws.com/dpm-gov-pg/bundle5/ethics-and-values-based-executive-leadership-and-management-capability-framework.pdf" TargetMode="External"/><Relationship Id="rId58" Type="http://schemas.openxmlformats.org/officeDocument/2006/relationships/hyperlink" Target="http://www.gov.uk/government/uploads/system/uploads/attachment_data/file/199777/Public-sector-%20gov-reform-eval-summary.pdf" TargetMode="External"/><Relationship Id="rId5" Type="http://schemas.openxmlformats.org/officeDocument/2006/relationships/webSettings" Target="webSettings.xml"/><Relationship Id="rId15" Type="http://schemas.openxmlformats.org/officeDocument/2006/relationships/hyperlink" Target="https://opml.sharepoint.com/sites/hub2015/A2525/ProjectDocuments/1.%20Technical/5.%20Precinct%20Ind%20Evaluation/2019%2002%2026%20Precinct%20FINAL_mergedF.docx" TargetMode="Externa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hyperlink" Target="http://www.imf.org/external/pubs/ft/fandd/2013/03/arezki.htm" TargetMode="External"/><Relationship Id="rId49" Type="http://schemas.openxmlformats.org/officeDocument/2006/relationships/hyperlink" Target="http://www2.pazifik-infostelle.org/uploads/the_relationship_between_violence_agains.pdf" TargetMode="External"/><Relationship Id="rId57" Type="http://schemas.openxmlformats.org/officeDocument/2006/relationships/hyperlink" Target="http://dx.doi.org/10.1002/(SICI)1099-162X(199902)19:1%3c63::AID-PAD55%3e3.0.CO;2-F" TargetMode="External"/><Relationship Id="rId61"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www.dpm.gov.pg/projects/gdp/" TargetMode="External"/><Relationship Id="rId31" Type="http://schemas.openxmlformats.org/officeDocument/2006/relationships/image" Target="media/image10.png"/><Relationship Id="rId44" Type="http://schemas.openxmlformats.org/officeDocument/2006/relationships/hyperlink" Target="https://dfat.gov.au/about-us/business-opportunities/Pages/investment-design-document-water-for-women-fund.aspx" TargetMode="External"/><Relationship Id="rId52" Type="http://schemas.openxmlformats.org/officeDocument/2006/relationships/hyperlink" Target="http://www.icrw.org/wp-content/uploads/2016/10/Understanding-measuring-womens-economic-empowerment.pdf" TargetMode="External"/><Relationship Id="rId60" Type="http://schemas.openxmlformats.org/officeDocument/2006/relationships/header" Target="header5.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opml.sharepoint.com/sites/hub2015/A2525/ProjectDocuments/1.%20Technical/5.%20Precinct%20Ind%20Evaluation/2019%2002%2026%20Precinct%20FINAL_mergedF.docx" TargetMode="External"/><Relationship Id="rId22" Type="http://schemas.openxmlformats.org/officeDocument/2006/relationships/image" Target="media/image3.png"/><Relationship Id="rId27" Type="http://schemas.openxmlformats.org/officeDocument/2006/relationships/hyperlink" Target="https://www.pngwil.org/" TargetMode="External"/><Relationship Id="rId30" Type="http://schemas.openxmlformats.org/officeDocument/2006/relationships/image" Target="media/image9.png"/><Relationship Id="rId35" Type="http://schemas.openxmlformats.org/officeDocument/2006/relationships/hyperlink" Target="http://devpolicy.org/UPNG%20reports/ANU_UPNG_H2_2017_report_online.pdf" TargetMode="External"/><Relationship Id="rId43" Type="http://schemas.openxmlformats.org/officeDocument/2006/relationships/hyperlink" Target="http://www.fpwhitepaper.gov.au/foreign-policy-white-paper" TargetMode="External"/><Relationship Id="rId48" Type="http://schemas.openxmlformats.org/officeDocument/2006/relationships/hyperlink" Target="http://publications.dlprog.org/DLPsynthesis.pdf" TargetMode="External"/><Relationship Id="rId56" Type="http://schemas.openxmlformats.org/officeDocument/2006/relationships/hyperlink" Target="https://dfat.gov.au/about-us/publications/Documents/pacific-leadership-program-independent-evaluation.pdf"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tandfonline.com/doi/abs/10.1080/01900692.2010.532184"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opml.sharepoint.com/sites/hub2015/A2525/ProjectDocuments/1.%20Technical/5.%20Precinct%20Ind%20Evaluation/2019%2002%2026%20Precinct%20FINAL_mergedF.docx" TargetMode="External"/><Relationship Id="rId25" Type="http://schemas.openxmlformats.org/officeDocument/2006/relationships/image" Target="media/image6.png"/><Relationship Id="rId33" Type="http://schemas.openxmlformats.org/officeDocument/2006/relationships/hyperlink" Target="http://devpolicy.org/UPNG%20reports/ANU_UPNG_Report_Jan-Jun2017_online.pdf" TargetMode="External"/><Relationship Id="rId38" Type="http://schemas.openxmlformats.org/officeDocument/2006/relationships/hyperlink" Target="http://hummedia.manchester.ac.uk/institutes/gdi/publications/workingpapers/archive/gdp/dp_wp70.pdf" TargetMode="External"/><Relationship Id="rId46" Type="http://schemas.openxmlformats.org/officeDocument/2006/relationships/hyperlink" Target="http://www.dlprog.org/publications/leadership-training-and-network-formation-the-evolution-of-the-lead-process.php" TargetMode="External"/><Relationship Id="rId59"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s://dfat.gov.au/about-us/business-opportunities/Pages/investment-design-document-water-for-women-fund.aspx" TargetMode="External"/><Relationship Id="rId1" Type="http://schemas.openxmlformats.org/officeDocument/2006/relationships/hyperlink" Target="http://www.devpolicy.org/upng-student-employment-outcomes-survey-results-20180725/" TargetMode="External"/></Relationships>
</file>

<file path=word/theme/theme1.xml><?xml version="1.0" encoding="utf-8"?>
<a:theme xmlns:a="http://schemas.openxmlformats.org/drawingml/2006/main" name="OPM_Arial">
  <a:themeElements>
    <a:clrScheme name="Custom 7">
      <a:dk1>
        <a:srgbClr val="000000"/>
      </a:dk1>
      <a:lt1>
        <a:srgbClr val="FFFFFF"/>
      </a:lt1>
      <a:dk2>
        <a:srgbClr val="0A1F50"/>
      </a:dk2>
      <a:lt2>
        <a:srgbClr val="DAE4EC"/>
      </a:lt2>
      <a:accent1>
        <a:srgbClr val="45A7E1"/>
      </a:accent1>
      <a:accent2>
        <a:srgbClr val="F04F48"/>
      </a:accent2>
      <a:accent3>
        <a:srgbClr val="4CD99D"/>
      </a:accent3>
      <a:accent4>
        <a:srgbClr val="FF7025"/>
      </a:accent4>
      <a:accent5>
        <a:srgbClr val="9187E9"/>
      </a:accent5>
      <a:accent6>
        <a:srgbClr val="FFCF0E"/>
      </a:accent6>
      <a:hlink>
        <a:srgbClr val="45A7E1"/>
      </a:hlink>
      <a:folHlink>
        <a:srgbClr val="45A7E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PM_Arial" id="{CD3B5AD6-1E9E-DE45-B6B9-4D05FC61B8FD}" vid="{5410EA13-B33E-A44F-860F-BBD43813C5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McL15</b:Tag>
    <b:SourceType>Report</b:SourceType>
    <b:Guid>{BC433415-8243-4773-9DB2-0215A95AA460}</b:Guid>
    <b:Title>Women's Leadership in the Pacific</b:Title>
    <b:Year>2015</b:Year>
    <b:Publisher>Developmental Leadership Programme </b:Publisher>
    <b:Author>
      <b:Author>
        <b:NameList>
          <b:Person>
            <b:Last>McLeod</b:Last>
            <b:First>Abby </b:First>
          </b:Person>
        </b:NameList>
      </b:Author>
    </b:Author>
    <b:ThesisType>State of the Art </b:ThesisType>
    <b:RefOrder>1</b:RefOrder>
  </b:Source>
</b:Sources>
</file>

<file path=customXml/itemProps1.xml><?xml version="1.0" encoding="utf-8"?>
<ds:datastoreItem xmlns:ds="http://schemas.openxmlformats.org/officeDocument/2006/customXml" ds:itemID="{068D6FD2-2E96-4F2B-A948-C3E8A9E5A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33466</Words>
  <Characters>190759</Characters>
  <Application>Microsoft Office Word</Application>
  <DocSecurity>0</DocSecurity>
  <Lines>1589</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2020-03-03T04:43:00Z</dcterms:created>
  <dcterms:modified xsi:type="dcterms:W3CDTF">2020-03-03T04:43:00Z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66f1237b-74be-47ba-9d6d-4cc6b005b401</vt:lpwstr>
  </property>
  <property fmtid="{D5CDD505-2E9C-101B-9397-08002B2CF9AE}" pid="3" name="SEC">
    <vt:lpwstr>UNCLASSIFIED</vt:lpwstr>
  </property>
  <property fmtid="{D5CDD505-2E9C-101B-9397-08002B2CF9AE}" pid="4" name="DLM">
    <vt:lpwstr>No DLM</vt:lpwstr>
  </property>
</Properties>
</file>