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7187E" w14:textId="77777777" w:rsidR="00620CD8" w:rsidRDefault="00620CD8" w:rsidP="00620CD8">
      <w:pPr>
        <w:pStyle w:val="Heading1"/>
        <w:rPr>
          <w:rFonts w:ascii="Arial" w:hAnsi="Arial" w:cs="Arial"/>
          <w:b/>
          <w:bCs/>
        </w:rPr>
      </w:pPr>
      <w:r>
        <w:rPr>
          <w:rFonts w:ascii="Arial" w:hAnsi="Arial" w:cs="Arial"/>
          <w:b/>
          <w:bCs/>
        </w:rPr>
        <w:t>Management Response</w:t>
      </w:r>
    </w:p>
    <w:p w14:paraId="26738EAA" w14:textId="77777777" w:rsidR="00620CD8" w:rsidRDefault="00620CD8" w:rsidP="00620CD8">
      <w:pPr>
        <w:pStyle w:val="NormalWeb"/>
        <w:spacing w:before="0" w:beforeAutospacing="0" w:after="0" w:afterAutospacing="0"/>
        <w:jc w:val="both"/>
        <w:rPr>
          <w:rFonts w:asciiTheme="minorHAnsi" w:hAnsiTheme="minorHAnsi" w:cstheme="minorHAnsi"/>
          <w:sz w:val="22"/>
          <w:szCs w:val="22"/>
        </w:rPr>
      </w:pPr>
    </w:p>
    <w:p w14:paraId="3A34D105" w14:textId="1459F78B" w:rsidR="00620CD8" w:rsidRDefault="00620CD8" w:rsidP="00620CD8">
      <w:pPr>
        <w:jc w:val="both"/>
        <w:rPr>
          <w:rFonts w:ascii="Arial" w:hAnsi="Arial" w:cs="Arial"/>
          <w:color w:val="000000"/>
          <w:sz w:val="22"/>
          <w:szCs w:val="22"/>
        </w:rPr>
      </w:pPr>
      <w:r>
        <w:rPr>
          <w:rFonts w:ascii="Arial" w:hAnsi="Arial" w:cs="Arial"/>
          <w:color w:val="000000"/>
          <w:sz w:val="22"/>
          <w:szCs w:val="22"/>
        </w:rPr>
        <w:t xml:space="preserve">This review </w:t>
      </w:r>
      <w:r w:rsidR="007A635D">
        <w:rPr>
          <w:rFonts w:ascii="Arial" w:hAnsi="Arial" w:cs="Arial"/>
          <w:color w:val="000000"/>
          <w:sz w:val="22"/>
          <w:szCs w:val="22"/>
        </w:rPr>
        <w:t xml:space="preserve">was drafted and </w:t>
      </w:r>
      <w:r>
        <w:rPr>
          <w:rFonts w:ascii="Arial" w:hAnsi="Arial" w:cs="Arial"/>
          <w:color w:val="000000"/>
          <w:sz w:val="22"/>
          <w:szCs w:val="22"/>
        </w:rPr>
        <w:t xml:space="preserve">delivered </w:t>
      </w:r>
      <w:r w:rsidR="007A635D">
        <w:rPr>
          <w:rFonts w:ascii="Arial" w:hAnsi="Arial" w:cs="Arial"/>
          <w:color w:val="000000"/>
          <w:sz w:val="22"/>
          <w:szCs w:val="22"/>
        </w:rPr>
        <w:t xml:space="preserve">as the </w:t>
      </w:r>
      <w:r>
        <w:rPr>
          <w:rFonts w:ascii="Arial" w:hAnsi="Arial" w:cs="Arial"/>
          <w:color w:val="000000"/>
          <w:sz w:val="22"/>
          <w:szCs w:val="22"/>
        </w:rPr>
        <w:t>COVID 19</w:t>
      </w:r>
      <w:r w:rsidR="00B102D0">
        <w:rPr>
          <w:rFonts w:ascii="Arial" w:hAnsi="Arial" w:cs="Arial"/>
          <w:color w:val="000000"/>
          <w:sz w:val="22"/>
          <w:szCs w:val="22"/>
        </w:rPr>
        <w:t xml:space="preserve"> pandemic</w:t>
      </w:r>
      <w:r w:rsidR="007A635D">
        <w:rPr>
          <w:rFonts w:ascii="Arial" w:hAnsi="Arial" w:cs="Arial"/>
          <w:color w:val="000000"/>
          <w:sz w:val="22"/>
          <w:szCs w:val="22"/>
        </w:rPr>
        <w:t xml:space="preserve"> continue</w:t>
      </w:r>
      <w:r w:rsidR="00052575">
        <w:rPr>
          <w:rFonts w:ascii="Arial" w:hAnsi="Arial" w:cs="Arial"/>
          <w:color w:val="000000"/>
          <w:sz w:val="22"/>
          <w:szCs w:val="22"/>
        </w:rPr>
        <w:t>d</w:t>
      </w:r>
      <w:r w:rsidR="007A635D">
        <w:rPr>
          <w:rFonts w:ascii="Arial" w:hAnsi="Arial" w:cs="Arial"/>
          <w:color w:val="000000"/>
          <w:sz w:val="22"/>
          <w:szCs w:val="22"/>
        </w:rPr>
        <w:t xml:space="preserve"> to cause social and economic upheaval across</w:t>
      </w:r>
      <w:r w:rsidR="005E72AA">
        <w:rPr>
          <w:rFonts w:ascii="Arial" w:hAnsi="Arial" w:cs="Arial"/>
          <w:color w:val="000000"/>
          <w:sz w:val="22"/>
          <w:szCs w:val="22"/>
        </w:rPr>
        <w:t xml:space="preserve"> our</w:t>
      </w:r>
      <w:r w:rsidR="007A635D">
        <w:rPr>
          <w:rFonts w:ascii="Arial" w:hAnsi="Arial" w:cs="Arial"/>
          <w:color w:val="000000"/>
          <w:sz w:val="22"/>
          <w:szCs w:val="22"/>
        </w:rPr>
        <w:t xml:space="preserve"> region</w:t>
      </w:r>
      <w:r>
        <w:rPr>
          <w:rFonts w:ascii="Arial" w:hAnsi="Arial" w:cs="Arial"/>
          <w:color w:val="000000"/>
          <w:sz w:val="22"/>
          <w:szCs w:val="22"/>
        </w:rPr>
        <w:t xml:space="preserve">. </w:t>
      </w:r>
      <w:r w:rsidR="007A635D">
        <w:rPr>
          <w:rFonts w:ascii="Arial" w:hAnsi="Arial" w:cs="Arial"/>
          <w:color w:val="000000"/>
          <w:sz w:val="22"/>
          <w:szCs w:val="22"/>
        </w:rPr>
        <w:t>In this context, a</w:t>
      </w:r>
      <w:r>
        <w:rPr>
          <w:rFonts w:ascii="Arial" w:hAnsi="Arial" w:cs="Arial"/>
          <w:color w:val="000000"/>
          <w:sz w:val="22"/>
          <w:szCs w:val="22"/>
        </w:rPr>
        <w:t xml:space="preserve"> robust, independent Pacific media sector is vital </w:t>
      </w:r>
      <w:r w:rsidR="00052575">
        <w:rPr>
          <w:rFonts w:ascii="Arial" w:hAnsi="Arial" w:cs="Arial"/>
          <w:color w:val="000000"/>
          <w:sz w:val="22"/>
          <w:szCs w:val="22"/>
        </w:rPr>
        <w:t>for</w:t>
      </w:r>
      <w:r>
        <w:rPr>
          <w:rFonts w:ascii="Arial" w:hAnsi="Arial" w:cs="Arial"/>
          <w:color w:val="000000"/>
          <w:sz w:val="22"/>
          <w:szCs w:val="22"/>
        </w:rPr>
        <w:t xml:space="preserve"> </w:t>
      </w:r>
      <w:r w:rsidR="007A635D">
        <w:rPr>
          <w:rFonts w:ascii="Arial" w:hAnsi="Arial" w:cs="Arial"/>
          <w:color w:val="000000"/>
          <w:sz w:val="22"/>
          <w:szCs w:val="22"/>
        </w:rPr>
        <w:t>promoting</w:t>
      </w:r>
      <w:r>
        <w:rPr>
          <w:rFonts w:ascii="Arial" w:hAnsi="Arial" w:cs="Arial"/>
          <w:color w:val="000000"/>
          <w:sz w:val="22"/>
          <w:szCs w:val="22"/>
        </w:rPr>
        <w:t xml:space="preserve"> informed public disc</w:t>
      </w:r>
      <w:r w:rsidR="007A635D">
        <w:rPr>
          <w:rFonts w:ascii="Arial" w:hAnsi="Arial" w:cs="Arial"/>
          <w:color w:val="000000"/>
          <w:sz w:val="22"/>
          <w:szCs w:val="22"/>
        </w:rPr>
        <w:t>ussion</w:t>
      </w:r>
      <w:r>
        <w:rPr>
          <w:rFonts w:ascii="Arial" w:hAnsi="Arial" w:cs="Arial"/>
          <w:color w:val="000000"/>
          <w:sz w:val="22"/>
          <w:szCs w:val="22"/>
        </w:rPr>
        <w:t xml:space="preserve">, disseminating reliable public health and emergency </w:t>
      </w:r>
      <w:proofErr w:type="gramStart"/>
      <w:r>
        <w:rPr>
          <w:rFonts w:ascii="Arial" w:hAnsi="Arial" w:cs="Arial"/>
          <w:color w:val="000000"/>
          <w:sz w:val="22"/>
          <w:szCs w:val="22"/>
        </w:rPr>
        <w:t>updates</w:t>
      </w:r>
      <w:proofErr w:type="gramEnd"/>
      <w:r>
        <w:rPr>
          <w:rFonts w:ascii="Arial" w:hAnsi="Arial" w:cs="Arial"/>
          <w:color w:val="000000"/>
          <w:sz w:val="22"/>
          <w:szCs w:val="22"/>
        </w:rPr>
        <w:t xml:space="preserve"> and</w:t>
      </w:r>
      <w:r w:rsidRPr="00E226F5">
        <w:rPr>
          <w:rFonts w:ascii="Arial" w:hAnsi="Arial" w:cs="Arial"/>
          <w:color w:val="000000"/>
          <w:sz w:val="22"/>
          <w:szCs w:val="22"/>
        </w:rPr>
        <w:t xml:space="preserve"> </w:t>
      </w:r>
      <w:r w:rsidR="007A635D">
        <w:rPr>
          <w:rFonts w:ascii="Arial" w:hAnsi="Arial" w:cs="Arial"/>
          <w:color w:val="000000"/>
          <w:sz w:val="22"/>
          <w:szCs w:val="22"/>
        </w:rPr>
        <w:t xml:space="preserve">supporting </w:t>
      </w:r>
      <w:r>
        <w:rPr>
          <w:rFonts w:ascii="Arial" w:hAnsi="Arial" w:cs="Arial"/>
          <w:color w:val="000000"/>
          <w:sz w:val="22"/>
          <w:szCs w:val="22"/>
        </w:rPr>
        <w:t>governance and accountability. Yet, as documented</w:t>
      </w:r>
      <w:r w:rsidR="005E72AA">
        <w:rPr>
          <w:rFonts w:ascii="Arial" w:hAnsi="Arial" w:cs="Arial"/>
          <w:color w:val="000000"/>
          <w:sz w:val="22"/>
          <w:szCs w:val="22"/>
        </w:rPr>
        <w:t xml:space="preserve"> in this report</w:t>
      </w:r>
      <w:r>
        <w:rPr>
          <w:rFonts w:ascii="Arial" w:hAnsi="Arial" w:cs="Arial"/>
          <w:color w:val="000000"/>
          <w:sz w:val="22"/>
          <w:szCs w:val="22"/>
        </w:rPr>
        <w:t xml:space="preserve">, many Pacific media entities are </w:t>
      </w:r>
      <w:r w:rsidR="00D93957">
        <w:rPr>
          <w:rFonts w:ascii="Arial" w:hAnsi="Arial" w:cs="Arial"/>
          <w:color w:val="000000"/>
          <w:sz w:val="22"/>
          <w:szCs w:val="22"/>
        </w:rPr>
        <w:t>struggling</w:t>
      </w:r>
      <w:r w:rsidR="005E72AA">
        <w:rPr>
          <w:rFonts w:ascii="Arial" w:hAnsi="Arial" w:cs="Arial"/>
          <w:color w:val="000000"/>
          <w:sz w:val="22"/>
          <w:szCs w:val="22"/>
        </w:rPr>
        <w:t xml:space="preserve"> </w:t>
      </w:r>
      <w:r>
        <w:rPr>
          <w:rFonts w:ascii="Arial" w:hAnsi="Arial" w:cs="Arial"/>
          <w:color w:val="000000"/>
          <w:sz w:val="22"/>
          <w:szCs w:val="22"/>
        </w:rPr>
        <w:t>to maintain their viability</w:t>
      </w:r>
      <w:r w:rsidR="005E72AA">
        <w:rPr>
          <w:rFonts w:ascii="Arial" w:hAnsi="Arial" w:cs="Arial"/>
          <w:color w:val="000000"/>
          <w:sz w:val="22"/>
          <w:szCs w:val="22"/>
        </w:rPr>
        <w:t xml:space="preserve"> and independence</w:t>
      </w:r>
      <w:r>
        <w:rPr>
          <w:rFonts w:ascii="Arial" w:hAnsi="Arial" w:cs="Arial"/>
          <w:color w:val="000000"/>
          <w:sz w:val="22"/>
          <w:szCs w:val="22"/>
        </w:rPr>
        <w:t xml:space="preserve"> in the face of reduced revenues due to COVID 19</w:t>
      </w:r>
      <w:r w:rsidR="0081008F">
        <w:rPr>
          <w:rFonts w:ascii="Arial" w:hAnsi="Arial" w:cs="Arial"/>
          <w:color w:val="000000"/>
          <w:sz w:val="22"/>
          <w:szCs w:val="22"/>
        </w:rPr>
        <w:t xml:space="preserve">, </w:t>
      </w:r>
      <w:r w:rsidR="0017564C">
        <w:rPr>
          <w:rFonts w:ascii="Arial" w:hAnsi="Arial" w:cs="Arial"/>
          <w:color w:val="000000"/>
          <w:sz w:val="22"/>
          <w:szCs w:val="22"/>
        </w:rPr>
        <w:t>on top of existing pressures and challenges to business models.</w:t>
      </w:r>
      <w:r>
        <w:rPr>
          <w:rFonts w:ascii="Arial" w:hAnsi="Arial" w:cs="Arial"/>
          <w:color w:val="000000"/>
          <w:sz w:val="22"/>
          <w:szCs w:val="22"/>
        </w:rPr>
        <w:t xml:space="preserve"> </w:t>
      </w:r>
    </w:p>
    <w:p w14:paraId="17438EAD" w14:textId="77777777" w:rsidR="00620CD8" w:rsidRDefault="00620CD8" w:rsidP="00620CD8">
      <w:pPr>
        <w:jc w:val="both"/>
        <w:rPr>
          <w:rFonts w:ascii="Arial" w:hAnsi="Arial" w:cs="Arial"/>
          <w:color w:val="000000"/>
          <w:sz w:val="22"/>
          <w:szCs w:val="22"/>
        </w:rPr>
      </w:pPr>
    </w:p>
    <w:p w14:paraId="15C53EDE" w14:textId="1E434B0A" w:rsidR="00620CD8" w:rsidRDefault="001B6787" w:rsidP="00620CD8">
      <w:pPr>
        <w:jc w:val="both"/>
        <w:rPr>
          <w:rFonts w:ascii="Arial" w:hAnsi="Arial" w:cs="Arial"/>
          <w:color w:val="000000"/>
          <w:sz w:val="22"/>
          <w:szCs w:val="22"/>
        </w:rPr>
      </w:pPr>
      <w:r>
        <w:rPr>
          <w:rFonts w:ascii="Arial" w:hAnsi="Arial" w:cs="Arial"/>
          <w:color w:val="000000"/>
          <w:sz w:val="22"/>
          <w:szCs w:val="22"/>
        </w:rPr>
        <w:t xml:space="preserve">Australia’s Pacific Step-up places people-to-people links at the heart of our Pacific partnerships and recognises the critical role the media plays in fostering </w:t>
      </w:r>
      <w:r w:rsidR="0017564C">
        <w:rPr>
          <w:rFonts w:ascii="Arial" w:hAnsi="Arial" w:cs="Arial"/>
          <w:color w:val="000000"/>
          <w:sz w:val="22"/>
          <w:szCs w:val="22"/>
        </w:rPr>
        <w:t xml:space="preserve">our cultural </w:t>
      </w:r>
      <w:r>
        <w:rPr>
          <w:rFonts w:ascii="Arial" w:hAnsi="Arial" w:cs="Arial"/>
          <w:color w:val="000000"/>
          <w:sz w:val="22"/>
          <w:szCs w:val="22"/>
        </w:rPr>
        <w:t xml:space="preserve">connections. </w:t>
      </w:r>
      <w:r w:rsidR="005E72AA">
        <w:rPr>
          <w:rFonts w:ascii="Arial" w:hAnsi="Arial" w:cs="Arial"/>
          <w:color w:val="000000"/>
          <w:sz w:val="22"/>
          <w:szCs w:val="22"/>
        </w:rPr>
        <w:t xml:space="preserve">DFAT welcomes the </w:t>
      </w:r>
      <w:r w:rsidR="00B11875">
        <w:rPr>
          <w:rFonts w:ascii="Arial" w:hAnsi="Arial" w:cs="Arial"/>
          <w:color w:val="000000"/>
          <w:sz w:val="22"/>
          <w:szCs w:val="22"/>
        </w:rPr>
        <w:t>evaluation’s</w:t>
      </w:r>
      <w:r w:rsidR="00D93957">
        <w:rPr>
          <w:rFonts w:ascii="Arial" w:hAnsi="Arial" w:cs="Arial"/>
          <w:color w:val="000000"/>
          <w:sz w:val="22"/>
          <w:szCs w:val="22"/>
        </w:rPr>
        <w:t xml:space="preserve"> </w:t>
      </w:r>
      <w:r w:rsidR="005E72AA">
        <w:rPr>
          <w:rFonts w:ascii="Arial" w:hAnsi="Arial" w:cs="Arial"/>
          <w:color w:val="000000"/>
          <w:sz w:val="22"/>
          <w:szCs w:val="22"/>
        </w:rPr>
        <w:t>findings</w:t>
      </w:r>
      <w:r w:rsidR="00B11875">
        <w:rPr>
          <w:rFonts w:ascii="Arial" w:hAnsi="Arial" w:cs="Arial"/>
          <w:color w:val="000000"/>
          <w:sz w:val="22"/>
          <w:szCs w:val="22"/>
        </w:rPr>
        <w:t xml:space="preserve"> that Australia’s longstanding work in media capacity building is trusted and appreciated by Pacific stakeholders</w:t>
      </w:r>
      <w:r>
        <w:rPr>
          <w:rFonts w:ascii="Arial" w:hAnsi="Arial" w:cs="Arial"/>
          <w:color w:val="000000"/>
          <w:sz w:val="22"/>
          <w:szCs w:val="22"/>
        </w:rPr>
        <w:t>.</w:t>
      </w:r>
      <w:r w:rsidR="00B11875">
        <w:rPr>
          <w:rFonts w:ascii="Arial" w:hAnsi="Arial" w:cs="Arial"/>
          <w:color w:val="000000"/>
          <w:sz w:val="22"/>
          <w:szCs w:val="22"/>
        </w:rPr>
        <w:t xml:space="preserve"> </w:t>
      </w:r>
      <w:r w:rsidR="00620CD8">
        <w:rPr>
          <w:rFonts w:ascii="Arial" w:hAnsi="Arial" w:cs="Arial"/>
          <w:color w:val="000000"/>
          <w:sz w:val="22"/>
          <w:szCs w:val="22"/>
        </w:rPr>
        <w:t>Having supported P</w:t>
      </w:r>
      <w:r>
        <w:rPr>
          <w:rFonts w:ascii="Arial" w:hAnsi="Arial" w:cs="Arial"/>
          <w:color w:val="000000"/>
          <w:sz w:val="22"/>
          <w:szCs w:val="22"/>
        </w:rPr>
        <w:t xml:space="preserve">ACMAS </w:t>
      </w:r>
      <w:r w:rsidR="00620CD8">
        <w:rPr>
          <w:rFonts w:ascii="Arial" w:hAnsi="Arial" w:cs="Arial"/>
          <w:color w:val="000000"/>
          <w:sz w:val="22"/>
          <w:szCs w:val="22"/>
        </w:rPr>
        <w:t>for over a decade, Australia will seek to broaden the next</w:t>
      </w:r>
      <w:r>
        <w:rPr>
          <w:rFonts w:ascii="Arial" w:hAnsi="Arial" w:cs="Arial"/>
          <w:color w:val="000000"/>
          <w:sz w:val="22"/>
          <w:szCs w:val="22"/>
        </w:rPr>
        <w:t xml:space="preserve"> </w:t>
      </w:r>
      <w:r w:rsidR="00620CD8">
        <w:rPr>
          <w:rFonts w:ascii="Arial" w:hAnsi="Arial" w:cs="Arial"/>
          <w:color w:val="000000"/>
          <w:sz w:val="22"/>
          <w:szCs w:val="22"/>
        </w:rPr>
        <w:t>phase</w:t>
      </w:r>
      <w:r w:rsidR="001E7378">
        <w:rPr>
          <w:rFonts w:ascii="Arial" w:hAnsi="Arial" w:cs="Arial"/>
          <w:color w:val="000000"/>
          <w:sz w:val="22"/>
          <w:szCs w:val="22"/>
        </w:rPr>
        <w:t xml:space="preserve"> (4)</w:t>
      </w:r>
      <w:r w:rsidR="00620CD8">
        <w:rPr>
          <w:rFonts w:ascii="Arial" w:hAnsi="Arial" w:cs="Arial"/>
          <w:color w:val="000000"/>
          <w:sz w:val="22"/>
          <w:szCs w:val="22"/>
        </w:rPr>
        <w:t xml:space="preserve"> of our investment to </w:t>
      </w:r>
      <w:r w:rsidR="00233A22">
        <w:rPr>
          <w:rFonts w:ascii="Arial" w:hAnsi="Arial" w:cs="Arial"/>
          <w:color w:val="000000"/>
          <w:sz w:val="22"/>
          <w:szCs w:val="22"/>
        </w:rPr>
        <w:t xml:space="preserve">better </w:t>
      </w:r>
      <w:r w:rsidR="00620CD8">
        <w:rPr>
          <w:rFonts w:ascii="Arial" w:hAnsi="Arial" w:cs="Arial"/>
          <w:color w:val="000000"/>
          <w:sz w:val="22"/>
          <w:szCs w:val="22"/>
        </w:rPr>
        <w:t>address</w:t>
      </w:r>
      <w:r w:rsidR="00B11875">
        <w:rPr>
          <w:rFonts w:ascii="Arial" w:hAnsi="Arial" w:cs="Arial"/>
          <w:color w:val="000000"/>
          <w:sz w:val="22"/>
          <w:szCs w:val="22"/>
        </w:rPr>
        <w:t xml:space="preserve"> the emerging </w:t>
      </w:r>
      <w:r w:rsidR="00620CD8">
        <w:rPr>
          <w:rFonts w:ascii="Arial" w:hAnsi="Arial" w:cs="Arial"/>
          <w:color w:val="000000"/>
          <w:sz w:val="22"/>
          <w:szCs w:val="22"/>
        </w:rPr>
        <w:t>issues</w:t>
      </w:r>
      <w:r w:rsidR="00B11875">
        <w:rPr>
          <w:rFonts w:ascii="Arial" w:hAnsi="Arial" w:cs="Arial"/>
          <w:color w:val="000000"/>
          <w:sz w:val="22"/>
          <w:szCs w:val="22"/>
        </w:rPr>
        <w:t xml:space="preserve"> covered in this review, including</w:t>
      </w:r>
      <w:r w:rsidR="00620CD8">
        <w:rPr>
          <w:rFonts w:ascii="Arial" w:hAnsi="Arial" w:cs="Arial"/>
          <w:color w:val="000000"/>
          <w:sz w:val="22"/>
          <w:szCs w:val="22"/>
        </w:rPr>
        <w:t xml:space="preserve"> misinformation and disinformation. </w:t>
      </w:r>
    </w:p>
    <w:p w14:paraId="4B099115" w14:textId="77777777" w:rsidR="00620CD8" w:rsidRDefault="00620CD8" w:rsidP="00620CD8">
      <w:pPr>
        <w:jc w:val="both"/>
        <w:rPr>
          <w:rFonts w:ascii="Arial" w:hAnsi="Arial" w:cs="Arial"/>
          <w:color w:val="000000"/>
          <w:sz w:val="22"/>
          <w:szCs w:val="22"/>
        </w:rPr>
      </w:pPr>
    </w:p>
    <w:p w14:paraId="6EB0F586" w14:textId="72E47752" w:rsidR="00620CD8" w:rsidRPr="00880FA4" w:rsidRDefault="00620CD8" w:rsidP="0017564C">
      <w:pPr>
        <w:jc w:val="both"/>
        <w:rPr>
          <w:rFonts w:ascii="Arial" w:hAnsi="Arial" w:cs="Arial"/>
          <w:color w:val="000000"/>
          <w:sz w:val="22"/>
          <w:szCs w:val="22"/>
        </w:rPr>
      </w:pPr>
      <w:r>
        <w:rPr>
          <w:rFonts w:ascii="Arial" w:hAnsi="Arial" w:cs="Arial"/>
          <w:color w:val="000000"/>
          <w:sz w:val="22"/>
          <w:szCs w:val="22"/>
        </w:rPr>
        <w:t>The</w:t>
      </w:r>
      <w:r w:rsidRPr="00B12E37">
        <w:rPr>
          <w:rFonts w:ascii="Arial" w:hAnsi="Arial" w:cs="Arial"/>
          <w:color w:val="000000"/>
          <w:sz w:val="22"/>
          <w:szCs w:val="22"/>
        </w:rPr>
        <w:t xml:space="preserve"> expertise ABC International Development </w:t>
      </w:r>
      <w:r>
        <w:rPr>
          <w:rFonts w:ascii="Arial" w:hAnsi="Arial" w:cs="Arial"/>
          <w:color w:val="000000"/>
          <w:sz w:val="22"/>
          <w:szCs w:val="22"/>
        </w:rPr>
        <w:t xml:space="preserve">has brought to </w:t>
      </w:r>
      <w:r w:rsidRPr="00B12E37">
        <w:rPr>
          <w:rFonts w:ascii="Arial" w:hAnsi="Arial" w:cs="Arial"/>
          <w:color w:val="000000"/>
          <w:sz w:val="22"/>
          <w:szCs w:val="22"/>
        </w:rPr>
        <w:t xml:space="preserve">PACMAS </w:t>
      </w:r>
      <w:r w:rsidR="0017564C">
        <w:rPr>
          <w:rFonts w:ascii="Arial" w:hAnsi="Arial" w:cs="Arial"/>
          <w:color w:val="000000"/>
          <w:sz w:val="22"/>
          <w:szCs w:val="22"/>
        </w:rPr>
        <w:t>has contributed to the effectiveness of the current phase of PACMAS, building on its earlier phases.</w:t>
      </w:r>
      <w:r w:rsidR="0017564C" w:rsidRPr="0017564C">
        <w:rPr>
          <w:rFonts w:ascii="Arial" w:hAnsi="Arial" w:cs="Arial"/>
          <w:color w:val="000000"/>
          <w:sz w:val="22"/>
          <w:szCs w:val="22"/>
        </w:rPr>
        <w:t xml:space="preserve"> </w:t>
      </w:r>
      <w:r w:rsidR="0017564C">
        <w:rPr>
          <w:rFonts w:ascii="Arial" w:hAnsi="Arial" w:cs="Arial"/>
          <w:color w:val="000000"/>
          <w:sz w:val="22"/>
          <w:szCs w:val="22"/>
        </w:rPr>
        <w:t xml:space="preserve">This review will inform the design of the next phase. </w:t>
      </w:r>
      <w:r w:rsidRPr="00880FA4">
        <w:rPr>
          <w:rFonts w:ascii="Arial" w:hAnsi="Arial" w:cs="Arial"/>
          <w:color w:val="000000"/>
          <w:sz w:val="22"/>
          <w:szCs w:val="22"/>
        </w:rPr>
        <w:t>Given the critical Pacific development and strategic issues currently at play, DFAT agrees</w:t>
      </w:r>
      <w:r>
        <w:rPr>
          <w:rFonts w:ascii="Arial" w:hAnsi="Arial" w:cs="Arial"/>
          <w:color w:val="000000"/>
          <w:sz w:val="22"/>
          <w:szCs w:val="22"/>
        </w:rPr>
        <w:t xml:space="preserve"> with the reviewers</w:t>
      </w:r>
      <w:r w:rsidRPr="00880FA4">
        <w:rPr>
          <w:rFonts w:ascii="Arial" w:hAnsi="Arial" w:cs="Arial"/>
          <w:color w:val="000000"/>
          <w:sz w:val="22"/>
          <w:szCs w:val="22"/>
        </w:rPr>
        <w:t xml:space="preserve"> that any gap between the Australian media development initiatives across the Pacific would be undesirable</w:t>
      </w:r>
      <w:r>
        <w:rPr>
          <w:rFonts w:ascii="Arial" w:hAnsi="Arial" w:cs="Arial"/>
          <w:color w:val="000000"/>
          <w:sz w:val="22"/>
          <w:szCs w:val="22"/>
        </w:rPr>
        <w:t xml:space="preserve"> and has</w:t>
      </w:r>
      <w:r w:rsidRPr="00880FA4">
        <w:rPr>
          <w:rFonts w:ascii="Arial" w:hAnsi="Arial" w:cs="Arial"/>
          <w:color w:val="000000"/>
          <w:sz w:val="22"/>
          <w:szCs w:val="22"/>
        </w:rPr>
        <w:t xml:space="preserve"> agreed to extend PACMAS 3 until December 2022 to ensure continuity of activities</w:t>
      </w:r>
      <w:r>
        <w:rPr>
          <w:rFonts w:ascii="Arial" w:hAnsi="Arial" w:cs="Arial"/>
          <w:color w:val="000000"/>
          <w:sz w:val="22"/>
          <w:szCs w:val="22"/>
        </w:rPr>
        <w:t xml:space="preserve"> while the design and procurement process for PACMAS 4 is finalised.</w:t>
      </w:r>
      <w:r w:rsidR="0017564C">
        <w:rPr>
          <w:rFonts w:ascii="Arial" w:hAnsi="Arial" w:cs="Arial"/>
          <w:color w:val="000000"/>
          <w:sz w:val="22"/>
          <w:szCs w:val="22"/>
        </w:rPr>
        <w:t xml:space="preserve"> </w:t>
      </w:r>
    </w:p>
    <w:p w14:paraId="15C7FF42" w14:textId="51BD849E" w:rsidR="00620CD8" w:rsidRPr="005E72AA" w:rsidRDefault="00620CD8" w:rsidP="00620CD8">
      <w:pPr>
        <w:pStyle w:val="NormalWeb"/>
        <w:spacing w:before="0" w:beforeAutospacing="0" w:after="0" w:afterAutospacing="0"/>
        <w:jc w:val="both"/>
        <w:rPr>
          <w:rFonts w:ascii="Arial" w:eastAsiaTheme="minorHAnsi" w:hAnsi="Arial" w:cs="Arial"/>
          <w:color w:val="000000"/>
          <w:sz w:val="22"/>
          <w:szCs w:val="22"/>
          <w:lang w:eastAsia="en-US"/>
        </w:rPr>
      </w:pPr>
    </w:p>
    <w:p w14:paraId="6E959370" w14:textId="49264381" w:rsidR="005E72AA" w:rsidRPr="005E72AA" w:rsidRDefault="005E72AA" w:rsidP="00620CD8">
      <w:pPr>
        <w:pStyle w:val="NormalWeb"/>
        <w:spacing w:before="0" w:beforeAutospacing="0" w:after="0" w:afterAutospacing="0"/>
        <w:jc w:val="both"/>
        <w:rPr>
          <w:rFonts w:ascii="Arial" w:eastAsiaTheme="minorHAnsi" w:hAnsi="Arial" w:cs="Arial"/>
          <w:color w:val="000000"/>
          <w:sz w:val="22"/>
          <w:szCs w:val="22"/>
          <w:lang w:eastAsia="en-US"/>
        </w:rPr>
      </w:pPr>
      <w:r w:rsidRPr="005E72AA">
        <w:rPr>
          <w:rFonts w:ascii="Arial" w:eastAsiaTheme="minorHAnsi" w:hAnsi="Arial" w:cs="Arial"/>
          <w:color w:val="000000"/>
          <w:sz w:val="22"/>
          <w:szCs w:val="22"/>
          <w:lang w:eastAsia="en-US"/>
        </w:rPr>
        <w:t>The action plan identified in this management response will be progressed by DFAT’s Office of the Pacific</w:t>
      </w:r>
      <w:r>
        <w:rPr>
          <w:rFonts w:ascii="Arial" w:eastAsiaTheme="minorHAnsi" w:hAnsi="Arial" w:cs="Arial"/>
          <w:color w:val="000000"/>
          <w:sz w:val="22"/>
          <w:szCs w:val="22"/>
          <w:lang w:eastAsia="en-US"/>
        </w:rPr>
        <w:t xml:space="preserve"> in consultation </w:t>
      </w:r>
      <w:r w:rsidR="0017564C">
        <w:rPr>
          <w:rFonts w:ascii="Arial" w:eastAsiaTheme="minorHAnsi" w:hAnsi="Arial" w:cs="Arial"/>
          <w:color w:val="000000"/>
          <w:sz w:val="22"/>
          <w:szCs w:val="22"/>
          <w:lang w:eastAsia="en-US"/>
        </w:rPr>
        <w:t xml:space="preserve">with ABC ID, Pacific bilateral Posts and Pacific </w:t>
      </w:r>
      <w:r>
        <w:rPr>
          <w:rFonts w:ascii="Arial" w:eastAsiaTheme="minorHAnsi" w:hAnsi="Arial" w:cs="Arial"/>
          <w:color w:val="000000"/>
          <w:sz w:val="22"/>
          <w:szCs w:val="22"/>
          <w:lang w:eastAsia="en-US"/>
        </w:rPr>
        <w:t>Media Associations</w:t>
      </w:r>
      <w:r w:rsidR="005129B2">
        <w:rPr>
          <w:rFonts w:ascii="Arial" w:eastAsiaTheme="minorHAnsi" w:hAnsi="Arial" w:cs="Arial"/>
          <w:color w:val="000000"/>
          <w:sz w:val="22"/>
          <w:szCs w:val="22"/>
          <w:lang w:eastAsia="en-US"/>
        </w:rPr>
        <w:t>.</w:t>
      </w:r>
    </w:p>
    <w:p w14:paraId="349837E8" w14:textId="77777777" w:rsidR="00620CD8" w:rsidRPr="00AB0B31" w:rsidRDefault="00620CD8" w:rsidP="00620CD8">
      <w:pPr>
        <w:pStyle w:val="NormalWeb"/>
        <w:spacing w:before="0" w:beforeAutospacing="0" w:after="0" w:afterAutospacing="0"/>
        <w:jc w:val="both"/>
        <w:rPr>
          <w:iCs/>
          <w:sz w:val="22"/>
          <w:szCs w:val="22"/>
        </w:rPr>
      </w:pPr>
    </w:p>
    <w:p w14:paraId="4EA58A35" w14:textId="77777777" w:rsidR="00620CD8" w:rsidRDefault="00620CD8" w:rsidP="00620CD8">
      <w:pPr>
        <w:pStyle w:val="NormalWeb"/>
        <w:spacing w:before="0" w:beforeAutospacing="0" w:after="0" w:afterAutospacing="0"/>
        <w:jc w:val="both"/>
        <w:rPr>
          <w:sz w:val="22"/>
          <w:szCs w:val="22"/>
        </w:rPr>
      </w:pPr>
    </w:p>
    <w:p w14:paraId="3FB405AB" w14:textId="77777777" w:rsidR="00620CD8" w:rsidRPr="0032174B" w:rsidRDefault="00620CD8" w:rsidP="00620CD8">
      <w:pPr>
        <w:pStyle w:val="NormalWeb"/>
        <w:spacing w:before="0" w:beforeAutospacing="0" w:after="0" w:afterAutospacing="0"/>
        <w:jc w:val="both"/>
        <w:rPr>
          <w:rFonts w:ascii="Arial" w:hAnsi="Arial" w:cs="Arial"/>
          <w:b/>
          <w:bCs/>
          <w:sz w:val="20"/>
          <w:szCs w:val="20"/>
        </w:rPr>
      </w:pPr>
      <w:r w:rsidRPr="0032174B">
        <w:rPr>
          <w:rFonts w:ascii="Arial" w:hAnsi="Arial" w:cs="Arial"/>
          <w:b/>
          <w:bCs/>
          <w:sz w:val="20"/>
          <w:szCs w:val="20"/>
        </w:rPr>
        <w:t>CAPACITY BUILDING</w:t>
      </w:r>
    </w:p>
    <w:p w14:paraId="784A58F8" w14:textId="77777777" w:rsidR="00620CD8" w:rsidRPr="0032174B" w:rsidRDefault="00620CD8" w:rsidP="00620CD8">
      <w:pPr>
        <w:pStyle w:val="NormalWeb"/>
        <w:spacing w:before="0" w:beforeAutospacing="0" w:after="0" w:afterAutospacing="0"/>
        <w:jc w:val="both"/>
        <w:rPr>
          <w:rFonts w:ascii="Arial" w:hAnsi="Arial" w:cs="Arial"/>
          <w:sz w:val="20"/>
          <w:szCs w:val="20"/>
        </w:rPr>
      </w:pPr>
    </w:p>
    <w:tbl>
      <w:tblPr>
        <w:tblStyle w:val="TableGrid"/>
        <w:tblW w:w="0" w:type="auto"/>
        <w:tblLook w:val="04A0" w:firstRow="1" w:lastRow="0" w:firstColumn="1" w:lastColumn="0" w:noHBand="0" w:noVBand="1"/>
      </w:tblPr>
      <w:tblGrid>
        <w:gridCol w:w="2622"/>
        <w:gridCol w:w="1881"/>
        <w:gridCol w:w="2242"/>
        <w:gridCol w:w="2265"/>
      </w:tblGrid>
      <w:tr w:rsidR="00620CD8" w:rsidRPr="0032174B" w14:paraId="18633288" w14:textId="77777777" w:rsidTr="00DE7FEF">
        <w:tc>
          <w:tcPr>
            <w:tcW w:w="2622" w:type="dxa"/>
          </w:tcPr>
          <w:p w14:paraId="574418DB" w14:textId="77777777" w:rsidR="00620CD8" w:rsidRPr="0032174B" w:rsidRDefault="00620CD8" w:rsidP="00DE7FEF">
            <w:pPr>
              <w:pStyle w:val="NormalWeb"/>
              <w:spacing w:before="0" w:beforeAutospacing="0" w:after="0" w:afterAutospacing="0"/>
              <w:jc w:val="both"/>
              <w:rPr>
                <w:rFonts w:ascii="Arial" w:hAnsi="Arial" w:cs="Arial"/>
                <w:sz w:val="20"/>
                <w:szCs w:val="20"/>
              </w:rPr>
            </w:pPr>
            <w:r w:rsidRPr="0032174B">
              <w:rPr>
                <w:rFonts w:ascii="Arial" w:hAnsi="Arial" w:cs="Arial"/>
                <w:sz w:val="20"/>
                <w:szCs w:val="20"/>
              </w:rPr>
              <w:t> Recommendations</w:t>
            </w:r>
          </w:p>
        </w:tc>
        <w:tc>
          <w:tcPr>
            <w:tcW w:w="1881" w:type="dxa"/>
          </w:tcPr>
          <w:p w14:paraId="6A7A5FA6" w14:textId="77777777" w:rsidR="00620CD8" w:rsidRPr="0032174B" w:rsidRDefault="00620CD8" w:rsidP="00DE7FEF">
            <w:pPr>
              <w:pStyle w:val="NormalWeb"/>
              <w:spacing w:before="0" w:beforeAutospacing="0" w:after="0" w:afterAutospacing="0"/>
              <w:jc w:val="both"/>
              <w:rPr>
                <w:rFonts w:ascii="Arial" w:hAnsi="Arial" w:cs="Arial"/>
                <w:sz w:val="20"/>
                <w:szCs w:val="20"/>
              </w:rPr>
            </w:pPr>
            <w:r w:rsidRPr="0032174B">
              <w:rPr>
                <w:rFonts w:ascii="Arial" w:hAnsi="Arial" w:cs="Arial"/>
                <w:sz w:val="20"/>
                <w:szCs w:val="20"/>
              </w:rPr>
              <w:t>Response</w:t>
            </w:r>
          </w:p>
        </w:tc>
        <w:tc>
          <w:tcPr>
            <w:tcW w:w="2242" w:type="dxa"/>
          </w:tcPr>
          <w:p w14:paraId="73B45831" w14:textId="77777777"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Action Plan</w:t>
            </w:r>
          </w:p>
        </w:tc>
        <w:tc>
          <w:tcPr>
            <w:tcW w:w="2265" w:type="dxa"/>
          </w:tcPr>
          <w:p w14:paraId="68A8376D" w14:textId="77777777" w:rsidR="00620CD8" w:rsidRPr="0032174B" w:rsidRDefault="00620CD8" w:rsidP="00DE7FEF">
            <w:pPr>
              <w:pStyle w:val="NormalWeb"/>
              <w:spacing w:before="0" w:beforeAutospacing="0" w:after="0" w:afterAutospacing="0"/>
              <w:jc w:val="both"/>
              <w:rPr>
                <w:rFonts w:ascii="Arial" w:hAnsi="Arial" w:cs="Arial"/>
                <w:sz w:val="20"/>
                <w:szCs w:val="20"/>
              </w:rPr>
            </w:pPr>
            <w:r w:rsidRPr="0032174B">
              <w:rPr>
                <w:rFonts w:ascii="Arial" w:hAnsi="Arial" w:cs="Arial"/>
                <w:sz w:val="20"/>
                <w:szCs w:val="20"/>
              </w:rPr>
              <w:t>Timeframe</w:t>
            </w:r>
          </w:p>
        </w:tc>
      </w:tr>
      <w:tr w:rsidR="00620CD8" w:rsidRPr="0032174B" w14:paraId="58EE3DDD" w14:textId="77777777" w:rsidTr="00DE7FEF">
        <w:tc>
          <w:tcPr>
            <w:tcW w:w="2622" w:type="dxa"/>
          </w:tcPr>
          <w:p w14:paraId="30964E65" w14:textId="77777777" w:rsidR="00620CD8" w:rsidRPr="0032174B" w:rsidRDefault="00620CD8" w:rsidP="00DE7FEF">
            <w:pPr>
              <w:rPr>
                <w:rFonts w:ascii="Arial" w:eastAsia="Times New Roman" w:hAnsi="Arial" w:cs="Arial"/>
                <w:sz w:val="20"/>
                <w:szCs w:val="20"/>
                <w:lang w:eastAsia="en-GB"/>
              </w:rPr>
            </w:pPr>
            <w:r w:rsidRPr="0032174B">
              <w:rPr>
                <w:rFonts w:ascii="Arial" w:eastAsia="Times New Roman" w:hAnsi="Arial" w:cs="Arial"/>
                <w:sz w:val="20"/>
                <w:szCs w:val="20"/>
                <w:lang w:eastAsia="en-GB"/>
              </w:rPr>
              <w:t>Maintain tradecraft training and issues-specific workshops but with greater use of on-the-job and shorter out-of-hours modules</w:t>
            </w:r>
          </w:p>
          <w:p w14:paraId="114A3B02" w14:textId="77777777" w:rsidR="00620CD8" w:rsidRPr="0032174B" w:rsidRDefault="00620CD8" w:rsidP="00DE7FEF">
            <w:pPr>
              <w:pStyle w:val="NormalWeb"/>
              <w:spacing w:before="0" w:beforeAutospacing="0" w:after="0" w:afterAutospacing="0"/>
              <w:jc w:val="both"/>
              <w:rPr>
                <w:rFonts w:ascii="Arial" w:hAnsi="Arial" w:cs="Arial"/>
                <w:sz w:val="20"/>
                <w:szCs w:val="20"/>
              </w:rPr>
            </w:pPr>
          </w:p>
        </w:tc>
        <w:tc>
          <w:tcPr>
            <w:tcW w:w="1881" w:type="dxa"/>
          </w:tcPr>
          <w:p w14:paraId="67C665AF" w14:textId="77777777" w:rsidR="00620CD8" w:rsidRPr="0032174B" w:rsidRDefault="00620CD8" w:rsidP="00DE7FEF">
            <w:pPr>
              <w:pStyle w:val="NormalWeb"/>
              <w:spacing w:before="0" w:beforeAutospacing="0" w:after="0" w:afterAutospacing="0"/>
              <w:jc w:val="both"/>
              <w:rPr>
                <w:rFonts w:ascii="Arial" w:hAnsi="Arial" w:cs="Arial"/>
                <w:sz w:val="20"/>
                <w:szCs w:val="20"/>
              </w:rPr>
            </w:pPr>
            <w:r w:rsidRPr="0032174B">
              <w:rPr>
                <w:rFonts w:ascii="Arial" w:hAnsi="Arial" w:cs="Arial"/>
                <w:sz w:val="20"/>
                <w:szCs w:val="20"/>
              </w:rPr>
              <w:t>Agreed</w:t>
            </w:r>
          </w:p>
        </w:tc>
        <w:tc>
          <w:tcPr>
            <w:tcW w:w="2242" w:type="dxa"/>
          </w:tcPr>
          <w:p w14:paraId="4137DFFD" w14:textId="78C80E50" w:rsidR="00620CD8" w:rsidRPr="0032174B" w:rsidRDefault="00620CD8" w:rsidP="00DE7FEF">
            <w:pPr>
              <w:pStyle w:val="NormalWeb"/>
              <w:spacing w:before="0" w:beforeAutospacing="0" w:after="0" w:afterAutospacing="0"/>
              <w:rPr>
                <w:rFonts w:ascii="Arial" w:hAnsi="Arial" w:cs="Arial"/>
                <w:sz w:val="20"/>
                <w:szCs w:val="20"/>
              </w:rPr>
            </w:pPr>
            <w:r>
              <w:rPr>
                <w:rFonts w:ascii="Arial" w:hAnsi="Arial" w:cs="Arial"/>
                <w:sz w:val="20"/>
                <w:szCs w:val="20"/>
              </w:rPr>
              <w:t xml:space="preserve">PACMAS will </w:t>
            </w:r>
            <w:r w:rsidR="001B6787">
              <w:rPr>
                <w:rFonts w:ascii="Arial" w:hAnsi="Arial" w:cs="Arial"/>
                <w:sz w:val="20"/>
                <w:szCs w:val="20"/>
              </w:rPr>
              <w:t>seek to expand</w:t>
            </w:r>
            <w:r>
              <w:rPr>
                <w:rFonts w:ascii="Arial" w:hAnsi="Arial" w:cs="Arial"/>
                <w:sz w:val="20"/>
                <w:szCs w:val="20"/>
              </w:rPr>
              <w:t xml:space="preserve"> </w:t>
            </w:r>
            <w:r w:rsidR="001B6787">
              <w:rPr>
                <w:rFonts w:ascii="Arial" w:hAnsi="Arial" w:cs="Arial"/>
                <w:sz w:val="20"/>
                <w:szCs w:val="20"/>
              </w:rPr>
              <w:t>‘</w:t>
            </w:r>
            <w:r>
              <w:rPr>
                <w:rFonts w:ascii="Arial" w:hAnsi="Arial" w:cs="Arial"/>
                <w:sz w:val="20"/>
                <w:szCs w:val="20"/>
              </w:rPr>
              <w:t>on -the-job</w:t>
            </w:r>
            <w:r w:rsidR="001B6787">
              <w:rPr>
                <w:rFonts w:ascii="Arial" w:hAnsi="Arial" w:cs="Arial"/>
                <w:sz w:val="20"/>
                <w:szCs w:val="20"/>
              </w:rPr>
              <w:t>’</w:t>
            </w:r>
            <w:r>
              <w:rPr>
                <w:rFonts w:ascii="Arial" w:hAnsi="Arial" w:cs="Arial"/>
                <w:sz w:val="20"/>
                <w:szCs w:val="20"/>
              </w:rPr>
              <w:t xml:space="preserve"> </w:t>
            </w:r>
            <w:r w:rsidR="001B6787">
              <w:rPr>
                <w:rFonts w:ascii="Arial" w:hAnsi="Arial" w:cs="Arial"/>
                <w:sz w:val="20"/>
                <w:szCs w:val="20"/>
              </w:rPr>
              <w:t>training activities</w:t>
            </w:r>
            <w:r w:rsidR="00956D34">
              <w:rPr>
                <w:rFonts w:ascii="Arial" w:hAnsi="Arial" w:cs="Arial"/>
                <w:sz w:val="20"/>
                <w:szCs w:val="20"/>
              </w:rPr>
              <w:t>, building on support provided for Pacific journalists to cover</w:t>
            </w:r>
            <w:r w:rsidR="001B6787">
              <w:rPr>
                <w:rFonts w:ascii="Arial" w:hAnsi="Arial" w:cs="Arial"/>
                <w:sz w:val="20"/>
                <w:szCs w:val="20"/>
              </w:rPr>
              <w:t xml:space="preserve"> </w:t>
            </w:r>
            <w:r>
              <w:rPr>
                <w:rFonts w:ascii="Arial" w:hAnsi="Arial" w:cs="Arial"/>
                <w:sz w:val="20"/>
                <w:szCs w:val="20"/>
              </w:rPr>
              <w:t xml:space="preserve">key events such as the PIF Leaders Meeting.  </w:t>
            </w:r>
          </w:p>
        </w:tc>
        <w:tc>
          <w:tcPr>
            <w:tcW w:w="2265" w:type="dxa"/>
          </w:tcPr>
          <w:p w14:paraId="1798B897" w14:textId="7143B98A"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Phase 3 and 4</w:t>
            </w:r>
          </w:p>
        </w:tc>
      </w:tr>
      <w:tr w:rsidR="00620CD8" w:rsidRPr="0032174B" w14:paraId="7EA893CD" w14:textId="77777777" w:rsidTr="00DE7FEF">
        <w:tc>
          <w:tcPr>
            <w:tcW w:w="2622" w:type="dxa"/>
          </w:tcPr>
          <w:p w14:paraId="46C82C4A" w14:textId="77777777" w:rsidR="00620CD8" w:rsidRPr="0032174B" w:rsidRDefault="00620CD8" w:rsidP="00DE7FEF">
            <w:pPr>
              <w:pStyle w:val="NormalWeb"/>
              <w:spacing w:before="0" w:beforeAutospacing="0" w:after="0" w:afterAutospacing="0"/>
              <w:jc w:val="both"/>
              <w:rPr>
                <w:rFonts w:ascii="Arial" w:hAnsi="Arial" w:cs="Arial"/>
                <w:sz w:val="20"/>
                <w:szCs w:val="20"/>
              </w:rPr>
            </w:pPr>
            <w:r w:rsidRPr="0032174B">
              <w:rPr>
                <w:rFonts w:ascii="Arial" w:hAnsi="Arial" w:cs="Arial"/>
                <w:sz w:val="20"/>
                <w:szCs w:val="20"/>
              </w:rPr>
              <w:t>Continue to expand cohort of local trainers through training of trainers</w:t>
            </w:r>
          </w:p>
        </w:tc>
        <w:tc>
          <w:tcPr>
            <w:tcW w:w="1881" w:type="dxa"/>
          </w:tcPr>
          <w:p w14:paraId="0857E708" w14:textId="77777777"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Agreed</w:t>
            </w:r>
          </w:p>
        </w:tc>
        <w:tc>
          <w:tcPr>
            <w:tcW w:w="2242" w:type="dxa"/>
          </w:tcPr>
          <w:p w14:paraId="2F46D0B5" w14:textId="3C779C0E" w:rsidR="00620CD8" w:rsidRPr="0032174B" w:rsidRDefault="00620CD8" w:rsidP="00DE7FEF">
            <w:pPr>
              <w:pStyle w:val="NormalWeb"/>
              <w:spacing w:before="0" w:beforeAutospacing="0" w:after="0" w:afterAutospacing="0"/>
              <w:rPr>
                <w:rFonts w:ascii="Arial" w:hAnsi="Arial" w:cs="Arial"/>
                <w:sz w:val="20"/>
                <w:szCs w:val="20"/>
              </w:rPr>
            </w:pPr>
            <w:r>
              <w:rPr>
                <w:rFonts w:ascii="Arial" w:hAnsi="Arial" w:cs="Arial"/>
                <w:sz w:val="20"/>
                <w:szCs w:val="20"/>
              </w:rPr>
              <w:t>PACMAS will continue refresher programs</w:t>
            </w:r>
            <w:r w:rsidR="00956D34">
              <w:rPr>
                <w:rFonts w:ascii="Arial" w:hAnsi="Arial" w:cs="Arial"/>
                <w:sz w:val="20"/>
                <w:szCs w:val="20"/>
              </w:rPr>
              <w:t xml:space="preserve"> for existing trainers</w:t>
            </w:r>
            <w:r>
              <w:rPr>
                <w:rFonts w:ascii="Arial" w:hAnsi="Arial" w:cs="Arial"/>
                <w:sz w:val="20"/>
                <w:szCs w:val="20"/>
              </w:rPr>
              <w:t xml:space="preserve"> and training-of-</w:t>
            </w:r>
            <w:proofErr w:type="gramStart"/>
            <w:r>
              <w:rPr>
                <w:rFonts w:ascii="Arial" w:hAnsi="Arial" w:cs="Arial"/>
                <w:sz w:val="20"/>
                <w:szCs w:val="20"/>
              </w:rPr>
              <w:t>trainers</w:t>
            </w:r>
            <w:proofErr w:type="gramEnd"/>
            <w:r>
              <w:rPr>
                <w:rFonts w:ascii="Arial" w:hAnsi="Arial" w:cs="Arial"/>
                <w:sz w:val="20"/>
                <w:szCs w:val="20"/>
              </w:rPr>
              <w:t xml:space="preserve"> programs for a new cohort of Pacific media experts. </w:t>
            </w:r>
          </w:p>
        </w:tc>
        <w:tc>
          <w:tcPr>
            <w:tcW w:w="2265" w:type="dxa"/>
          </w:tcPr>
          <w:p w14:paraId="4AC18F70" w14:textId="77777777" w:rsidR="00620CD8" w:rsidRPr="0032174B" w:rsidRDefault="00620CD8" w:rsidP="00DE7FEF">
            <w:pPr>
              <w:pStyle w:val="NormalWeb"/>
              <w:spacing w:before="0" w:beforeAutospacing="0" w:after="0" w:afterAutospacing="0"/>
              <w:rPr>
                <w:rFonts w:ascii="Arial" w:hAnsi="Arial" w:cs="Arial"/>
                <w:sz w:val="20"/>
                <w:szCs w:val="20"/>
              </w:rPr>
            </w:pPr>
            <w:r>
              <w:rPr>
                <w:rFonts w:ascii="Arial" w:hAnsi="Arial" w:cs="Arial"/>
                <w:sz w:val="20"/>
                <w:szCs w:val="20"/>
              </w:rPr>
              <w:t>Phase 3 to be continued into Phase 4</w:t>
            </w:r>
          </w:p>
        </w:tc>
      </w:tr>
      <w:tr w:rsidR="00620CD8" w:rsidRPr="0032174B" w14:paraId="581BD457" w14:textId="77777777" w:rsidTr="00DE7FEF">
        <w:tc>
          <w:tcPr>
            <w:tcW w:w="2622" w:type="dxa"/>
          </w:tcPr>
          <w:p w14:paraId="243B10B1" w14:textId="77777777" w:rsidR="00620CD8" w:rsidRPr="0032174B" w:rsidRDefault="00620CD8" w:rsidP="00DE7FEF">
            <w:pPr>
              <w:pStyle w:val="NormalWeb"/>
              <w:spacing w:before="0" w:beforeAutospacing="0" w:after="0" w:afterAutospacing="0"/>
              <w:rPr>
                <w:rFonts w:ascii="Arial" w:hAnsi="Arial" w:cs="Arial"/>
                <w:sz w:val="20"/>
                <w:szCs w:val="20"/>
              </w:rPr>
            </w:pPr>
            <w:r w:rsidRPr="0032174B">
              <w:rPr>
                <w:rFonts w:ascii="Arial" w:hAnsi="Arial" w:cs="Arial"/>
                <w:sz w:val="20"/>
                <w:szCs w:val="20"/>
              </w:rPr>
              <w:t xml:space="preserve">Due to high newsroom attrition rates, bridging programs in collaboration with </w:t>
            </w:r>
            <w:r>
              <w:rPr>
                <w:rFonts w:ascii="Arial" w:hAnsi="Arial" w:cs="Arial"/>
                <w:sz w:val="20"/>
                <w:szCs w:val="20"/>
              </w:rPr>
              <w:t>N</w:t>
            </w:r>
            <w:r w:rsidRPr="0032174B">
              <w:rPr>
                <w:rFonts w:ascii="Arial" w:hAnsi="Arial" w:cs="Arial"/>
                <w:sz w:val="20"/>
                <w:szCs w:val="20"/>
              </w:rPr>
              <w:t xml:space="preserve">ational </w:t>
            </w:r>
            <w:r>
              <w:rPr>
                <w:rFonts w:ascii="Arial" w:hAnsi="Arial" w:cs="Arial"/>
                <w:sz w:val="20"/>
                <w:szCs w:val="20"/>
              </w:rPr>
              <w:t>M</w:t>
            </w:r>
            <w:r w:rsidRPr="0032174B">
              <w:rPr>
                <w:rFonts w:ascii="Arial" w:hAnsi="Arial" w:cs="Arial"/>
                <w:sz w:val="20"/>
                <w:szCs w:val="20"/>
              </w:rPr>
              <w:t xml:space="preserve">edia </w:t>
            </w:r>
            <w:r>
              <w:rPr>
                <w:rFonts w:ascii="Arial" w:hAnsi="Arial" w:cs="Arial"/>
                <w:sz w:val="20"/>
                <w:szCs w:val="20"/>
              </w:rPr>
              <w:t>A</w:t>
            </w:r>
            <w:r w:rsidRPr="0032174B">
              <w:rPr>
                <w:rFonts w:ascii="Arial" w:hAnsi="Arial" w:cs="Arial"/>
                <w:sz w:val="20"/>
                <w:szCs w:val="20"/>
              </w:rPr>
              <w:t>ssociations</w:t>
            </w:r>
            <w:r>
              <w:rPr>
                <w:rFonts w:ascii="Arial" w:hAnsi="Arial" w:cs="Arial"/>
                <w:sz w:val="20"/>
                <w:szCs w:val="20"/>
              </w:rPr>
              <w:t xml:space="preserve"> (NMAs)</w:t>
            </w:r>
            <w:r w:rsidRPr="0032174B">
              <w:rPr>
                <w:rFonts w:ascii="Arial" w:hAnsi="Arial" w:cs="Arial"/>
                <w:sz w:val="20"/>
                <w:szCs w:val="20"/>
              </w:rPr>
              <w:t xml:space="preserve"> to </w:t>
            </w:r>
            <w:r w:rsidRPr="0032174B">
              <w:rPr>
                <w:rFonts w:ascii="Arial" w:hAnsi="Arial" w:cs="Arial"/>
                <w:sz w:val="20"/>
                <w:szCs w:val="20"/>
              </w:rPr>
              <w:lastRenderedPageBreak/>
              <w:t>cover journalism basics for incoming recruits</w:t>
            </w:r>
          </w:p>
        </w:tc>
        <w:tc>
          <w:tcPr>
            <w:tcW w:w="1881" w:type="dxa"/>
          </w:tcPr>
          <w:p w14:paraId="08FC1B77" w14:textId="77777777"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lastRenderedPageBreak/>
              <w:t>To be considered</w:t>
            </w:r>
          </w:p>
        </w:tc>
        <w:tc>
          <w:tcPr>
            <w:tcW w:w="2242" w:type="dxa"/>
          </w:tcPr>
          <w:p w14:paraId="4AB64A72" w14:textId="2ED1BB1B" w:rsidR="00620CD8" w:rsidRPr="0032174B" w:rsidRDefault="00620CD8" w:rsidP="00DE7FEF">
            <w:pPr>
              <w:pStyle w:val="NormalWeb"/>
              <w:spacing w:before="0" w:beforeAutospacing="0" w:after="0" w:afterAutospacing="0"/>
              <w:rPr>
                <w:rFonts w:ascii="Arial" w:hAnsi="Arial" w:cs="Arial"/>
                <w:sz w:val="20"/>
                <w:szCs w:val="20"/>
              </w:rPr>
            </w:pPr>
            <w:r>
              <w:rPr>
                <w:rFonts w:ascii="Arial" w:hAnsi="Arial" w:cs="Arial"/>
                <w:sz w:val="20"/>
                <w:szCs w:val="20"/>
              </w:rPr>
              <w:t xml:space="preserve">DFAT will consult </w:t>
            </w:r>
            <w:proofErr w:type="gramStart"/>
            <w:r>
              <w:rPr>
                <w:rFonts w:ascii="Arial" w:hAnsi="Arial" w:cs="Arial"/>
                <w:sz w:val="20"/>
                <w:szCs w:val="20"/>
              </w:rPr>
              <w:t>with  Pacific</w:t>
            </w:r>
            <w:proofErr w:type="gramEnd"/>
            <w:r>
              <w:rPr>
                <w:rFonts w:ascii="Arial" w:hAnsi="Arial" w:cs="Arial"/>
                <w:sz w:val="20"/>
                <w:szCs w:val="20"/>
              </w:rPr>
              <w:t xml:space="preserve"> NMAs </w:t>
            </w:r>
            <w:r w:rsidR="00956D34">
              <w:rPr>
                <w:rFonts w:ascii="Arial" w:hAnsi="Arial" w:cs="Arial"/>
                <w:sz w:val="20"/>
                <w:szCs w:val="20"/>
              </w:rPr>
              <w:t xml:space="preserve">and media organisations </w:t>
            </w:r>
            <w:r>
              <w:rPr>
                <w:rFonts w:ascii="Arial" w:hAnsi="Arial" w:cs="Arial"/>
                <w:sz w:val="20"/>
                <w:szCs w:val="20"/>
              </w:rPr>
              <w:t xml:space="preserve">through the Phase 4 design process to </w:t>
            </w:r>
            <w:r w:rsidR="00956D34">
              <w:rPr>
                <w:rFonts w:ascii="Arial" w:hAnsi="Arial" w:cs="Arial"/>
                <w:sz w:val="20"/>
                <w:szCs w:val="20"/>
              </w:rPr>
              <w:lastRenderedPageBreak/>
              <w:t xml:space="preserve">better </w:t>
            </w:r>
            <w:r>
              <w:rPr>
                <w:rFonts w:ascii="Arial" w:hAnsi="Arial" w:cs="Arial"/>
                <w:sz w:val="20"/>
                <w:szCs w:val="20"/>
              </w:rPr>
              <w:t xml:space="preserve">understand </w:t>
            </w:r>
            <w:r w:rsidR="00956D34">
              <w:rPr>
                <w:rFonts w:ascii="Arial" w:hAnsi="Arial" w:cs="Arial"/>
                <w:sz w:val="20"/>
                <w:szCs w:val="20"/>
              </w:rPr>
              <w:t xml:space="preserve">and respond to </w:t>
            </w:r>
            <w:r>
              <w:rPr>
                <w:rFonts w:ascii="Arial" w:hAnsi="Arial" w:cs="Arial"/>
                <w:sz w:val="20"/>
                <w:szCs w:val="20"/>
              </w:rPr>
              <w:t xml:space="preserve">their requirements to deliver </w:t>
            </w:r>
            <w:r w:rsidR="00956D34">
              <w:rPr>
                <w:rFonts w:ascii="Arial" w:hAnsi="Arial" w:cs="Arial"/>
                <w:sz w:val="20"/>
                <w:szCs w:val="20"/>
              </w:rPr>
              <w:t>bridging programs and wider trainings.</w:t>
            </w:r>
          </w:p>
        </w:tc>
        <w:tc>
          <w:tcPr>
            <w:tcW w:w="2265" w:type="dxa"/>
          </w:tcPr>
          <w:p w14:paraId="4E52C351" w14:textId="77777777"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lastRenderedPageBreak/>
              <w:t>Phase 4</w:t>
            </w:r>
          </w:p>
        </w:tc>
      </w:tr>
      <w:tr w:rsidR="00620CD8" w:rsidRPr="0032174B" w14:paraId="319FAADE" w14:textId="77777777" w:rsidTr="00DE7FEF">
        <w:tc>
          <w:tcPr>
            <w:tcW w:w="2622" w:type="dxa"/>
          </w:tcPr>
          <w:p w14:paraId="3EADE63F" w14:textId="77777777" w:rsidR="00620CD8" w:rsidRPr="0032174B" w:rsidRDefault="00620CD8" w:rsidP="00DE7FEF">
            <w:pPr>
              <w:pStyle w:val="NormalWeb"/>
              <w:spacing w:before="0" w:beforeAutospacing="0" w:after="0" w:afterAutospacing="0"/>
              <w:rPr>
                <w:rFonts w:ascii="Arial" w:hAnsi="Arial" w:cs="Arial"/>
                <w:sz w:val="20"/>
                <w:szCs w:val="20"/>
              </w:rPr>
            </w:pPr>
            <w:r w:rsidRPr="0032174B">
              <w:rPr>
                <w:rFonts w:ascii="Arial" w:hAnsi="Arial" w:cs="Arial"/>
                <w:sz w:val="20"/>
                <w:szCs w:val="20"/>
              </w:rPr>
              <w:t>Existing mentoring strengthened and formalised drawing on well-respected senior local and regional media practitioners including in Australia</w:t>
            </w:r>
          </w:p>
        </w:tc>
        <w:tc>
          <w:tcPr>
            <w:tcW w:w="1881" w:type="dxa"/>
          </w:tcPr>
          <w:p w14:paraId="3066D428" w14:textId="77777777"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Agreed</w:t>
            </w:r>
          </w:p>
        </w:tc>
        <w:tc>
          <w:tcPr>
            <w:tcW w:w="2242" w:type="dxa"/>
          </w:tcPr>
          <w:p w14:paraId="73E5D121" w14:textId="1B2244BA" w:rsidR="00620CD8" w:rsidRPr="0032174B" w:rsidRDefault="00956D34" w:rsidP="00DE7FEF">
            <w:pPr>
              <w:pStyle w:val="NormalWeb"/>
              <w:spacing w:before="0" w:beforeAutospacing="0" w:after="0" w:afterAutospacing="0"/>
              <w:rPr>
                <w:rFonts w:ascii="Arial" w:hAnsi="Arial" w:cs="Arial"/>
                <w:sz w:val="20"/>
                <w:szCs w:val="20"/>
              </w:rPr>
            </w:pPr>
            <w:r>
              <w:rPr>
                <w:rFonts w:ascii="Arial" w:hAnsi="Arial" w:cs="Arial"/>
                <w:sz w:val="20"/>
                <w:szCs w:val="20"/>
              </w:rPr>
              <w:t>Expanded</w:t>
            </w:r>
            <w:r w:rsidR="00620CD8">
              <w:rPr>
                <w:rFonts w:ascii="Arial" w:hAnsi="Arial" w:cs="Arial"/>
                <w:sz w:val="20"/>
                <w:szCs w:val="20"/>
              </w:rPr>
              <w:t xml:space="preserve"> mentoring </w:t>
            </w:r>
            <w:r w:rsidR="001E7378">
              <w:rPr>
                <w:rFonts w:ascii="Arial" w:hAnsi="Arial" w:cs="Arial"/>
                <w:sz w:val="20"/>
                <w:szCs w:val="20"/>
              </w:rPr>
              <w:t xml:space="preserve">activities will be </w:t>
            </w:r>
            <w:r>
              <w:rPr>
                <w:rFonts w:ascii="Arial" w:hAnsi="Arial" w:cs="Arial"/>
                <w:sz w:val="20"/>
                <w:szCs w:val="20"/>
              </w:rPr>
              <w:t>included</w:t>
            </w:r>
            <w:r w:rsidR="001E7378">
              <w:rPr>
                <w:rFonts w:ascii="Arial" w:hAnsi="Arial" w:cs="Arial"/>
                <w:sz w:val="20"/>
                <w:szCs w:val="20"/>
              </w:rPr>
              <w:t xml:space="preserve"> in the design of Phase 4.</w:t>
            </w:r>
          </w:p>
        </w:tc>
        <w:tc>
          <w:tcPr>
            <w:tcW w:w="2265" w:type="dxa"/>
          </w:tcPr>
          <w:p w14:paraId="5294CD95" w14:textId="7AC931E0"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Phase 4</w:t>
            </w:r>
          </w:p>
        </w:tc>
      </w:tr>
      <w:tr w:rsidR="00620CD8" w:rsidRPr="0032174B" w14:paraId="361D3FCF" w14:textId="77777777" w:rsidTr="00DE7FEF">
        <w:tc>
          <w:tcPr>
            <w:tcW w:w="2622" w:type="dxa"/>
          </w:tcPr>
          <w:p w14:paraId="556AC30A" w14:textId="77777777" w:rsidR="00620CD8" w:rsidRPr="0032174B" w:rsidRDefault="00620CD8" w:rsidP="001B6787">
            <w:pPr>
              <w:pStyle w:val="NormalWeb"/>
              <w:spacing w:before="0" w:beforeAutospacing="0" w:after="0" w:afterAutospacing="0"/>
              <w:rPr>
                <w:rFonts w:ascii="Arial" w:hAnsi="Arial" w:cs="Arial"/>
                <w:sz w:val="20"/>
                <w:szCs w:val="20"/>
              </w:rPr>
            </w:pPr>
            <w:r w:rsidRPr="0032174B">
              <w:rPr>
                <w:rFonts w:ascii="Arial" w:hAnsi="Arial" w:cs="Arial"/>
                <w:sz w:val="20"/>
                <w:szCs w:val="20"/>
              </w:rPr>
              <w:t>Training beyond the newsroom extending to media business managers, broadcasting technicians and other relevant disciplines</w:t>
            </w:r>
          </w:p>
        </w:tc>
        <w:tc>
          <w:tcPr>
            <w:tcW w:w="1881" w:type="dxa"/>
          </w:tcPr>
          <w:p w14:paraId="7BC93FE7" w14:textId="77777777"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Agreed</w:t>
            </w:r>
          </w:p>
        </w:tc>
        <w:tc>
          <w:tcPr>
            <w:tcW w:w="2242" w:type="dxa"/>
          </w:tcPr>
          <w:p w14:paraId="72A588FC" w14:textId="17408F02" w:rsidR="00620CD8" w:rsidRPr="0032174B" w:rsidRDefault="00620CD8" w:rsidP="00DE7FEF">
            <w:pPr>
              <w:pStyle w:val="NormalWeb"/>
              <w:spacing w:before="0" w:beforeAutospacing="0" w:after="0" w:afterAutospacing="0"/>
              <w:rPr>
                <w:rFonts w:ascii="Arial" w:hAnsi="Arial" w:cs="Arial"/>
                <w:sz w:val="20"/>
                <w:szCs w:val="20"/>
              </w:rPr>
            </w:pPr>
            <w:r>
              <w:rPr>
                <w:rFonts w:ascii="Arial" w:hAnsi="Arial" w:cs="Arial"/>
                <w:sz w:val="20"/>
                <w:szCs w:val="20"/>
              </w:rPr>
              <w:t>Based on a 2021 pilot activity with Splice Media, PACMAS will continue working with Pacific media businesses looking to develop new media products and extend work with Broadcast Australia to provide trouble shooting support and training to Pacific broadcast technicians.</w:t>
            </w:r>
          </w:p>
        </w:tc>
        <w:tc>
          <w:tcPr>
            <w:tcW w:w="2265" w:type="dxa"/>
          </w:tcPr>
          <w:p w14:paraId="5385265A" w14:textId="77777777"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Phase 3 and Phase 4</w:t>
            </w:r>
          </w:p>
        </w:tc>
      </w:tr>
      <w:tr w:rsidR="00620CD8" w:rsidRPr="0032174B" w14:paraId="6CB085C7" w14:textId="77777777" w:rsidTr="00DE7FEF">
        <w:tc>
          <w:tcPr>
            <w:tcW w:w="2622" w:type="dxa"/>
          </w:tcPr>
          <w:p w14:paraId="1B25BE5F" w14:textId="77777777" w:rsidR="00620CD8" w:rsidRPr="0032174B" w:rsidRDefault="00620CD8" w:rsidP="00233A22">
            <w:pPr>
              <w:pStyle w:val="NormalWeb"/>
              <w:spacing w:before="0" w:beforeAutospacing="0" w:after="0" w:afterAutospacing="0"/>
              <w:rPr>
                <w:rFonts w:ascii="Arial" w:hAnsi="Arial" w:cs="Arial"/>
                <w:sz w:val="20"/>
                <w:szCs w:val="20"/>
              </w:rPr>
            </w:pPr>
            <w:r w:rsidRPr="0032174B">
              <w:rPr>
                <w:rFonts w:ascii="Arial" w:hAnsi="Arial" w:cs="Arial"/>
                <w:sz w:val="20"/>
                <w:szCs w:val="20"/>
              </w:rPr>
              <w:t xml:space="preserve">Regional practitioner networks encouraged to reap the greatest ongoing and sustained benefits of </w:t>
            </w:r>
            <w:proofErr w:type="gramStart"/>
            <w:r w:rsidRPr="0032174B">
              <w:rPr>
                <w:rFonts w:ascii="Arial" w:hAnsi="Arial" w:cs="Arial"/>
                <w:sz w:val="20"/>
                <w:szCs w:val="20"/>
              </w:rPr>
              <w:t>peer to peer</w:t>
            </w:r>
            <w:proofErr w:type="gramEnd"/>
            <w:r w:rsidRPr="0032174B">
              <w:rPr>
                <w:rFonts w:ascii="Arial" w:hAnsi="Arial" w:cs="Arial"/>
                <w:sz w:val="20"/>
                <w:szCs w:val="20"/>
              </w:rPr>
              <w:t xml:space="preserve"> interaction</w:t>
            </w:r>
          </w:p>
        </w:tc>
        <w:tc>
          <w:tcPr>
            <w:tcW w:w="1881" w:type="dxa"/>
          </w:tcPr>
          <w:p w14:paraId="1204F1A5" w14:textId="77777777"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Agreed</w:t>
            </w:r>
          </w:p>
        </w:tc>
        <w:tc>
          <w:tcPr>
            <w:tcW w:w="2242" w:type="dxa"/>
          </w:tcPr>
          <w:p w14:paraId="62B70415" w14:textId="70AD3EB6" w:rsidR="00620CD8" w:rsidRPr="0032174B" w:rsidRDefault="00620CD8" w:rsidP="00DE7FEF">
            <w:pPr>
              <w:pStyle w:val="NormalWeb"/>
              <w:spacing w:before="0" w:beforeAutospacing="0" w:after="0" w:afterAutospacing="0"/>
              <w:rPr>
                <w:rFonts w:ascii="Arial" w:hAnsi="Arial" w:cs="Arial"/>
                <w:sz w:val="20"/>
                <w:szCs w:val="20"/>
              </w:rPr>
            </w:pPr>
            <w:r>
              <w:rPr>
                <w:rFonts w:ascii="Arial" w:hAnsi="Arial" w:cs="Arial"/>
                <w:sz w:val="20"/>
                <w:szCs w:val="20"/>
              </w:rPr>
              <w:t>PACMAS will place a s</w:t>
            </w:r>
            <w:r w:rsidRPr="00E1278C">
              <w:rPr>
                <w:rFonts w:ascii="Arial" w:hAnsi="Arial" w:cs="Arial"/>
                <w:sz w:val="20"/>
                <w:szCs w:val="20"/>
              </w:rPr>
              <w:t>tronger emphasis on existing work</w:t>
            </w:r>
            <w:r>
              <w:rPr>
                <w:rFonts w:ascii="Arial" w:hAnsi="Arial" w:cs="Arial"/>
                <w:sz w:val="20"/>
                <w:szCs w:val="20"/>
              </w:rPr>
              <w:t xml:space="preserve"> with</w:t>
            </w:r>
            <w:r w:rsidRPr="00E1278C">
              <w:rPr>
                <w:rFonts w:ascii="Arial" w:hAnsi="Arial" w:cs="Arial"/>
                <w:sz w:val="20"/>
                <w:szCs w:val="20"/>
              </w:rPr>
              <w:t xml:space="preserve"> NMAs</w:t>
            </w:r>
            <w:r w:rsidR="00956D34">
              <w:rPr>
                <w:rFonts w:ascii="Arial" w:hAnsi="Arial" w:cs="Arial"/>
                <w:sz w:val="20"/>
                <w:szCs w:val="20"/>
              </w:rPr>
              <w:t xml:space="preserve"> to support regional practitioner networks</w:t>
            </w:r>
            <w:r>
              <w:rPr>
                <w:rFonts w:ascii="Arial" w:hAnsi="Arial" w:cs="Arial"/>
                <w:sz w:val="20"/>
                <w:szCs w:val="20"/>
              </w:rPr>
              <w:t xml:space="preserve"> as well as the Pacific Islands News Association (PINA) to boost peer to peer interaction.</w:t>
            </w:r>
          </w:p>
        </w:tc>
        <w:tc>
          <w:tcPr>
            <w:tcW w:w="2265" w:type="dxa"/>
          </w:tcPr>
          <w:p w14:paraId="22247BDD" w14:textId="4E31D001" w:rsidR="00620CD8" w:rsidRPr="0032174B" w:rsidRDefault="00620CD8" w:rsidP="00DE7FEF">
            <w:pPr>
              <w:pStyle w:val="NormalWeb"/>
              <w:spacing w:before="0" w:beforeAutospacing="0" w:after="0" w:afterAutospacing="0"/>
              <w:jc w:val="both"/>
              <w:rPr>
                <w:rFonts w:ascii="Arial" w:hAnsi="Arial" w:cs="Arial"/>
                <w:sz w:val="20"/>
                <w:szCs w:val="20"/>
              </w:rPr>
            </w:pPr>
            <w:r>
              <w:rPr>
                <w:rFonts w:ascii="Arial" w:hAnsi="Arial" w:cs="Arial"/>
                <w:sz w:val="20"/>
                <w:szCs w:val="20"/>
              </w:rPr>
              <w:t>Phase 3 and Phase 4</w:t>
            </w:r>
          </w:p>
        </w:tc>
      </w:tr>
    </w:tbl>
    <w:p w14:paraId="4B0921D9" w14:textId="77777777" w:rsidR="00620CD8" w:rsidRPr="0032174B" w:rsidRDefault="00620CD8" w:rsidP="00620CD8">
      <w:pPr>
        <w:pStyle w:val="NormalWeb"/>
        <w:spacing w:before="0" w:beforeAutospacing="0" w:after="0" w:afterAutospacing="0"/>
        <w:jc w:val="both"/>
        <w:rPr>
          <w:rFonts w:ascii="Arial" w:hAnsi="Arial" w:cs="Arial"/>
          <w:sz w:val="20"/>
          <w:szCs w:val="20"/>
        </w:rPr>
      </w:pPr>
    </w:p>
    <w:p w14:paraId="386453BB" w14:textId="77777777" w:rsidR="00620CD8" w:rsidRPr="0032174B" w:rsidRDefault="00620CD8" w:rsidP="00620CD8">
      <w:pPr>
        <w:pStyle w:val="NormalWeb"/>
        <w:spacing w:before="0" w:beforeAutospacing="0" w:after="0" w:afterAutospacing="0"/>
        <w:jc w:val="both"/>
        <w:rPr>
          <w:rFonts w:ascii="Arial" w:hAnsi="Arial" w:cs="Arial"/>
          <w:sz w:val="20"/>
          <w:szCs w:val="20"/>
        </w:rPr>
      </w:pPr>
    </w:p>
    <w:p w14:paraId="7BECF4DD" w14:textId="77777777" w:rsidR="00620CD8" w:rsidRPr="0032174B" w:rsidRDefault="00620CD8" w:rsidP="00620CD8">
      <w:pPr>
        <w:rPr>
          <w:rFonts w:ascii="Arial" w:hAnsi="Arial" w:cs="Arial"/>
          <w:b/>
          <w:bCs/>
          <w:sz w:val="20"/>
          <w:szCs w:val="20"/>
        </w:rPr>
      </w:pPr>
      <w:r w:rsidRPr="0032174B">
        <w:rPr>
          <w:rFonts w:ascii="Arial" w:hAnsi="Arial" w:cs="Arial"/>
          <w:b/>
          <w:bCs/>
          <w:sz w:val="20"/>
          <w:szCs w:val="20"/>
        </w:rPr>
        <w:t>MONITORING AND EVALUATION</w:t>
      </w:r>
    </w:p>
    <w:tbl>
      <w:tblPr>
        <w:tblStyle w:val="TableGrid"/>
        <w:tblW w:w="0" w:type="auto"/>
        <w:tblLook w:val="04A0" w:firstRow="1" w:lastRow="0" w:firstColumn="1" w:lastColumn="0" w:noHBand="0" w:noVBand="1"/>
      </w:tblPr>
      <w:tblGrid>
        <w:gridCol w:w="2447"/>
        <w:gridCol w:w="2084"/>
        <w:gridCol w:w="2127"/>
        <w:gridCol w:w="2352"/>
      </w:tblGrid>
      <w:tr w:rsidR="00620CD8" w:rsidRPr="0032174B" w14:paraId="752C7BDF" w14:textId="77777777" w:rsidTr="00DE7FEF">
        <w:tc>
          <w:tcPr>
            <w:tcW w:w="2447" w:type="dxa"/>
          </w:tcPr>
          <w:p w14:paraId="4C7AAA83" w14:textId="77777777" w:rsidR="00620CD8" w:rsidRPr="0032174B" w:rsidRDefault="00620CD8" w:rsidP="00DE7FEF">
            <w:pPr>
              <w:rPr>
                <w:rFonts w:ascii="Arial" w:hAnsi="Arial" w:cs="Arial"/>
                <w:sz w:val="20"/>
                <w:szCs w:val="20"/>
              </w:rPr>
            </w:pPr>
            <w:r w:rsidRPr="0032174B">
              <w:rPr>
                <w:rFonts w:ascii="Arial" w:hAnsi="Arial" w:cs="Arial"/>
                <w:sz w:val="20"/>
                <w:szCs w:val="20"/>
              </w:rPr>
              <w:t> Recommendations</w:t>
            </w:r>
          </w:p>
        </w:tc>
        <w:tc>
          <w:tcPr>
            <w:tcW w:w="2084" w:type="dxa"/>
          </w:tcPr>
          <w:p w14:paraId="18EC308B" w14:textId="77777777" w:rsidR="00620CD8" w:rsidRPr="0032174B" w:rsidRDefault="00620CD8" w:rsidP="00DE7FEF">
            <w:pPr>
              <w:rPr>
                <w:rFonts w:ascii="Arial" w:hAnsi="Arial" w:cs="Arial"/>
                <w:sz w:val="20"/>
                <w:szCs w:val="20"/>
              </w:rPr>
            </w:pPr>
            <w:r w:rsidRPr="0032174B">
              <w:rPr>
                <w:rFonts w:ascii="Arial" w:hAnsi="Arial" w:cs="Arial"/>
                <w:sz w:val="20"/>
                <w:szCs w:val="20"/>
              </w:rPr>
              <w:t>Response</w:t>
            </w:r>
          </w:p>
        </w:tc>
        <w:tc>
          <w:tcPr>
            <w:tcW w:w="2127" w:type="dxa"/>
          </w:tcPr>
          <w:p w14:paraId="380F0CE1" w14:textId="77777777" w:rsidR="00620CD8" w:rsidRPr="0032174B" w:rsidRDefault="00620CD8" w:rsidP="00DE7FEF">
            <w:pPr>
              <w:rPr>
                <w:rFonts w:ascii="Arial" w:hAnsi="Arial" w:cs="Arial"/>
                <w:sz w:val="20"/>
                <w:szCs w:val="20"/>
              </w:rPr>
            </w:pPr>
            <w:r>
              <w:rPr>
                <w:rFonts w:ascii="Arial" w:hAnsi="Arial" w:cs="Arial"/>
                <w:sz w:val="20"/>
                <w:szCs w:val="20"/>
              </w:rPr>
              <w:t>Action Plan</w:t>
            </w:r>
          </w:p>
        </w:tc>
        <w:tc>
          <w:tcPr>
            <w:tcW w:w="2352" w:type="dxa"/>
          </w:tcPr>
          <w:p w14:paraId="346DD90C" w14:textId="77777777" w:rsidR="00620CD8" w:rsidRPr="0032174B" w:rsidRDefault="00620CD8" w:rsidP="00DE7FEF">
            <w:pPr>
              <w:rPr>
                <w:rFonts w:ascii="Arial" w:hAnsi="Arial" w:cs="Arial"/>
                <w:sz w:val="20"/>
                <w:szCs w:val="20"/>
              </w:rPr>
            </w:pPr>
            <w:r w:rsidRPr="0032174B">
              <w:rPr>
                <w:rFonts w:ascii="Arial" w:hAnsi="Arial" w:cs="Arial"/>
                <w:sz w:val="20"/>
                <w:szCs w:val="20"/>
              </w:rPr>
              <w:t>Timeframe</w:t>
            </w:r>
          </w:p>
        </w:tc>
      </w:tr>
      <w:tr w:rsidR="00620CD8" w:rsidRPr="0032174B" w14:paraId="0F991AC7" w14:textId="77777777" w:rsidTr="00DE7FEF">
        <w:tc>
          <w:tcPr>
            <w:tcW w:w="2447" w:type="dxa"/>
          </w:tcPr>
          <w:p w14:paraId="46990409" w14:textId="77777777" w:rsidR="00620CD8" w:rsidRPr="0032174B" w:rsidRDefault="00620CD8" w:rsidP="00DE7FEF">
            <w:pPr>
              <w:ind w:right="-248"/>
              <w:rPr>
                <w:rFonts w:ascii="Arial" w:eastAsia="Times New Roman" w:hAnsi="Arial" w:cs="Arial"/>
                <w:sz w:val="20"/>
                <w:szCs w:val="20"/>
                <w:lang w:eastAsia="en-GB"/>
              </w:rPr>
            </w:pPr>
            <w:r w:rsidRPr="0032174B">
              <w:rPr>
                <w:rFonts w:ascii="Arial" w:eastAsia="Times New Roman" w:hAnsi="Arial" w:cs="Arial"/>
                <w:sz w:val="20"/>
                <w:szCs w:val="20"/>
                <w:lang w:eastAsia="en-GB"/>
              </w:rPr>
              <w:t xml:space="preserve">State of the Media Report repeated to provide </w:t>
            </w:r>
          </w:p>
          <w:p w14:paraId="773CA801" w14:textId="77777777" w:rsidR="00620CD8" w:rsidRPr="0032174B" w:rsidRDefault="00620CD8" w:rsidP="00DE7FEF">
            <w:pPr>
              <w:ind w:right="-248"/>
              <w:rPr>
                <w:rFonts w:ascii="Arial" w:eastAsia="Times New Roman" w:hAnsi="Arial" w:cs="Arial"/>
                <w:sz w:val="20"/>
                <w:szCs w:val="20"/>
                <w:lang w:eastAsia="en-GB"/>
              </w:rPr>
            </w:pPr>
            <w:r w:rsidRPr="0032174B">
              <w:rPr>
                <w:rFonts w:ascii="Arial" w:eastAsia="Times New Roman" w:hAnsi="Arial" w:cs="Arial"/>
                <w:sz w:val="20"/>
                <w:szCs w:val="20"/>
                <w:lang w:eastAsia="en-GB"/>
              </w:rPr>
              <w:t xml:space="preserve">comparative analysis with </w:t>
            </w:r>
          </w:p>
          <w:p w14:paraId="6D062D4A" w14:textId="77777777" w:rsidR="00620CD8" w:rsidRPr="0032174B" w:rsidRDefault="00620CD8" w:rsidP="00DE7FEF">
            <w:pPr>
              <w:ind w:right="-248"/>
              <w:rPr>
                <w:rFonts w:ascii="Arial" w:eastAsia="Times New Roman" w:hAnsi="Arial" w:cs="Arial"/>
                <w:sz w:val="20"/>
                <w:szCs w:val="20"/>
                <w:lang w:eastAsia="en-GB"/>
              </w:rPr>
            </w:pPr>
            <w:r w:rsidRPr="0032174B">
              <w:rPr>
                <w:rFonts w:ascii="Arial" w:eastAsia="Times New Roman" w:hAnsi="Arial" w:cs="Arial"/>
                <w:sz w:val="20"/>
                <w:szCs w:val="20"/>
                <w:lang w:eastAsia="en-GB"/>
              </w:rPr>
              <w:t xml:space="preserve">state of Pacific media since </w:t>
            </w:r>
          </w:p>
          <w:p w14:paraId="210464B3" w14:textId="77777777" w:rsidR="00620CD8" w:rsidRPr="0032174B" w:rsidRDefault="00620CD8" w:rsidP="00DE7FEF">
            <w:pPr>
              <w:rPr>
                <w:rFonts w:ascii="Arial" w:hAnsi="Arial" w:cs="Arial"/>
                <w:sz w:val="20"/>
                <w:szCs w:val="20"/>
              </w:rPr>
            </w:pPr>
            <w:r w:rsidRPr="0032174B">
              <w:rPr>
                <w:rFonts w:ascii="Arial" w:eastAsia="Times New Roman" w:hAnsi="Arial" w:cs="Arial"/>
                <w:sz w:val="20"/>
                <w:szCs w:val="20"/>
                <w:lang w:eastAsia="en-GB"/>
              </w:rPr>
              <w:t>last report in 2013</w:t>
            </w:r>
          </w:p>
        </w:tc>
        <w:tc>
          <w:tcPr>
            <w:tcW w:w="2084" w:type="dxa"/>
          </w:tcPr>
          <w:p w14:paraId="4097E166" w14:textId="77777777" w:rsidR="00620CD8" w:rsidRPr="0032174B" w:rsidRDefault="00620CD8" w:rsidP="00DE7FEF">
            <w:pPr>
              <w:rPr>
                <w:rFonts w:ascii="Arial" w:hAnsi="Arial" w:cs="Arial"/>
                <w:sz w:val="20"/>
                <w:szCs w:val="20"/>
              </w:rPr>
            </w:pPr>
            <w:r>
              <w:rPr>
                <w:rFonts w:ascii="Arial" w:hAnsi="Arial" w:cs="Arial"/>
                <w:sz w:val="20"/>
                <w:szCs w:val="20"/>
              </w:rPr>
              <w:t>To be considered as an activity separate to PACMAS</w:t>
            </w:r>
          </w:p>
        </w:tc>
        <w:tc>
          <w:tcPr>
            <w:tcW w:w="2127" w:type="dxa"/>
          </w:tcPr>
          <w:p w14:paraId="1DAECCA4" w14:textId="7EAA3AA2" w:rsidR="00620CD8" w:rsidRPr="0032174B" w:rsidRDefault="00620CD8" w:rsidP="00DE7FEF">
            <w:pPr>
              <w:rPr>
                <w:rFonts w:ascii="Arial" w:hAnsi="Arial" w:cs="Arial"/>
                <w:sz w:val="20"/>
                <w:szCs w:val="20"/>
              </w:rPr>
            </w:pPr>
            <w:r>
              <w:rPr>
                <w:rFonts w:ascii="Arial" w:hAnsi="Arial" w:cs="Arial"/>
                <w:sz w:val="20"/>
                <w:szCs w:val="20"/>
              </w:rPr>
              <w:t xml:space="preserve">DFAT will </w:t>
            </w:r>
            <w:r w:rsidR="00956D34">
              <w:rPr>
                <w:rFonts w:ascii="Arial" w:hAnsi="Arial" w:cs="Arial"/>
                <w:sz w:val="20"/>
                <w:szCs w:val="20"/>
              </w:rPr>
              <w:t xml:space="preserve">consider additional funding outside of the existing PACMAS budget for </w:t>
            </w:r>
            <w:r>
              <w:rPr>
                <w:rFonts w:ascii="Arial" w:hAnsi="Arial" w:cs="Arial"/>
                <w:sz w:val="20"/>
                <w:szCs w:val="20"/>
              </w:rPr>
              <w:t>a new State of the Media report</w:t>
            </w:r>
            <w:r w:rsidR="00956D34">
              <w:rPr>
                <w:rFonts w:ascii="Arial" w:hAnsi="Arial" w:cs="Arial"/>
                <w:sz w:val="20"/>
                <w:szCs w:val="20"/>
              </w:rPr>
              <w:t>.</w:t>
            </w:r>
          </w:p>
        </w:tc>
        <w:tc>
          <w:tcPr>
            <w:tcW w:w="2352" w:type="dxa"/>
          </w:tcPr>
          <w:p w14:paraId="55ED6719" w14:textId="77777777" w:rsidR="00620CD8" w:rsidRPr="0032174B" w:rsidRDefault="00620CD8" w:rsidP="00DE7FEF">
            <w:pPr>
              <w:rPr>
                <w:rFonts w:ascii="Arial" w:hAnsi="Arial" w:cs="Arial"/>
                <w:sz w:val="20"/>
                <w:szCs w:val="20"/>
              </w:rPr>
            </w:pPr>
            <w:r>
              <w:rPr>
                <w:rFonts w:ascii="Arial" w:hAnsi="Arial" w:cs="Arial"/>
                <w:sz w:val="20"/>
                <w:szCs w:val="20"/>
              </w:rPr>
              <w:t>TBC</w:t>
            </w:r>
          </w:p>
        </w:tc>
      </w:tr>
      <w:tr w:rsidR="00620CD8" w:rsidRPr="0032174B" w14:paraId="19EE5841" w14:textId="77777777" w:rsidTr="00DE7FEF">
        <w:tc>
          <w:tcPr>
            <w:tcW w:w="2447" w:type="dxa"/>
          </w:tcPr>
          <w:p w14:paraId="7FA4FEF5" w14:textId="77777777" w:rsidR="00620CD8" w:rsidRPr="0032174B" w:rsidRDefault="00620CD8" w:rsidP="00DE7FEF">
            <w:pPr>
              <w:ind w:right="-248"/>
              <w:rPr>
                <w:rFonts w:ascii="Arial" w:eastAsia="Times New Roman" w:hAnsi="Arial" w:cs="Arial"/>
                <w:sz w:val="20"/>
                <w:szCs w:val="20"/>
                <w:lang w:eastAsia="en-GB"/>
              </w:rPr>
            </w:pPr>
            <w:r w:rsidRPr="0032174B">
              <w:rPr>
                <w:rFonts w:ascii="Arial" w:eastAsia="Times New Roman" w:hAnsi="Arial" w:cs="Arial"/>
                <w:sz w:val="20"/>
                <w:szCs w:val="20"/>
                <w:lang w:eastAsia="en-GB"/>
              </w:rPr>
              <w:t xml:space="preserve">Strengthened capacity </w:t>
            </w:r>
          </w:p>
          <w:p w14:paraId="77D605D2" w14:textId="77777777" w:rsidR="00620CD8" w:rsidRPr="0032174B" w:rsidRDefault="00620CD8" w:rsidP="00DE7FEF">
            <w:pPr>
              <w:ind w:right="-248"/>
              <w:rPr>
                <w:rFonts w:ascii="Arial" w:eastAsia="Times New Roman" w:hAnsi="Arial" w:cs="Arial"/>
                <w:sz w:val="20"/>
                <w:szCs w:val="20"/>
                <w:lang w:eastAsia="en-GB"/>
              </w:rPr>
            </w:pPr>
            <w:r w:rsidRPr="0032174B">
              <w:rPr>
                <w:rFonts w:ascii="Arial" w:eastAsia="Times New Roman" w:hAnsi="Arial" w:cs="Arial"/>
                <w:sz w:val="20"/>
                <w:szCs w:val="20"/>
                <w:lang w:eastAsia="en-GB"/>
              </w:rPr>
              <w:t>building framework</w:t>
            </w:r>
          </w:p>
        </w:tc>
        <w:tc>
          <w:tcPr>
            <w:tcW w:w="2084" w:type="dxa"/>
          </w:tcPr>
          <w:p w14:paraId="68AA3D33" w14:textId="77777777" w:rsidR="00620CD8" w:rsidRPr="0032174B" w:rsidRDefault="00620CD8" w:rsidP="00DE7FEF">
            <w:pPr>
              <w:rPr>
                <w:rFonts w:ascii="Arial" w:hAnsi="Arial" w:cs="Arial"/>
                <w:sz w:val="20"/>
                <w:szCs w:val="20"/>
              </w:rPr>
            </w:pPr>
            <w:r>
              <w:rPr>
                <w:rFonts w:ascii="Arial" w:hAnsi="Arial" w:cs="Arial"/>
                <w:sz w:val="20"/>
                <w:szCs w:val="20"/>
              </w:rPr>
              <w:t>To be considered</w:t>
            </w:r>
          </w:p>
        </w:tc>
        <w:tc>
          <w:tcPr>
            <w:tcW w:w="2127" w:type="dxa"/>
          </w:tcPr>
          <w:p w14:paraId="65FACDBA" w14:textId="0312B606" w:rsidR="00620CD8" w:rsidRPr="00C001DD" w:rsidRDefault="00620CD8" w:rsidP="00DE7FEF">
            <w:pPr>
              <w:pStyle w:val="NormalWeb"/>
              <w:spacing w:before="0" w:beforeAutospacing="0" w:after="0" w:afterAutospacing="0"/>
              <w:rPr>
                <w:rFonts w:ascii="Arial" w:hAnsi="Arial" w:cs="Arial"/>
                <w:sz w:val="20"/>
                <w:szCs w:val="20"/>
              </w:rPr>
            </w:pPr>
            <w:r w:rsidRPr="00C001DD">
              <w:rPr>
                <w:rFonts w:ascii="Arial" w:hAnsi="Arial" w:cs="Arial"/>
                <w:sz w:val="20"/>
                <w:szCs w:val="20"/>
              </w:rPr>
              <w:t xml:space="preserve">Striking a balance between the program’s flexible and responsive funding model and </w:t>
            </w:r>
            <w:r>
              <w:rPr>
                <w:rFonts w:ascii="Arial" w:hAnsi="Arial" w:cs="Arial"/>
                <w:sz w:val="20"/>
                <w:szCs w:val="20"/>
              </w:rPr>
              <w:t xml:space="preserve">a </w:t>
            </w:r>
            <w:r w:rsidRPr="00C001DD">
              <w:rPr>
                <w:rFonts w:ascii="Arial" w:hAnsi="Arial" w:cs="Arial"/>
                <w:sz w:val="20"/>
                <w:szCs w:val="20"/>
              </w:rPr>
              <w:t xml:space="preserve">longer-term, strategic capability framework advised in this evaluation will be </w:t>
            </w:r>
            <w:r w:rsidR="00956D34">
              <w:rPr>
                <w:rFonts w:ascii="Arial" w:hAnsi="Arial" w:cs="Arial"/>
                <w:sz w:val="20"/>
                <w:szCs w:val="20"/>
              </w:rPr>
              <w:t xml:space="preserve">considered through </w:t>
            </w:r>
            <w:r w:rsidRPr="00C001DD">
              <w:rPr>
                <w:rFonts w:ascii="Arial" w:hAnsi="Arial" w:cs="Arial"/>
                <w:sz w:val="20"/>
                <w:szCs w:val="20"/>
              </w:rPr>
              <w:t xml:space="preserve">the design of Phase 4. </w:t>
            </w:r>
          </w:p>
          <w:p w14:paraId="61B3509B" w14:textId="77777777" w:rsidR="00620CD8" w:rsidRPr="00C001DD" w:rsidRDefault="00620CD8" w:rsidP="00DE7FEF">
            <w:pPr>
              <w:pStyle w:val="NormalWeb"/>
              <w:spacing w:before="0" w:beforeAutospacing="0" w:after="0" w:afterAutospacing="0"/>
              <w:rPr>
                <w:rFonts w:ascii="Arial" w:hAnsi="Arial" w:cs="Arial"/>
                <w:sz w:val="20"/>
                <w:szCs w:val="20"/>
              </w:rPr>
            </w:pPr>
          </w:p>
        </w:tc>
        <w:tc>
          <w:tcPr>
            <w:tcW w:w="2352" w:type="dxa"/>
          </w:tcPr>
          <w:p w14:paraId="372823B3" w14:textId="77777777" w:rsidR="00620CD8" w:rsidRPr="0032174B" w:rsidRDefault="00620CD8" w:rsidP="00DE7FEF">
            <w:pPr>
              <w:rPr>
                <w:rFonts w:ascii="Arial" w:hAnsi="Arial" w:cs="Arial"/>
                <w:sz w:val="20"/>
                <w:szCs w:val="20"/>
              </w:rPr>
            </w:pPr>
            <w:r>
              <w:rPr>
                <w:rFonts w:ascii="Arial" w:hAnsi="Arial" w:cs="Arial"/>
                <w:sz w:val="20"/>
                <w:szCs w:val="20"/>
              </w:rPr>
              <w:lastRenderedPageBreak/>
              <w:t>Phase 4 design process</w:t>
            </w:r>
          </w:p>
        </w:tc>
      </w:tr>
    </w:tbl>
    <w:p w14:paraId="67BC815D" w14:textId="77777777" w:rsidR="00620CD8" w:rsidRDefault="00620CD8" w:rsidP="00620CD8">
      <w:pPr>
        <w:rPr>
          <w:rFonts w:ascii="Arial" w:hAnsi="Arial" w:cs="Arial"/>
          <w:sz w:val="20"/>
          <w:szCs w:val="20"/>
        </w:rPr>
      </w:pPr>
    </w:p>
    <w:p w14:paraId="45BBBF20" w14:textId="77777777" w:rsidR="00620CD8" w:rsidRDefault="00620CD8" w:rsidP="00620CD8">
      <w:pPr>
        <w:rPr>
          <w:rFonts w:ascii="Arial" w:hAnsi="Arial" w:cs="Arial"/>
          <w:sz w:val="20"/>
          <w:szCs w:val="20"/>
        </w:rPr>
      </w:pPr>
    </w:p>
    <w:p w14:paraId="6D7FC2BE" w14:textId="56B36370" w:rsidR="00620CD8" w:rsidRPr="004F73AD" w:rsidRDefault="00620CD8" w:rsidP="00620CD8">
      <w:pPr>
        <w:rPr>
          <w:rFonts w:ascii="Arial" w:hAnsi="Arial" w:cs="Arial"/>
          <w:b/>
          <w:bCs/>
          <w:sz w:val="20"/>
          <w:szCs w:val="20"/>
        </w:rPr>
      </w:pPr>
      <w:r w:rsidRPr="004F73AD">
        <w:rPr>
          <w:rFonts w:ascii="Arial" w:hAnsi="Arial" w:cs="Arial"/>
          <w:b/>
          <w:bCs/>
          <w:sz w:val="20"/>
          <w:szCs w:val="20"/>
        </w:rPr>
        <w:t>OPERATIONAL CONSTRAINTS</w:t>
      </w:r>
    </w:p>
    <w:tbl>
      <w:tblPr>
        <w:tblStyle w:val="TableGrid"/>
        <w:tblW w:w="0" w:type="auto"/>
        <w:tblLook w:val="04A0" w:firstRow="1" w:lastRow="0" w:firstColumn="1" w:lastColumn="0" w:noHBand="0" w:noVBand="1"/>
      </w:tblPr>
      <w:tblGrid>
        <w:gridCol w:w="2566"/>
        <w:gridCol w:w="1965"/>
        <w:gridCol w:w="2156"/>
        <w:gridCol w:w="2323"/>
      </w:tblGrid>
      <w:tr w:rsidR="00620CD8" w14:paraId="4F126A96" w14:textId="77777777" w:rsidTr="00DE7FEF">
        <w:tc>
          <w:tcPr>
            <w:tcW w:w="2566" w:type="dxa"/>
          </w:tcPr>
          <w:p w14:paraId="595EEF07" w14:textId="77777777" w:rsidR="00620CD8" w:rsidRDefault="00620CD8" w:rsidP="00DE7FEF">
            <w:pPr>
              <w:rPr>
                <w:rFonts w:ascii="Arial" w:hAnsi="Arial" w:cs="Arial"/>
                <w:sz w:val="20"/>
                <w:szCs w:val="20"/>
              </w:rPr>
            </w:pPr>
            <w:r w:rsidRPr="0032174B">
              <w:rPr>
                <w:rFonts w:ascii="Arial" w:hAnsi="Arial" w:cs="Arial"/>
                <w:sz w:val="20"/>
                <w:szCs w:val="20"/>
              </w:rPr>
              <w:t> Recommendations</w:t>
            </w:r>
          </w:p>
        </w:tc>
        <w:tc>
          <w:tcPr>
            <w:tcW w:w="1965" w:type="dxa"/>
          </w:tcPr>
          <w:p w14:paraId="2A04D110" w14:textId="77777777" w:rsidR="00620CD8" w:rsidRDefault="00620CD8" w:rsidP="00DE7FEF">
            <w:pPr>
              <w:rPr>
                <w:rFonts w:ascii="Arial" w:hAnsi="Arial" w:cs="Arial"/>
                <w:sz w:val="20"/>
                <w:szCs w:val="20"/>
              </w:rPr>
            </w:pPr>
            <w:r w:rsidRPr="0032174B">
              <w:rPr>
                <w:rFonts w:ascii="Arial" w:hAnsi="Arial" w:cs="Arial"/>
                <w:sz w:val="20"/>
                <w:szCs w:val="20"/>
              </w:rPr>
              <w:t>Response</w:t>
            </w:r>
          </w:p>
        </w:tc>
        <w:tc>
          <w:tcPr>
            <w:tcW w:w="2156" w:type="dxa"/>
          </w:tcPr>
          <w:p w14:paraId="15D50D69" w14:textId="77777777" w:rsidR="00620CD8" w:rsidRPr="0032174B" w:rsidRDefault="00620CD8" w:rsidP="00DE7FEF">
            <w:pPr>
              <w:rPr>
                <w:rFonts w:ascii="Arial" w:hAnsi="Arial" w:cs="Arial"/>
                <w:sz w:val="20"/>
                <w:szCs w:val="20"/>
              </w:rPr>
            </w:pPr>
            <w:r>
              <w:rPr>
                <w:rFonts w:ascii="Arial" w:hAnsi="Arial" w:cs="Arial"/>
                <w:sz w:val="20"/>
                <w:szCs w:val="20"/>
              </w:rPr>
              <w:t>Action Plan</w:t>
            </w:r>
          </w:p>
        </w:tc>
        <w:tc>
          <w:tcPr>
            <w:tcW w:w="2323" w:type="dxa"/>
          </w:tcPr>
          <w:p w14:paraId="29702A45" w14:textId="77777777" w:rsidR="00620CD8" w:rsidRDefault="00620CD8" w:rsidP="00DE7FEF">
            <w:pPr>
              <w:rPr>
                <w:rFonts w:ascii="Arial" w:hAnsi="Arial" w:cs="Arial"/>
                <w:sz w:val="20"/>
                <w:szCs w:val="20"/>
              </w:rPr>
            </w:pPr>
            <w:r w:rsidRPr="0032174B">
              <w:rPr>
                <w:rFonts w:ascii="Arial" w:hAnsi="Arial" w:cs="Arial"/>
                <w:sz w:val="20"/>
                <w:szCs w:val="20"/>
              </w:rPr>
              <w:t>Timeframe</w:t>
            </w:r>
          </w:p>
        </w:tc>
      </w:tr>
      <w:tr w:rsidR="00620CD8" w14:paraId="04CEB986" w14:textId="77777777" w:rsidTr="00DE7FEF">
        <w:tc>
          <w:tcPr>
            <w:tcW w:w="2566" w:type="dxa"/>
          </w:tcPr>
          <w:p w14:paraId="108FEE50" w14:textId="77777777" w:rsidR="00620CD8" w:rsidRPr="0032174B" w:rsidRDefault="00620CD8" w:rsidP="00DE7FEF">
            <w:pPr>
              <w:rPr>
                <w:rFonts w:ascii="Arial" w:eastAsia="Times New Roman" w:hAnsi="Arial" w:cs="Arial"/>
                <w:sz w:val="20"/>
                <w:szCs w:val="20"/>
                <w:lang w:eastAsia="en-GB"/>
              </w:rPr>
            </w:pPr>
            <w:r w:rsidRPr="0032174B">
              <w:rPr>
                <w:rFonts w:ascii="Arial" w:eastAsia="Times New Roman" w:hAnsi="Arial" w:cs="Arial"/>
                <w:sz w:val="20"/>
                <w:szCs w:val="20"/>
                <w:lang w:eastAsia="en-GB"/>
              </w:rPr>
              <w:t>Greater interaction with senior managers to address the business model issues including digital transition challenges</w:t>
            </w:r>
          </w:p>
          <w:p w14:paraId="7CB6232A" w14:textId="77777777" w:rsidR="00620CD8" w:rsidRDefault="00620CD8" w:rsidP="00DE7FEF">
            <w:pPr>
              <w:rPr>
                <w:rFonts w:ascii="Arial" w:hAnsi="Arial" w:cs="Arial"/>
                <w:sz w:val="20"/>
                <w:szCs w:val="20"/>
              </w:rPr>
            </w:pPr>
          </w:p>
        </w:tc>
        <w:tc>
          <w:tcPr>
            <w:tcW w:w="1965" w:type="dxa"/>
          </w:tcPr>
          <w:p w14:paraId="726FF39F" w14:textId="77777777" w:rsidR="00620CD8" w:rsidRDefault="00620CD8" w:rsidP="00DE7FEF">
            <w:pPr>
              <w:rPr>
                <w:rFonts w:ascii="Arial" w:hAnsi="Arial" w:cs="Arial"/>
                <w:sz w:val="20"/>
                <w:szCs w:val="20"/>
              </w:rPr>
            </w:pPr>
            <w:r>
              <w:rPr>
                <w:rFonts w:ascii="Arial" w:hAnsi="Arial" w:cs="Arial"/>
                <w:sz w:val="20"/>
                <w:szCs w:val="20"/>
              </w:rPr>
              <w:t>Agreed</w:t>
            </w:r>
          </w:p>
        </w:tc>
        <w:tc>
          <w:tcPr>
            <w:tcW w:w="2156" w:type="dxa"/>
          </w:tcPr>
          <w:p w14:paraId="4BE21438" w14:textId="462171C8" w:rsidR="00620CD8" w:rsidRDefault="00620CD8" w:rsidP="00DE7FEF">
            <w:pPr>
              <w:rPr>
                <w:rFonts w:ascii="Arial" w:hAnsi="Arial" w:cs="Arial"/>
                <w:sz w:val="20"/>
                <w:szCs w:val="20"/>
              </w:rPr>
            </w:pPr>
            <w:r>
              <w:rPr>
                <w:rFonts w:ascii="Arial" w:hAnsi="Arial" w:cs="Arial"/>
                <w:sz w:val="20"/>
                <w:szCs w:val="20"/>
              </w:rPr>
              <w:t xml:space="preserve">The work with Splice Media noted above includes a mentoring component to media business managers seeking to build a media product strategy. </w:t>
            </w:r>
            <w:r w:rsidR="00956D34">
              <w:rPr>
                <w:rFonts w:ascii="Arial" w:hAnsi="Arial" w:cs="Arial"/>
                <w:sz w:val="20"/>
                <w:szCs w:val="20"/>
              </w:rPr>
              <w:t>The design for Phase 4 will consider how to build on this work.</w:t>
            </w:r>
          </w:p>
        </w:tc>
        <w:tc>
          <w:tcPr>
            <w:tcW w:w="2323" w:type="dxa"/>
          </w:tcPr>
          <w:p w14:paraId="3B2E931E" w14:textId="77777777" w:rsidR="00620CD8" w:rsidRDefault="00620CD8" w:rsidP="00DE7FEF">
            <w:pPr>
              <w:rPr>
                <w:rFonts w:ascii="Arial" w:hAnsi="Arial" w:cs="Arial"/>
                <w:sz w:val="20"/>
                <w:szCs w:val="20"/>
              </w:rPr>
            </w:pPr>
            <w:r>
              <w:rPr>
                <w:rFonts w:ascii="Arial" w:hAnsi="Arial" w:cs="Arial"/>
                <w:sz w:val="20"/>
                <w:szCs w:val="20"/>
              </w:rPr>
              <w:t>Phase 3 and Phase 4</w:t>
            </w:r>
          </w:p>
        </w:tc>
      </w:tr>
      <w:tr w:rsidR="00620CD8" w14:paraId="714404E1" w14:textId="77777777" w:rsidTr="00DE7FEF">
        <w:tc>
          <w:tcPr>
            <w:tcW w:w="2566" w:type="dxa"/>
          </w:tcPr>
          <w:p w14:paraId="09AFF212" w14:textId="77777777" w:rsidR="00620CD8" w:rsidRPr="0032174B" w:rsidRDefault="00620CD8" w:rsidP="00DE7FEF">
            <w:pPr>
              <w:rPr>
                <w:rFonts w:ascii="Arial" w:eastAsia="Times New Roman" w:hAnsi="Arial" w:cs="Arial"/>
                <w:sz w:val="20"/>
                <w:szCs w:val="20"/>
                <w:lang w:eastAsia="en-GB"/>
              </w:rPr>
            </w:pPr>
            <w:r w:rsidRPr="0032174B">
              <w:rPr>
                <w:rFonts w:ascii="Arial" w:eastAsia="Times New Roman" w:hAnsi="Arial" w:cs="Arial"/>
                <w:sz w:val="20"/>
                <w:szCs w:val="20"/>
                <w:lang w:eastAsia="en-GB"/>
              </w:rPr>
              <w:t>More support for local media's ability to operate more effectively in response to regulative and legislative restrictions on the media</w:t>
            </w:r>
          </w:p>
          <w:p w14:paraId="3DE64C58" w14:textId="77777777" w:rsidR="00620CD8" w:rsidRDefault="00620CD8" w:rsidP="00DE7FEF">
            <w:pPr>
              <w:rPr>
                <w:rFonts w:ascii="Arial" w:hAnsi="Arial" w:cs="Arial"/>
                <w:sz w:val="20"/>
                <w:szCs w:val="20"/>
              </w:rPr>
            </w:pPr>
          </w:p>
        </w:tc>
        <w:tc>
          <w:tcPr>
            <w:tcW w:w="1965" w:type="dxa"/>
          </w:tcPr>
          <w:p w14:paraId="470BA176" w14:textId="760CDB90" w:rsidR="00620CD8" w:rsidRDefault="00620CD8" w:rsidP="00DE7FEF">
            <w:pPr>
              <w:rPr>
                <w:rFonts w:ascii="Arial" w:hAnsi="Arial" w:cs="Arial"/>
                <w:sz w:val="20"/>
                <w:szCs w:val="20"/>
              </w:rPr>
            </w:pPr>
            <w:r>
              <w:rPr>
                <w:rFonts w:ascii="Arial" w:hAnsi="Arial" w:cs="Arial"/>
                <w:sz w:val="20"/>
                <w:szCs w:val="20"/>
              </w:rPr>
              <w:t>To be considered</w:t>
            </w:r>
            <w:r w:rsidR="00956D34">
              <w:rPr>
                <w:rFonts w:ascii="Arial" w:hAnsi="Arial" w:cs="Arial"/>
                <w:sz w:val="20"/>
                <w:szCs w:val="20"/>
              </w:rPr>
              <w:t>.</w:t>
            </w:r>
          </w:p>
        </w:tc>
        <w:tc>
          <w:tcPr>
            <w:tcW w:w="2156" w:type="dxa"/>
          </w:tcPr>
          <w:p w14:paraId="243E0F60" w14:textId="4076EA41" w:rsidR="00620CD8" w:rsidRPr="00401AAE" w:rsidRDefault="00956D34" w:rsidP="00DE7FEF">
            <w:pPr>
              <w:rPr>
                <w:rFonts w:ascii="Calibri" w:eastAsia="Times New Roman" w:hAnsi="Calibri" w:cs="Calibri"/>
                <w:color w:val="FF0000"/>
                <w:lang w:eastAsia="en-AU"/>
              </w:rPr>
            </w:pPr>
            <w:r>
              <w:rPr>
                <w:rFonts w:ascii="Arial" w:hAnsi="Arial" w:cs="Arial"/>
                <w:sz w:val="20"/>
                <w:szCs w:val="20"/>
              </w:rPr>
              <w:t>This will be considered as part of the design for Phase 4.</w:t>
            </w:r>
          </w:p>
        </w:tc>
        <w:tc>
          <w:tcPr>
            <w:tcW w:w="2323" w:type="dxa"/>
          </w:tcPr>
          <w:p w14:paraId="7BE091BD" w14:textId="68058D5A" w:rsidR="00620CD8" w:rsidRDefault="00620CD8" w:rsidP="00DE7FEF">
            <w:pPr>
              <w:rPr>
                <w:rFonts w:ascii="Arial" w:hAnsi="Arial" w:cs="Arial"/>
                <w:sz w:val="20"/>
                <w:szCs w:val="20"/>
              </w:rPr>
            </w:pPr>
            <w:r w:rsidRPr="003511A6">
              <w:rPr>
                <w:rFonts w:ascii="Calibri" w:eastAsia="Times New Roman" w:hAnsi="Calibri" w:cs="Calibri"/>
                <w:lang w:eastAsia="en-AU"/>
              </w:rPr>
              <w:t>Phase 4</w:t>
            </w:r>
          </w:p>
        </w:tc>
      </w:tr>
      <w:tr w:rsidR="00620CD8" w14:paraId="53073C5B" w14:textId="77777777" w:rsidTr="00DE7FEF">
        <w:tc>
          <w:tcPr>
            <w:tcW w:w="2566" w:type="dxa"/>
          </w:tcPr>
          <w:p w14:paraId="597C2A71" w14:textId="77777777" w:rsidR="00620CD8" w:rsidRPr="0032174B" w:rsidRDefault="00620CD8" w:rsidP="00DE7FEF">
            <w:pPr>
              <w:rPr>
                <w:rFonts w:ascii="Arial" w:eastAsia="Times New Roman" w:hAnsi="Arial" w:cs="Arial"/>
                <w:sz w:val="20"/>
                <w:szCs w:val="20"/>
                <w:lang w:eastAsia="en-GB"/>
              </w:rPr>
            </w:pPr>
            <w:r w:rsidRPr="0032174B">
              <w:rPr>
                <w:rFonts w:ascii="Arial" w:eastAsia="Times New Roman" w:hAnsi="Arial" w:cs="Arial"/>
                <w:sz w:val="20"/>
                <w:szCs w:val="20"/>
                <w:lang w:eastAsia="en-GB"/>
              </w:rPr>
              <w:t>Strengthen opportunity for collaborative productions with Australian media entities</w:t>
            </w:r>
          </w:p>
          <w:p w14:paraId="0B7510E3" w14:textId="77777777" w:rsidR="00620CD8" w:rsidRPr="0032174B" w:rsidRDefault="00620CD8" w:rsidP="00DE7FEF">
            <w:pPr>
              <w:rPr>
                <w:rFonts w:ascii="Arial" w:eastAsia="Times New Roman" w:hAnsi="Arial" w:cs="Arial"/>
                <w:sz w:val="20"/>
                <w:szCs w:val="20"/>
                <w:lang w:eastAsia="en-GB"/>
              </w:rPr>
            </w:pPr>
          </w:p>
        </w:tc>
        <w:tc>
          <w:tcPr>
            <w:tcW w:w="1965" w:type="dxa"/>
          </w:tcPr>
          <w:p w14:paraId="25159428" w14:textId="66502217" w:rsidR="00620CD8" w:rsidRDefault="00620CD8" w:rsidP="00DE7FEF">
            <w:pPr>
              <w:rPr>
                <w:rFonts w:ascii="Arial" w:hAnsi="Arial" w:cs="Arial"/>
                <w:sz w:val="20"/>
                <w:szCs w:val="20"/>
              </w:rPr>
            </w:pPr>
            <w:r>
              <w:rPr>
                <w:rFonts w:ascii="Arial" w:hAnsi="Arial" w:cs="Arial"/>
                <w:sz w:val="20"/>
                <w:szCs w:val="20"/>
              </w:rPr>
              <w:t xml:space="preserve">To be considered </w:t>
            </w:r>
          </w:p>
        </w:tc>
        <w:tc>
          <w:tcPr>
            <w:tcW w:w="2156" w:type="dxa"/>
          </w:tcPr>
          <w:p w14:paraId="47E18524" w14:textId="78DF7A51" w:rsidR="00620CD8" w:rsidRDefault="00620CD8" w:rsidP="00DE7FEF">
            <w:pPr>
              <w:rPr>
                <w:rFonts w:ascii="Arial" w:hAnsi="Arial" w:cs="Arial"/>
                <w:sz w:val="20"/>
                <w:szCs w:val="20"/>
              </w:rPr>
            </w:pPr>
            <w:r w:rsidRPr="003511A6">
              <w:rPr>
                <w:rFonts w:ascii="Arial" w:hAnsi="Arial" w:cs="Arial"/>
                <w:sz w:val="20"/>
                <w:szCs w:val="20"/>
              </w:rPr>
              <w:t>DFAT will scope what resources would be required for such an activity</w:t>
            </w:r>
            <w:r w:rsidR="00956D34">
              <w:rPr>
                <w:rFonts w:ascii="Arial" w:hAnsi="Arial" w:cs="Arial"/>
                <w:sz w:val="20"/>
                <w:szCs w:val="20"/>
              </w:rPr>
              <w:t xml:space="preserve"> as part of the design for Phase 4.</w:t>
            </w:r>
          </w:p>
        </w:tc>
        <w:tc>
          <w:tcPr>
            <w:tcW w:w="2323" w:type="dxa"/>
          </w:tcPr>
          <w:p w14:paraId="31BDA247" w14:textId="380CB17A" w:rsidR="00620CD8" w:rsidRDefault="00620CD8" w:rsidP="00DE7FEF">
            <w:pPr>
              <w:rPr>
                <w:rFonts w:ascii="Arial" w:hAnsi="Arial" w:cs="Arial"/>
                <w:sz w:val="20"/>
                <w:szCs w:val="20"/>
              </w:rPr>
            </w:pPr>
            <w:r>
              <w:rPr>
                <w:rFonts w:ascii="Arial" w:hAnsi="Arial" w:cs="Arial"/>
                <w:sz w:val="20"/>
                <w:szCs w:val="20"/>
              </w:rPr>
              <w:t>Phase 4 or as an activity outside of PACMAS</w:t>
            </w:r>
          </w:p>
        </w:tc>
      </w:tr>
    </w:tbl>
    <w:p w14:paraId="57A36299" w14:textId="77777777" w:rsidR="00620CD8" w:rsidRPr="0032174B" w:rsidRDefault="00620CD8" w:rsidP="00620CD8">
      <w:pPr>
        <w:rPr>
          <w:rFonts w:ascii="Arial" w:hAnsi="Arial" w:cs="Arial"/>
          <w:sz w:val="20"/>
          <w:szCs w:val="20"/>
        </w:rPr>
      </w:pPr>
    </w:p>
    <w:p w14:paraId="7F0704D3" w14:textId="77777777" w:rsidR="00B32D88" w:rsidRPr="00620CD8" w:rsidRDefault="00833892" w:rsidP="00620CD8"/>
    <w:sectPr w:rsidR="00B32D88" w:rsidRPr="00620C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D2DF9" w14:textId="77777777" w:rsidR="009E664D" w:rsidRDefault="009E664D" w:rsidP="00620CD8">
      <w:r>
        <w:separator/>
      </w:r>
    </w:p>
  </w:endnote>
  <w:endnote w:type="continuationSeparator" w:id="0">
    <w:p w14:paraId="78986F0D" w14:textId="77777777" w:rsidR="009E664D" w:rsidRDefault="009E664D" w:rsidP="0062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A0C12" w14:textId="77777777" w:rsidR="009E664D" w:rsidRDefault="009E664D" w:rsidP="00620CD8">
      <w:r>
        <w:separator/>
      </w:r>
    </w:p>
  </w:footnote>
  <w:footnote w:type="continuationSeparator" w:id="0">
    <w:p w14:paraId="5DEAB9C8" w14:textId="77777777" w:rsidR="009E664D" w:rsidRDefault="009E664D" w:rsidP="00620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D8"/>
    <w:rsid w:val="00052575"/>
    <w:rsid w:val="0017564C"/>
    <w:rsid w:val="001B6787"/>
    <w:rsid w:val="001E7378"/>
    <w:rsid w:val="00233A22"/>
    <w:rsid w:val="0045005D"/>
    <w:rsid w:val="005129B2"/>
    <w:rsid w:val="005C26FE"/>
    <w:rsid w:val="005E72AA"/>
    <w:rsid w:val="00620CD8"/>
    <w:rsid w:val="0064266C"/>
    <w:rsid w:val="0068650B"/>
    <w:rsid w:val="00730134"/>
    <w:rsid w:val="007A635D"/>
    <w:rsid w:val="00805FB5"/>
    <w:rsid w:val="0081008F"/>
    <w:rsid w:val="00833892"/>
    <w:rsid w:val="00956D34"/>
    <w:rsid w:val="009E664D"/>
    <w:rsid w:val="00A66CDC"/>
    <w:rsid w:val="00B102D0"/>
    <w:rsid w:val="00B11875"/>
    <w:rsid w:val="00B70A29"/>
    <w:rsid w:val="00D25475"/>
    <w:rsid w:val="00D93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84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D8"/>
    <w:pPr>
      <w:spacing w:after="0" w:line="240" w:lineRule="auto"/>
    </w:pPr>
    <w:rPr>
      <w:sz w:val="24"/>
      <w:szCs w:val="24"/>
    </w:rPr>
  </w:style>
  <w:style w:type="paragraph" w:styleId="Heading1">
    <w:name w:val="heading 1"/>
    <w:basedOn w:val="Normal"/>
    <w:next w:val="Normal"/>
    <w:link w:val="Heading1Char"/>
    <w:uiPriority w:val="9"/>
    <w:qFormat/>
    <w:rsid w:val="00620C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CD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20CD8"/>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20C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892"/>
    <w:pPr>
      <w:tabs>
        <w:tab w:val="center" w:pos="4513"/>
        <w:tab w:val="right" w:pos="9026"/>
      </w:tabs>
    </w:pPr>
  </w:style>
  <w:style w:type="character" w:customStyle="1" w:styleId="HeaderChar">
    <w:name w:val="Header Char"/>
    <w:basedOn w:val="DefaultParagraphFont"/>
    <w:link w:val="Header"/>
    <w:uiPriority w:val="99"/>
    <w:rsid w:val="00833892"/>
    <w:rPr>
      <w:sz w:val="24"/>
      <w:szCs w:val="24"/>
    </w:rPr>
  </w:style>
  <w:style w:type="paragraph" w:styleId="Footer">
    <w:name w:val="footer"/>
    <w:basedOn w:val="Normal"/>
    <w:link w:val="FooterChar"/>
    <w:uiPriority w:val="99"/>
    <w:unhideWhenUsed/>
    <w:rsid w:val="00833892"/>
    <w:pPr>
      <w:tabs>
        <w:tab w:val="center" w:pos="4513"/>
        <w:tab w:val="right" w:pos="9026"/>
      </w:tabs>
    </w:pPr>
  </w:style>
  <w:style w:type="character" w:customStyle="1" w:styleId="FooterChar">
    <w:name w:val="Footer Char"/>
    <w:basedOn w:val="DefaultParagraphFont"/>
    <w:link w:val="Footer"/>
    <w:uiPriority w:val="99"/>
    <w:rsid w:val="008338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4681</Characters>
  <Application>Microsoft Office Word</Application>
  <DocSecurity>0</DocSecurity>
  <Lines>236</Lines>
  <Paragraphs>68</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2021-12-21T05:32:00Z</dcterms:created>
  <dcterms:modified xsi:type="dcterms:W3CDTF">2021-12-21T05:32:00Z</dcterms:modified>
  <cp:category/>
</cp:coreProperties>
</file>