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8B" w:rsidRPr="007F4162" w:rsidRDefault="0080398B" w:rsidP="00346198">
      <w:pPr>
        <w:jc w:val="left"/>
        <w:rPr>
          <w:rFonts w:cs="Arial"/>
        </w:rPr>
      </w:pPr>
    </w:p>
    <w:p w:rsidR="00F97DF6" w:rsidRPr="007F4162" w:rsidRDefault="00F97DF6" w:rsidP="00346198">
      <w:pPr>
        <w:jc w:val="left"/>
        <w:rPr>
          <w:rFonts w:cs="Arial"/>
          <w:szCs w:val="22"/>
        </w:rPr>
      </w:pPr>
      <w:bookmarkStart w:id="0" w:name="_GoBack"/>
      <w:r w:rsidRPr="007F4162">
        <w:rPr>
          <w:rFonts w:cs="Arial"/>
          <w:szCs w:val="22"/>
        </w:rPr>
        <w:t xml:space="preserve">Project Number: </w:t>
      </w:r>
      <w:r w:rsidR="007F4162" w:rsidRPr="007F4162">
        <w:rPr>
          <w:rFonts w:cs="Arial"/>
          <w:szCs w:val="22"/>
        </w:rPr>
        <w:t>46510</w:t>
      </w:r>
    </w:p>
    <w:p w:rsidR="00F97DF6" w:rsidRPr="007F4162" w:rsidRDefault="00A10353" w:rsidP="00346198">
      <w:pPr>
        <w:jc w:val="left"/>
        <w:rPr>
          <w:rFonts w:cs="Arial"/>
          <w:szCs w:val="22"/>
        </w:rPr>
      </w:pPr>
      <w:r>
        <w:rPr>
          <w:rFonts w:cs="Arial"/>
          <w:szCs w:val="22"/>
        </w:rPr>
        <w:t xml:space="preserve">November </w:t>
      </w:r>
      <w:r w:rsidR="007F4162" w:rsidRPr="007F4162">
        <w:rPr>
          <w:rFonts w:cs="Arial"/>
          <w:szCs w:val="22"/>
        </w:rPr>
        <w:t>2017</w:t>
      </w:r>
    </w:p>
    <w:p w:rsidR="00F97DF6" w:rsidRPr="007F4162" w:rsidRDefault="00F97DF6" w:rsidP="00346198">
      <w:pPr>
        <w:jc w:val="left"/>
        <w:rPr>
          <w:rFonts w:cs="Arial"/>
        </w:rPr>
      </w:pPr>
    </w:p>
    <w:p w:rsidR="00F97DF6" w:rsidRPr="007F4162" w:rsidRDefault="00F97DF6" w:rsidP="00346198">
      <w:pPr>
        <w:jc w:val="left"/>
        <w:rPr>
          <w:rFonts w:cs="Arial"/>
        </w:rPr>
      </w:pPr>
    </w:p>
    <w:p w:rsidR="00F97DF6" w:rsidRPr="007F4162" w:rsidRDefault="00F97DF6" w:rsidP="00346198">
      <w:pPr>
        <w:jc w:val="left"/>
        <w:rPr>
          <w:rFonts w:cs="Arial"/>
        </w:rPr>
      </w:pPr>
    </w:p>
    <w:p w:rsidR="00F97DF6" w:rsidRPr="007F4162" w:rsidRDefault="007F4162" w:rsidP="00346198">
      <w:pPr>
        <w:jc w:val="left"/>
        <w:rPr>
          <w:rFonts w:cs="Arial"/>
          <w:sz w:val="40"/>
          <w:szCs w:val="40"/>
        </w:rPr>
      </w:pPr>
      <w:r w:rsidRPr="007F4162">
        <w:rPr>
          <w:rFonts w:cs="Arial"/>
          <w:sz w:val="40"/>
          <w:szCs w:val="40"/>
        </w:rPr>
        <w:t>Pacific Private Secto</w:t>
      </w:r>
      <w:r w:rsidR="00346198">
        <w:rPr>
          <w:rFonts w:cs="Arial"/>
          <w:sz w:val="40"/>
          <w:szCs w:val="40"/>
        </w:rPr>
        <w:t>r Development Initiative, Phase </w:t>
      </w:r>
      <w:r w:rsidRPr="007F4162">
        <w:rPr>
          <w:rFonts w:cs="Arial"/>
          <w:sz w:val="40"/>
          <w:szCs w:val="40"/>
        </w:rPr>
        <w:t>III</w:t>
      </w:r>
    </w:p>
    <w:p w:rsidR="00F97DF6" w:rsidRPr="007F4162" w:rsidRDefault="00F97DF6" w:rsidP="00346198">
      <w:pPr>
        <w:jc w:val="left"/>
        <w:rPr>
          <w:rFonts w:cs="Arial"/>
          <w:sz w:val="32"/>
          <w:szCs w:val="32"/>
        </w:rPr>
      </w:pPr>
      <w:r w:rsidRPr="007F4162">
        <w:rPr>
          <w:rFonts w:cs="Arial"/>
          <w:sz w:val="32"/>
          <w:szCs w:val="32"/>
        </w:rPr>
        <w:t>(</w:t>
      </w:r>
      <w:r w:rsidR="007F4162" w:rsidRPr="007F4162">
        <w:rPr>
          <w:rFonts w:cs="Arial"/>
          <w:sz w:val="32"/>
          <w:szCs w:val="32"/>
        </w:rPr>
        <w:t xml:space="preserve">Cofinanced </w:t>
      </w:r>
      <w:r w:rsidRPr="007F4162">
        <w:rPr>
          <w:rFonts w:cs="Arial"/>
          <w:sz w:val="32"/>
          <w:szCs w:val="32"/>
        </w:rPr>
        <w:t xml:space="preserve">by the </w:t>
      </w:r>
      <w:r w:rsidR="007F4162" w:rsidRPr="007F4162">
        <w:rPr>
          <w:rFonts w:cs="Arial"/>
          <w:sz w:val="32"/>
          <w:szCs w:val="32"/>
        </w:rPr>
        <w:t>Government of Australia and the Government of New Zealand</w:t>
      </w:r>
      <w:r w:rsidRPr="007F4162">
        <w:rPr>
          <w:rFonts w:cs="Arial"/>
          <w:sz w:val="32"/>
          <w:szCs w:val="32"/>
        </w:rPr>
        <w:t>)</w:t>
      </w:r>
    </w:p>
    <w:p w:rsidR="00857111" w:rsidRDefault="00857111" w:rsidP="00346198">
      <w:pPr>
        <w:jc w:val="left"/>
      </w:pPr>
    </w:p>
    <w:p w:rsidR="00346198" w:rsidRPr="00346198" w:rsidRDefault="00346198" w:rsidP="00346198">
      <w:pPr>
        <w:jc w:val="left"/>
      </w:pPr>
    </w:p>
    <w:p w:rsidR="007F4162" w:rsidRPr="00591BE4" w:rsidRDefault="007F4162" w:rsidP="00346198">
      <w:pPr>
        <w:jc w:val="left"/>
        <w:rPr>
          <w:sz w:val="32"/>
          <w:szCs w:val="32"/>
        </w:rPr>
      </w:pPr>
      <w:r w:rsidRPr="00591BE4">
        <w:rPr>
          <w:sz w:val="32"/>
          <w:szCs w:val="32"/>
        </w:rPr>
        <w:t>Midterm review of the Pacific Private Sector Development Initiative</w:t>
      </w:r>
    </w:p>
    <w:p w:rsidR="006833E8" w:rsidRPr="007F4162" w:rsidRDefault="006833E8" w:rsidP="00346198">
      <w:pPr>
        <w:jc w:val="left"/>
      </w:pPr>
    </w:p>
    <w:p w:rsidR="00A25509" w:rsidRDefault="00A25509" w:rsidP="00346198">
      <w:pPr>
        <w:jc w:val="left"/>
      </w:pPr>
    </w:p>
    <w:p w:rsidR="00346198" w:rsidRPr="007F4162" w:rsidRDefault="00346198" w:rsidP="00346198">
      <w:pPr>
        <w:jc w:val="left"/>
      </w:pPr>
    </w:p>
    <w:p w:rsidR="00A25509" w:rsidRPr="007F4162" w:rsidRDefault="007F4162" w:rsidP="00E21493">
      <w:pPr>
        <w:jc w:val="left"/>
      </w:pPr>
      <w:r w:rsidRPr="007F4162">
        <w:t xml:space="preserve">Prepared </w:t>
      </w:r>
      <w:r w:rsidR="00E21493">
        <w:t>f</w:t>
      </w:r>
      <w:r w:rsidRPr="007F4162">
        <w:t>or the Asian Development Bank</w:t>
      </w:r>
    </w:p>
    <w:bookmarkEnd w:id="0"/>
    <w:p w:rsidR="00A25509" w:rsidRPr="007F4162" w:rsidRDefault="00A25509" w:rsidP="00346198">
      <w:pPr>
        <w:jc w:val="left"/>
      </w:pPr>
    </w:p>
    <w:p w:rsidR="00A25509" w:rsidRPr="007F4162" w:rsidRDefault="00A25509" w:rsidP="00346198">
      <w:pPr>
        <w:jc w:val="left"/>
      </w:pPr>
    </w:p>
    <w:p w:rsidR="00A25509" w:rsidRPr="007F4162" w:rsidRDefault="00A25509" w:rsidP="00346198">
      <w:pPr>
        <w:jc w:val="left"/>
      </w:pPr>
    </w:p>
    <w:p w:rsidR="00A25509" w:rsidRDefault="00A25509" w:rsidP="00346198">
      <w:pPr>
        <w:jc w:val="left"/>
      </w:pPr>
    </w:p>
    <w:p w:rsidR="00A25509" w:rsidRDefault="00A25509" w:rsidP="00346198">
      <w:pPr>
        <w:jc w:val="left"/>
      </w:pPr>
    </w:p>
    <w:p w:rsidR="00A25509" w:rsidRDefault="00A25509" w:rsidP="00346198">
      <w:pPr>
        <w:jc w:val="left"/>
      </w:pPr>
    </w:p>
    <w:p w:rsidR="00A25509" w:rsidRDefault="00A25509" w:rsidP="00346198">
      <w:pPr>
        <w:jc w:val="left"/>
      </w:pPr>
    </w:p>
    <w:p w:rsidR="00A25509" w:rsidRDefault="00A25509" w:rsidP="00346198">
      <w:pPr>
        <w:tabs>
          <w:tab w:val="left" w:pos="4260"/>
        </w:tabs>
        <w:jc w:val="left"/>
      </w:pPr>
    </w:p>
    <w:p w:rsidR="00A25509" w:rsidRDefault="00A25509" w:rsidP="00346198">
      <w:pPr>
        <w:jc w:val="left"/>
      </w:pPr>
    </w:p>
    <w:p w:rsidR="00A25509" w:rsidRDefault="00A25509" w:rsidP="00346198">
      <w:pPr>
        <w:tabs>
          <w:tab w:val="left" w:pos="1164"/>
        </w:tabs>
        <w:jc w:val="left"/>
      </w:pPr>
    </w:p>
    <w:p w:rsidR="00A25509" w:rsidRDefault="00A25509" w:rsidP="00346198"/>
    <w:p w:rsidR="00F91CAE" w:rsidRDefault="00F91CAE" w:rsidP="00F91CAE">
      <w:pPr>
        <w:tabs>
          <w:tab w:val="left" w:pos="1872"/>
        </w:tabs>
      </w:pPr>
    </w:p>
    <w:p w:rsidR="00F91CAE" w:rsidRDefault="00F91CAE" w:rsidP="00F91CAE">
      <w:pPr>
        <w:tabs>
          <w:tab w:val="left" w:pos="2328"/>
        </w:tabs>
      </w:pPr>
    </w:p>
    <w:p w:rsidR="00F91CAE" w:rsidRDefault="00F91CAE" w:rsidP="00F91CAE"/>
    <w:p w:rsidR="00A25509" w:rsidRPr="00F91CAE" w:rsidRDefault="00A25509" w:rsidP="00F91CAE">
      <w:pPr>
        <w:sectPr w:rsidR="00A25509" w:rsidRPr="00F91CAE" w:rsidSect="00170139">
          <w:headerReference w:type="even" r:id="rId8"/>
          <w:headerReference w:type="default" r:id="rId9"/>
          <w:footerReference w:type="even" r:id="rId10"/>
          <w:footerReference w:type="default" r:id="rId11"/>
          <w:headerReference w:type="first" r:id="rId12"/>
          <w:footerReference w:type="first" r:id="rId13"/>
          <w:pgSz w:w="12240" w:h="15840"/>
          <w:pgMar w:top="4962" w:right="1440" w:bottom="1440" w:left="1418" w:header="720" w:footer="720" w:gutter="0"/>
          <w:cols w:space="720"/>
          <w:docGrid w:linePitch="360"/>
        </w:sectPr>
      </w:pPr>
    </w:p>
    <w:p w:rsidR="003D7F27" w:rsidRDefault="003D7F27" w:rsidP="003D7F27">
      <w:pPr>
        <w:keepNext/>
        <w:keepLines/>
        <w:spacing w:after="240"/>
        <w:jc w:val="center"/>
        <w:rPr>
          <w:rFonts w:ascii="Arial Bold" w:eastAsia="Times New Roman" w:hAnsi="Arial Bold" w:cs="Arial"/>
          <w:b/>
          <w:bCs/>
          <w:caps/>
          <w:sz w:val="24"/>
          <w:szCs w:val="22"/>
          <w:lang w:val="x-none" w:eastAsia="x-none"/>
        </w:rPr>
      </w:pPr>
      <w:r w:rsidRPr="0090046A">
        <w:rPr>
          <w:rFonts w:ascii="Arial Bold" w:eastAsia="Times New Roman" w:hAnsi="Arial Bold" w:cs="Arial"/>
          <w:b/>
          <w:bCs/>
          <w:caps/>
          <w:sz w:val="24"/>
          <w:szCs w:val="22"/>
          <w:lang w:val="x-none" w:eastAsia="x-none"/>
        </w:rPr>
        <w:lastRenderedPageBreak/>
        <w:t>Contents</w:t>
      </w:r>
    </w:p>
    <w:p w:rsidR="003D7F27" w:rsidRPr="0090046A" w:rsidRDefault="003D7F27" w:rsidP="003D7F27">
      <w:pPr>
        <w:keepNext/>
        <w:keepLines/>
        <w:spacing w:after="240"/>
        <w:jc w:val="center"/>
        <w:rPr>
          <w:rFonts w:ascii="Arial Bold" w:eastAsia="Times New Roman" w:hAnsi="Arial Bold" w:cs="Arial"/>
          <w:b/>
          <w:bCs/>
          <w:caps/>
          <w:sz w:val="24"/>
          <w:szCs w:val="22"/>
          <w:lang w:val="x-none" w:eastAsia="x-none"/>
        </w:rPr>
      </w:pPr>
    </w:p>
    <w:p w:rsidR="003D7F27" w:rsidRPr="00170139" w:rsidRDefault="003D7F27" w:rsidP="00C0202E">
      <w:pPr>
        <w:pStyle w:val="TOC1"/>
        <w:rPr>
          <w:rFonts w:asciiTheme="minorHAnsi" w:eastAsiaTheme="minorEastAsia" w:hAnsiTheme="minorHAnsi" w:cstheme="minorBidi"/>
          <w:b w:val="0"/>
          <w:sz w:val="22"/>
          <w:szCs w:val="22"/>
        </w:rPr>
      </w:pPr>
      <w:r w:rsidRPr="001E3AFD">
        <w:rPr>
          <w:rFonts w:eastAsia="Calibri" w:cs="Arial"/>
          <w:bCs/>
          <w:sz w:val="22"/>
          <w:szCs w:val="22"/>
        </w:rPr>
        <w:fldChar w:fldCharType="begin"/>
      </w:r>
      <w:r w:rsidRPr="00170139">
        <w:rPr>
          <w:rFonts w:eastAsia="Calibri" w:cs="Arial"/>
          <w:bCs/>
          <w:sz w:val="22"/>
          <w:szCs w:val="22"/>
        </w:rPr>
        <w:instrText xml:space="preserve"> TOC \o "1-3" \h \z \u </w:instrText>
      </w:r>
      <w:r w:rsidRPr="001E3AFD">
        <w:rPr>
          <w:rFonts w:eastAsia="Calibri" w:cs="Arial"/>
          <w:bCs/>
          <w:sz w:val="22"/>
          <w:szCs w:val="22"/>
        </w:rPr>
        <w:fldChar w:fldCharType="separate"/>
      </w:r>
      <w:hyperlink w:anchor="_Toc494378850" w:history="1">
        <w:r w:rsidRPr="00170139">
          <w:rPr>
            <w:rStyle w:val="Hyperlink"/>
            <w:b w:val="0"/>
            <w:sz w:val="22"/>
            <w:szCs w:val="22"/>
            <w:lang w:val="x-none" w:eastAsia="x-none"/>
          </w:rPr>
          <w:t>Abbreviations</w:t>
        </w:r>
        <w:r w:rsidRPr="00170139">
          <w:rPr>
            <w:b w:val="0"/>
            <w:webHidden/>
            <w:sz w:val="22"/>
            <w:szCs w:val="22"/>
          </w:rPr>
          <w:tab/>
        </w:r>
        <w:r w:rsidR="00C930F2" w:rsidRPr="00170139">
          <w:rPr>
            <w:b w:val="0"/>
            <w:caps w:val="0"/>
            <w:webHidden/>
            <w:sz w:val="22"/>
            <w:szCs w:val="22"/>
          </w:rPr>
          <w:t>ii</w:t>
        </w:r>
      </w:hyperlink>
    </w:p>
    <w:p w:rsidR="003D7F27" w:rsidRPr="00170139" w:rsidRDefault="005B5DF3" w:rsidP="00C0202E">
      <w:pPr>
        <w:pStyle w:val="TOC1"/>
        <w:rPr>
          <w:b w:val="0"/>
          <w:sz w:val="22"/>
          <w:szCs w:val="22"/>
        </w:rPr>
      </w:pPr>
      <w:hyperlink w:anchor="_Toc494378851" w:history="1">
        <w:r w:rsidR="003D7F27" w:rsidRPr="00170139">
          <w:rPr>
            <w:rStyle w:val="Hyperlink"/>
            <w:b w:val="0"/>
            <w:sz w:val="22"/>
            <w:szCs w:val="22"/>
            <w:lang w:val="x-none" w:eastAsia="x-none"/>
          </w:rPr>
          <w:t>A</w:t>
        </w:r>
        <w:r w:rsidR="003D7F27" w:rsidRPr="00170139">
          <w:rPr>
            <w:rStyle w:val="Hyperlink"/>
            <w:b w:val="0"/>
            <w:sz w:val="22"/>
            <w:szCs w:val="22"/>
            <w:lang w:eastAsia="x-none"/>
          </w:rPr>
          <w:t>cknowledgements</w:t>
        </w:r>
        <w:r w:rsidR="003D7F27" w:rsidRPr="00170139">
          <w:rPr>
            <w:b w:val="0"/>
            <w:webHidden/>
            <w:sz w:val="22"/>
            <w:szCs w:val="22"/>
          </w:rPr>
          <w:tab/>
        </w:r>
        <w:r w:rsidR="00C930F2" w:rsidRPr="00170139">
          <w:rPr>
            <w:b w:val="0"/>
            <w:caps w:val="0"/>
            <w:webHidden/>
            <w:sz w:val="22"/>
            <w:szCs w:val="22"/>
          </w:rPr>
          <w:t>ii</w:t>
        </w:r>
      </w:hyperlink>
    </w:p>
    <w:p w:rsidR="009A0F80" w:rsidRPr="00170139" w:rsidRDefault="005B5DF3" w:rsidP="00C0202E">
      <w:pPr>
        <w:pStyle w:val="TOC1"/>
        <w:rPr>
          <w:b w:val="0"/>
          <w:sz w:val="22"/>
          <w:szCs w:val="22"/>
        </w:rPr>
      </w:pPr>
      <w:hyperlink w:anchor="_Toc494378851" w:history="1">
        <w:r w:rsidR="00F00B07" w:rsidRPr="00170139">
          <w:rPr>
            <w:rStyle w:val="Hyperlink"/>
            <w:b w:val="0"/>
            <w:sz w:val="22"/>
            <w:szCs w:val="22"/>
            <w:lang w:val="en-AU" w:eastAsia="x-none"/>
          </w:rPr>
          <w:t xml:space="preserve">list of </w:t>
        </w:r>
        <w:r w:rsidR="00F47DB5" w:rsidRPr="00170139">
          <w:rPr>
            <w:rStyle w:val="Hyperlink"/>
            <w:b w:val="0"/>
            <w:sz w:val="22"/>
            <w:szCs w:val="22"/>
            <w:lang w:val="en-AU" w:eastAsia="x-none"/>
          </w:rPr>
          <w:t xml:space="preserve">BOXES, </w:t>
        </w:r>
        <w:r w:rsidR="00F00B07" w:rsidRPr="00170139">
          <w:rPr>
            <w:rStyle w:val="Hyperlink"/>
            <w:b w:val="0"/>
            <w:sz w:val="22"/>
            <w:szCs w:val="22"/>
            <w:lang w:val="en-AU" w:eastAsia="x-none"/>
          </w:rPr>
          <w:t>figures</w:t>
        </w:r>
        <w:r w:rsidR="00F47DB5" w:rsidRPr="00170139">
          <w:rPr>
            <w:rStyle w:val="Hyperlink"/>
            <w:b w:val="0"/>
            <w:sz w:val="22"/>
            <w:szCs w:val="22"/>
            <w:lang w:val="en-AU" w:eastAsia="x-none"/>
          </w:rPr>
          <w:t>,</w:t>
        </w:r>
        <w:r w:rsidR="00F00B07" w:rsidRPr="00170139">
          <w:rPr>
            <w:rStyle w:val="Hyperlink"/>
            <w:b w:val="0"/>
            <w:sz w:val="22"/>
            <w:szCs w:val="22"/>
            <w:lang w:val="en-AU" w:eastAsia="x-none"/>
          </w:rPr>
          <w:t xml:space="preserve"> and tables</w:t>
        </w:r>
        <w:r w:rsidR="009A0F80" w:rsidRPr="00170139">
          <w:rPr>
            <w:b w:val="0"/>
            <w:webHidden/>
            <w:sz w:val="22"/>
            <w:szCs w:val="22"/>
          </w:rPr>
          <w:tab/>
        </w:r>
        <w:r w:rsidR="00C930F2" w:rsidRPr="00170139">
          <w:rPr>
            <w:b w:val="0"/>
            <w:caps w:val="0"/>
            <w:webHidden/>
            <w:sz w:val="22"/>
            <w:szCs w:val="22"/>
          </w:rPr>
          <w:t>iii</w:t>
        </w:r>
      </w:hyperlink>
    </w:p>
    <w:p w:rsidR="003D7F27" w:rsidRPr="00170139" w:rsidRDefault="005B5DF3">
      <w:pPr>
        <w:pStyle w:val="TOC1"/>
        <w:rPr>
          <w:rFonts w:asciiTheme="minorHAnsi" w:eastAsiaTheme="minorEastAsia" w:hAnsiTheme="minorHAnsi" w:cstheme="minorBidi"/>
          <w:b w:val="0"/>
          <w:sz w:val="22"/>
          <w:szCs w:val="22"/>
        </w:rPr>
      </w:pPr>
      <w:hyperlink w:anchor="_Toc494378852" w:history="1">
        <w:r w:rsidR="003D7F27" w:rsidRPr="00170139">
          <w:rPr>
            <w:rStyle w:val="Hyperlink"/>
            <w:b w:val="0"/>
            <w:sz w:val="22"/>
            <w:szCs w:val="22"/>
            <w:lang w:val="x-none" w:eastAsia="x-none"/>
          </w:rPr>
          <w:t>Executive Summary</w:t>
        </w:r>
        <w:r w:rsidR="003D7F27" w:rsidRPr="00170139">
          <w:rPr>
            <w:b w:val="0"/>
            <w:webHidden/>
            <w:sz w:val="22"/>
            <w:szCs w:val="22"/>
          </w:rPr>
          <w:tab/>
        </w:r>
        <w:r w:rsidR="00C930F2" w:rsidRPr="00170139">
          <w:rPr>
            <w:b w:val="0"/>
            <w:caps w:val="0"/>
            <w:webHidden/>
            <w:sz w:val="22"/>
            <w:szCs w:val="22"/>
          </w:rPr>
          <w:t>iv</w:t>
        </w:r>
      </w:hyperlink>
    </w:p>
    <w:p w:rsidR="003D7F27" w:rsidRPr="00170139" w:rsidRDefault="005B5DF3">
      <w:pPr>
        <w:pStyle w:val="TOC1"/>
        <w:rPr>
          <w:rFonts w:asciiTheme="minorHAnsi" w:eastAsiaTheme="minorEastAsia" w:hAnsiTheme="minorHAnsi" w:cstheme="minorBidi"/>
          <w:b w:val="0"/>
          <w:sz w:val="22"/>
          <w:szCs w:val="22"/>
        </w:rPr>
      </w:pPr>
      <w:hyperlink w:anchor="_Toc494378853" w:history="1">
        <w:r w:rsidR="003D7F27" w:rsidRPr="00170139">
          <w:rPr>
            <w:rStyle w:val="Hyperlink"/>
            <w:b w:val="0"/>
            <w:sz w:val="22"/>
            <w:szCs w:val="22"/>
            <w:lang w:val="x-none" w:eastAsia="x-none"/>
          </w:rPr>
          <w:t>I.</w:t>
        </w:r>
        <w:r w:rsidR="003D7F27" w:rsidRPr="00170139">
          <w:rPr>
            <w:rFonts w:asciiTheme="minorHAnsi" w:eastAsiaTheme="minorEastAsia" w:hAnsiTheme="minorHAnsi" w:cstheme="minorBidi"/>
            <w:b w:val="0"/>
            <w:sz w:val="22"/>
            <w:szCs w:val="22"/>
          </w:rPr>
          <w:tab/>
        </w:r>
        <w:r w:rsidR="003D7F27" w:rsidRPr="00170139">
          <w:rPr>
            <w:rStyle w:val="Hyperlink"/>
            <w:b w:val="0"/>
            <w:sz w:val="22"/>
            <w:szCs w:val="22"/>
            <w:lang w:val="x-none" w:eastAsia="x-none"/>
          </w:rPr>
          <w:t>Introduction</w:t>
        </w:r>
        <w:r w:rsidR="003D7F27" w:rsidRPr="00170139">
          <w:rPr>
            <w:b w:val="0"/>
            <w:webHidden/>
            <w:sz w:val="22"/>
            <w:szCs w:val="22"/>
          </w:rPr>
          <w:tab/>
        </w:r>
        <w:r w:rsidR="003D7F27" w:rsidRPr="00170139">
          <w:rPr>
            <w:b w:val="0"/>
            <w:webHidden/>
            <w:sz w:val="22"/>
            <w:szCs w:val="22"/>
          </w:rPr>
          <w:fldChar w:fldCharType="begin"/>
        </w:r>
        <w:r w:rsidR="003D7F27" w:rsidRPr="00170139">
          <w:rPr>
            <w:b w:val="0"/>
            <w:webHidden/>
            <w:sz w:val="22"/>
            <w:szCs w:val="22"/>
          </w:rPr>
          <w:instrText xml:space="preserve"> PAGEREF _Toc494378853 \h </w:instrText>
        </w:r>
        <w:r w:rsidR="003D7F27" w:rsidRPr="00170139">
          <w:rPr>
            <w:b w:val="0"/>
            <w:webHidden/>
            <w:sz w:val="22"/>
            <w:szCs w:val="22"/>
          </w:rPr>
        </w:r>
        <w:r w:rsidR="003D7F27" w:rsidRPr="00170139">
          <w:rPr>
            <w:b w:val="0"/>
            <w:webHidden/>
            <w:sz w:val="22"/>
            <w:szCs w:val="22"/>
          </w:rPr>
          <w:fldChar w:fldCharType="separate"/>
        </w:r>
        <w:r w:rsidR="00DB13EA">
          <w:rPr>
            <w:b w:val="0"/>
            <w:webHidden/>
            <w:sz w:val="22"/>
            <w:szCs w:val="22"/>
          </w:rPr>
          <w:t>1</w:t>
        </w:r>
        <w:r w:rsidR="003D7F27" w:rsidRPr="00170139">
          <w:rPr>
            <w:b w:val="0"/>
            <w:webHidden/>
            <w:sz w:val="22"/>
            <w:szCs w:val="22"/>
          </w:rPr>
          <w:fldChar w:fldCharType="end"/>
        </w:r>
      </w:hyperlink>
    </w:p>
    <w:p w:rsidR="003D7F27" w:rsidRPr="00170139" w:rsidRDefault="005B5DF3">
      <w:pPr>
        <w:pStyle w:val="TOC1"/>
        <w:rPr>
          <w:rFonts w:asciiTheme="minorHAnsi" w:eastAsiaTheme="minorEastAsia" w:hAnsiTheme="minorHAnsi" w:cstheme="minorBidi"/>
          <w:b w:val="0"/>
          <w:sz w:val="22"/>
          <w:szCs w:val="22"/>
        </w:rPr>
      </w:pPr>
      <w:hyperlink w:anchor="_Toc494378854" w:history="1">
        <w:r w:rsidR="003D7F27" w:rsidRPr="00170139">
          <w:rPr>
            <w:rStyle w:val="Hyperlink"/>
            <w:b w:val="0"/>
            <w:sz w:val="22"/>
            <w:szCs w:val="22"/>
            <w:lang w:val="x-none" w:eastAsia="x-none"/>
          </w:rPr>
          <w:t>II.</w:t>
        </w:r>
        <w:r w:rsidR="003D7F27" w:rsidRPr="00170139">
          <w:rPr>
            <w:rFonts w:asciiTheme="minorHAnsi" w:eastAsiaTheme="minorEastAsia" w:hAnsiTheme="minorHAnsi" w:cstheme="minorBidi"/>
            <w:b w:val="0"/>
            <w:sz w:val="22"/>
            <w:szCs w:val="22"/>
          </w:rPr>
          <w:tab/>
        </w:r>
        <w:r w:rsidR="003D7F27" w:rsidRPr="00170139">
          <w:rPr>
            <w:rStyle w:val="Hyperlink"/>
            <w:b w:val="0"/>
            <w:sz w:val="22"/>
            <w:szCs w:val="22"/>
            <w:lang w:val="x-none" w:eastAsia="x-none"/>
          </w:rPr>
          <w:t>Terms of Reference</w:t>
        </w:r>
        <w:r w:rsidR="003D7F27" w:rsidRPr="00170139">
          <w:rPr>
            <w:b w:val="0"/>
            <w:webHidden/>
            <w:sz w:val="22"/>
            <w:szCs w:val="22"/>
          </w:rPr>
          <w:tab/>
        </w:r>
        <w:r w:rsidR="006143B1">
          <w:rPr>
            <w:b w:val="0"/>
            <w:webHidden/>
            <w:sz w:val="22"/>
            <w:szCs w:val="22"/>
          </w:rPr>
          <w:t>2</w:t>
        </w:r>
      </w:hyperlink>
    </w:p>
    <w:p w:rsidR="003D7F27" w:rsidRPr="00170139" w:rsidRDefault="005B5DF3">
      <w:pPr>
        <w:pStyle w:val="TOC1"/>
        <w:rPr>
          <w:rFonts w:asciiTheme="minorHAnsi" w:eastAsiaTheme="minorEastAsia" w:hAnsiTheme="minorHAnsi" w:cstheme="minorBidi"/>
          <w:b w:val="0"/>
          <w:sz w:val="22"/>
          <w:szCs w:val="22"/>
        </w:rPr>
      </w:pPr>
      <w:hyperlink w:anchor="_Toc494378855" w:history="1">
        <w:r w:rsidR="003D7F27" w:rsidRPr="00170139">
          <w:rPr>
            <w:rStyle w:val="Hyperlink"/>
            <w:b w:val="0"/>
            <w:sz w:val="22"/>
            <w:szCs w:val="22"/>
            <w:lang w:val="x-none" w:eastAsia="x-none"/>
          </w:rPr>
          <w:t>III.</w:t>
        </w:r>
        <w:r w:rsidR="003D7F27" w:rsidRPr="00170139">
          <w:rPr>
            <w:rFonts w:asciiTheme="minorHAnsi" w:eastAsiaTheme="minorEastAsia" w:hAnsiTheme="minorHAnsi" w:cstheme="minorBidi"/>
            <w:b w:val="0"/>
            <w:sz w:val="22"/>
            <w:szCs w:val="22"/>
          </w:rPr>
          <w:tab/>
        </w:r>
        <w:r w:rsidR="003D7F27" w:rsidRPr="00170139">
          <w:rPr>
            <w:rStyle w:val="Hyperlink"/>
            <w:b w:val="0"/>
            <w:sz w:val="22"/>
            <w:szCs w:val="22"/>
            <w:lang w:val="x-none" w:eastAsia="x-none"/>
          </w:rPr>
          <w:t>Allocation of Technical Assistance Resources</w:t>
        </w:r>
        <w:r w:rsidR="003D7F27" w:rsidRPr="00170139">
          <w:rPr>
            <w:b w:val="0"/>
            <w:webHidden/>
            <w:sz w:val="22"/>
            <w:szCs w:val="22"/>
          </w:rPr>
          <w:tab/>
        </w:r>
        <w:r w:rsidR="006143B1">
          <w:rPr>
            <w:b w:val="0"/>
            <w:webHidden/>
            <w:sz w:val="22"/>
            <w:szCs w:val="22"/>
          </w:rPr>
          <w:t>4</w:t>
        </w:r>
      </w:hyperlink>
    </w:p>
    <w:p w:rsidR="003D7F27" w:rsidRPr="00170139" w:rsidRDefault="005B5DF3">
      <w:pPr>
        <w:pStyle w:val="TOC1"/>
        <w:rPr>
          <w:rFonts w:asciiTheme="minorHAnsi" w:eastAsiaTheme="minorEastAsia" w:hAnsiTheme="minorHAnsi" w:cstheme="minorBidi"/>
          <w:b w:val="0"/>
          <w:sz w:val="22"/>
          <w:szCs w:val="22"/>
        </w:rPr>
      </w:pPr>
      <w:hyperlink w:anchor="_Toc494378861" w:history="1">
        <w:r w:rsidR="003D7F27" w:rsidRPr="00170139">
          <w:rPr>
            <w:rStyle w:val="Hyperlink"/>
            <w:b w:val="0"/>
            <w:sz w:val="22"/>
            <w:szCs w:val="22"/>
            <w:lang w:val="x-none" w:eastAsia="x-none"/>
          </w:rPr>
          <w:t>IV.</w:t>
        </w:r>
        <w:r w:rsidR="003D7F27" w:rsidRPr="00170139">
          <w:rPr>
            <w:rFonts w:asciiTheme="minorHAnsi" w:eastAsiaTheme="minorEastAsia" w:hAnsiTheme="minorHAnsi" w:cstheme="minorBidi"/>
            <w:b w:val="0"/>
            <w:sz w:val="22"/>
            <w:szCs w:val="22"/>
          </w:rPr>
          <w:tab/>
        </w:r>
        <w:r w:rsidR="003D7F27" w:rsidRPr="00170139">
          <w:rPr>
            <w:rStyle w:val="Hyperlink"/>
            <w:b w:val="0"/>
            <w:sz w:val="22"/>
            <w:szCs w:val="22"/>
            <w:lang w:val="en-PH" w:eastAsia="x-none"/>
          </w:rPr>
          <w:t>Assessment of Progress to Date</w:t>
        </w:r>
        <w:r w:rsidR="003D7F27" w:rsidRPr="00170139">
          <w:rPr>
            <w:b w:val="0"/>
            <w:webHidden/>
            <w:sz w:val="22"/>
            <w:szCs w:val="22"/>
          </w:rPr>
          <w:tab/>
        </w:r>
        <w:r w:rsidR="003D7F27" w:rsidRPr="00170139">
          <w:rPr>
            <w:b w:val="0"/>
            <w:webHidden/>
            <w:sz w:val="22"/>
            <w:szCs w:val="22"/>
          </w:rPr>
          <w:fldChar w:fldCharType="begin"/>
        </w:r>
        <w:r w:rsidR="003D7F27" w:rsidRPr="00170139">
          <w:rPr>
            <w:b w:val="0"/>
            <w:webHidden/>
            <w:sz w:val="22"/>
            <w:szCs w:val="22"/>
          </w:rPr>
          <w:instrText xml:space="preserve"> PAGEREF _Toc494378861 \h </w:instrText>
        </w:r>
        <w:r w:rsidR="003D7F27" w:rsidRPr="00170139">
          <w:rPr>
            <w:b w:val="0"/>
            <w:webHidden/>
            <w:sz w:val="22"/>
            <w:szCs w:val="22"/>
          </w:rPr>
        </w:r>
        <w:r w:rsidR="003D7F27" w:rsidRPr="00170139">
          <w:rPr>
            <w:b w:val="0"/>
            <w:webHidden/>
            <w:sz w:val="22"/>
            <w:szCs w:val="22"/>
          </w:rPr>
          <w:fldChar w:fldCharType="separate"/>
        </w:r>
        <w:r w:rsidR="00DB13EA">
          <w:rPr>
            <w:b w:val="0"/>
            <w:webHidden/>
            <w:sz w:val="22"/>
            <w:szCs w:val="22"/>
          </w:rPr>
          <w:t>11</w:t>
        </w:r>
        <w:r w:rsidR="003D7F27" w:rsidRPr="00170139">
          <w:rPr>
            <w:b w:val="0"/>
            <w:webHidden/>
            <w:sz w:val="22"/>
            <w:szCs w:val="22"/>
          </w:rPr>
          <w:fldChar w:fldCharType="end"/>
        </w:r>
      </w:hyperlink>
    </w:p>
    <w:p w:rsidR="003D7F27" w:rsidRPr="00170139" w:rsidRDefault="005B5DF3">
      <w:pPr>
        <w:pStyle w:val="TOC1"/>
        <w:rPr>
          <w:rFonts w:asciiTheme="minorHAnsi" w:eastAsiaTheme="minorEastAsia" w:hAnsiTheme="minorHAnsi" w:cstheme="minorBidi"/>
          <w:b w:val="0"/>
          <w:sz w:val="22"/>
          <w:szCs w:val="22"/>
        </w:rPr>
      </w:pPr>
      <w:hyperlink w:anchor="_Toc494378876" w:history="1">
        <w:r w:rsidR="003D7F27" w:rsidRPr="00170139">
          <w:rPr>
            <w:rStyle w:val="Hyperlink"/>
            <w:b w:val="0"/>
            <w:sz w:val="22"/>
            <w:szCs w:val="22"/>
            <w:lang w:val="x-none" w:eastAsia="x-none"/>
          </w:rPr>
          <w:t>V.</w:t>
        </w:r>
        <w:r w:rsidR="003D7F27" w:rsidRPr="00170139">
          <w:rPr>
            <w:rFonts w:asciiTheme="minorHAnsi" w:eastAsiaTheme="minorEastAsia" w:hAnsiTheme="minorHAnsi" w:cstheme="minorBidi"/>
            <w:b w:val="0"/>
            <w:sz w:val="22"/>
            <w:szCs w:val="22"/>
          </w:rPr>
          <w:tab/>
        </w:r>
        <w:r w:rsidR="004153FF" w:rsidRPr="00170139">
          <w:rPr>
            <w:rStyle w:val="Hyperlink"/>
            <w:b w:val="0"/>
            <w:sz w:val="22"/>
            <w:szCs w:val="22"/>
            <w:lang w:val="x-none" w:eastAsia="x-none"/>
          </w:rPr>
          <w:t>Conclusions and Recommendations</w:t>
        </w:r>
        <w:r w:rsidR="003D7F27" w:rsidRPr="00170139">
          <w:rPr>
            <w:b w:val="0"/>
            <w:webHidden/>
            <w:sz w:val="22"/>
            <w:szCs w:val="22"/>
          </w:rPr>
          <w:tab/>
        </w:r>
        <w:r w:rsidR="003D7F27" w:rsidRPr="00170139">
          <w:rPr>
            <w:b w:val="0"/>
            <w:webHidden/>
            <w:sz w:val="22"/>
            <w:szCs w:val="22"/>
          </w:rPr>
          <w:fldChar w:fldCharType="begin"/>
        </w:r>
        <w:r w:rsidR="003D7F27" w:rsidRPr="00170139">
          <w:rPr>
            <w:b w:val="0"/>
            <w:webHidden/>
            <w:sz w:val="22"/>
            <w:szCs w:val="22"/>
          </w:rPr>
          <w:instrText xml:space="preserve"> PAGEREF _Toc494378876 \h </w:instrText>
        </w:r>
        <w:r w:rsidR="003D7F27" w:rsidRPr="00170139">
          <w:rPr>
            <w:b w:val="0"/>
            <w:webHidden/>
            <w:sz w:val="22"/>
            <w:szCs w:val="22"/>
          </w:rPr>
        </w:r>
        <w:r w:rsidR="003D7F27" w:rsidRPr="00170139">
          <w:rPr>
            <w:b w:val="0"/>
            <w:webHidden/>
            <w:sz w:val="22"/>
            <w:szCs w:val="22"/>
          </w:rPr>
          <w:fldChar w:fldCharType="separate"/>
        </w:r>
        <w:r w:rsidR="00DB13EA">
          <w:rPr>
            <w:b w:val="0"/>
            <w:webHidden/>
            <w:sz w:val="22"/>
            <w:szCs w:val="22"/>
          </w:rPr>
          <w:t>29</w:t>
        </w:r>
        <w:r w:rsidR="003D7F27" w:rsidRPr="00170139">
          <w:rPr>
            <w:b w:val="0"/>
            <w:webHidden/>
            <w:sz w:val="22"/>
            <w:szCs w:val="22"/>
          </w:rPr>
          <w:fldChar w:fldCharType="end"/>
        </w:r>
      </w:hyperlink>
    </w:p>
    <w:p w:rsidR="003D7F27" w:rsidRPr="00170139" w:rsidRDefault="00677A2A">
      <w:pPr>
        <w:pStyle w:val="TOC1"/>
        <w:rPr>
          <w:rFonts w:asciiTheme="minorHAnsi" w:eastAsiaTheme="minorEastAsia" w:hAnsiTheme="minorHAnsi" w:cstheme="minorBidi"/>
          <w:b w:val="0"/>
          <w:sz w:val="22"/>
          <w:szCs w:val="22"/>
        </w:rPr>
      </w:pPr>
      <w:r w:rsidRPr="000C3DAA">
        <w:rPr>
          <w:b w:val="0"/>
          <w:sz w:val="22"/>
          <w:szCs w:val="22"/>
        </w:rPr>
        <w:t>APPENDIX</w:t>
      </w:r>
      <w:r w:rsidR="003D7F27" w:rsidRPr="00170139">
        <w:rPr>
          <w:b w:val="0"/>
          <w:sz w:val="22"/>
          <w:szCs w:val="22"/>
        </w:rPr>
        <w:t xml:space="preserve">: </w:t>
      </w:r>
      <w:hyperlink w:anchor="_Toc494378885" w:history="1">
        <w:r w:rsidR="003D7F27" w:rsidRPr="00170139">
          <w:rPr>
            <w:rStyle w:val="Hyperlink"/>
            <w:b w:val="0"/>
            <w:sz w:val="22"/>
            <w:szCs w:val="22"/>
            <w:lang w:val="x-none" w:eastAsia="x-none"/>
          </w:rPr>
          <w:t>Outline of Terms of Reference</w:t>
        </w:r>
        <w:r w:rsidR="003D7F27" w:rsidRPr="00170139">
          <w:rPr>
            <w:rStyle w:val="Hyperlink"/>
            <w:b w:val="0"/>
            <w:sz w:val="22"/>
            <w:szCs w:val="22"/>
            <w:lang w:val="en-PH" w:eastAsia="x-none"/>
          </w:rPr>
          <w:t xml:space="preserve"> for Consultants</w:t>
        </w:r>
        <w:r w:rsidR="003D7F27" w:rsidRPr="00170139">
          <w:rPr>
            <w:b w:val="0"/>
            <w:webHidden/>
            <w:sz w:val="22"/>
            <w:szCs w:val="22"/>
          </w:rPr>
          <w:tab/>
        </w:r>
        <w:r w:rsidR="003D7F27" w:rsidRPr="00170139">
          <w:rPr>
            <w:b w:val="0"/>
            <w:webHidden/>
            <w:sz w:val="22"/>
            <w:szCs w:val="22"/>
          </w:rPr>
          <w:fldChar w:fldCharType="begin"/>
        </w:r>
        <w:r w:rsidR="003D7F27" w:rsidRPr="00170139">
          <w:rPr>
            <w:b w:val="0"/>
            <w:webHidden/>
            <w:sz w:val="22"/>
            <w:szCs w:val="22"/>
          </w:rPr>
          <w:instrText xml:space="preserve"> PAGEREF _Toc494378885 \h </w:instrText>
        </w:r>
        <w:r w:rsidR="003D7F27" w:rsidRPr="00170139">
          <w:rPr>
            <w:b w:val="0"/>
            <w:webHidden/>
            <w:sz w:val="22"/>
            <w:szCs w:val="22"/>
          </w:rPr>
        </w:r>
        <w:r w:rsidR="003D7F27" w:rsidRPr="00170139">
          <w:rPr>
            <w:b w:val="0"/>
            <w:webHidden/>
            <w:sz w:val="22"/>
            <w:szCs w:val="22"/>
          </w:rPr>
          <w:fldChar w:fldCharType="separate"/>
        </w:r>
        <w:r w:rsidR="00DB13EA">
          <w:rPr>
            <w:b w:val="0"/>
            <w:webHidden/>
            <w:sz w:val="22"/>
            <w:szCs w:val="22"/>
          </w:rPr>
          <w:t>38</w:t>
        </w:r>
        <w:r w:rsidR="003D7F27" w:rsidRPr="00170139">
          <w:rPr>
            <w:b w:val="0"/>
            <w:webHidden/>
            <w:sz w:val="22"/>
            <w:szCs w:val="22"/>
          </w:rPr>
          <w:fldChar w:fldCharType="end"/>
        </w:r>
      </w:hyperlink>
    </w:p>
    <w:p w:rsidR="003D7F27" w:rsidRPr="00C951B3" w:rsidRDefault="003D7F27" w:rsidP="00C951B3">
      <w:pPr>
        <w:tabs>
          <w:tab w:val="left" w:pos="270"/>
          <w:tab w:val="right" w:pos="9360"/>
        </w:tabs>
        <w:ind w:left="270" w:hanging="270"/>
        <w:jc w:val="left"/>
        <w:rPr>
          <w:rFonts w:eastAsia="Calibri" w:cs="Arial"/>
          <w:szCs w:val="22"/>
          <w:lang w:eastAsia="en-US"/>
        </w:rPr>
      </w:pPr>
      <w:r w:rsidRPr="001E3AFD">
        <w:rPr>
          <w:rFonts w:eastAsia="Calibri" w:cs="Arial"/>
          <w:szCs w:val="22"/>
          <w:lang w:eastAsia="en-US"/>
        </w:rPr>
        <w:fldChar w:fldCharType="end"/>
      </w:r>
    </w:p>
    <w:p w:rsidR="00F97DF6" w:rsidRPr="00C951B3" w:rsidRDefault="00F97DF6" w:rsidP="00C951B3">
      <w:pPr>
        <w:rPr>
          <w:rFonts w:cs="Arial"/>
          <w:szCs w:val="22"/>
        </w:rPr>
      </w:pPr>
    </w:p>
    <w:p w:rsidR="0036129E" w:rsidRPr="00C951B3" w:rsidRDefault="0036129E" w:rsidP="00C951B3">
      <w:pPr>
        <w:jc w:val="left"/>
        <w:rPr>
          <w:rFonts w:eastAsia="Times New Roman" w:cs="Arial"/>
          <w:bCs/>
          <w:caps/>
          <w:szCs w:val="22"/>
          <w:lang w:val="x-none" w:eastAsia="x-none"/>
        </w:rPr>
      </w:pPr>
      <w:bookmarkStart w:id="1" w:name="_Toc494378850"/>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Pr="00C951B3" w:rsidRDefault="0036129E" w:rsidP="00C951B3">
      <w:pPr>
        <w:jc w:val="left"/>
        <w:rPr>
          <w:rFonts w:eastAsia="Times New Roman" w:cs="Arial"/>
          <w:bCs/>
          <w:caps/>
          <w:szCs w:val="22"/>
          <w:lang w:val="x-none" w:eastAsia="x-none"/>
        </w:rPr>
      </w:pPr>
    </w:p>
    <w:p w:rsidR="0036129E" w:rsidRDefault="0036129E" w:rsidP="00C951B3">
      <w:pPr>
        <w:jc w:val="left"/>
        <w:rPr>
          <w:rFonts w:eastAsia="Times New Roman" w:cs="Arial"/>
          <w:bCs/>
          <w:caps/>
          <w:szCs w:val="22"/>
          <w:lang w:val="x-none" w:eastAsia="x-none"/>
        </w:rPr>
      </w:pPr>
    </w:p>
    <w:p w:rsidR="00C951B3" w:rsidRPr="00C951B3" w:rsidRDefault="00C951B3" w:rsidP="00C951B3">
      <w:pPr>
        <w:jc w:val="left"/>
        <w:rPr>
          <w:rFonts w:eastAsia="Times New Roman" w:cs="Arial"/>
          <w:bCs/>
          <w:caps/>
          <w:szCs w:val="22"/>
          <w:lang w:val="x-none" w:eastAsia="x-none"/>
        </w:rPr>
      </w:pPr>
    </w:p>
    <w:p w:rsidR="0036129E" w:rsidRPr="00170139" w:rsidRDefault="0036129E" w:rsidP="00170139">
      <w:pPr>
        <w:widowControl w:val="0"/>
        <w:jc w:val="left"/>
        <w:rPr>
          <w:rFonts w:eastAsia="Calibri" w:cs="Arial"/>
          <w:spacing w:val="-1"/>
          <w:sz w:val="20"/>
          <w:szCs w:val="20"/>
          <w:lang w:eastAsia="en-US"/>
        </w:rPr>
      </w:pPr>
      <w:r w:rsidRPr="00170139">
        <w:rPr>
          <w:rFonts w:eastAsia="Calibri" w:cs="Arial"/>
          <w:spacing w:val="-1"/>
          <w:sz w:val="20"/>
          <w:szCs w:val="20"/>
          <w:lang w:eastAsia="en-US"/>
        </w:rPr>
        <w:t>Notes:</w:t>
      </w:r>
    </w:p>
    <w:p w:rsidR="00C930F2" w:rsidRPr="001E3AFD" w:rsidRDefault="00C930F2" w:rsidP="00C930F2">
      <w:pPr>
        <w:widowControl w:val="0"/>
        <w:jc w:val="left"/>
        <w:rPr>
          <w:rFonts w:eastAsia="Ideal Sans Light" w:cs="Arial"/>
          <w:sz w:val="20"/>
          <w:szCs w:val="20"/>
          <w:lang w:eastAsia="en-US"/>
        </w:rPr>
      </w:pPr>
    </w:p>
    <w:p w:rsidR="0036129E" w:rsidRPr="00170139" w:rsidRDefault="0036129E" w:rsidP="00170139">
      <w:pPr>
        <w:pStyle w:val="ListParagraph"/>
        <w:widowControl w:val="0"/>
        <w:numPr>
          <w:ilvl w:val="0"/>
          <w:numId w:val="59"/>
        </w:numPr>
        <w:spacing w:before="5"/>
        <w:ind w:left="270" w:hanging="270"/>
        <w:rPr>
          <w:rFonts w:eastAsia="Ideal Sans Light"/>
          <w:spacing w:val="-1"/>
          <w:sz w:val="20"/>
          <w:szCs w:val="20"/>
        </w:rPr>
      </w:pPr>
      <w:r w:rsidRPr="00170139">
        <w:rPr>
          <w:rFonts w:eastAsia="Ideal Sans Light"/>
          <w:spacing w:val="-1"/>
          <w:sz w:val="20"/>
          <w:szCs w:val="20"/>
        </w:rPr>
        <w:t>In</w:t>
      </w:r>
      <w:r w:rsidRPr="00170139">
        <w:rPr>
          <w:rFonts w:eastAsia="Ideal Sans Light"/>
          <w:sz w:val="20"/>
          <w:szCs w:val="20"/>
        </w:rPr>
        <w:t xml:space="preserve"> this </w:t>
      </w:r>
      <w:r w:rsidRPr="00170139">
        <w:rPr>
          <w:rFonts w:eastAsia="Ideal Sans Light"/>
          <w:spacing w:val="-1"/>
          <w:sz w:val="20"/>
          <w:szCs w:val="20"/>
        </w:rPr>
        <w:t>report,</w:t>
      </w:r>
      <w:r w:rsidRPr="00170139">
        <w:rPr>
          <w:rFonts w:eastAsia="Ideal Sans Light"/>
          <w:spacing w:val="1"/>
          <w:sz w:val="20"/>
          <w:szCs w:val="20"/>
        </w:rPr>
        <w:t xml:space="preserve"> </w:t>
      </w:r>
      <w:r w:rsidRPr="00170139">
        <w:rPr>
          <w:rFonts w:eastAsia="Ideal Sans Light"/>
          <w:sz w:val="20"/>
          <w:szCs w:val="20"/>
        </w:rPr>
        <w:t xml:space="preserve">“$” </w:t>
      </w:r>
      <w:r w:rsidRPr="00170139">
        <w:rPr>
          <w:rFonts w:eastAsia="Ideal Sans Light"/>
          <w:spacing w:val="-1"/>
          <w:sz w:val="20"/>
          <w:szCs w:val="20"/>
        </w:rPr>
        <w:t>refers</w:t>
      </w:r>
      <w:r w:rsidRPr="00170139">
        <w:rPr>
          <w:rFonts w:eastAsia="Ideal Sans Light"/>
          <w:sz w:val="20"/>
          <w:szCs w:val="20"/>
        </w:rPr>
        <w:t xml:space="preserve"> </w:t>
      </w:r>
      <w:r w:rsidRPr="00170139">
        <w:rPr>
          <w:rFonts w:eastAsia="Ideal Sans Light"/>
          <w:spacing w:val="-1"/>
          <w:sz w:val="20"/>
          <w:szCs w:val="20"/>
        </w:rPr>
        <w:t>to</w:t>
      </w:r>
      <w:r w:rsidRPr="00170139">
        <w:rPr>
          <w:rFonts w:eastAsia="Ideal Sans Light"/>
          <w:spacing w:val="1"/>
          <w:sz w:val="20"/>
          <w:szCs w:val="20"/>
        </w:rPr>
        <w:t xml:space="preserve"> </w:t>
      </w:r>
      <w:r w:rsidRPr="00170139">
        <w:rPr>
          <w:rFonts w:eastAsia="Ideal Sans Light"/>
          <w:sz w:val="20"/>
          <w:szCs w:val="20"/>
        </w:rPr>
        <w:t xml:space="preserve">US </w:t>
      </w:r>
      <w:r w:rsidRPr="00170139">
        <w:rPr>
          <w:rFonts w:eastAsia="Ideal Sans Light"/>
          <w:spacing w:val="-1"/>
          <w:sz w:val="20"/>
          <w:szCs w:val="20"/>
        </w:rPr>
        <w:t>dollars,</w:t>
      </w:r>
      <w:r w:rsidRPr="00170139">
        <w:rPr>
          <w:rFonts w:eastAsia="Ideal Sans Light"/>
          <w:spacing w:val="1"/>
          <w:sz w:val="20"/>
          <w:szCs w:val="20"/>
        </w:rPr>
        <w:t xml:space="preserve"> </w:t>
      </w:r>
      <w:r w:rsidRPr="00170139">
        <w:rPr>
          <w:rFonts w:eastAsia="Ideal Sans Light"/>
          <w:spacing w:val="-1"/>
          <w:sz w:val="20"/>
          <w:szCs w:val="20"/>
        </w:rPr>
        <w:t>unless</w:t>
      </w:r>
      <w:r w:rsidRPr="00170139">
        <w:rPr>
          <w:rFonts w:eastAsia="Ideal Sans Light"/>
          <w:sz w:val="20"/>
          <w:szCs w:val="20"/>
        </w:rPr>
        <w:t xml:space="preserve"> otherwise </w:t>
      </w:r>
      <w:r w:rsidRPr="00170139">
        <w:rPr>
          <w:rFonts w:eastAsia="Ideal Sans Light"/>
          <w:spacing w:val="-1"/>
          <w:sz w:val="20"/>
          <w:szCs w:val="20"/>
        </w:rPr>
        <w:t>stated.</w:t>
      </w:r>
    </w:p>
    <w:p w:rsidR="0036129E" w:rsidRPr="001E3AFD" w:rsidRDefault="00394C12" w:rsidP="00170139">
      <w:pPr>
        <w:pStyle w:val="ListParagraph"/>
        <w:widowControl w:val="0"/>
        <w:numPr>
          <w:ilvl w:val="0"/>
          <w:numId w:val="59"/>
        </w:numPr>
        <w:spacing w:line="246" w:lineRule="auto"/>
        <w:ind w:left="270" w:hanging="270"/>
        <w:rPr>
          <w:rFonts w:eastAsia="Ideal Sans Light"/>
          <w:sz w:val="20"/>
          <w:szCs w:val="20"/>
          <w:lang w:val="en-AU"/>
        </w:rPr>
      </w:pPr>
      <w:r w:rsidRPr="001E3AFD">
        <w:rPr>
          <w:rFonts w:eastAsia="Ideal Sans Light"/>
          <w:sz w:val="20"/>
          <w:szCs w:val="20"/>
          <w:lang w:val="en-AU"/>
        </w:rPr>
        <w:t>“FY” refers to a</w:t>
      </w:r>
      <w:r w:rsidR="0036129E" w:rsidRPr="001E3AFD">
        <w:rPr>
          <w:rFonts w:eastAsia="Ideal Sans Light"/>
          <w:sz w:val="20"/>
          <w:szCs w:val="20"/>
          <w:lang w:val="en-AU"/>
        </w:rPr>
        <w:t xml:space="preserve"> fiscal year</w:t>
      </w:r>
      <w:r w:rsidRPr="001E3AFD">
        <w:rPr>
          <w:rFonts w:eastAsia="Ideal Sans Light"/>
          <w:sz w:val="20"/>
          <w:szCs w:val="20"/>
          <w:lang w:val="en-AU"/>
        </w:rPr>
        <w:t>.</w:t>
      </w:r>
      <w:r w:rsidR="0036129E" w:rsidRPr="001E3AFD">
        <w:rPr>
          <w:rFonts w:eastAsia="Ideal Sans Light"/>
          <w:sz w:val="20"/>
          <w:szCs w:val="20"/>
          <w:lang w:val="en-AU"/>
        </w:rPr>
        <w:t xml:space="preserve"> FY before a calendar year denotes the year in which the</w:t>
      </w:r>
      <w:r w:rsidR="00C951B3" w:rsidRPr="001E3AFD">
        <w:rPr>
          <w:rFonts w:eastAsia="Ideal Sans Light"/>
          <w:sz w:val="20"/>
          <w:szCs w:val="20"/>
          <w:lang w:val="en-AU"/>
        </w:rPr>
        <w:t xml:space="preserve"> </w:t>
      </w:r>
      <w:r w:rsidR="0036129E" w:rsidRPr="001E3AFD">
        <w:rPr>
          <w:rFonts w:eastAsia="Ideal Sans Light"/>
          <w:sz w:val="20"/>
          <w:szCs w:val="20"/>
          <w:lang w:val="en-AU"/>
        </w:rPr>
        <w:t>fiscal year ends.</w:t>
      </w:r>
    </w:p>
    <w:p w:rsidR="00C951B3" w:rsidRPr="001E3AFD" w:rsidRDefault="00C951B3" w:rsidP="00C951B3">
      <w:pPr>
        <w:widowControl w:val="0"/>
        <w:spacing w:line="246" w:lineRule="auto"/>
        <w:jc w:val="left"/>
        <w:rPr>
          <w:rFonts w:eastAsia="Ideal Sans Light" w:cs="Arial"/>
          <w:szCs w:val="22"/>
          <w:lang w:val="en-AU" w:eastAsia="en-US"/>
        </w:rPr>
      </w:pPr>
    </w:p>
    <w:p w:rsidR="003D7F27" w:rsidRPr="00C930F2" w:rsidRDefault="003D7F27">
      <w:pPr>
        <w:jc w:val="left"/>
        <w:rPr>
          <w:rFonts w:eastAsia="Times New Roman" w:cs="Arial"/>
          <w:bCs/>
          <w:caps/>
          <w:szCs w:val="22"/>
          <w:lang w:val="x-none" w:eastAsia="x-none"/>
        </w:rPr>
      </w:pPr>
      <w:r w:rsidRPr="00C930F2">
        <w:rPr>
          <w:rFonts w:eastAsia="Times New Roman" w:cs="Arial"/>
          <w:bCs/>
          <w:caps/>
          <w:szCs w:val="22"/>
          <w:lang w:val="x-none" w:eastAsia="x-none"/>
        </w:rPr>
        <w:br w:type="page"/>
      </w:r>
    </w:p>
    <w:p w:rsidR="00346198" w:rsidRPr="00170139" w:rsidRDefault="00346198" w:rsidP="00170139">
      <w:pPr>
        <w:keepNext/>
        <w:keepLines/>
        <w:spacing w:after="100" w:afterAutospacing="1" w:line="259" w:lineRule="auto"/>
        <w:jc w:val="center"/>
        <w:outlineLvl w:val="0"/>
        <w:rPr>
          <w:rFonts w:ascii="Arial Bold" w:eastAsia="Times New Roman" w:hAnsi="Arial Bold"/>
          <w:b/>
          <w:bCs/>
          <w:caps/>
          <w:sz w:val="24"/>
          <w:lang w:val="x-none" w:eastAsia="x-none"/>
        </w:rPr>
      </w:pPr>
      <w:r w:rsidRPr="00170139">
        <w:rPr>
          <w:rFonts w:ascii="Arial Bold" w:eastAsia="Times New Roman" w:hAnsi="Arial Bold"/>
          <w:b/>
          <w:bCs/>
          <w:caps/>
          <w:sz w:val="24"/>
          <w:lang w:val="x-none" w:eastAsia="x-none"/>
        </w:rPr>
        <w:lastRenderedPageBreak/>
        <w:t>Abbreviations</w:t>
      </w:r>
      <w:bookmarkEnd w:id="1"/>
    </w:p>
    <w:tbl>
      <w:tblPr>
        <w:tblW w:w="0" w:type="auto"/>
        <w:tblInd w:w="1080" w:type="dxa"/>
        <w:tblLook w:val="04A0" w:firstRow="1" w:lastRow="0" w:firstColumn="1" w:lastColumn="0" w:noHBand="0" w:noVBand="1"/>
      </w:tblPr>
      <w:tblGrid>
        <w:gridCol w:w="2060"/>
        <w:gridCol w:w="425"/>
        <w:gridCol w:w="5575"/>
        <w:gridCol w:w="13"/>
      </w:tblGrid>
      <w:tr w:rsidR="00346198" w:rsidRPr="00346198" w:rsidTr="00DF2784">
        <w:tc>
          <w:tcPr>
            <w:tcW w:w="2060"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ADB</w:t>
            </w:r>
          </w:p>
        </w:tc>
        <w:tc>
          <w:tcPr>
            <w:tcW w:w="425"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w:t>
            </w:r>
          </w:p>
        </w:tc>
        <w:tc>
          <w:tcPr>
            <w:tcW w:w="5588" w:type="dxa"/>
            <w:gridSpan w:val="2"/>
          </w:tcPr>
          <w:p w:rsidR="00346198" w:rsidRPr="00346198" w:rsidRDefault="00346198" w:rsidP="005A191B">
            <w:pPr>
              <w:jc w:val="left"/>
              <w:rPr>
                <w:rFonts w:eastAsia="Calibri" w:cs="Arial"/>
                <w:szCs w:val="22"/>
                <w:lang w:eastAsia="en-US"/>
              </w:rPr>
            </w:pPr>
            <w:r w:rsidRPr="00346198">
              <w:rPr>
                <w:rFonts w:eastAsia="Calibri" w:cs="Arial"/>
                <w:szCs w:val="22"/>
                <w:lang w:eastAsia="en-US"/>
              </w:rPr>
              <w:t>Asian Development Bank</w:t>
            </w:r>
          </w:p>
        </w:tc>
      </w:tr>
      <w:tr w:rsidR="00346198" w:rsidRPr="00346198" w:rsidTr="00DF2784">
        <w:tc>
          <w:tcPr>
            <w:tcW w:w="2060"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CSO</w:t>
            </w:r>
          </w:p>
        </w:tc>
        <w:tc>
          <w:tcPr>
            <w:tcW w:w="425"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w:t>
            </w:r>
          </w:p>
        </w:tc>
        <w:tc>
          <w:tcPr>
            <w:tcW w:w="5588" w:type="dxa"/>
            <w:gridSpan w:val="2"/>
          </w:tcPr>
          <w:p w:rsidR="00346198" w:rsidRPr="00346198" w:rsidRDefault="00346198" w:rsidP="005A191B">
            <w:pPr>
              <w:jc w:val="left"/>
              <w:rPr>
                <w:rFonts w:eastAsia="Calibri" w:cs="Arial"/>
                <w:szCs w:val="22"/>
                <w:lang w:eastAsia="en-US"/>
              </w:rPr>
            </w:pPr>
            <w:r w:rsidRPr="00346198">
              <w:rPr>
                <w:rFonts w:eastAsia="Calibri" w:cs="Arial"/>
                <w:szCs w:val="22"/>
                <w:lang w:eastAsia="en-US"/>
              </w:rPr>
              <w:t>community service obligation</w:t>
            </w:r>
          </w:p>
        </w:tc>
      </w:tr>
      <w:tr w:rsidR="00346198" w:rsidRPr="00346198" w:rsidTr="00DF2784">
        <w:tc>
          <w:tcPr>
            <w:tcW w:w="2060"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DFAT</w:t>
            </w:r>
          </w:p>
        </w:tc>
        <w:tc>
          <w:tcPr>
            <w:tcW w:w="425"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w:t>
            </w:r>
          </w:p>
        </w:tc>
        <w:tc>
          <w:tcPr>
            <w:tcW w:w="5588" w:type="dxa"/>
            <w:gridSpan w:val="2"/>
          </w:tcPr>
          <w:p w:rsidR="00346198" w:rsidRPr="00346198" w:rsidRDefault="00346198" w:rsidP="005A191B">
            <w:pPr>
              <w:jc w:val="left"/>
              <w:rPr>
                <w:rFonts w:eastAsia="Calibri" w:cs="Arial"/>
                <w:szCs w:val="22"/>
                <w:lang w:eastAsia="en-US"/>
              </w:rPr>
            </w:pPr>
            <w:r w:rsidRPr="00346198">
              <w:rPr>
                <w:rFonts w:eastAsia="Calibri" w:cs="Arial"/>
                <w:szCs w:val="22"/>
                <w:lang w:eastAsia="en-US"/>
              </w:rPr>
              <w:t>Department of Foreign Affairs and Trade</w:t>
            </w:r>
            <w:r w:rsidR="0017570B">
              <w:rPr>
                <w:rFonts w:eastAsia="Calibri" w:cs="Arial"/>
                <w:szCs w:val="22"/>
                <w:lang w:eastAsia="en-US"/>
              </w:rPr>
              <w:t xml:space="preserve"> (Government of Australia)</w:t>
            </w:r>
          </w:p>
        </w:tc>
      </w:tr>
      <w:tr w:rsidR="00346198" w:rsidRPr="00346198" w:rsidTr="00DF2784">
        <w:tc>
          <w:tcPr>
            <w:tcW w:w="2060"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DMC</w:t>
            </w:r>
          </w:p>
        </w:tc>
        <w:tc>
          <w:tcPr>
            <w:tcW w:w="425"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w:t>
            </w:r>
          </w:p>
        </w:tc>
        <w:tc>
          <w:tcPr>
            <w:tcW w:w="5588" w:type="dxa"/>
            <w:gridSpan w:val="2"/>
          </w:tcPr>
          <w:p w:rsidR="00346198" w:rsidRPr="00346198" w:rsidRDefault="00346198" w:rsidP="005A191B">
            <w:pPr>
              <w:jc w:val="left"/>
              <w:rPr>
                <w:rFonts w:eastAsia="Calibri" w:cs="Arial"/>
                <w:szCs w:val="22"/>
                <w:lang w:eastAsia="en-US"/>
              </w:rPr>
            </w:pPr>
            <w:r w:rsidRPr="00346198">
              <w:rPr>
                <w:rFonts w:eastAsia="Calibri" w:cs="Arial"/>
                <w:szCs w:val="22"/>
                <w:lang w:eastAsia="en-US"/>
              </w:rPr>
              <w:t>developing member country</w:t>
            </w:r>
          </w:p>
        </w:tc>
      </w:tr>
      <w:tr w:rsidR="00346198" w:rsidRPr="00346198" w:rsidTr="00DF2784">
        <w:tc>
          <w:tcPr>
            <w:tcW w:w="2060"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EAG</w:t>
            </w:r>
          </w:p>
        </w:tc>
        <w:tc>
          <w:tcPr>
            <w:tcW w:w="425"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w:t>
            </w:r>
          </w:p>
        </w:tc>
        <w:tc>
          <w:tcPr>
            <w:tcW w:w="5588" w:type="dxa"/>
            <w:gridSpan w:val="2"/>
          </w:tcPr>
          <w:p w:rsidR="00346198" w:rsidRPr="00346198" w:rsidRDefault="00346198" w:rsidP="005A191B">
            <w:pPr>
              <w:jc w:val="left"/>
              <w:rPr>
                <w:rFonts w:eastAsia="Calibri" w:cs="Arial"/>
                <w:szCs w:val="22"/>
                <w:lang w:eastAsia="en-US"/>
              </w:rPr>
            </w:pPr>
            <w:r w:rsidRPr="00346198">
              <w:rPr>
                <w:rFonts w:eastAsia="Calibri" w:cs="Arial"/>
                <w:szCs w:val="22"/>
                <w:lang w:eastAsia="en-US"/>
              </w:rPr>
              <w:t>Economic Advisory Group</w:t>
            </w:r>
            <w:r w:rsidR="0017570B">
              <w:rPr>
                <w:rFonts w:eastAsia="Calibri" w:cs="Arial"/>
                <w:szCs w:val="22"/>
                <w:lang w:eastAsia="en-US"/>
              </w:rPr>
              <w:t xml:space="preserve"> (Government of the Republic of </w:t>
            </w:r>
            <w:r w:rsidRPr="00346198">
              <w:rPr>
                <w:rFonts w:eastAsia="Calibri" w:cs="Arial"/>
                <w:szCs w:val="22"/>
                <w:lang w:eastAsia="en-US"/>
              </w:rPr>
              <w:t>Palau</w:t>
            </w:r>
            <w:r w:rsidR="0017570B">
              <w:rPr>
                <w:rFonts w:eastAsia="Calibri" w:cs="Arial"/>
                <w:szCs w:val="22"/>
                <w:lang w:eastAsia="en-US"/>
              </w:rPr>
              <w:t>)</w:t>
            </w:r>
          </w:p>
        </w:tc>
      </w:tr>
      <w:tr w:rsidR="0042365A" w:rsidRPr="00346198" w:rsidTr="00DF2784">
        <w:tc>
          <w:tcPr>
            <w:tcW w:w="2060" w:type="dxa"/>
          </w:tcPr>
          <w:p w:rsidR="0042365A" w:rsidRPr="00346198" w:rsidRDefault="0042365A" w:rsidP="00346198">
            <w:pPr>
              <w:jc w:val="left"/>
              <w:rPr>
                <w:rFonts w:eastAsia="Calibri" w:cs="Arial"/>
                <w:szCs w:val="22"/>
                <w:lang w:eastAsia="en-US"/>
              </w:rPr>
            </w:pPr>
            <w:r>
              <w:rPr>
                <w:rFonts w:eastAsia="Calibri" w:cs="Arial"/>
                <w:szCs w:val="22"/>
                <w:lang w:eastAsia="en-US"/>
              </w:rPr>
              <w:t>FSM</w:t>
            </w:r>
          </w:p>
        </w:tc>
        <w:tc>
          <w:tcPr>
            <w:tcW w:w="425" w:type="dxa"/>
          </w:tcPr>
          <w:p w:rsidR="0042365A" w:rsidRPr="00346198" w:rsidRDefault="0042365A" w:rsidP="00346198">
            <w:pPr>
              <w:jc w:val="left"/>
              <w:rPr>
                <w:rFonts w:eastAsia="Calibri" w:cs="Arial"/>
                <w:szCs w:val="22"/>
                <w:lang w:eastAsia="en-US"/>
              </w:rPr>
            </w:pPr>
            <w:r>
              <w:rPr>
                <w:rFonts w:eastAsia="Calibri" w:cs="Arial"/>
                <w:szCs w:val="22"/>
                <w:lang w:eastAsia="en-US"/>
              </w:rPr>
              <w:t>–</w:t>
            </w:r>
          </w:p>
        </w:tc>
        <w:tc>
          <w:tcPr>
            <w:tcW w:w="5588" w:type="dxa"/>
            <w:gridSpan w:val="2"/>
          </w:tcPr>
          <w:p w:rsidR="0042365A" w:rsidRPr="00346198" w:rsidRDefault="0042365A" w:rsidP="005A191B">
            <w:pPr>
              <w:jc w:val="left"/>
              <w:rPr>
                <w:rFonts w:eastAsia="Calibri" w:cs="Arial"/>
                <w:szCs w:val="22"/>
                <w:lang w:eastAsia="en-US"/>
              </w:rPr>
            </w:pPr>
            <w:r>
              <w:rPr>
                <w:rFonts w:eastAsia="Calibri" w:cs="Arial"/>
                <w:szCs w:val="22"/>
                <w:lang w:eastAsia="en-US"/>
              </w:rPr>
              <w:t>Federated States of Micronesia</w:t>
            </w:r>
          </w:p>
        </w:tc>
      </w:tr>
      <w:tr w:rsidR="00346198" w:rsidRPr="00346198" w:rsidTr="00DF2784">
        <w:tc>
          <w:tcPr>
            <w:tcW w:w="2060"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MFAT</w:t>
            </w:r>
          </w:p>
        </w:tc>
        <w:tc>
          <w:tcPr>
            <w:tcW w:w="425"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w:t>
            </w:r>
          </w:p>
        </w:tc>
        <w:tc>
          <w:tcPr>
            <w:tcW w:w="5588" w:type="dxa"/>
            <w:gridSpan w:val="2"/>
          </w:tcPr>
          <w:p w:rsidR="00346198" w:rsidRPr="00346198" w:rsidRDefault="00346198" w:rsidP="005A191B">
            <w:pPr>
              <w:jc w:val="left"/>
              <w:rPr>
                <w:rFonts w:eastAsia="Calibri" w:cs="Arial"/>
                <w:szCs w:val="22"/>
                <w:lang w:eastAsia="en-US"/>
              </w:rPr>
            </w:pPr>
            <w:r w:rsidRPr="00346198">
              <w:rPr>
                <w:rFonts w:eastAsia="Calibri" w:cs="Arial"/>
                <w:szCs w:val="22"/>
                <w:lang w:eastAsia="en-US"/>
              </w:rPr>
              <w:t>Ministry of Foreign Affairs and Trade</w:t>
            </w:r>
            <w:r w:rsidR="0017570B">
              <w:rPr>
                <w:rFonts w:eastAsia="Calibri" w:cs="Arial"/>
                <w:szCs w:val="22"/>
                <w:lang w:eastAsia="en-US"/>
              </w:rPr>
              <w:t xml:space="preserve"> (Government of New Zealand)</w:t>
            </w:r>
          </w:p>
        </w:tc>
      </w:tr>
      <w:tr w:rsidR="00346198" w:rsidRPr="00346198" w:rsidTr="00DF2784">
        <w:tc>
          <w:tcPr>
            <w:tcW w:w="2060"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M&amp;E</w:t>
            </w:r>
          </w:p>
        </w:tc>
        <w:tc>
          <w:tcPr>
            <w:tcW w:w="425" w:type="dxa"/>
          </w:tcPr>
          <w:p w:rsidR="00346198" w:rsidRPr="00346198" w:rsidRDefault="00346198" w:rsidP="00346198">
            <w:pPr>
              <w:jc w:val="left"/>
              <w:rPr>
                <w:rFonts w:eastAsia="Calibri" w:cs="Arial"/>
                <w:szCs w:val="22"/>
                <w:lang w:eastAsia="en-US"/>
              </w:rPr>
            </w:pPr>
            <w:r w:rsidRPr="00346198">
              <w:rPr>
                <w:rFonts w:eastAsia="Calibri" w:cs="Arial"/>
                <w:szCs w:val="22"/>
                <w:lang w:eastAsia="en-US"/>
              </w:rPr>
              <w:t>–</w:t>
            </w:r>
          </w:p>
        </w:tc>
        <w:tc>
          <w:tcPr>
            <w:tcW w:w="5588" w:type="dxa"/>
            <w:gridSpan w:val="2"/>
          </w:tcPr>
          <w:p w:rsidR="00346198" w:rsidRPr="00346198" w:rsidRDefault="00346198" w:rsidP="005A191B">
            <w:pPr>
              <w:jc w:val="left"/>
              <w:rPr>
                <w:rFonts w:eastAsia="Calibri" w:cs="Arial"/>
                <w:szCs w:val="22"/>
                <w:lang w:eastAsia="en-US"/>
              </w:rPr>
            </w:pPr>
            <w:r w:rsidRPr="00346198">
              <w:rPr>
                <w:rFonts w:eastAsia="Calibri" w:cs="Arial"/>
                <w:szCs w:val="22"/>
                <w:lang w:eastAsia="en-US"/>
              </w:rPr>
              <w:t>monitoring &amp; evaluation</w:t>
            </w:r>
          </w:p>
        </w:tc>
      </w:tr>
      <w:tr w:rsidR="00063A34" w:rsidRPr="00346198" w:rsidTr="00063A34">
        <w:trPr>
          <w:gridAfter w:val="1"/>
          <w:wAfter w:w="13" w:type="dxa"/>
        </w:trPr>
        <w:tc>
          <w:tcPr>
            <w:tcW w:w="2060" w:type="dxa"/>
          </w:tcPr>
          <w:p w:rsidR="00063A34" w:rsidRPr="00346198" w:rsidRDefault="00063A34" w:rsidP="00063A34">
            <w:pPr>
              <w:jc w:val="left"/>
              <w:rPr>
                <w:rFonts w:eastAsia="Calibri" w:cs="Arial"/>
                <w:szCs w:val="22"/>
                <w:lang w:eastAsia="en-US"/>
              </w:rPr>
            </w:pPr>
            <w:r>
              <w:rPr>
                <w:rFonts w:eastAsia="Calibri" w:cs="Arial"/>
                <w:szCs w:val="22"/>
                <w:lang w:eastAsia="en-US"/>
              </w:rPr>
              <w:t>OECD-DAC</w:t>
            </w:r>
          </w:p>
        </w:tc>
        <w:tc>
          <w:tcPr>
            <w:tcW w:w="425"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w:t>
            </w:r>
          </w:p>
        </w:tc>
        <w:tc>
          <w:tcPr>
            <w:tcW w:w="5575" w:type="dxa"/>
          </w:tcPr>
          <w:p w:rsidR="00063A34" w:rsidRPr="00346198" w:rsidRDefault="00063A34" w:rsidP="005A191B">
            <w:pPr>
              <w:jc w:val="left"/>
              <w:rPr>
                <w:rFonts w:eastAsia="Calibri" w:cs="Arial"/>
                <w:szCs w:val="22"/>
                <w:lang w:eastAsia="en-US"/>
              </w:rPr>
            </w:pPr>
            <w:r w:rsidRPr="00063A34">
              <w:rPr>
                <w:rFonts w:eastAsia="Calibri" w:cs="Arial"/>
                <w:szCs w:val="22"/>
                <w:lang w:eastAsia="en-US"/>
              </w:rPr>
              <w:t>Development Assistance Committee of the Organisation for Economic Co-operation and Development</w:t>
            </w:r>
          </w:p>
        </w:tc>
      </w:tr>
      <w:tr w:rsidR="00063A34" w:rsidRPr="00346198" w:rsidTr="00063A34">
        <w:trPr>
          <w:gridAfter w:val="1"/>
          <w:wAfter w:w="13" w:type="dxa"/>
        </w:trPr>
        <w:tc>
          <w:tcPr>
            <w:tcW w:w="2060"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PLCO</w:t>
            </w:r>
          </w:p>
        </w:tc>
        <w:tc>
          <w:tcPr>
            <w:tcW w:w="425"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w:t>
            </w:r>
          </w:p>
        </w:tc>
        <w:tc>
          <w:tcPr>
            <w:tcW w:w="5575" w:type="dxa"/>
          </w:tcPr>
          <w:p w:rsidR="00063A34" w:rsidRPr="00346198" w:rsidRDefault="00063A34" w:rsidP="005A191B">
            <w:pPr>
              <w:jc w:val="left"/>
              <w:rPr>
                <w:rFonts w:eastAsia="Calibri" w:cs="Arial"/>
                <w:szCs w:val="22"/>
                <w:lang w:eastAsia="en-US"/>
              </w:rPr>
            </w:pPr>
            <w:r w:rsidRPr="00346198">
              <w:rPr>
                <w:rFonts w:eastAsia="Calibri" w:cs="Arial"/>
                <w:szCs w:val="22"/>
                <w:lang w:eastAsia="en-US"/>
              </w:rPr>
              <w:t>Pacific Liaison and Coordination Office</w:t>
            </w:r>
          </w:p>
        </w:tc>
      </w:tr>
      <w:tr w:rsidR="00063A34" w:rsidRPr="00346198" w:rsidTr="00063A34">
        <w:trPr>
          <w:gridAfter w:val="1"/>
          <w:wAfter w:w="13" w:type="dxa"/>
        </w:trPr>
        <w:tc>
          <w:tcPr>
            <w:tcW w:w="2060" w:type="dxa"/>
          </w:tcPr>
          <w:p w:rsidR="00063A34" w:rsidRPr="00346198" w:rsidRDefault="00063A34" w:rsidP="00063A34">
            <w:pPr>
              <w:jc w:val="left"/>
              <w:rPr>
                <w:rFonts w:eastAsia="Calibri" w:cs="Arial"/>
                <w:szCs w:val="22"/>
                <w:lang w:eastAsia="en-US"/>
              </w:rPr>
            </w:pPr>
            <w:r>
              <w:rPr>
                <w:rFonts w:eastAsia="Calibri" w:cs="Arial"/>
                <w:szCs w:val="22"/>
                <w:lang w:eastAsia="en-US"/>
              </w:rPr>
              <w:t>PNG</w:t>
            </w:r>
          </w:p>
        </w:tc>
        <w:tc>
          <w:tcPr>
            <w:tcW w:w="425" w:type="dxa"/>
          </w:tcPr>
          <w:p w:rsidR="00063A34" w:rsidRPr="00346198" w:rsidRDefault="00063A34" w:rsidP="00063A34">
            <w:pPr>
              <w:jc w:val="left"/>
              <w:rPr>
                <w:rFonts w:eastAsia="Calibri" w:cs="Arial"/>
                <w:szCs w:val="22"/>
                <w:lang w:eastAsia="en-US"/>
              </w:rPr>
            </w:pPr>
            <w:r>
              <w:rPr>
                <w:rFonts w:eastAsia="Calibri" w:cs="Arial"/>
                <w:szCs w:val="22"/>
                <w:lang w:eastAsia="en-US"/>
              </w:rPr>
              <w:t>–</w:t>
            </w:r>
          </w:p>
        </w:tc>
        <w:tc>
          <w:tcPr>
            <w:tcW w:w="5575" w:type="dxa"/>
          </w:tcPr>
          <w:p w:rsidR="00063A34" w:rsidRPr="00346198" w:rsidRDefault="00063A34" w:rsidP="005A191B">
            <w:pPr>
              <w:jc w:val="left"/>
              <w:rPr>
                <w:rFonts w:eastAsia="Calibri" w:cs="Arial"/>
                <w:szCs w:val="22"/>
                <w:lang w:eastAsia="en-US"/>
              </w:rPr>
            </w:pPr>
            <w:r>
              <w:rPr>
                <w:rFonts w:eastAsia="Calibri" w:cs="Arial"/>
                <w:szCs w:val="22"/>
                <w:lang w:eastAsia="en-US"/>
              </w:rPr>
              <w:t>Papua New Guinea</w:t>
            </w:r>
          </w:p>
        </w:tc>
      </w:tr>
      <w:tr w:rsidR="00063A34" w:rsidRPr="00346198" w:rsidTr="00063A34">
        <w:trPr>
          <w:gridAfter w:val="1"/>
          <w:wAfter w:w="13" w:type="dxa"/>
        </w:trPr>
        <w:tc>
          <w:tcPr>
            <w:tcW w:w="2060"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PPP</w:t>
            </w:r>
          </w:p>
        </w:tc>
        <w:tc>
          <w:tcPr>
            <w:tcW w:w="425"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w:t>
            </w:r>
          </w:p>
        </w:tc>
        <w:tc>
          <w:tcPr>
            <w:tcW w:w="5575" w:type="dxa"/>
          </w:tcPr>
          <w:p w:rsidR="00063A34" w:rsidRPr="00346198" w:rsidRDefault="00063A34" w:rsidP="005A191B">
            <w:pPr>
              <w:jc w:val="left"/>
              <w:rPr>
                <w:rFonts w:eastAsia="Calibri" w:cs="Arial"/>
                <w:szCs w:val="22"/>
                <w:lang w:eastAsia="en-US"/>
              </w:rPr>
            </w:pPr>
            <w:r>
              <w:rPr>
                <w:rFonts w:eastAsia="Calibri" w:cs="Arial"/>
                <w:szCs w:val="22"/>
                <w:lang w:eastAsia="en-US"/>
              </w:rPr>
              <w:t>p</w:t>
            </w:r>
            <w:r w:rsidRPr="00346198">
              <w:rPr>
                <w:rFonts w:eastAsia="Calibri" w:cs="Arial"/>
                <w:szCs w:val="22"/>
                <w:lang w:eastAsia="en-US"/>
              </w:rPr>
              <w:t>ublic</w:t>
            </w:r>
            <w:r>
              <w:rPr>
                <w:rFonts w:eastAsia="Calibri" w:cs="Arial"/>
                <w:szCs w:val="22"/>
                <w:lang w:eastAsia="en-US"/>
              </w:rPr>
              <w:t>-</w:t>
            </w:r>
            <w:r w:rsidRPr="00346198">
              <w:rPr>
                <w:rFonts w:eastAsia="Calibri" w:cs="Arial"/>
                <w:szCs w:val="22"/>
                <w:lang w:eastAsia="en-US"/>
              </w:rPr>
              <w:t>private partnership</w:t>
            </w:r>
          </w:p>
        </w:tc>
      </w:tr>
      <w:tr w:rsidR="00063A34" w:rsidRPr="00346198" w:rsidTr="00063A34">
        <w:trPr>
          <w:gridAfter w:val="1"/>
          <w:wAfter w:w="13" w:type="dxa"/>
        </w:trPr>
        <w:tc>
          <w:tcPr>
            <w:tcW w:w="2060"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PSD</w:t>
            </w:r>
          </w:p>
        </w:tc>
        <w:tc>
          <w:tcPr>
            <w:tcW w:w="425"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w:t>
            </w:r>
          </w:p>
        </w:tc>
        <w:tc>
          <w:tcPr>
            <w:tcW w:w="5575" w:type="dxa"/>
          </w:tcPr>
          <w:p w:rsidR="00063A34" w:rsidRPr="00346198" w:rsidRDefault="00063A34" w:rsidP="005A191B">
            <w:pPr>
              <w:jc w:val="left"/>
              <w:rPr>
                <w:rFonts w:eastAsia="Calibri" w:cs="Arial"/>
                <w:i/>
                <w:szCs w:val="22"/>
                <w:lang w:eastAsia="en-US"/>
              </w:rPr>
            </w:pPr>
            <w:r w:rsidRPr="00346198">
              <w:rPr>
                <w:rFonts w:eastAsia="Calibri" w:cs="Arial"/>
                <w:szCs w:val="22"/>
                <w:lang w:eastAsia="en-US"/>
              </w:rPr>
              <w:t>private sector development</w:t>
            </w:r>
          </w:p>
        </w:tc>
      </w:tr>
      <w:tr w:rsidR="00063A34" w:rsidRPr="00346198" w:rsidTr="00063A34">
        <w:trPr>
          <w:gridAfter w:val="1"/>
          <w:wAfter w:w="13" w:type="dxa"/>
        </w:trPr>
        <w:tc>
          <w:tcPr>
            <w:tcW w:w="2060"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PSDI</w:t>
            </w:r>
          </w:p>
        </w:tc>
        <w:tc>
          <w:tcPr>
            <w:tcW w:w="425"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w:t>
            </w:r>
          </w:p>
        </w:tc>
        <w:tc>
          <w:tcPr>
            <w:tcW w:w="5575" w:type="dxa"/>
          </w:tcPr>
          <w:p w:rsidR="00063A34" w:rsidRPr="00346198" w:rsidRDefault="00063A34" w:rsidP="005A191B">
            <w:pPr>
              <w:jc w:val="left"/>
              <w:rPr>
                <w:rFonts w:eastAsia="Calibri" w:cs="Arial"/>
                <w:szCs w:val="22"/>
                <w:lang w:eastAsia="en-US"/>
              </w:rPr>
            </w:pPr>
            <w:r w:rsidRPr="00346198">
              <w:rPr>
                <w:rFonts w:eastAsia="Calibri" w:cs="Arial"/>
                <w:szCs w:val="22"/>
                <w:lang w:eastAsia="en-US"/>
              </w:rPr>
              <w:t>Private Sector Development Initiative</w:t>
            </w:r>
          </w:p>
        </w:tc>
      </w:tr>
      <w:tr w:rsidR="00063A34" w:rsidRPr="00346198" w:rsidTr="00063A34">
        <w:trPr>
          <w:gridAfter w:val="1"/>
          <w:wAfter w:w="13" w:type="dxa"/>
        </w:trPr>
        <w:tc>
          <w:tcPr>
            <w:tcW w:w="2060"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SME</w:t>
            </w:r>
            <w:r>
              <w:rPr>
                <w:rFonts w:eastAsia="Calibri" w:cs="Arial"/>
                <w:szCs w:val="22"/>
                <w:lang w:eastAsia="en-US"/>
              </w:rPr>
              <w:t>s</w:t>
            </w:r>
          </w:p>
        </w:tc>
        <w:tc>
          <w:tcPr>
            <w:tcW w:w="425"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w:t>
            </w:r>
          </w:p>
        </w:tc>
        <w:tc>
          <w:tcPr>
            <w:tcW w:w="5575" w:type="dxa"/>
          </w:tcPr>
          <w:p w:rsidR="00063A34" w:rsidRPr="00346198" w:rsidRDefault="00063A34" w:rsidP="005A191B">
            <w:pPr>
              <w:jc w:val="left"/>
              <w:rPr>
                <w:rFonts w:eastAsia="Calibri" w:cs="Arial"/>
                <w:szCs w:val="22"/>
                <w:lang w:eastAsia="en-US"/>
              </w:rPr>
            </w:pPr>
            <w:r w:rsidRPr="00346198">
              <w:rPr>
                <w:rFonts w:eastAsia="Calibri" w:cs="Arial"/>
                <w:szCs w:val="22"/>
                <w:lang w:eastAsia="en-US"/>
              </w:rPr>
              <w:t>small and medium-sized enterprises</w:t>
            </w:r>
          </w:p>
        </w:tc>
      </w:tr>
      <w:tr w:rsidR="00063A34" w:rsidRPr="00346198" w:rsidTr="00063A34">
        <w:trPr>
          <w:gridAfter w:val="1"/>
          <w:wAfter w:w="13" w:type="dxa"/>
        </w:trPr>
        <w:tc>
          <w:tcPr>
            <w:tcW w:w="2060"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SOE</w:t>
            </w:r>
          </w:p>
        </w:tc>
        <w:tc>
          <w:tcPr>
            <w:tcW w:w="425"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w:t>
            </w:r>
          </w:p>
        </w:tc>
        <w:tc>
          <w:tcPr>
            <w:tcW w:w="5575" w:type="dxa"/>
          </w:tcPr>
          <w:p w:rsidR="00063A34" w:rsidRPr="00346198" w:rsidRDefault="00063A34" w:rsidP="005A191B">
            <w:pPr>
              <w:jc w:val="left"/>
              <w:rPr>
                <w:rFonts w:eastAsia="Calibri" w:cs="Arial"/>
                <w:szCs w:val="22"/>
                <w:lang w:eastAsia="en-US"/>
              </w:rPr>
            </w:pPr>
            <w:r w:rsidRPr="00346198">
              <w:rPr>
                <w:rFonts w:eastAsia="Calibri" w:cs="Arial"/>
                <w:szCs w:val="22"/>
                <w:lang w:eastAsia="en-US"/>
              </w:rPr>
              <w:t>state-owned enterprise</w:t>
            </w:r>
          </w:p>
        </w:tc>
      </w:tr>
      <w:tr w:rsidR="00063A34" w:rsidRPr="00346198" w:rsidTr="00063A34">
        <w:trPr>
          <w:gridAfter w:val="1"/>
          <w:wAfter w:w="13" w:type="dxa"/>
        </w:trPr>
        <w:tc>
          <w:tcPr>
            <w:tcW w:w="2060"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TA</w:t>
            </w:r>
          </w:p>
        </w:tc>
        <w:tc>
          <w:tcPr>
            <w:tcW w:w="425" w:type="dxa"/>
          </w:tcPr>
          <w:p w:rsidR="00063A34" w:rsidRPr="00346198" w:rsidRDefault="00063A34" w:rsidP="00063A34">
            <w:pPr>
              <w:jc w:val="left"/>
              <w:rPr>
                <w:rFonts w:eastAsia="Calibri" w:cs="Arial"/>
                <w:szCs w:val="22"/>
                <w:lang w:eastAsia="en-US"/>
              </w:rPr>
            </w:pPr>
            <w:r w:rsidRPr="00346198">
              <w:rPr>
                <w:rFonts w:eastAsia="Calibri" w:cs="Arial"/>
                <w:szCs w:val="22"/>
                <w:lang w:eastAsia="en-US"/>
              </w:rPr>
              <w:t>–</w:t>
            </w:r>
          </w:p>
        </w:tc>
        <w:tc>
          <w:tcPr>
            <w:tcW w:w="5575" w:type="dxa"/>
          </w:tcPr>
          <w:p w:rsidR="00063A34" w:rsidRPr="00346198" w:rsidRDefault="00063A34" w:rsidP="005A191B">
            <w:pPr>
              <w:jc w:val="left"/>
              <w:rPr>
                <w:rFonts w:eastAsia="Calibri" w:cs="Arial"/>
                <w:szCs w:val="22"/>
                <w:lang w:eastAsia="en-US"/>
              </w:rPr>
            </w:pPr>
            <w:r w:rsidRPr="00346198">
              <w:rPr>
                <w:rFonts w:eastAsia="Calibri" w:cs="Arial"/>
                <w:szCs w:val="22"/>
                <w:lang w:eastAsia="en-US"/>
              </w:rPr>
              <w:t>technical assistance</w:t>
            </w:r>
          </w:p>
        </w:tc>
      </w:tr>
    </w:tbl>
    <w:p w:rsidR="00346198" w:rsidRPr="00C13C20" w:rsidRDefault="00346198" w:rsidP="00C13C20">
      <w:pPr>
        <w:rPr>
          <w:rFonts w:eastAsia="Calibri" w:cs="Arial"/>
          <w:szCs w:val="22"/>
          <w:lang w:eastAsia="en-US"/>
        </w:rPr>
      </w:pPr>
    </w:p>
    <w:p w:rsidR="00346198" w:rsidRDefault="00346198" w:rsidP="00C13C20">
      <w:pPr>
        <w:rPr>
          <w:rFonts w:eastAsia="Calibri" w:cs="Arial"/>
          <w:szCs w:val="22"/>
          <w:lang w:eastAsia="en-US"/>
        </w:rPr>
      </w:pPr>
    </w:p>
    <w:p w:rsidR="006E58D3" w:rsidRDefault="006E58D3" w:rsidP="00C13C20">
      <w:pPr>
        <w:rPr>
          <w:rFonts w:eastAsia="Calibri" w:cs="Arial"/>
          <w:szCs w:val="22"/>
          <w:lang w:eastAsia="en-US"/>
        </w:rPr>
      </w:pPr>
    </w:p>
    <w:p w:rsidR="006E58D3" w:rsidRPr="00170139" w:rsidRDefault="006E58D3" w:rsidP="00170139">
      <w:pPr>
        <w:keepNext/>
        <w:keepLines/>
        <w:spacing w:after="100" w:afterAutospacing="1" w:line="259" w:lineRule="auto"/>
        <w:jc w:val="center"/>
        <w:outlineLvl w:val="0"/>
        <w:rPr>
          <w:rFonts w:eastAsia="Times New Roman"/>
          <w:b/>
          <w:bCs/>
          <w:caps/>
          <w:sz w:val="24"/>
          <w:szCs w:val="22"/>
          <w:lang w:eastAsia="x-none"/>
        </w:rPr>
      </w:pPr>
      <w:bookmarkStart w:id="2" w:name="_Toc494378851"/>
      <w:r w:rsidRPr="00170139">
        <w:rPr>
          <w:rFonts w:eastAsia="Times New Roman"/>
          <w:b/>
          <w:bCs/>
          <w:caps/>
          <w:sz w:val="24"/>
          <w:szCs w:val="22"/>
          <w:lang w:val="x-none" w:eastAsia="x-none"/>
        </w:rPr>
        <w:t>A</w:t>
      </w:r>
      <w:r w:rsidRPr="00170139">
        <w:rPr>
          <w:rFonts w:eastAsia="Times New Roman"/>
          <w:b/>
          <w:bCs/>
          <w:caps/>
          <w:sz w:val="24"/>
          <w:szCs w:val="22"/>
          <w:lang w:eastAsia="x-none"/>
        </w:rPr>
        <w:t>cknowledgements</w:t>
      </w:r>
      <w:bookmarkEnd w:id="2"/>
    </w:p>
    <w:p w:rsidR="006E58D3" w:rsidRDefault="006E58D3" w:rsidP="00C13C20">
      <w:pPr>
        <w:rPr>
          <w:rFonts w:eastAsia="Calibri" w:cs="Arial"/>
          <w:szCs w:val="22"/>
          <w:lang w:eastAsia="en-US"/>
        </w:rPr>
      </w:pPr>
      <w:r>
        <w:rPr>
          <w:rFonts w:eastAsia="Calibri" w:cs="Arial"/>
          <w:szCs w:val="22"/>
          <w:lang w:eastAsia="en-US"/>
        </w:rPr>
        <w:t>The review team would like to acknowledge the assistance of staff from the Asian Development Bank, the Department of Foreign Affairs and Trade</w:t>
      </w:r>
      <w:r w:rsidR="00D83D81">
        <w:rPr>
          <w:rFonts w:eastAsia="Calibri" w:cs="Arial"/>
          <w:szCs w:val="22"/>
          <w:lang w:eastAsia="en-US"/>
        </w:rPr>
        <w:t xml:space="preserve"> within the Government of Australia</w:t>
      </w:r>
      <w:r>
        <w:rPr>
          <w:rFonts w:eastAsia="Calibri" w:cs="Arial"/>
          <w:szCs w:val="22"/>
          <w:lang w:eastAsia="en-US"/>
        </w:rPr>
        <w:t xml:space="preserve">, </w:t>
      </w:r>
      <w:r w:rsidR="00D83D81">
        <w:rPr>
          <w:rFonts w:eastAsia="Calibri" w:cs="Arial"/>
          <w:szCs w:val="22"/>
          <w:lang w:eastAsia="en-US"/>
        </w:rPr>
        <w:t xml:space="preserve">and </w:t>
      </w:r>
      <w:r>
        <w:rPr>
          <w:rFonts w:eastAsia="Calibri" w:cs="Arial"/>
          <w:szCs w:val="22"/>
          <w:lang w:eastAsia="en-US"/>
        </w:rPr>
        <w:t>the Ministry of Foreign Affairs and Trade</w:t>
      </w:r>
      <w:r w:rsidR="00D83D81">
        <w:rPr>
          <w:rFonts w:eastAsia="Calibri" w:cs="Arial"/>
          <w:szCs w:val="22"/>
          <w:lang w:eastAsia="en-US"/>
        </w:rPr>
        <w:t xml:space="preserve"> within the Government of New Zealand</w:t>
      </w:r>
      <w:r>
        <w:rPr>
          <w:rFonts w:eastAsia="Calibri" w:cs="Arial"/>
          <w:szCs w:val="22"/>
          <w:lang w:eastAsia="en-US"/>
        </w:rPr>
        <w:t xml:space="preserve">, </w:t>
      </w:r>
      <w:r w:rsidR="00240CE4">
        <w:rPr>
          <w:rFonts w:eastAsia="Calibri" w:cs="Arial"/>
          <w:szCs w:val="22"/>
          <w:lang w:eastAsia="en-US"/>
        </w:rPr>
        <w:t xml:space="preserve">as well as </w:t>
      </w:r>
      <w:r>
        <w:rPr>
          <w:rFonts w:eastAsia="Calibri" w:cs="Arial"/>
          <w:szCs w:val="22"/>
          <w:lang w:eastAsia="en-US"/>
        </w:rPr>
        <w:t xml:space="preserve">consultants working for the Pacific Private Sector Development Initiative who were interviewed for the purposes of this midterm review. Members of the review team </w:t>
      </w:r>
      <w:r w:rsidR="00240CE4">
        <w:rPr>
          <w:rFonts w:eastAsia="Calibri" w:cs="Arial"/>
          <w:szCs w:val="22"/>
          <w:lang w:eastAsia="en-US"/>
        </w:rPr>
        <w:t xml:space="preserve">also </w:t>
      </w:r>
      <w:r>
        <w:rPr>
          <w:rFonts w:eastAsia="Calibri" w:cs="Arial"/>
          <w:szCs w:val="22"/>
          <w:lang w:eastAsia="en-US"/>
        </w:rPr>
        <w:t xml:space="preserve">visited Papua New Guinea, Solomon </w:t>
      </w:r>
      <w:r w:rsidR="00240CE4">
        <w:rPr>
          <w:rFonts w:eastAsia="Calibri" w:cs="Arial"/>
          <w:szCs w:val="22"/>
          <w:lang w:eastAsia="en-US"/>
        </w:rPr>
        <w:t>Islands, Timor-Leste, and Tonga to conduct interviews with government, private sector, and development partners</w:t>
      </w:r>
      <w:r w:rsidR="00F91CAE">
        <w:rPr>
          <w:rFonts w:eastAsia="Calibri" w:cs="Arial"/>
          <w:szCs w:val="22"/>
          <w:lang w:eastAsia="en-US"/>
        </w:rPr>
        <w:t>, and their assistance is also acknowledged</w:t>
      </w:r>
      <w:r w:rsidR="00240CE4">
        <w:rPr>
          <w:rFonts w:eastAsia="Calibri" w:cs="Arial"/>
          <w:szCs w:val="22"/>
          <w:lang w:eastAsia="en-US"/>
        </w:rPr>
        <w:t>.</w:t>
      </w:r>
    </w:p>
    <w:p w:rsidR="00240CE4" w:rsidRDefault="00240CE4" w:rsidP="00C13C20">
      <w:pPr>
        <w:rPr>
          <w:rFonts w:eastAsia="Calibri" w:cs="Arial"/>
          <w:szCs w:val="22"/>
          <w:lang w:eastAsia="en-US"/>
        </w:rPr>
      </w:pPr>
    </w:p>
    <w:p w:rsidR="00240CE4" w:rsidRDefault="00240CE4" w:rsidP="00C13C20">
      <w:pPr>
        <w:rPr>
          <w:rFonts w:eastAsia="Calibri" w:cs="Arial"/>
          <w:szCs w:val="22"/>
          <w:lang w:eastAsia="en-US"/>
        </w:rPr>
      </w:pPr>
    </w:p>
    <w:p w:rsidR="006E58D3" w:rsidRPr="00C13C20" w:rsidRDefault="006E58D3" w:rsidP="00C13C20">
      <w:pPr>
        <w:rPr>
          <w:rFonts w:eastAsia="Calibri" w:cs="Arial"/>
          <w:szCs w:val="22"/>
          <w:lang w:eastAsia="en-US"/>
        </w:rPr>
      </w:pPr>
    </w:p>
    <w:p w:rsidR="00240CE4" w:rsidRDefault="00240CE4" w:rsidP="00346198">
      <w:pPr>
        <w:jc w:val="left"/>
        <w:rPr>
          <w:rFonts w:eastAsia="Calibri" w:cs="Arial"/>
          <w:szCs w:val="22"/>
          <w:lang w:eastAsia="en-US"/>
        </w:rPr>
        <w:sectPr w:rsidR="00240CE4" w:rsidSect="00CA4CD7">
          <w:headerReference w:type="default" r:id="rId14"/>
          <w:footerReference w:type="default" r:id="rId15"/>
          <w:headerReference w:type="first" r:id="rId16"/>
          <w:footerReference w:type="first" r:id="rId17"/>
          <w:pgSz w:w="12240" w:h="15840"/>
          <w:pgMar w:top="1440" w:right="1440" w:bottom="1440" w:left="1440" w:header="720" w:footer="720" w:gutter="0"/>
          <w:pgNumType w:fmt="lowerRoman" w:start="1" w:chapStyle="1"/>
          <w:cols w:space="720"/>
          <w:titlePg/>
          <w:docGrid w:linePitch="360"/>
        </w:sectPr>
      </w:pPr>
    </w:p>
    <w:p w:rsidR="00240CE4" w:rsidRPr="00170139" w:rsidRDefault="003810F9" w:rsidP="00170139">
      <w:pPr>
        <w:tabs>
          <w:tab w:val="left" w:pos="270"/>
          <w:tab w:val="right" w:pos="9360"/>
        </w:tabs>
        <w:ind w:left="272" w:hanging="272"/>
        <w:jc w:val="center"/>
        <w:rPr>
          <w:rFonts w:asciiTheme="minorHAnsi" w:eastAsia="Times New Roman" w:hAnsiTheme="minorHAnsi" w:cs="Arial"/>
          <w:b/>
          <w:bCs/>
          <w:caps/>
          <w:sz w:val="24"/>
          <w:szCs w:val="22"/>
          <w:lang w:val="en-AU" w:eastAsia="x-none"/>
        </w:rPr>
      </w:pPr>
      <w:r w:rsidRPr="00170139">
        <w:rPr>
          <w:rFonts w:eastAsia="Times New Roman" w:cs="Arial"/>
          <w:b/>
          <w:bCs/>
          <w:caps/>
          <w:sz w:val="24"/>
          <w:szCs w:val="22"/>
          <w:lang w:val="en-AU" w:eastAsia="x-none"/>
        </w:rPr>
        <w:lastRenderedPageBreak/>
        <w:t xml:space="preserve">LIST OF </w:t>
      </w:r>
      <w:r w:rsidR="00BA537E">
        <w:rPr>
          <w:rFonts w:eastAsia="Times New Roman" w:cs="Arial"/>
          <w:b/>
          <w:bCs/>
          <w:caps/>
          <w:sz w:val="24"/>
          <w:szCs w:val="22"/>
          <w:lang w:val="en-AU" w:eastAsia="x-none"/>
        </w:rPr>
        <w:t xml:space="preserve">BOXES, </w:t>
      </w:r>
      <w:r>
        <w:rPr>
          <w:rFonts w:eastAsia="Times New Roman" w:cs="Arial"/>
          <w:b/>
          <w:bCs/>
          <w:caps/>
          <w:sz w:val="24"/>
          <w:szCs w:val="22"/>
          <w:lang w:val="en-AU" w:eastAsia="x-none"/>
        </w:rPr>
        <w:t>FIGURES</w:t>
      </w:r>
      <w:r w:rsidR="00BA537E">
        <w:rPr>
          <w:rFonts w:eastAsia="Times New Roman" w:cs="Arial"/>
          <w:b/>
          <w:bCs/>
          <w:caps/>
          <w:sz w:val="24"/>
          <w:szCs w:val="22"/>
          <w:lang w:val="en-AU" w:eastAsia="x-none"/>
        </w:rPr>
        <w:t>,</w:t>
      </w:r>
      <w:r>
        <w:rPr>
          <w:rFonts w:eastAsia="Times New Roman" w:cs="Arial"/>
          <w:b/>
          <w:bCs/>
          <w:caps/>
          <w:sz w:val="24"/>
          <w:szCs w:val="22"/>
          <w:lang w:val="en-AU" w:eastAsia="x-none"/>
        </w:rPr>
        <w:t xml:space="preserve"> AND </w:t>
      </w:r>
      <w:r w:rsidRPr="00170139">
        <w:rPr>
          <w:rFonts w:eastAsia="Times New Roman" w:cs="Arial"/>
          <w:b/>
          <w:bCs/>
          <w:caps/>
          <w:sz w:val="24"/>
          <w:szCs w:val="22"/>
          <w:lang w:val="en-AU" w:eastAsia="x-none"/>
        </w:rPr>
        <w:t>TablES</w:t>
      </w:r>
    </w:p>
    <w:p w:rsidR="003810F9" w:rsidRPr="00DF2784" w:rsidRDefault="003810F9" w:rsidP="00DF2784">
      <w:pPr>
        <w:tabs>
          <w:tab w:val="left" w:pos="270"/>
          <w:tab w:val="right" w:pos="9360"/>
        </w:tabs>
        <w:jc w:val="left"/>
        <w:rPr>
          <w:rFonts w:eastAsia="Calibri" w:cs="Arial"/>
          <w:szCs w:val="22"/>
          <w:lang w:val="en-AU" w:eastAsia="en-US"/>
        </w:rPr>
      </w:pPr>
    </w:p>
    <w:p w:rsidR="003810F9" w:rsidRPr="00DF2784" w:rsidRDefault="003810F9" w:rsidP="00DF2784">
      <w:pPr>
        <w:tabs>
          <w:tab w:val="left" w:pos="270"/>
          <w:tab w:val="right" w:pos="9360"/>
        </w:tabs>
        <w:jc w:val="left"/>
        <w:rPr>
          <w:rFonts w:eastAsia="Calibri" w:cs="Arial"/>
          <w:szCs w:val="22"/>
          <w:lang w:val="en-AU" w:eastAsia="en-US"/>
        </w:rPr>
      </w:pPr>
    </w:p>
    <w:p w:rsidR="00EC1585" w:rsidRPr="00170139" w:rsidRDefault="00EC1585" w:rsidP="00C13C20">
      <w:pPr>
        <w:tabs>
          <w:tab w:val="left" w:pos="270"/>
          <w:tab w:val="right" w:pos="9360"/>
        </w:tabs>
        <w:ind w:left="270" w:hanging="270"/>
        <w:jc w:val="left"/>
        <w:rPr>
          <w:rFonts w:eastAsia="Times New Roman" w:cs="Arial"/>
          <w:b/>
          <w:bCs/>
          <w:sz w:val="24"/>
          <w:szCs w:val="22"/>
          <w:lang w:val="en-AU" w:eastAsia="x-none"/>
        </w:rPr>
      </w:pPr>
      <w:r w:rsidRPr="00170139">
        <w:rPr>
          <w:rFonts w:eastAsia="Times New Roman" w:cs="Arial"/>
          <w:b/>
          <w:bCs/>
          <w:sz w:val="24"/>
          <w:szCs w:val="22"/>
          <w:lang w:val="en-AU" w:eastAsia="x-none"/>
        </w:rPr>
        <w:t>Boxes</w:t>
      </w:r>
    </w:p>
    <w:p w:rsidR="00EC1585" w:rsidRPr="00DF2784" w:rsidRDefault="00EC1585" w:rsidP="00DF2784">
      <w:pPr>
        <w:tabs>
          <w:tab w:val="left" w:pos="270"/>
          <w:tab w:val="right" w:pos="9360"/>
        </w:tabs>
        <w:jc w:val="left"/>
        <w:rPr>
          <w:rFonts w:eastAsia="Calibri" w:cs="Arial"/>
          <w:szCs w:val="22"/>
          <w:lang w:val="en-AU" w:eastAsia="en-US"/>
        </w:rPr>
      </w:pPr>
    </w:p>
    <w:p w:rsidR="00EC1585" w:rsidRDefault="00EC1585" w:rsidP="00170139">
      <w:pPr>
        <w:tabs>
          <w:tab w:val="left" w:pos="270"/>
          <w:tab w:val="right" w:pos="9360"/>
        </w:tabs>
        <w:jc w:val="left"/>
        <w:rPr>
          <w:rFonts w:eastAsia="Calibri" w:cs="Arial"/>
          <w:szCs w:val="22"/>
          <w:lang w:val="en-AU" w:eastAsia="en-US"/>
        </w:rPr>
      </w:pPr>
      <w:r>
        <w:rPr>
          <w:rFonts w:eastAsia="Calibri" w:cs="Arial"/>
          <w:szCs w:val="22"/>
          <w:lang w:val="en-AU" w:eastAsia="en-US"/>
        </w:rPr>
        <w:t xml:space="preserve">Box </w:t>
      </w:r>
      <w:r w:rsidR="003F08DD">
        <w:rPr>
          <w:rFonts w:eastAsia="Calibri" w:cs="Arial"/>
          <w:szCs w:val="22"/>
          <w:lang w:val="en-AU" w:eastAsia="en-US"/>
        </w:rPr>
        <w:t>1</w:t>
      </w:r>
      <w:r>
        <w:rPr>
          <w:rFonts w:eastAsia="Calibri" w:cs="Arial"/>
          <w:szCs w:val="22"/>
          <w:lang w:val="en-AU" w:eastAsia="en-US"/>
        </w:rPr>
        <w:t xml:space="preserve">: </w:t>
      </w:r>
      <w:r w:rsidRPr="00EC1585">
        <w:rPr>
          <w:rFonts w:eastAsia="Calibri" w:cs="Arial"/>
          <w:szCs w:val="22"/>
          <w:lang w:val="en-AU" w:eastAsia="en-US"/>
        </w:rPr>
        <w:t>Economic Empowerment of Women – Illustrative Activities and Results</w:t>
      </w:r>
      <w:r w:rsidR="006143B1">
        <w:rPr>
          <w:rFonts w:eastAsia="Calibri" w:cs="Arial"/>
          <w:szCs w:val="22"/>
          <w:lang w:val="en-AU" w:eastAsia="en-US"/>
        </w:rPr>
        <w:tab/>
        <w:t>18</w:t>
      </w:r>
    </w:p>
    <w:p w:rsidR="00EC1585" w:rsidRDefault="00EC1585" w:rsidP="00170139">
      <w:pPr>
        <w:tabs>
          <w:tab w:val="left" w:pos="270"/>
          <w:tab w:val="right" w:pos="9360"/>
        </w:tabs>
        <w:jc w:val="left"/>
        <w:rPr>
          <w:rFonts w:eastAsia="Calibri" w:cs="Arial"/>
          <w:szCs w:val="22"/>
          <w:lang w:val="en-AU" w:eastAsia="en-US"/>
        </w:rPr>
      </w:pPr>
      <w:r>
        <w:rPr>
          <w:rFonts w:eastAsia="Calibri" w:cs="Arial"/>
          <w:szCs w:val="22"/>
          <w:lang w:val="en-AU" w:eastAsia="en-US"/>
        </w:rPr>
        <w:t xml:space="preserve">Box </w:t>
      </w:r>
      <w:r w:rsidR="003F08DD">
        <w:rPr>
          <w:rFonts w:eastAsia="Calibri" w:cs="Arial"/>
          <w:szCs w:val="22"/>
          <w:lang w:val="en-AU" w:eastAsia="en-US"/>
        </w:rPr>
        <w:t>2</w:t>
      </w:r>
      <w:r>
        <w:rPr>
          <w:rFonts w:eastAsia="Calibri" w:cs="Arial"/>
          <w:szCs w:val="22"/>
          <w:lang w:val="en-AU" w:eastAsia="en-US"/>
        </w:rPr>
        <w:t xml:space="preserve">: Reform Roadmap Used by </w:t>
      </w:r>
      <w:r w:rsidRPr="00EC1585">
        <w:rPr>
          <w:rFonts w:eastAsia="Calibri" w:cs="Arial"/>
          <w:szCs w:val="22"/>
          <w:lang w:val="en-AU" w:eastAsia="en-US"/>
        </w:rPr>
        <w:t>the Pacific Private Sector Development Initiative</w:t>
      </w:r>
      <w:r w:rsidR="006143B1">
        <w:rPr>
          <w:rFonts w:eastAsia="Calibri" w:cs="Arial"/>
          <w:szCs w:val="22"/>
          <w:lang w:val="en-AU" w:eastAsia="en-US"/>
        </w:rPr>
        <w:tab/>
        <w:t>23</w:t>
      </w:r>
    </w:p>
    <w:p w:rsidR="00EC1585" w:rsidRDefault="00EC1585" w:rsidP="00170139">
      <w:pPr>
        <w:tabs>
          <w:tab w:val="left" w:pos="270"/>
          <w:tab w:val="right" w:pos="9360"/>
        </w:tabs>
        <w:jc w:val="left"/>
        <w:rPr>
          <w:rFonts w:eastAsia="Calibri" w:cs="Arial"/>
          <w:szCs w:val="22"/>
          <w:lang w:val="en-AU" w:eastAsia="en-US"/>
        </w:rPr>
      </w:pPr>
      <w:r>
        <w:rPr>
          <w:rFonts w:eastAsia="Calibri" w:cs="Arial"/>
          <w:szCs w:val="22"/>
          <w:lang w:val="en-AU" w:eastAsia="en-US"/>
        </w:rPr>
        <w:t xml:space="preserve">Box </w:t>
      </w:r>
      <w:r w:rsidR="003F08DD">
        <w:rPr>
          <w:rFonts w:eastAsia="Calibri" w:cs="Arial"/>
          <w:szCs w:val="22"/>
          <w:lang w:val="en-AU" w:eastAsia="en-US"/>
        </w:rPr>
        <w:t>3</w:t>
      </w:r>
      <w:r>
        <w:rPr>
          <w:rFonts w:eastAsia="Calibri" w:cs="Arial"/>
          <w:szCs w:val="22"/>
          <w:lang w:val="en-AU" w:eastAsia="en-US"/>
        </w:rPr>
        <w:t xml:space="preserve">: </w:t>
      </w:r>
      <w:r w:rsidRPr="00EC1585">
        <w:rPr>
          <w:rFonts w:eastAsia="Calibri" w:cs="Arial"/>
          <w:szCs w:val="22"/>
          <w:lang w:val="en-AU" w:eastAsia="en-US"/>
        </w:rPr>
        <w:t>Registries in Solomon Islands</w:t>
      </w:r>
      <w:r w:rsidR="006143B1">
        <w:rPr>
          <w:rFonts w:eastAsia="Calibri" w:cs="Arial"/>
          <w:szCs w:val="22"/>
          <w:lang w:val="en-AU" w:eastAsia="en-US"/>
        </w:rPr>
        <w:tab/>
        <w:t>23</w:t>
      </w:r>
    </w:p>
    <w:p w:rsidR="00EC1585" w:rsidRDefault="00EC1585" w:rsidP="00170139">
      <w:pPr>
        <w:tabs>
          <w:tab w:val="left" w:pos="270"/>
          <w:tab w:val="right" w:pos="9360"/>
        </w:tabs>
        <w:jc w:val="left"/>
        <w:rPr>
          <w:rFonts w:eastAsia="Calibri" w:cs="Arial"/>
          <w:szCs w:val="22"/>
          <w:lang w:val="en-AU" w:eastAsia="en-US"/>
        </w:rPr>
      </w:pPr>
      <w:r>
        <w:rPr>
          <w:rFonts w:eastAsia="Calibri" w:cs="Arial"/>
          <w:szCs w:val="22"/>
          <w:lang w:val="en-AU" w:eastAsia="en-US"/>
        </w:rPr>
        <w:t xml:space="preserve">Box </w:t>
      </w:r>
      <w:r w:rsidR="003F08DD">
        <w:rPr>
          <w:rFonts w:eastAsia="Calibri" w:cs="Arial"/>
          <w:szCs w:val="22"/>
          <w:lang w:val="en-AU" w:eastAsia="en-US"/>
        </w:rPr>
        <w:t>4</w:t>
      </w:r>
      <w:r>
        <w:rPr>
          <w:rFonts w:eastAsia="Calibri" w:cs="Arial"/>
          <w:szCs w:val="22"/>
          <w:lang w:val="en-AU" w:eastAsia="en-US"/>
        </w:rPr>
        <w:t xml:space="preserve">: </w:t>
      </w:r>
      <w:r w:rsidRPr="00EC1585">
        <w:rPr>
          <w:rFonts w:eastAsia="Calibri" w:cs="Arial"/>
          <w:szCs w:val="22"/>
          <w:lang w:val="en-AU" w:eastAsia="en-US"/>
        </w:rPr>
        <w:t>Starting Small and Becoming Sustainable in Timor-Leste</w:t>
      </w:r>
      <w:r w:rsidR="006143B1">
        <w:rPr>
          <w:rFonts w:eastAsia="Calibri" w:cs="Arial"/>
          <w:szCs w:val="22"/>
          <w:lang w:val="en-AU" w:eastAsia="en-US"/>
        </w:rPr>
        <w:tab/>
        <w:t>25</w:t>
      </w:r>
    </w:p>
    <w:p w:rsidR="00EC1585" w:rsidRDefault="00EC1585" w:rsidP="00170139">
      <w:pPr>
        <w:tabs>
          <w:tab w:val="left" w:pos="270"/>
          <w:tab w:val="right" w:pos="9360"/>
        </w:tabs>
        <w:jc w:val="left"/>
        <w:rPr>
          <w:rFonts w:eastAsia="Calibri" w:cs="Arial"/>
          <w:szCs w:val="22"/>
          <w:lang w:val="en-AU" w:eastAsia="en-US"/>
        </w:rPr>
      </w:pPr>
      <w:r>
        <w:rPr>
          <w:rFonts w:eastAsia="Calibri" w:cs="Arial"/>
          <w:szCs w:val="22"/>
          <w:lang w:val="en-AU" w:eastAsia="en-US"/>
        </w:rPr>
        <w:t xml:space="preserve">Box </w:t>
      </w:r>
      <w:r w:rsidR="003F08DD">
        <w:rPr>
          <w:rFonts w:eastAsia="Calibri" w:cs="Arial"/>
          <w:szCs w:val="22"/>
          <w:lang w:val="en-AU" w:eastAsia="en-US"/>
        </w:rPr>
        <w:t>5</w:t>
      </w:r>
      <w:r>
        <w:rPr>
          <w:rFonts w:eastAsia="Calibri" w:cs="Arial"/>
          <w:szCs w:val="22"/>
          <w:lang w:val="en-AU" w:eastAsia="en-US"/>
        </w:rPr>
        <w:t>:</w:t>
      </w:r>
      <w:r w:rsidRPr="00EC1585">
        <w:t xml:space="preserve"> </w:t>
      </w:r>
      <w:r w:rsidRPr="00EC1585">
        <w:rPr>
          <w:rFonts w:eastAsia="Calibri" w:cs="Arial"/>
          <w:szCs w:val="22"/>
          <w:lang w:val="en-AU" w:eastAsia="en-US"/>
        </w:rPr>
        <w:t>The Competition Reform Process in Papua New Guinea</w:t>
      </w:r>
      <w:r w:rsidR="006143B1">
        <w:rPr>
          <w:rFonts w:eastAsia="Calibri" w:cs="Arial"/>
          <w:szCs w:val="22"/>
          <w:lang w:val="en-AU" w:eastAsia="en-US"/>
        </w:rPr>
        <w:tab/>
        <w:t>27</w:t>
      </w:r>
    </w:p>
    <w:p w:rsidR="00EC1585" w:rsidRDefault="00EC1585" w:rsidP="00170139">
      <w:pPr>
        <w:tabs>
          <w:tab w:val="left" w:pos="270"/>
          <w:tab w:val="right" w:pos="9360"/>
        </w:tabs>
        <w:jc w:val="left"/>
        <w:rPr>
          <w:rFonts w:eastAsia="Calibri" w:cs="Arial"/>
          <w:szCs w:val="22"/>
          <w:lang w:val="en-AU" w:eastAsia="en-US"/>
        </w:rPr>
      </w:pPr>
      <w:r>
        <w:rPr>
          <w:rFonts w:eastAsia="Calibri" w:cs="Arial"/>
          <w:szCs w:val="22"/>
          <w:lang w:val="en-AU" w:eastAsia="en-US"/>
        </w:rPr>
        <w:t xml:space="preserve">Box </w:t>
      </w:r>
      <w:r w:rsidR="003F08DD">
        <w:rPr>
          <w:rFonts w:eastAsia="Calibri" w:cs="Arial"/>
          <w:szCs w:val="22"/>
          <w:lang w:val="en-AU" w:eastAsia="en-US"/>
        </w:rPr>
        <w:t>6</w:t>
      </w:r>
      <w:r>
        <w:rPr>
          <w:rFonts w:eastAsia="Calibri" w:cs="Arial"/>
          <w:szCs w:val="22"/>
          <w:lang w:val="en-AU" w:eastAsia="en-US"/>
        </w:rPr>
        <w:t>:</w:t>
      </w:r>
      <w:r w:rsidRPr="00EC1585">
        <w:t xml:space="preserve"> </w:t>
      </w:r>
      <w:r>
        <w:rPr>
          <w:rFonts w:eastAsia="Calibri" w:cs="Arial"/>
          <w:szCs w:val="22"/>
          <w:lang w:val="en-AU" w:eastAsia="en-US"/>
        </w:rPr>
        <w:t xml:space="preserve">The Unique Structure of the </w:t>
      </w:r>
      <w:r w:rsidRPr="00EC1585">
        <w:rPr>
          <w:rFonts w:eastAsia="Calibri" w:cs="Arial"/>
          <w:szCs w:val="22"/>
          <w:lang w:val="en-AU" w:eastAsia="en-US"/>
        </w:rPr>
        <w:t>Pacific Private Sector Development Initiative</w:t>
      </w:r>
      <w:r w:rsidR="006143B1">
        <w:rPr>
          <w:rFonts w:eastAsia="Calibri" w:cs="Arial"/>
          <w:szCs w:val="22"/>
          <w:lang w:val="en-AU" w:eastAsia="en-US"/>
        </w:rPr>
        <w:tab/>
        <w:t>30</w:t>
      </w:r>
    </w:p>
    <w:p w:rsidR="00EC1585" w:rsidRDefault="00EC1585" w:rsidP="00170139">
      <w:pPr>
        <w:tabs>
          <w:tab w:val="left" w:pos="270"/>
          <w:tab w:val="right" w:pos="9360"/>
        </w:tabs>
        <w:jc w:val="left"/>
        <w:rPr>
          <w:rFonts w:eastAsia="Calibri" w:cs="Arial"/>
          <w:szCs w:val="22"/>
          <w:lang w:val="en-AU" w:eastAsia="en-US"/>
        </w:rPr>
      </w:pPr>
    </w:p>
    <w:p w:rsidR="00EC1585" w:rsidRPr="008E622C" w:rsidRDefault="00EC1585" w:rsidP="00EC1585">
      <w:pPr>
        <w:tabs>
          <w:tab w:val="left" w:pos="270"/>
          <w:tab w:val="right" w:pos="9360"/>
        </w:tabs>
        <w:ind w:left="270" w:hanging="270"/>
        <w:jc w:val="left"/>
        <w:rPr>
          <w:rFonts w:eastAsia="Times New Roman" w:cs="Arial"/>
          <w:b/>
          <w:bCs/>
          <w:sz w:val="24"/>
          <w:szCs w:val="22"/>
          <w:lang w:val="en-AU" w:eastAsia="x-none"/>
        </w:rPr>
      </w:pPr>
      <w:r>
        <w:rPr>
          <w:rFonts w:eastAsia="Times New Roman" w:cs="Arial"/>
          <w:b/>
          <w:bCs/>
          <w:sz w:val="24"/>
          <w:szCs w:val="22"/>
          <w:lang w:val="en-AU" w:eastAsia="x-none"/>
        </w:rPr>
        <w:t>Figur</w:t>
      </w:r>
      <w:r w:rsidRPr="008E622C">
        <w:rPr>
          <w:rFonts w:eastAsia="Times New Roman" w:cs="Arial"/>
          <w:b/>
          <w:bCs/>
          <w:sz w:val="24"/>
          <w:szCs w:val="22"/>
          <w:lang w:val="en-AU" w:eastAsia="x-none"/>
        </w:rPr>
        <w:t>es</w:t>
      </w:r>
    </w:p>
    <w:p w:rsidR="00EC1585" w:rsidRDefault="00EC1585" w:rsidP="00170139">
      <w:pPr>
        <w:tabs>
          <w:tab w:val="left" w:pos="270"/>
          <w:tab w:val="right" w:pos="9360"/>
        </w:tabs>
        <w:jc w:val="left"/>
        <w:rPr>
          <w:rFonts w:eastAsia="Calibri" w:cs="Arial"/>
          <w:szCs w:val="22"/>
          <w:lang w:val="en-AU" w:eastAsia="en-US"/>
        </w:rPr>
      </w:pPr>
    </w:p>
    <w:p w:rsidR="00EC1585" w:rsidRDefault="00EC1585" w:rsidP="00170139">
      <w:pPr>
        <w:tabs>
          <w:tab w:val="left" w:pos="270"/>
          <w:tab w:val="right" w:pos="9360"/>
        </w:tabs>
        <w:jc w:val="left"/>
        <w:rPr>
          <w:rFonts w:eastAsia="Calibri" w:cs="Arial"/>
          <w:szCs w:val="22"/>
          <w:lang w:val="en-AU" w:eastAsia="en-US"/>
        </w:rPr>
      </w:pPr>
      <w:r>
        <w:rPr>
          <w:rFonts w:eastAsia="Calibri" w:cs="Arial"/>
          <w:szCs w:val="22"/>
          <w:lang w:val="en-AU" w:eastAsia="en-US"/>
        </w:rPr>
        <w:t xml:space="preserve">Figure 1: </w:t>
      </w:r>
      <w:r w:rsidRPr="00EC1585">
        <w:rPr>
          <w:rFonts w:eastAsia="Calibri" w:cs="Arial"/>
          <w:szCs w:val="22"/>
          <w:lang w:val="en-AU" w:eastAsia="en-US"/>
        </w:rPr>
        <w:t>Private Sector Development Initiative III, Outlays by Economy</w:t>
      </w:r>
      <w:r>
        <w:rPr>
          <w:rFonts w:eastAsia="Calibri" w:cs="Arial"/>
          <w:szCs w:val="22"/>
          <w:lang w:val="en-AU" w:eastAsia="en-US"/>
        </w:rPr>
        <w:tab/>
      </w:r>
      <w:r w:rsidR="006143B1">
        <w:rPr>
          <w:rFonts w:eastAsia="Calibri" w:cs="Arial"/>
          <w:szCs w:val="22"/>
          <w:lang w:val="en-AU" w:eastAsia="en-US"/>
        </w:rPr>
        <w:t>5</w:t>
      </w:r>
    </w:p>
    <w:p w:rsidR="00EC1585" w:rsidRDefault="00946EDF" w:rsidP="00170139">
      <w:pPr>
        <w:tabs>
          <w:tab w:val="left" w:pos="270"/>
          <w:tab w:val="right" w:pos="9360"/>
        </w:tabs>
        <w:jc w:val="left"/>
        <w:rPr>
          <w:rFonts w:eastAsia="Calibri" w:cs="Arial"/>
          <w:szCs w:val="22"/>
          <w:lang w:val="en-AU" w:eastAsia="en-US"/>
        </w:rPr>
      </w:pPr>
      <w:r>
        <w:rPr>
          <w:rFonts w:eastAsia="Calibri" w:cs="Arial"/>
          <w:szCs w:val="22"/>
          <w:lang w:val="en-AU" w:eastAsia="en-US"/>
        </w:rPr>
        <w:t>Figure 2:</w:t>
      </w:r>
      <w:r w:rsidRPr="00946EDF">
        <w:t xml:space="preserve"> </w:t>
      </w:r>
      <w:r w:rsidRPr="00946EDF">
        <w:rPr>
          <w:rFonts w:eastAsia="Calibri" w:cs="Arial"/>
          <w:szCs w:val="22"/>
          <w:lang w:val="en-AU" w:eastAsia="en-US"/>
        </w:rPr>
        <w:t>Private Sector Development Initiative III, Outlays by Focus Area</w:t>
      </w:r>
      <w:r>
        <w:rPr>
          <w:rFonts w:eastAsia="Calibri" w:cs="Arial"/>
          <w:szCs w:val="22"/>
          <w:lang w:val="en-AU" w:eastAsia="en-US"/>
        </w:rPr>
        <w:tab/>
      </w:r>
      <w:r w:rsidR="006143B1">
        <w:rPr>
          <w:rFonts w:eastAsia="Calibri" w:cs="Arial"/>
          <w:szCs w:val="22"/>
          <w:lang w:val="en-AU" w:eastAsia="en-US"/>
        </w:rPr>
        <w:t>5</w:t>
      </w:r>
    </w:p>
    <w:p w:rsidR="00946EDF" w:rsidRDefault="00946EDF" w:rsidP="00170139">
      <w:pPr>
        <w:tabs>
          <w:tab w:val="left" w:pos="270"/>
          <w:tab w:val="right" w:pos="9360"/>
        </w:tabs>
        <w:jc w:val="left"/>
        <w:rPr>
          <w:rFonts w:eastAsia="Calibri" w:cs="Arial"/>
          <w:szCs w:val="22"/>
          <w:lang w:val="en-AU" w:eastAsia="en-US"/>
        </w:rPr>
      </w:pPr>
    </w:p>
    <w:p w:rsidR="00946EDF" w:rsidRPr="008E622C" w:rsidRDefault="00946EDF" w:rsidP="00946EDF">
      <w:pPr>
        <w:tabs>
          <w:tab w:val="left" w:pos="270"/>
          <w:tab w:val="right" w:pos="9360"/>
        </w:tabs>
        <w:ind w:left="270" w:hanging="270"/>
        <w:jc w:val="left"/>
        <w:rPr>
          <w:rFonts w:eastAsia="Times New Roman" w:cs="Arial"/>
          <w:b/>
          <w:bCs/>
          <w:sz w:val="24"/>
          <w:szCs w:val="22"/>
          <w:lang w:val="en-AU" w:eastAsia="x-none"/>
        </w:rPr>
      </w:pPr>
      <w:r>
        <w:rPr>
          <w:rFonts w:eastAsia="Times New Roman" w:cs="Arial"/>
          <w:b/>
          <w:bCs/>
          <w:sz w:val="24"/>
          <w:szCs w:val="22"/>
          <w:lang w:val="en-AU" w:eastAsia="x-none"/>
        </w:rPr>
        <w:t>Tabl</w:t>
      </w:r>
      <w:r w:rsidRPr="008E622C">
        <w:rPr>
          <w:rFonts w:eastAsia="Times New Roman" w:cs="Arial"/>
          <w:b/>
          <w:bCs/>
          <w:sz w:val="24"/>
          <w:szCs w:val="22"/>
          <w:lang w:val="en-AU" w:eastAsia="x-none"/>
        </w:rPr>
        <w:t>es</w:t>
      </w:r>
    </w:p>
    <w:p w:rsidR="00946EDF" w:rsidRDefault="00946EDF" w:rsidP="00946EDF">
      <w:pPr>
        <w:tabs>
          <w:tab w:val="left" w:pos="270"/>
          <w:tab w:val="right" w:pos="9360"/>
        </w:tabs>
        <w:jc w:val="left"/>
        <w:rPr>
          <w:rFonts w:eastAsia="Calibri" w:cs="Arial"/>
          <w:szCs w:val="22"/>
          <w:lang w:val="en-AU" w:eastAsia="en-US"/>
        </w:rPr>
      </w:pPr>
    </w:p>
    <w:p w:rsidR="00946EDF" w:rsidRDefault="00946EDF" w:rsidP="00946EDF">
      <w:pPr>
        <w:tabs>
          <w:tab w:val="left" w:pos="270"/>
          <w:tab w:val="right" w:pos="9360"/>
        </w:tabs>
        <w:jc w:val="left"/>
        <w:rPr>
          <w:rFonts w:eastAsia="Calibri" w:cs="Arial"/>
          <w:szCs w:val="22"/>
          <w:lang w:val="en-AU" w:eastAsia="en-US"/>
        </w:rPr>
      </w:pPr>
      <w:r>
        <w:rPr>
          <w:rFonts w:eastAsia="Calibri" w:cs="Arial"/>
          <w:szCs w:val="22"/>
          <w:lang w:val="en-AU" w:eastAsia="en-US"/>
        </w:rPr>
        <w:t xml:space="preserve">Table 1: </w:t>
      </w:r>
      <w:r w:rsidRPr="00946EDF">
        <w:rPr>
          <w:rFonts w:eastAsia="Calibri" w:cs="Arial"/>
          <w:szCs w:val="22"/>
          <w:lang w:val="en-AU" w:eastAsia="en-US"/>
        </w:rPr>
        <w:t>Financing Growth – Illustrative Activities and Results</w:t>
      </w:r>
      <w:r>
        <w:rPr>
          <w:rFonts w:eastAsia="Calibri" w:cs="Arial"/>
          <w:szCs w:val="22"/>
          <w:lang w:val="en-AU" w:eastAsia="en-US"/>
        </w:rPr>
        <w:tab/>
        <w:t>1</w:t>
      </w:r>
      <w:r w:rsidR="006143B1">
        <w:rPr>
          <w:rFonts w:eastAsia="Calibri" w:cs="Arial"/>
          <w:szCs w:val="22"/>
          <w:lang w:val="en-AU" w:eastAsia="en-US"/>
        </w:rPr>
        <w:t>2</w:t>
      </w:r>
    </w:p>
    <w:p w:rsidR="00946EDF" w:rsidRDefault="00946EDF" w:rsidP="00946EDF">
      <w:pPr>
        <w:tabs>
          <w:tab w:val="left" w:pos="270"/>
          <w:tab w:val="right" w:pos="9360"/>
        </w:tabs>
        <w:jc w:val="left"/>
        <w:rPr>
          <w:rFonts w:eastAsia="Calibri" w:cs="Arial"/>
          <w:szCs w:val="22"/>
          <w:lang w:val="en-AU" w:eastAsia="en-US"/>
        </w:rPr>
      </w:pPr>
      <w:r w:rsidRPr="00946EDF">
        <w:rPr>
          <w:rFonts w:eastAsia="Calibri" w:cs="Arial"/>
          <w:szCs w:val="22"/>
          <w:lang w:val="en-AU" w:eastAsia="en-US"/>
        </w:rPr>
        <w:t>Table 2: Financing Growth – Outcomes by Key Indicators</w:t>
      </w:r>
      <w:r>
        <w:rPr>
          <w:rFonts w:eastAsia="Calibri" w:cs="Arial"/>
          <w:szCs w:val="22"/>
          <w:lang w:val="en-AU" w:eastAsia="en-US"/>
        </w:rPr>
        <w:tab/>
        <w:t>1</w:t>
      </w:r>
      <w:r w:rsidR="006143B1">
        <w:rPr>
          <w:rFonts w:eastAsia="Calibri" w:cs="Arial"/>
          <w:szCs w:val="22"/>
          <w:lang w:val="en-AU" w:eastAsia="en-US"/>
        </w:rPr>
        <w:t>2</w:t>
      </w:r>
    </w:p>
    <w:p w:rsidR="00946EDF" w:rsidRDefault="00946EDF" w:rsidP="00946EDF">
      <w:pPr>
        <w:tabs>
          <w:tab w:val="left" w:pos="270"/>
          <w:tab w:val="right" w:pos="9360"/>
        </w:tabs>
        <w:jc w:val="left"/>
        <w:rPr>
          <w:rFonts w:eastAsia="Calibri" w:cs="Arial"/>
          <w:szCs w:val="22"/>
          <w:lang w:val="en-AU" w:eastAsia="en-US"/>
        </w:rPr>
      </w:pPr>
      <w:r>
        <w:rPr>
          <w:rFonts w:eastAsia="Calibri" w:cs="Arial"/>
          <w:szCs w:val="22"/>
          <w:lang w:val="en-AU" w:eastAsia="en-US"/>
        </w:rPr>
        <w:t xml:space="preserve">Table 3: </w:t>
      </w:r>
      <w:r w:rsidRPr="00946EDF">
        <w:rPr>
          <w:rFonts w:eastAsia="Calibri" w:cs="Arial"/>
          <w:szCs w:val="22"/>
          <w:lang w:val="en-AU" w:eastAsia="en-US"/>
        </w:rPr>
        <w:t>Secured Transactions – Numbers Registered</w:t>
      </w:r>
      <w:r>
        <w:rPr>
          <w:rFonts w:eastAsia="Calibri" w:cs="Arial"/>
          <w:szCs w:val="22"/>
          <w:lang w:val="en-AU" w:eastAsia="en-US"/>
        </w:rPr>
        <w:tab/>
        <w:t>1</w:t>
      </w:r>
      <w:r w:rsidR="006143B1">
        <w:rPr>
          <w:rFonts w:eastAsia="Calibri" w:cs="Arial"/>
          <w:szCs w:val="22"/>
          <w:lang w:val="en-AU" w:eastAsia="en-US"/>
        </w:rPr>
        <w:t>4</w:t>
      </w:r>
    </w:p>
    <w:p w:rsidR="00946EDF" w:rsidRDefault="00946EDF" w:rsidP="00946EDF">
      <w:pPr>
        <w:tabs>
          <w:tab w:val="left" w:pos="270"/>
          <w:tab w:val="right" w:pos="9360"/>
        </w:tabs>
        <w:jc w:val="left"/>
        <w:rPr>
          <w:rFonts w:eastAsia="Calibri" w:cs="Arial"/>
          <w:szCs w:val="22"/>
          <w:lang w:val="en-AU" w:eastAsia="en-US"/>
        </w:rPr>
      </w:pPr>
      <w:r>
        <w:rPr>
          <w:rFonts w:eastAsia="Calibri" w:cs="Arial"/>
          <w:szCs w:val="22"/>
          <w:lang w:val="en-AU" w:eastAsia="en-US"/>
        </w:rPr>
        <w:t xml:space="preserve">Table 4: </w:t>
      </w:r>
      <w:r w:rsidRPr="00946EDF">
        <w:rPr>
          <w:rFonts w:eastAsia="Calibri" w:cs="Arial"/>
          <w:szCs w:val="22"/>
          <w:lang w:val="en-AU" w:eastAsia="en-US"/>
        </w:rPr>
        <w:t>Business Law Reform – Illustrative Activities and Results</w:t>
      </w:r>
      <w:r>
        <w:rPr>
          <w:rFonts w:eastAsia="Calibri" w:cs="Arial"/>
          <w:szCs w:val="22"/>
          <w:lang w:val="en-AU" w:eastAsia="en-US"/>
        </w:rPr>
        <w:tab/>
        <w:t>1</w:t>
      </w:r>
      <w:r w:rsidR="006143B1">
        <w:rPr>
          <w:rFonts w:eastAsia="Calibri" w:cs="Arial"/>
          <w:szCs w:val="22"/>
          <w:lang w:val="en-AU" w:eastAsia="en-US"/>
        </w:rPr>
        <w:t>5</w:t>
      </w:r>
    </w:p>
    <w:p w:rsidR="00946EDF" w:rsidRDefault="00946EDF" w:rsidP="00946EDF">
      <w:pPr>
        <w:tabs>
          <w:tab w:val="left" w:pos="270"/>
          <w:tab w:val="right" w:pos="9360"/>
        </w:tabs>
        <w:jc w:val="left"/>
        <w:rPr>
          <w:rFonts w:eastAsia="Calibri" w:cs="Arial"/>
          <w:szCs w:val="22"/>
          <w:lang w:val="en-AU" w:eastAsia="en-US"/>
        </w:rPr>
      </w:pPr>
      <w:r>
        <w:rPr>
          <w:rFonts w:eastAsia="Calibri" w:cs="Arial"/>
          <w:szCs w:val="22"/>
          <w:lang w:val="en-AU" w:eastAsia="en-US"/>
        </w:rPr>
        <w:t xml:space="preserve">Table 5: </w:t>
      </w:r>
      <w:r w:rsidRPr="00946EDF">
        <w:rPr>
          <w:rFonts w:eastAsia="Calibri" w:cs="Arial"/>
          <w:szCs w:val="22"/>
          <w:lang w:val="en-AU" w:eastAsia="en-US"/>
        </w:rPr>
        <w:t>Business Law Reform – Key Indicators and Results, 2014–2017</w:t>
      </w:r>
      <w:r>
        <w:rPr>
          <w:rFonts w:eastAsia="Calibri" w:cs="Arial"/>
          <w:szCs w:val="22"/>
          <w:lang w:val="en-AU" w:eastAsia="en-US"/>
        </w:rPr>
        <w:tab/>
        <w:t>1</w:t>
      </w:r>
      <w:r w:rsidR="006143B1">
        <w:rPr>
          <w:rFonts w:eastAsia="Calibri" w:cs="Arial"/>
          <w:szCs w:val="22"/>
          <w:lang w:val="en-AU" w:eastAsia="en-US"/>
        </w:rPr>
        <w:t>6</w:t>
      </w:r>
    </w:p>
    <w:p w:rsidR="00946EDF" w:rsidRDefault="00946EDF" w:rsidP="00946EDF">
      <w:pPr>
        <w:tabs>
          <w:tab w:val="left" w:pos="270"/>
          <w:tab w:val="right" w:pos="9360"/>
        </w:tabs>
        <w:jc w:val="left"/>
        <w:rPr>
          <w:rFonts w:eastAsia="Calibri" w:cs="Arial"/>
          <w:szCs w:val="22"/>
          <w:lang w:val="en-AU" w:eastAsia="en-US"/>
        </w:rPr>
      </w:pPr>
      <w:r>
        <w:rPr>
          <w:rFonts w:eastAsia="Calibri" w:cs="Arial"/>
          <w:szCs w:val="22"/>
          <w:lang w:val="en-AU" w:eastAsia="en-US"/>
        </w:rPr>
        <w:t xml:space="preserve">Table 6: </w:t>
      </w:r>
      <w:r w:rsidRPr="00946EDF">
        <w:rPr>
          <w:rFonts w:eastAsia="Calibri" w:cs="Arial"/>
          <w:szCs w:val="22"/>
          <w:lang w:val="en-AU" w:eastAsia="en-US"/>
        </w:rPr>
        <w:t>Business Registrations</w:t>
      </w:r>
      <w:r>
        <w:rPr>
          <w:rFonts w:eastAsia="Calibri" w:cs="Arial"/>
          <w:szCs w:val="22"/>
          <w:lang w:val="en-AU" w:eastAsia="en-US"/>
        </w:rPr>
        <w:tab/>
        <w:t>1</w:t>
      </w:r>
      <w:r w:rsidR="006143B1">
        <w:rPr>
          <w:rFonts w:eastAsia="Calibri" w:cs="Arial"/>
          <w:szCs w:val="22"/>
          <w:lang w:val="en-AU" w:eastAsia="en-US"/>
        </w:rPr>
        <w:t>7</w:t>
      </w:r>
    </w:p>
    <w:p w:rsidR="00946EDF" w:rsidRDefault="00946EDF" w:rsidP="00946EDF">
      <w:pPr>
        <w:tabs>
          <w:tab w:val="left" w:pos="270"/>
          <w:tab w:val="right" w:pos="9360"/>
        </w:tabs>
        <w:jc w:val="left"/>
        <w:rPr>
          <w:rFonts w:eastAsia="Calibri" w:cs="Arial"/>
          <w:szCs w:val="22"/>
          <w:lang w:val="en-AU" w:eastAsia="en-US"/>
        </w:rPr>
      </w:pPr>
      <w:r>
        <w:rPr>
          <w:rFonts w:eastAsia="Calibri" w:cs="Arial"/>
          <w:szCs w:val="22"/>
          <w:lang w:val="en-AU" w:eastAsia="en-US"/>
        </w:rPr>
        <w:t xml:space="preserve">Table 7: </w:t>
      </w:r>
      <w:r w:rsidRPr="00946EDF">
        <w:rPr>
          <w:rFonts w:eastAsia="Calibri" w:cs="Arial"/>
          <w:szCs w:val="22"/>
          <w:lang w:val="en-AU" w:eastAsia="en-US"/>
        </w:rPr>
        <w:t>Competition and Consumer Protection Outcomes, 2014–2017</w:t>
      </w:r>
      <w:r w:rsidR="006143B1">
        <w:rPr>
          <w:rFonts w:eastAsia="Calibri" w:cs="Arial"/>
          <w:szCs w:val="22"/>
          <w:lang w:val="en-AU" w:eastAsia="en-US"/>
        </w:rPr>
        <w:tab/>
        <w:t>19</w:t>
      </w:r>
    </w:p>
    <w:p w:rsidR="00946EDF" w:rsidRDefault="00946EDF" w:rsidP="00946EDF">
      <w:pPr>
        <w:tabs>
          <w:tab w:val="left" w:pos="270"/>
          <w:tab w:val="right" w:pos="9360"/>
        </w:tabs>
        <w:jc w:val="left"/>
        <w:rPr>
          <w:rFonts w:eastAsia="Calibri" w:cs="Arial"/>
          <w:szCs w:val="22"/>
          <w:lang w:val="en-AU" w:eastAsia="en-US"/>
        </w:rPr>
      </w:pPr>
      <w:r>
        <w:rPr>
          <w:rFonts w:eastAsia="Calibri" w:cs="Arial"/>
          <w:szCs w:val="22"/>
          <w:lang w:val="en-AU" w:eastAsia="en-US"/>
        </w:rPr>
        <w:t xml:space="preserve">Table 8: </w:t>
      </w:r>
      <w:r w:rsidRPr="00946EDF">
        <w:rPr>
          <w:rFonts w:eastAsia="Calibri" w:cs="Arial"/>
          <w:szCs w:val="22"/>
          <w:lang w:val="en-AU" w:eastAsia="en-US"/>
        </w:rPr>
        <w:t>MiCash Users</w:t>
      </w:r>
      <w:r w:rsidR="006143B1">
        <w:rPr>
          <w:rFonts w:eastAsia="Calibri" w:cs="Arial"/>
          <w:szCs w:val="22"/>
          <w:lang w:val="en-AU" w:eastAsia="en-US"/>
        </w:rPr>
        <w:tab/>
        <w:t>22</w:t>
      </w:r>
    </w:p>
    <w:p w:rsidR="00946EDF" w:rsidRDefault="00946EDF" w:rsidP="00946EDF">
      <w:pPr>
        <w:tabs>
          <w:tab w:val="left" w:pos="270"/>
          <w:tab w:val="right" w:pos="9360"/>
        </w:tabs>
        <w:jc w:val="left"/>
        <w:rPr>
          <w:rFonts w:eastAsia="Calibri" w:cs="Arial"/>
          <w:szCs w:val="22"/>
          <w:lang w:val="en-AU" w:eastAsia="en-US"/>
        </w:rPr>
      </w:pPr>
      <w:r>
        <w:rPr>
          <w:rFonts w:eastAsia="Calibri" w:cs="Arial"/>
          <w:szCs w:val="22"/>
          <w:lang w:val="en-AU" w:eastAsia="en-US"/>
        </w:rPr>
        <w:t xml:space="preserve">Table 9: Depositors and Borrowers, </w:t>
      </w:r>
      <w:r w:rsidRPr="00946EDF">
        <w:rPr>
          <w:rFonts w:eastAsia="Calibri" w:cs="Arial"/>
          <w:szCs w:val="22"/>
          <w:lang w:val="en-AU" w:eastAsia="en-US"/>
        </w:rPr>
        <w:t>Banco Nacional de Comércio de Timor-Leste</w:t>
      </w:r>
      <w:r w:rsidR="006143B1">
        <w:rPr>
          <w:rFonts w:eastAsia="Calibri" w:cs="Arial"/>
          <w:szCs w:val="22"/>
          <w:lang w:val="en-AU" w:eastAsia="en-US"/>
        </w:rPr>
        <w:tab/>
        <w:t>22</w:t>
      </w:r>
    </w:p>
    <w:p w:rsidR="00946EDF" w:rsidRDefault="00946EDF" w:rsidP="00946EDF">
      <w:pPr>
        <w:tabs>
          <w:tab w:val="left" w:pos="270"/>
          <w:tab w:val="right" w:pos="9360"/>
        </w:tabs>
        <w:jc w:val="left"/>
        <w:rPr>
          <w:rFonts w:eastAsia="Calibri" w:cs="Arial"/>
          <w:szCs w:val="22"/>
          <w:lang w:val="en-AU" w:eastAsia="en-US"/>
        </w:rPr>
      </w:pPr>
      <w:r>
        <w:rPr>
          <w:rFonts w:eastAsia="Calibri" w:cs="Arial"/>
          <w:szCs w:val="22"/>
          <w:lang w:val="en-AU" w:eastAsia="en-US"/>
        </w:rPr>
        <w:t xml:space="preserve">Table 10: </w:t>
      </w:r>
      <w:r w:rsidRPr="00946EDF">
        <w:rPr>
          <w:rFonts w:eastAsia="Calibri" w:cs="Arial"/>
          <w:szCs w:val="22"/>
          <w:lang w:val="en-AU" w:eastAsia="en-US"/>
        </w:rPr>
        <w:t>Women Directors of State-Owned Enterprises in the Pacific</w:t>
      </w:r>
      <w:r w:rsidR="006143B1">
        <w:rPr>
          <w:rFonts w:eastAsia="Calibri" w:cs="Arial"/>
          <w:szCs w:val="22"/>
          <w:lang w:val="en-AU" w:eastAsia="en-US"/>
        </w:rPr>
        <w:tab/>
        <w:t>26</w:t>
      </w:r>
    </w:p>
    <w:p w:rsidR="00946EDF" w:rsidRPr="00946EDF" w:rsidRDefault="00946EDF" w:rsidP="00946EDF">
      <w:pPr>
        <w:tabs>
          <w:tab w:val="left" w:pos="270"/>
          <w:tab w:val="right" w:pos="9360"/>
        </w:tabs>
        <w:jc w:val="left"/>
        <w:rPr>
          <w:rFonts w:eastAsia="Calibri" w:cs="Arial"/>
          <w:szCs w:val="22"/>
          <w:lang w:val="en-AU" w:eastAsia="en-US"/>
        </w:rPr>
      </w:pPr>
    </w:p>
    <w:p w:rsidR="00946EDF" w:rsidRPr="00946EDF" w:rsidRDefault="00946EDF" w:rsidP="00946EDF">
      <w:pPr>
        <w:tabs>
          <w:tab w:val="left" w:pos="270"/>
          <w:tab w:val="right" w:pos="9360"/>
        </w:tabs>
        <w:jc w:val="left"/>
        <w:rPr>
          <w:rFonts w:eastAsia="Calibri" w:cs="Arial"/>
          <w:szCs w:val="22"/>
          <w:lang w:val="en-AU" w:eastAsia="en-US"/>
        </w:rPr>
      </w:pPr>
    </w:p>
    <w:p w:rsidR="00946EDF" w:rsidRPr="00946EDF" w:rsidRDefault="00946EDF" w:rsidP="00946EDF">
      <w:pPr>
        <w:tabs>
          <w:tab w:val="left" w:pos="270"/>
          <w:tab w:val="right" w:pos="9360"/>
        </w:tabs>
        <w:jc w:val="left"/>
        <w:rPr>
          <w:rFonts w:eastAsia="Calibri" w:cs="Arial"/>
          <w:szCs w:val="22"/>
          <w:lang w:val="en-AU" w:eastAsia="en-US"/>
        </w:rPr>
      </w:pPr>
    </w:p>
    <w:p w:rsidR="00170139" w:rsidRPr="00170139" w:rsidRDefault="00170139" w:rsidP="00170139">
      <w:pPr>
        <w:tabs>
          <w:tab w:val="left" w:pos="270"/>
          <w:tab w:val="right" w:pos="9360"/>
        </w:tabs>
        <w:jc w:val="left"/>
        <w:rPr>
          <w:rFonts w:eastAsia="Calibri" w:cs="Arial"/>
          <w:szCs w:val="22"/>
          <w:lang w:val="en-AU" w:eastAsia="en-US"/>
        </w:rPr>
        <w:sectPr w:rsidR="00170139" w:rsidRPr="00170139" w:rsidSect="00C930F2">
          <w:pgSz w:w="12240" w:h="15840"/>
          <w:pgMar w:top="1440" w:right="1440" w:bottom="1440" w:left="1440" w:header="720" w:footer="720" w:gutter="0"/>
          <w:pgNumType w:fmt="lowerRoman" w:chapStyle="1"/>
          <w:cols w:space="720"/>
          <w:titlePg/>
          <w:docGrid w:linePitch="360"/>
        </w:sectPr>
      </w:pPr>
    </w:p>
    <w:p w:rsidR="00346198" w:rsidRPr="00170139" w:rsidRDefault="00346198" w:rsidP="00C13C20">
      <w:pPr>
        <w:tabs>
          <w:tab w:val="left" w:pos="270"/>
          <w:tab w:val="right" w:pos="9360"/>
        </w:tabs>
        <w:ind w:left="270" w:hanging="270"/>
        <w:jc w:val="left"/>
        <w:rPr>
          <w:rFonts w:eastAsia="Calibri" w:cs="Arial"/>
          <w:szCs w:val="22"/>
          <w:lang w:val="en-AU" w:eastAsia="en-US"/>
        </w:rPr>
      </w:pPr>
    </w:p>
    <w:p w:rsidR="00346198" w:rsidRPr="00170139" w:rsidRDefault="00346198" w:rsidP="00170139">
      <w:pPr>
        <w:keepNext/>
        <w:keepLines/>
        <w:spacing w:after="100" w:afterAutospacing="1" w:line="259" w:lineRule="auto"/>
        <w:jc w:val="center"/>
        <w:outlineLvl w:val="0"/>
        <w:rPr>
          <w:rFonts w:ascii="Arial Bold" w:eastAsia="Times New Roman" w:hAnsi="Arial Bold"/>
          <w:b/>
          <w:bCs/>
          <w:caps/>
          <w:sz w:val="24"/>
          <w:lang w:val="x-none" w:eastAsia="x-none"/>
        </w:rPr>
      </w:pPr>
      <w:bookmarkStart w:id="3" w:name="_Toc494378852"/>
      <w:r w:rsidRPr="00170139">
        <w:rPr>
          <w:rFonts w:ascii="Arial Bold" w:eastAsia="Times New Roman" w:hAnsi="Arial Bold"/>
          <w:b/>
          <w:bCs/>
          <w:caps/>
          <w:sz w:val="24"/>
          <w:lang w:val="x-none" w:eastAsia="x-none"/>
        </w:rPr>
        <w:t>Executive Summary</w:t>
      </w:r>
      <w:bookmarkEnd w:id="3"/>
    </w:p>
    <w:p w:rsidR="00346198" w:rsidRPr="00170139" w:rsidRDefault="00346198" w:rsidP="00346198">
      <w:pPr>
        <w:ind w:firstLine="567"/>
        <w:rPr>
          <w:rFonts w:eastAsia="Calibri" w:cs="Arial"/>
          <w:szCs w:val="22"/>
          <w:lang w:eastAsia="en-US"/>
        </w:rPr>
      </w:pPr>
      <w:r w:rsidRPr="00170139">
        <w:rPr>
          <w:rFonts w:eastAsia="Calibri" w:cs="Arial"/>
          <w:szCs w:val="22"/>
          <w:lang w:eastAsia="en-US"/>
        </w:rPr>
        <w:t xml:space="preserve">The </w:t>
      </w:r>
      <w:r w:rsidR="002C45B4" w:rsidRPr="00170139">
        <w:rPr>
          <w:rFonts w:eastAsia="Calibri" w:cs="Arial"/>
          <w:szCs w:val="22"/>
          <w:lang w:eastAsia="en-US"/>
        </w:rPr>
        <w:t xml:space="preserve">Pacific </w:t>
      </w:r>
      <w:r w:rsidRPr="00170139">
        <w:rPr>
          <w:rFonts w:eastAsia="Calibri" w:cs="Arial"/>
          <w:szCs w:val="22"/>
          <w:lang w:eastAsia="en-US"/>
        </w:rPr>
        <w:t>Private Sector Development Initiative (PSDI) has provided advisory services to promote private sector development in the 14 Pacific developing member countries (DMCs)</w:t>
      </w:r>
      <w:r w:rsidR="002C45B4" w:rsidRPr="00170139">
        <w:rPr>
          <w:rFonts w:eastAsia="Calibri" w:cs="Arial"/>
          <w:szCs w:val="22"/>
          <w:lang w:eastAsia="en-US"/>
        </w:rPr>
        <w:t xml:space="preserve"> of the Asian Development Bank (ADB)</w:t>
      </w:r>
      <w:r w:rsidRPr="00170139">
        <w:rPr>
          <w:rFonts w:eastAsia="Calibri" w:cs="Arial"/>
          <w:szCs w:val="22"/>
          <w:lang w:eastAsia="en-US"/>
        </w:rPr>
        <w:t xml:space="preserve">. Pacific DMCs face </w:t>
      </w:r>
      <w:r w:rsidR="00EB4803" w:rsidRPr="00170139">
        <w:rPr>
          <w:rFonts w:eastAsia="Calibri" w:cs="Arial"/>
          <w:szCs w:val="22"/>
          <w:lang w:eastAsia="en-US"/>
        </w:rPr>
        <w:t xml:space="preserve">some </w:t>
      </w:r>
      <w:r w:rsidR="008F02F2" w:rsidRPr="00170139">
        <w:rPr>
          <w:rFonts w:eastAsia="Calibri" w:cs="Arial"/>
          <w:szCs w:val="22"/>
          <w:lang w:eastAsia="en-US"/>
        </w:rPr>
        <w:t xml:space="preserve">intractable barriers to their </w:t>
      </w:r>
      <w:r w:rsidRPr="00170139">
        <w:rPr>
          <w:rFonts w:eastAsia="Calibri" w:cs="Arial"/>
          <w:szCs w:val="22"/>
          <w:lang w:eastAsia="en-US"/>
        </w:rPr>
        <w:t>development</w:t>
      </w:r>
      <w:r w:rsidR="005B3644" w:rsidRPr="00170139">
        <w:rPr>
          <w:rFonts w:eastAsia="Calibri" w:cs="Arial"/>
          <w:szCs w:val="22"/>
          <w:lang w:eastAsia="en-US"/>
        </w:rPr>
        <w:t>:</w:t>
      </w:r>
      <w:r w:rsidRPr="00170139">
        <w:rPr>
          <w:rFonts w:eastAsia="Calibri" w:cs="Arial"/>
          <w:szCs w:val="22"/>
          <w:lang w:eastAsia="en-US"/>
        </w:rPr>
        <w:t xml:space="preserve"> </w:t>
      </w:r>
      <w:r w:rsidR="008158DB" w:rsidRPr="00170139">
        <w:rPr>
          <w:rFonts w:eastAsia="Calibri" w:cs="Arial"/>
          <w:szCs w:val="22"/>
          <w:lang w:eastAsia="en-US"/>
        </w:rPr>
        <w:t>t</w:t>
      </w:r>
      <w:r w:rsidRPr="00170139">
        <w:rPr>
          <w:rFonts w:eastAsia="Calibri" w:cs="Arial"/>
          <w:szCs w:val="22"/>
          <w:lang w:eastAsia="en-US"/>
        </w:rPr>
        <w:t xml:space="preserve">heir economies are separated by vast distances and their </w:t>
      </w:r>
      <w:r w:rsidR="005B3644" w:rsidRPr="00170139">
        <w:rPr>
          <w:rFonts w:eastAsia="Calibri" w:cs="Arial"/>
          <w:szCs w:val="22"/>
          <w:lang w:eastAsia="en-US"/>
        </w:rPr>
        <w:t xml:space="preserve">geographic </w:t>
      </w:r>
      <w:r w:rsidRPr="00170139">
        <w:rPr>
          <w:rFonts w:eastAsia="Calibri" w:cs="Arial"/>
          <w:szCs w:val="22"/>
          <w:lang w:eastAsia="en-US"/>
        </w:rPr>
        <w:t xml:space="preserve">isolation and small </w:t>
      </w:r>
      <w:r w:rsidR="005B3644" w:rsidRPr="00170139">
        <w:rPr>
          <w:rFonts w:eastAsia="Calibri" w:cs="Arial"/>
          <w:szCs w:val="22"/>
          <w:lang w:eastAsia="en-US"/>
        </w:rPr>
        <w:t xml:space="preserve">population </w:t>
      </w:r>
      <w:r w:rsidRPr="00170139">
        <w:rPr>
          <w:rFonts w:eastAsia="Calibri" w:cs="Arial"/>
          <w:szCs w:val="22"/>
          <w:lang w:eastAsia="en-US"/>
        </w:rPr>
        <w:t>size</w:t>
      </w:r>
      <w:r w:rsidR="005B3644" w:rsidRPr="00170139">
        <w:rPr>
          <w:rFonts w:eastAsia="Calibri" w:cs="Arial"/>
          <w:szCs w:val="22"/>
          <w:lang w:eastAsia="en-US"/>
        </w:rPr>
        <w:t>s</w:t>
      </w:r>
      <w:r w:rsidRPr="00170139">
        <w:rPr>
          <w:rFonts w:eastAsia="Calibri" w:cs="Arial"/>
          <w:szCs w:val="22"/>
          <w:lang w:eastAsia="en-US"/>
        </w:rPr>
        <w:t xml:space="preserve"> present major obstacles for economic development. These physical challenges are compounded by historically low investments in education and health</w:t>
      </w:r>
      <w:r w:rsidR="00791F8F" w:rsidRPr="00170139">
        <w:rPr>
          <w:rFonts w:eastAsia="Calibri" w:cs="Arial"/>
          <w:szCs w:val="22"/>
          <w:lang w:eastAsia="en-US"/>
        </w:rPr>
        <w:t xml:space="preserve">. </w:t>
      </w:r>
      <w:r w:rsidR="005B3644" w:rsidRPr="00170139">
        <w:rPr>
          <w:rFonts w:eastAsia="Calibri" w:cs="Arial"/>
          <w:szCs w:val="22"/>
          <w:lang w:eastAsia="en-US"/>
        </w:rPr>
        <w:t>Meanwhile</w:t>
      </w:r>
      <w:r w:rsidRPr="00170139">
        <w:rPr>
          <w:rFonts w:eastAsia="Calibri" w:cs="Arial"/>
          <w:szCs w:val="22"/>
          <w:lang w:eastAsia="en-US"/>
        </w:rPr>
        <w:t xml:space="preserve">, climate change presents </w:t>
      </w:r>
      <w:r w:rsidR="004C0FFB" w:rsidRPr="00170139">
        <w:rPr>
          <w:rFonts w:eastAsia="Calibri" w:cs="Arial"/>
          <w:szCs w:val="22"/>
          <w:lang w:eastAsia="en-US"/>
        </w:rPr>
        <w:t xml:space="preserve">a </w:t>
      </w:r>
      <w:r w:rsidRPr="00170139">
        <w:rPr>
          <w:rFonts w:eastAsia="Calibri" w:cs="Arial"/>
          <w:szCs w:val="22"/>
          <w:lang w:eastAsia="en-US"/>
        </w:rPr>
        <w:t>key challenge.</w:t>
      </w:r>
    </w:p>
    <w:p w:rsidR="00346198" w:rsidRPr="00170139" w:rsidRDefault="00346198" w:rsidP="00C13C20">
      <w:pPr>
        <w:rPr>
          <w:rFonts w:eastAsia="Calibri" w:cs="Arial"/>
          <w:szCs w:val="22"/>
          <w:lang w:eastAsia="en-US"/>
        </w:rPr>
      </w:pPr>
    </w:p>
    <w:p w:rsidR="00346198" w:rsidRPr="00170139" w:rsidRDefault="00A3655B" w:rsidP="00346198">
      <w:pPr>
        <w:ind w:firstLine="567"/>
        <w:rPr>
          <w:rFonts w:eastAsia="Calibri" w:cs="Arial"/>
          <w:szCs w:val="22"/>
          <w:lang w:eastAsia="en-US"/>
        </w:rPr>
      </w:pPr>
      <w:r w:rsidRPr="00170139">
        <w:rPr>
          <w:rFonts w:eastAsia="Calibri" w:cs="Arial"/>
          <w:szCs w:val="22"/>
          <w:lang w:eastAsia="en-US"/>
        </w:rPr>
        <w:t>In spite of these barriers and challenges, and in the c</w:t>
      </w:r>
      <w:r w:rsidR="00B44150" w:rsidRPr="00170139">
        <w:rPr>
          <w:rFonts w:eastAsia="Calibri" w:cs="Arial"/>
          <w:szCs w:val="22"/>
          <w:lang w:eastAsia="en-US"/>
        </w:rPr>
        <w:t>ontext of</w:t>
      </w:r>
      <w:r w:rsidRPr="00170139">
        <w:rPr>
          <w:rFonts w:eastAsia="Calibri" w:cs="Arial"/>
          <w:szCs w:val="22"/>
          <w:lang w:eastAsia="en-US"/>
        </w:rPr>
        <w:t xml:space="preserve"> </w:t>
      </w:r>
      <w:r w:rsidR="00346198" w:rsidRPr="00170139">
        <w:rPr>
          <w:rFonts w:eastAsia="Calibri" w:cs="Arial"/>
          <w:szCs w:val="22"/>
          <w:lang w:eastAsia="en-US"/>
        </w:rPr>
        <w:t>demand</w:t>
      </w:r>
      <w:r w:rsidR="00B44150" w:rsidRPr="00170139">
        <w:rPr>
          <w:rFonts w:eastAsia="Calibri" w:cs="Arial"/>
          <w:szCs w:val="22"/>
          <w:lang w:eastAsia="en-US"/>
        </w:rPr>
        <w:t>-</w:t>
      </w:r>
      <w:r w:rsidR="00346198" w:rsidRPr="00170139">
        <w:rPr>
          <w:rFonts w:eastAsia="Calibri" w:cs="Arial"/>
          <w:szCs w:val="22"/>
          <w:lang w:eastAsia="en-US"/>
        </w:rPr>
        <w:t xml:space="preserve">driven development policies, </w:t>
      </w:r>
      <w:r w:rsidR="000D639E">
        <w:rPr>
          <w:rFonts w:eastAsia="Calibri" w:cs="Arial"/>
          <w:szCs w:val="22"/>
          <w:lang w:eastAsia="en-US"/>
        </w:rPr>
        <w:t>the</w:t>
      </w:r>
      <w:r w:rsidR="005B3644" w:rsidRPr="00170139">
        <w:rPr>
          <w:rFonts w:eastAsia="Calibri" w:cs="Arial"/>
          <w:szCs w:val="22"/>
          <w:lang w:eastAsia="en-US"/>
        </w:rPr>
        <w:t xml:space="preserve"> </w:t>
      </w:r>
      <w:r w:rsidR="00346198" w:rsidRPr="00170139">
        <w:rPr>
          <w:rFonts w:eastAsia="Calibri" w:cs="Arial"/>
          <w:szCs w:val="22"/>
          <w:lang w:eastAsia="en-US"/>
        </w:rPr>
        <w:t xml:space="preserve">PSDI </w:t>
      </w:r>
      <w:r w:rsidR="000D639E">
        <w:rPr>
          <w:rFonts w:eastAsia="Calibri" w:cs="Arial"/>
          <w:szCs w:val="22"/>
          <w:lang w:eastAsia="en-US"/>
        </w:rPr>
        <w:t>teams</w:t>
      </w:r>
      <w:r w:rsidR="00346198" w:rsidRPr="00170139">
        <w:rPr>
          <w:rFonts w:eastAsia="Calibri" w:cs="Arial"/>
          <w:szCs w:val="22"/>
          <w:lang w:eastAsia="en-US"/>
        </w:rPr>
        <w:t xml:space="preserve"> have created effective programs in fostering</w:t>
      </w:r>
      <w:r w:rsidR="009A5243" w:rsidRPr="00170139">
        <w:rPr>
          <w:rFonts w:eastAsia="Calibri" w:cs="Arial"/>
          <w:szCs w:val="22"/>
          <w:lang w:eastAsia="en-US"/>
        </w:rPr>
        <w:t xml:space="preserve"> reforms to</w:t>
      </w:r>
      <w:r w:rsidR="00346198" w:rsidRPr="00170139">
        <w:rPr>
          <w:rFonts w:eastAsia="Calibri" w:cs="Arial"/>
          <w:szCs w:val="22"/>
          <w:lang w:eastAsia="en-US"/>
        </w:rPr>
        <w:t xml:space="preserve"> business law</w:t>
      </w:r>
      <w:r w:rsidR="009A5243" w:rsidRPr="00170139">
        <w:rPr>
          <w:rFonts w:eastAsia="Calibri" w:cs="Arial"/>
          <w:szCs w:val="22"/>
          <w:lang w:eastAsia="en-US"/>
        </w:rPr>
        <w:t>s</w:t>
      </w:r>
      <w:r w:rsidR="00346198" w:rsidRPr="00170139">
        <w:rPr>
          <w:rFonts w:eastAsia="Calibri" w:cs="Arial"/>
          <w:szCs w:val="22"/>
          <w:lang w:eastAsia="en-US"/>
        </w:rPr>
        <w:t xml:space="preserve"> and business registr</w:t>
      </w:r>
      <w:r w:rsidR="009A5243" w:rsidRPr="00170139">
        <w:rPr>
          <w:rFonts w:eastAsia="Calibri" w:cs="Arial"/>
          <w:szCs w:val="22"/>
          <w:lang w:eastAsia="en-US"/>
        </w:rPr>
        <w:t>ies</w:t>
      </w:r>
      <w:r w:rsidR="00346198" w:rsidRPr="00170139">
        <w:rPr>
          <w:rFonts w:eastAsia="Calibri" w:cs="Arial"/>
          <w:szCs w:val="22"/>
          <w:lang w:eastAsia="en-US"/>
        </w:rPr>
        <w:t>,</w:t>
      </w:r>
      <w:r w:rsidR="000C15E8">
        <w:rPr>
          <w:rFonts w:eastAsia="Calibri" w:cs="Arial"/>
          <w:szCs w:val="22"/>
          <w:lang w:eastAsia="en-US"/>
        </w:rPr>
        <w:t xml:space="preserve"> </w:t>
      </w:r>
      <w:r w:rsidR="009A5243" w:rsidRPr="00170139">
        <w:rPr>
          <w:rFonts w:eastAsia="Calibri" w:cs="Arial"/>
          <w:szCs w:val="22"/>
          <w:lang w:eastAsia="en-US"/>
        </w:rPr>
        <w:t xml:space="preserve">restructuring and </w:t>
      </w:r>
      <w:r w:rsidR="00346198" w:rsidRPr="00170139">
        <w:rPr>
          <w:rFonts w:eastAsia="Calibri" w:cs="Arial"/>
          <w:szCs w:val="22"/>
          <w:lang w:eastAsia="en-US"/>
        </w:rPr>
        <w:t>reforming state-owned enterprises</w:t>
      </w:r>
      <w:r w:rsidR="004B1AF2" w:rsidRPr="00170139">
        <w:rPr>
          <w:rFonts w:eastAsia="Calibri" w:cs="Arial"/>
          <w:szCs w:val="22"/>
          <w:lang w:eastAsia="en-US"/>
        </w:rPr>
        <w:t xml:space="preserve"> (SOEs)</w:t>
      </w:r>
      <w:r w:rsidR="00346198" w:rsidRPr="00170139">
        <w:rPr>
          <w:rFonts w:eastAsia="Calibri" w:cs="Arial"/>
          <w:szCs w:val="22"/>
          <w:lang w:eastAsia="en-US"/>
        </w:rPr>
        <w:t xml:space="preserve"> to enhance market competitiveness, and </w:t>
      </w:r>
      <w:r w:rsidR="004D43CA" w:rsidRPr="00170139">
        <w:rPr>
          <w:rFonts w:eastAsia="Calibri" w:cs="Arial"/>
          <w:szCs w:val="22"/>
          <w:lang w:eastAsia="en-US"/>
        </w:rPr>
        <w:t>expanding</w:t>
      </w:r>
      <w:r w:rsidR="00346198" w:rsidRPr="00170139">
        <w:rPr>
          <w:rFonts w:eastAsia="Calibri" w:cs="Arial"/>
          <w:szCs w:val="22"/>
          <w:lang w:eastAsia="en-US"/>
        </w:rPr>
        <w:t xml:space="preserve"> access to finance for small and medium-sized enterprises in</w:t>
      </w:r>
      <w:r w:rsidR="0050520C" w:rsidRPr="00170139">
        <w:rPr>
          <w:rFonts w:eastAsia="Calibri" w:cs="Arial"/>
          <w:szCs w:val="22"/>
          <w:lang w:eastAsia="en-US"/>
        </w:rPr>
        <w:t xml:space="preserve"> </w:t>
      </w:r>
      <w:r w:rsidR="00C94F94" w:rsidRPr="00170139">
        <w:rPr>
          <w:rFonts w:eastAsia="Calibri" w:cs="Arial"/>
          <w:szCs w:val="22"/>
          <w:lang w:eastAsia="en-US"/>
        </w:rPr>
        <w:t xml:space="preserve">small and often intransigent </w:t>
      </w:r>
      <w:r w:rsidR="008E171E" w:rsidRPr="00170139">
        <w:rPr>
          <w:rFonts w:eastAsia="Calibri" w:cs="Arial"/>
          <w:szCs w:val="22"/>
          <w:lang w:eastAsia="en-US"/>
        </w:rPr>
        <w:t xml:space="preserve">Pacific island </w:t>
      </w:r>
      <w:r w:rsidR="00346198" w:rsidRPr="00170139">
        <w:rPr>
          <w:rFonts w:eastAsia="Calibri" w:cs="Arial"/>
          <w:szCs w:val="22"/>
          <w:lang w:eastAsia="en-US"/>
        </w:rPr>
        <w:t>economies.</w:t>
      </w:r>
      <w:r w:rsidR="00D578D9" w:rsidRPr="00170139" w:rsidDel="00D578D9">
        <w:rPr>
          <w:rFonts w:eastAsia="Calibri" w:cs="Arial"/>
          <w:szCs w:val="22"/>
          <w:vertAlign w:val="superscript"/>
          <w:lang w:eastAsia="en-US"/>
        </w:rPr>
        <w:t xml:space="preserve"> </w:t>
      </w:r>
      <w:r w:rsidR="00C2406D" w:rsidRPr="00170139">
        <w:rPr>
          <w:rFonts w:eastAsia="Calibri" w:cs="Arial"/>
          <w:szCs w:val="22"/>
          <w:lang w:eastAsia="en-US"/>
        </w:rPr>
        <w:t>The economic empowerment of women</w:t>
      </w:r>
      <w:r w:rsidR="009842CE" w:rsidRPr="00170139">
        <w:rPr>
          <w:rFonts w:eastAsia="Calibri" w:cs="Arial"/>
          <w:szCs w:val="22"/>
          <w:lang w:eastAsia="en-US"/>
        </w:rPr>
        <w:t>, and effective competition</w:t>
      </w:r>
      <w:r w:rsidR="00B25F12" w:rsidRPr="00170139">
        <w:rPr>
          <w:rFonts w:eastAsia="Calibri" w:cs="Arial"/>
          <w:szCs w:val="22"/>
          <w:lang w:eastAsia="en-US"/>
        </w:rPr>
        <w:t xml:space="preserve"> p</w:t>
      </w:r>
      <w:r w:rsidR="00B44150" w:rsidRPr="00170139">
        <w:rPr>
          <w:rFonts w:eastAsia="Calibri" w:cs="Arial"/>
          <w:szCs w:val="22"/>
          <w:lang w:eastAsia="en-US"/>
        </w:rPr>
        <w:t>o</w:t>
      </w:r>
      <w:r w:rsidR="00B25F12" w:rsidRPr="00170139">
        <w:rPr>
          <w:rFonts w:eastAsia="Calibri" w:cs="Arial"/>
          <w:szCs w:val="22"/>
          <w:lang w:eastAsia="en-US"/>
        </w:rPr>
        <w:t>l</w:t>
      </w:r>
      <w:r w:rsidR="00B44150" w:rsidRPr="00170139">
        <w:rPr>
          <w:rFonts w:eastAsia="Calibri" w:cs="Arial"/>
          <w:szCs w:val="22"/>
          <w:lang w:eastAsia="en-US"/>
        </w:rPr>
        <w:t>icy</w:t>
      </w:r>
      <w:r w:rsidR="009842CE" w:rsidRPr="00170139">
        <w:rPr>
          <w:rFonts w:eastAsia="Calibri" w:cs="Arial"/>
          <w:szCs w:val="22"/>
          <w:lang w:eastAsia="en-US"/>
        </w:rPr>
        <w:t xml:space="preserve"> and consumer protection, are </w:t>
      </w:r>
      <w:r w:rsidR="00346198" w:rsidRPr="00170139">
        <w:rPr>
          <w:rFonts w:eastAsia="Calibri" w:cs="Arial"/>
          <w:szCs w:val="22"/>
          <w:lang w:eastAsia="en-US"/>
        </w:rPr>
        <w:t xml:space="preserve">important new development </w:t>
      </w:r>
      <w:r w:rsidR="008E171E" w:rsidRPr="00170139">
        <w:rPr>
          <w:rFonts w:eastAsia="Calibri" w:cs="Arial"/>
          <w:szCs w:val="22"/>
          <w:lang w:eastAsia="en-US"/>
        </w:rPr>
        <w:t>objective</w:t>
      </w:r>
      <w:r w:rsidR="009842CE" w:rsidRPr="00170139">
        <w:rPr>
          <w:rFonts w:eastAsia="Calibri" w:cs="Arial"/>
          <w:szCs w:val="22"/>
          <w:lang w:eastAsia="en-US"/>
        </w:rPr>
        <w:t>s</w:t>
      </w:r>
      <w:r w:rsidR="008E171E" w:rsidRPr="00170139">
        <w:rPr>
          <w:rFonts w:eastAsia="Calibri" w:cs="Arial"/>
          <w:szCs w:val="22"/>
          <w:lang w:eastAsia="en-US"/>
        </w:rPr>
        <w:t xml:space="preserve"> </w:t>
      </w:r>
      <w:r w:rsidR="00346198" w:rsidRPr="00170139">
        <w:rPr>
          <w:rFonts w:eastAsia="Calibri" w:cs="Arial"/>
          <w:szCs w:val="22"/>
          <w:lang w:eastAsia="en-US"/>
        </w:rPr>
        <w:t xml:space="preserve">under </w:t>
      </w:r>
      <w:r w:rsidR="00E82DB3" w:rsidRPr="00170139">
        <w:rPr>
          <w:rFonts w:eastAsia="Calibri" w:cs="Arial"/>
          <w:szCs w:val="22"/>
          <w:lang w:eastAsia="en-US"/>
        </w:rPr>
        <w:t xml:space="preserve">phase III of </w:t>
      </w:r>
      <w:r w:rsidR="00346198" w:rsidRPr="00170139">
        <w:rPr>
          <w:rFonts w:eastAsia="Calibri" w:cs="Arial"/>
          <w:szCs w:val="22"/>
          <w:lang w:eastAsia="en-US"/>
        </w:rPr>
        <w:t>PSDI and</w:t>
      </w:r>
      <w:r w:rsidR="008E171E" w:rsidRPr="00170139">
        <w:rPr>
          <w:rFonts w:eastAsia="Calibri" w:cs="Arial"/>
          <w:szCs w:val="22"/>
          <w:lang w:eastAsia="en-US"/>
        </w:rPr>
        <w:t>,</w:t>
      </w:r>
      <w:r w:rsidR="00346198" w:rsidRPr="00170139">
        <w:rPr>
          <w:rFonts w:eastAsia="Calibri" w:cs="Arial"/>
          <w:szCs w:val="22"/>
          <w:lang w:eastAsia="en-US"/>
        </w:rPr>
        <w:t xml:space="preserve"> while </w:t>
      </w:r>
      <w:r w:rsidR="00B25F12" w:rsidRPr="00170139">
        <w:rPr>
          <w:rFonts w:eastAsia="Calibri" w:cs="Arial"/>
          <w:szCs w:val="22"/>
          <w:lang w:eastAsia="en-US"/>
        </w:rPr>
        <w:t>the component for</w:t>
      </w:r>
      <w:r w:rsidR="00E82DB3" w:rsidRPr="00170139">
        <w:rPr>
          <w:rFonts w:eastAsia="Calibri" w:cs="Arial"/>
          <w:szCs w:val="22"/>
          <w:lang w:eastAsia="en-US"/>
        </w:rPr>
        <w:t xml:space="preserve"> the economic empowerment of women </w:t>
      </w:r>
      <w:r w:rsidR="00346198" w:rsidRPr="00170139">
        <w:rPr>
          <w:rFonts w:eastAsia="Calibri" w:cs="Arial"/>
          <w:szCs w:val="22"/>
          <w:lang w:eastAsia="en-US"/>
        </w:rPr>
        <w:t xml:space="preserve">is running well behind its targets, it provides the best hope for continued economic development in </w:t>
      </w:r>
      <w:r w:rsidR="00B25F12" w:rsidRPr="00170139">
        <w:rPr>
          <w:rFonts w:eastAsia="Calibri" w:cs="Arial"/>
          <w:szCs w:val="22"/>
          <w:lang w:eastAsia="en-US"/>
        </w:rPr>
        <w:t>Pacific DMCs</w:t>
      </w:r>
      <w:r w:rsidR="00346198" w:rsidRPr="00170139">
        <w:rPr>
          <w:rFonts w:eastAsia="Calibri" w:cs="Arial"/>
          <w:szCs w:val="22"/>
          <w:lang w:eastAsia="en-US"/>
        </w:rPr>
        <w:t xml:space="preserve"> and </w:t>
      </w:r>
      <w:r w:rsidR="00562E53" w:rsidRPr="00170139">
        <w:rPr>
          <w:rFonts w:eastAsia="Calibri" w:cs="Arial"/>
          <w:szCs w:val="22"/>
          <w:lang w:eastAsia="en-US"/>
        </w:rPr>
        <w:t xml:space="preserve">the continued </w:t>
      </w:r>
      <w:r w:rsidR="00346198" w:rsidRPr="00170139">
        <w:rPr>
          <w:rFonts w:eastAsia="Calibri" w:cs="Arial"/>
          <w:szCs w:val="22"/>
          <w:lang w:eastAsia="en-US"/>
        </w:rPr>
        <w:t>relevance</w:t>
      </w:r>
      <w:r w:rsidR="00562E53" w:rsidRPr="00170139">
        <w:rPr>
          <w:rFonts w:eastAsia="Calibri" w:cs="Arial"/>
          <w:szCs w:val="22"/>
          <w:lang w:eastAsia="en-US"/>
        </w:rPr>
        <w:t xml:space="preserve"> of PSDI</w:t>
      </w:r>
      <w:r w:rsidR="00346198" w:rsidRPr="00170139">
        <w:rPr>
          <w:rFonts w:eastAsia="Calibri" w:cs="Arial"/>
          <w:szCs w:val="22"/>
          <w:lang w:eastAsia="en-US"/>
        </w:rPr>
        <w:t>.</w:t>
      </w:r>
    </w:p>
    <w:p w:rsidR="00346198" w:rsidRPr="00170139" w:rsidRDefault="00346198" w:rsidP="00C13C20">
      <w:pPr>
        <w:rPr>
          <w:rFonts w:eastAsia="Calibri" w:cs="Arial"/>
          <w:szCs w:val="22"/>
          <w:lang w:eastAsia="en-US"/>
        </w:rPr>
      </w:pPr>
    </w:p>
    <w:p w:rsidR="00E82DB3" w:rsidRPr="00170139" w:rsidRDefault="00E82DB3" w:rsidP="00C13C20">
      <w:pPr>
        <w:rPr>
          <w:rFonts w:eastAsia="Calibri" w:cs="Arial"/>
          <w:szCs w:val="22"/>
          <w:highlight w:val="yellow"/>
          <w:lang w:eastAsia="en-US"/>
        </w:rPr>
      </w:pPr>
      <w:r w:rsidRPr="00170139">
        <w:rPr>
          <w:rFonts w:eastAsia="Calibri" w:cs="Arial"/>
          <w:szCs w:val="22"/>
          <w:lang w:eastAsia="en-US"/>
        </w:rPr>
        <w:tab/>
      </w:r>
      <w:r w:rsidR="00B25F12" w:rsidRPr="00170139">
        <w:rPr>
          <w:rFonts w:eastAsia="Calibri" w:cs="Arial"/>
          <w:szCs w:val="22"/>
          <w:lang w:eastAsia="en-US"/>
        </w:rPr>
        <w:t xml:space="preserve">Within this midterm review of PSDI, an assessment of progress to date </w:t>
      </w:r>
      <w:r w:rsidRPr="00170139">
        <w:rPr>
          <w:rFonts w:eastAsia="Calibri" w:cs="Arial"/>
          <w:szCs w:val="22"/>
          <w:lang w:eastAsia="en-US"/>
        </w:rPr>
        <w:t>concludes that PSDI is fulfilling its objectives with a high degree of efficiency and effectiveness. While the development impact has been high, there is a need to ensure that the initial adopted reforms are implemented on a sustainable basis for the remainder of phase III of PSDI, and for a planned phase IV.</w:t>
      </w:r>
    </w:p>
    <w:p w:rsidR="00E82DB3" w:rsidRPr="00170139" w:rsidRDefault="00E82DB3" w:rsidP="00C13C20">
      <w:pPr>
        <w:rPr>
          <w:rFonts w:eastAsia="Calibri" w:cs="Arial"/>
          <w:szCs w:val="22"/>
          <w:highlight w:val="yellow"/>
          <w:lang w:eastAsia="en-US"/>
        </w:rPr>
      </w:pPr>
    </w:p>
    <w:p w:rsidR="00B25F12" w:rsidRPr="00170139" w:rsidRDefault="00B25F12" w:rsidP="00170139">
      <w:pPr>
        <w:ind w:firstLine="720"/>
        <w:rPr>
          <w:rFonts w:eastAsia="Calibri" w:cs="Arial"/>
          <w:szCs w:val="22"/>
          <w:lang w:eastAsia="en-US"/>
        </w:rPr>
      </w:pPr>
      <w:r w:rsidRPr="00170139">
        <w:rPr>
          <w:rFonts w:eastAsia="Calibri" w:cs="Arial"/>
          <w:szCs w:val="22"/>
          <w:lang w:eastAsia="en-US"/>
        </w:rPr>
        <w:t xml:space="preserve">This report highlights </w:t>
      </w:r>
      <w:r w:rsidR="00221F09" w:rsidRPr="00170139">
        <w:rPr>
          <w:rFonts w:eastAsia="Calibri" w:cs="Arial"/>
          <w:szCs w:val="22"/>
          <w:lang w:eastAsia="en-US"/>
        </w:rPr>
        <w:t>a number</w:t>
      </w:r>
      <w:r w:rsidRPr="00170139">
        <w:rPr>
          <w:rFonts w:eastAsia="Calibri" w:cs="Arial"/>
          <w:szCs w:val="22"/>
          <w:lang w:eastAsia="en-US"/>
        </w:rPr>
        <w:t xml:space="preserve"> </w:t>
      </w:r>
      <w:r w:rsidR="003368D7">
        <w:rPr>
          <w:rFonts w:eastAsia="Calibri" w:cs="Arial"/>
          <w:szCs w:val="22"/>
          <w:lang w:eastAsia="en-US"/>
        </w:rPr>
        <w:t xml:space="preserve">of </w:t>
      </w:r>
      <w:r w:rsidRPr="00170139">
        <w:rPr>
          <w:rFonts w:eastAsia="Calibri" w:cs="Arial"/>
          <w:szCs w:val="22"/>
          <w:lang w:eastAsia="en-US"/>
        </w:rPr>
        <w:t xml:space="preserve">areas in which PSDI can evolve its </w:t>
      </w:r>
      <w:r w:rsidR="00221F09" w:rsidRPr="00170139">
        <w:rPr>
          <w:rFonts w:eastAsia="Calibri" w:cs="Arial"/>
          <w:szCs w:val="22"/>
          <w:lang w:eastAsia="en-US"/>
        </w:rPr>
        <w:t>programs</w:t>
      </w:r>
      <w:r w:rsidRPr="00170139">
        <w:rPr>
          <w:rFonts w:eastAsia="Calibri" w:cs="Arial"/>
          <w:szCs w:val="22"/>
          <w:lang w:eastAsia="en-US"/>
        </w:rPr>
        <w:t>,</w:t>
      </w:r>
      <w:r w:rsidR="00221F09" w:rsidRPr="00170139">
        <w:rPr>
          <w:rFonts w:eastAsia="Calibri" w:cs="Arial"/>
          <w:szCs w:val="22"/>
          <w:lang w:eastAsia="en-US"/>
        </w:rPr>
        <w:t xml:space="preserve"> and</w:t>
      </w:r>
      <w:r w:rsidRPr="00170139">
        <w:rPr>
          <w:rFonts w:eastAsia="Calibri" w:cs="Arial"/>
          <w:szCs w:val="22"/>
          <w:lang w:eastAsia="en-US"/>
        </w:rPr>
        <w:t xml:space="preserve"> mak</w:t>
      </w:r>
      <w:r w:rsidR="00221F09" w:rsidRPr="00170139">
        <w:rPr>
          <w:rFonts w:eastAsia="Calibri" w:cs="Arial"/>
          <w:szCs w:val="22"/>
          <w:lang w:eastAsia="en-US"/>
        </w:rPr>
        <w:t>es</w:t>
      </w:r>
      <w:r w:rsidRPr="00170139">
        <w:rPr>
          <w:rFonts w:eastAsia="Calibri" w:cs="Arial"/>
          <w:szCs w:val="22"/>
          <w:lang w:eastAsia="en-US"/>
        </w:rPr>
        <w:t xml:space="preserve"> a </w:t>
      </w:r>
      <w:r w:rsidR="00221F09" w:rsidRPr="00170139">
        <w:rPr>
          <w:rFonts w:eastAsia="Calibri" w:cs="Arial"/>
          <w:szCs w:val="22"/>
          <w:lang w:eastAsia="en-US"/>
        </w:rPr>
        <w:t xml:space="preserve">range of carefully considered recommendations to improve operations </w:t>
      </w:r>
      <w:r w:rsidR="000C15E8">
        <w:rPr>
          <w:rFonts w:eastAsia="Calibri" w:cs="Arial"/>
          <w:szCs w:val="22"/>
          <w:lang w:eastAsia="en-US"/>
        </w:rPr>
        <w:t>and organizational efficiency.</w:t>
      </w:r>
      <w:r w:rsidR="003368D7">
        <w:rPr>
          <w:rFonts w:eastAsia="Calibri" w:cs="Arial"/>
          <w:szCs w:val="22"/>
          <w:lang w:eastAsia="en-US"/>
        </w:rPr>
        <w:t xml:space="preserve"> </w:t>
      </w:r>
      <w:r w:rsidR="003368D7" w:rsidRPr="003368D7">
        <w:rPr>
          <w:rFonts w:eastAsia="Calibri" w:cs="Arial"/>
          <w:szCs w:val="22"/>
          <w:lang w:eastAsia="en-US"/>
        </w:rPr>
        <w:t>The report’s recommendations are intended to strengthen and sustain an already outstanding operation.</w:t>
      </w:r>
    </w:p>
    <w:p w:rsidR="00C2406D" w:rsidRPr="00170139" w:rsidRDefault="00C2406D" w:rsidP="00C13C20">
      <w:pPr>
        <w:rPr>
          <w:rFonts w:eastAsia="Calibri" w:cs="Arial"/>
          <w:szCs w:val="22"/>
          <w:highlight w:val="yellow"/>
          <w:lang w:eastAsia="en-US"/>
        </w:rPr>
      </w:pPr>
    </w:p>
    <w:p w:rsidR="00E82DB3" w:rsidRPr="00170139" w:rsidRDefault="00E82DB3" w:rsidP="00C13C20">
      <w:pPr>
        <w:rPr>
          <w:rFonts w:eastAsia="Calibri" w:cs="Arial"/>
          <w:szCs w:val="22"/>
          <w:highlight w:val="yellow"/>
          <w:lang w:eastAsia="en-US"/>
        </w:rPr>
      </w:pPr>
      <w:r w:rsidRPr="00170139">
        <w:rPr>
          <w:rFonts w:eastAsia="Calibri" w:cs="Arial"/>
          <w:szCs w:val="22"/>
          <w:lang w:eastAsia="en-US"/>
        </w:rPr>
        <w:tab/>
        <w:t xml:space="preserve">Allocation of PSDI </w:t>
      </w:r>
      <w:r w:rsidR="00B25F12" w:rsidRPr="00170139">
        <w:rPr>
          <w:rFonts w:eastAsia="Calibri" w:cs="Arial"/>
          <w:szCs w:val="22"/>
          <w:lang w:eastAsia="en-US"/>
        </w:rPr>
        <w:t xml:space="preserve">technical assistance </w:t>
      </w:r>
      <w:r w:rsidRPr="00170139">
        <w:rPr>
          <w:rFonts w:eastAsia="Calibri" w:cs="Arial"/>
          <w:szCs w:val="22"/>
          <w:lang w:eastAsia="en-US"/>
        </w:rPr>
        <w:t xml:space="preserve">resources, which have </w:t>
      </w:r>
      <w:r w:rsidR="007B6DCF" w:rsidRPr="00170139">
        <w:rPr>
          <w:rFonts w:eastAsia="Calibri" w:cs="Arial"/>
          <w:szCs w:val="22"/>
          <w:lang w:eastAsia="en-US"/>
        </w:rPr>
        <w:t>to</w:t>
      </w:r>
      <w:r w:rsidR="00221F09" w:rsidRPr="00170139">
        <w:rPr>
          <w:rFonts w:eastAsia="Calibri" w:cs="Arial"/>
          <w:szCs w:val="22"/>
          <w:lang w:eastAsia="en-US"/>
        </w:rPr>
        <w:t xml:space="preserve"> </w:t>
      </w:r>
      <w:r w:rsidR="007B6DCF" w:rsidRPr="00170139">
        <w:rPr>
          <w:rFonts w:eastAsia="Calibri" w:cs="Arial"/>
          <w:szCs w:val="22"/>
          <w:lang w:eastAsia="en-US"/>
        </w:rPr>
        <w:t xml:space="preserve">date </w:t>
      </w:r>
      <w:r w:rsidRPr="00170139">
        <w:rPr>
          <w:rFonts w:eastAsia="Calibri" w:cs="Arial"/>
          <w:szCs w:val="22"/>
          <w:lang w:eastAsia="en-US"/>
        </w:rPr>
        <w:t xml:space="preserve">been based on country demand, should also be guided by country consultations on productive </w:t>
      </w:r>
      <w:r w:rsidR="00221F09" w:rsidRPr="00170139">
        <w:rPr>
          <w:rFonts w:eastAsia="Calibri" w:cs="Arial"/>
          <w:szCs w:val="22"/>
          <w:lang w:eastAsia="en-US"/>
        </w:rPr>
        <w:t>commercial sectors or industries</w:t>
      </w:r>
      <w:r w:rsidRPr="00170139">
        <w:rPr>
          <w:rFonts w:eastAsia="Calibri" w:cs="Arial"/>
          <w:szCs w:val="22"/>
          <w:lang w:eastAsia="en-US"/>
        </w:rPr>
        <w:t xml:space="preserve"> for development in each Pacific DMC. The shift to a sector focus for resource allocation is already underway with the review of tourism in selected </w:t>
      </w:r>
      <w:r w:rsidR="00B25F12" w:rsidRPr="00170139">
        <w:rPr>
          <w:rFonts w:eastAsia="Calibri" w:cs="Arial"/>
          <w:szCs w:val="22"/>
          <w:lang w:eastAsia="en-US"/>
        </w:rPr>
        <w:t xml:space="preserve">Pacific </w:t>
      </w:r>
      <w:r w:rsidRPr="00170139">
        <w:rPr>
          <w:rFonts w:eastAsia="Calibri" w:cs="Arial"/>
          <w:szCs w:val="22"/>
          <w:lang w:eastAsia="en-US"/>
        </w:rPr>
        <w:t>DMCs.</w:t>
      </w:r>
    </w:p>
    <w:p w:rsidR="00046637" w:rsidRPr="00170139" w:rsidRDefault="00046637" w:rsidP="00C13C20">
      <w:pPr>
        <w:rPr>
          <w:rFonts w:eastAsia="Calibri" w:cs="Arial"/>
          <w:szCs w:val="22"/>
          <w:lang w:eastAsia="en-US"/>
        </w:rPr>
      </w:pPr>
    </w:p>
    <w:p w:rsidR="00E82DB3" w:rsidRPr="00170139" w:rsidRDefault="002A39C8" w:rsidP="00C13C20">
      <w:pPr>
        <w:rPr>
          <w:rFonts w:eastAsia="Calibri" w:cs="Arial"/>
          <w:szCs w:val="22"/>
          <w:lang w:eastAsia="en-US"/>
        </w:rPr>
      </w:pPr>
      <w:r w:rsidRPr="00170139">
        <w:rPr>
          <w:rFonts w:eastAsia="Calibri" w:cs="Arial"/>
          <w:szCs w:val="22"/>
          <w:lang w:eastAsia="en-US"/>
        </w:rPr>
        <w:tab/>
      </w:r>
      <w:r w:rsidR="00221F09" w:rsidRPr="00170139">
        <w:rPr>
          <w:rFonts w:eastAsia="Calibri" w:cs="Arial"/>
          <w:szCs w:val="22"/>
          <w:lang w:eastAsia="en-US"/>
        </w:rPr>
        <w:t xml:space="preserve">PSDI must also work to strengthen </w:t>
      </w:r>
      <w:r w:rsidRPr="00170139">
        <w:rPr>
          <w:rFonts w:eastAsia="Calibri" w:cs="Arial"/>
          <w:szCs w:val="22"/>
          <w:lang w:eastAsia="en-US"/>
        </w:rPr>
        <w:t>productive and ongoing dialogue between the private sector of each Pacific DMC and its respective government</w:t>
      </w:r>
      <w:r w:rsidR="00221F09" w:rsidRPr="00170139">
        <w:rPr>
          <w:rFonts w:eastAsia="Calibri" w:cs="Arial"/>
          <w:szCs w:val="22"/>
          <w:lang w:eastAsia="en-US"/>
        </w:rPr>
        <w:t>,</w:t>
      </w:r>
      <w:r w:rsidR="004C0FFB" w:rsidRPr="00170139">
        <w:rPr>
          <w:rFonts w:eastAsia="Calibri" w:cs="Arial"/>
          <w:szCs w:val="22"/>
          <w:lang w:eastAsia="en-US"/>
        </w:rPr>
        <w:t xml:space="preserve"> including through working groups supported by PSDI to help foster </w:t>
      </w:r>
      <w:r w:rsidR="00221F09" w:rsidRPr="00170139">
        <w:rPr>
          <w:rFonts w:eastAsia="Calibri" w:cs="Arial"/>
          <w:szCs w:val="22"/>
          <w:lang w:eastAsia="en-US"/>
        </w:rPr>
        <w:t>such</w:t>
      </w:r>
      <w:r w:rsidR="004C0FFB" w:rsidRPr="00170139">
        <w:rPr>
          <w:rFonts w:eastAsia="Calibri" w:cs="Arial"/>
          <w:szCs w:val="22"/>
          <w:lang w:eastAsia="en-US"/>
        </w:rPr>
        <w:t xml:space="preserve"> dialogue.</w:t>
      </w:r>
    </w:p>
    <w:p w:rsidR="00E82DB3" w:rsidRPr="00170139" w:rsidRDefault="00E82DB3" w:rsidP="00C13C20">
      <w:pPr>
        <w:rPr>
          <w:rFonts w:eastAsia="Calibri" w:cs="Arial"/>
          <w:szCs w:val="22"/>
          <w:lang w:eastAsia="en-US"/>
        </w:rPr>
      </w:pPr>
    </w:p>
    <w:p w:rsidR="00F228A3" w:rsidRPr="00170139" w:rsidRDefault="007B6DCF" w:rsidP="00C13C20">
      <w:pPr>
        <w:rPr>
          <w:rFonts w:eastAsia="Calibri" w:cs="Arial"/>
          <w:szCs w:val="22"/>
          <w:highlight w:val="yellow"/>
          <w:lang w:eastAsia="en-US"/>
        </w:rPr>
      </w:pPr>
      <w:r w:rsidRPr="00170139">
        <w:rPr>
          <w:rFonts w:eastAsia="Calibri" w:cs="Arial"/>
          <w:szCs w:val="22"/>
          <w:lang w:eastAsia="en-US"/>
        </w:rPr>
        <w:tab/>
      </w:r>
      <w:r w:rsidR="00221F09" w:rsidRPr="00170139">
        <w:rPr>
          <w:rFonts w:eastAsia="Calibri" w:cs="Arial"/>
          <w:szCs w:val="22"/>
          <w:lang w:eastAsia="en-US"/>
        </w:rPr>
        <w:t>Expanding access to finance is pivotal to PSDI’s efforts in Pacific island economies</w:t>
      </w:r>
      <w:r w:rsidR="00DC28EE">
        <w:rPr>
          <w:rFonts w:eastAsia="Calibri" w:cs="Arial"/>
          <w:szCs w:val="22"/>
          <w:lang w:eastAsia="en-US"/>
        </w:rPr>
        <w:t>, and</w:t>
      </w:r>
      <w:r w:rsidR="00221F09" w:rsidRPr="00170139">
        <w:rPr>
          <w:rFonts w:eastAsia="Calibri" w:cs="Arial"/>
          <w:szCs w:val="22"/>
          <w:lang w:eastAsia="en-US"/>
        </w:rPr>
        <w:t xml:space="preserve"> </w:t>
      </w:r>
      <w:r w:rsidR="009D2287" w:rsidRPr="00170139">
        <w:rPr>
          <w:rFonts w:eastAsia="Calibri" w:cs="Arial"/>
          <w:szCs w:val="22"/>
          <w:lang w:eastAsia="en-US"/>
        </w:rPr>
        <w:t>t</w:t>
      </w:r>
      <w:r w:rsidRPr="00170139">
        <w:rPr>
          <w:rFonts w:eastAsia="Calibri" w:cs="Arial"/>
          <w:szCs w:val="22"/>
          <w:lang w:eastAsia="en-US"/>
        </w:rPr>
        <w:t>he high</w:t>
      </w:r>
      <w:r w:rsidR="009D2287" w:rsidRPr="00170139">
        <w:rPr>
          <w:rFonts w:eastAsia="Calibri" w:cs="Arial"/>
          <w:szCs w:val="22"/>
          <w:lang w:eastAsia="en-US"/>
        </w:rPr>
        <w:t xml:space="preserve"> </w:t>
      </w:r>
      <w:r w:rsidRPr="00170139">
        <w:rPr>
          <w:rFonts w:eastAsia="Calibri" w:cs="Arial"/>
          <w:szCs w:val="22"/>
          <w:lang w:eastAsia="en-US"/>
        </w:rPr>
        <w:t>impact</w:t>
      </w:r>
      <w:r w:rsidR="009D2287" w:rsidRPr="00170139">
        <w:rPr>
          <w:rFonts w:eastAsia="Calibri" w:cs="Arial"/>
          <w:szCs w:val="22"/>
          <w:lang w:eastAsia="en-US"/>
        </w:rPr>
        <w:t xml:space="preserve"> of secured transactions reform </w:t>
      </w:r>
      <w:r w:rsidRPr="00170139">
        <w:rPr>
          <w:rFonts w:eastAsia="Calibri" w:cs="Arial"/>
          <w:szCs w:val="22"/>
          <w:lang w:eastAsia="en-US"/>
        </w:rPr>
        <w:t>is especially clear in th</w:t>
      </w:r>
      <w:r w:rsidR="009D2287" w:rsidRPr="00170139">
        <w:rPr>
          <w:rFonts w:eastAsia="Calibri" w:cs="Arial"/>
          <w:szCs w:val="22"/>
          <w:lang w:eastAsia="en-US"/>
        </w:rPr>
        <w:t>is</w:t>
      </w:r>
      <w:r w:rsidRPr="00170139">
        <w:rPr>
          <w:rFonts w:eastAsia="Calibri" w:cs="Arial"/>
          <w:szCs w:val="22"/>
          <w:lang w:eastAsia="en-US"/>
        </w:rPr>
        <w:t xml:space="preserve"> core area. It makes sense for PSDI to continue pursuing these reforms across the Pacific. This means encouraging innovation in terms of the kinds of collateral that can be used to secure loans, piloting financing models in value chains, and encouraging the use of instruments such as warehouse finance and factoring.</w:t>
      </w:r>
    </w:p>
    <w:p w:rsidR="00C75FC3" w:rsidRPr="00170139" w:rsidRDefault="00C75FC3" w:rsidP="00C13C20">
      <w:pPr>
        <w:rPr>
          <w:rFonts w:eastAsia="Calibri" w:cs="Arial"/>
          <w:szCs w:val="22"/>
          <w:lang w:eastAsia="en-US"/>
        </w:rPr>
      </w:pPr>
    </w:p>
    <w:p w:rsidR="00F228A3" w:rsidRPr="00170139" w:rsidRDefault="004B1AF2" w:rsidP="00170139">
      <w:pPr>
        <w:ind w:firstLine="720"/>
        <w:rPr>
          <w:rFonts w:eastAsia="Calibri" w:cs="Arial"/>
          <w:szCs w:val="22"/>
          <w:lang w:eastAsia="en-US"/>
        </w:rPr>
      </w:pPr>
      <w:r w:rsidRPr="00170139">
        <w:rPr>
          <w:rFonts w:eastAsia="Calibri" w:cs="Arial"/>
          <w:szCs w:val="22"/>
          <w:lang w:eastAsia="en-US"/>
        </w:rPr>
        <w:t>I</w:t>
      </w:r>
      <w:r w:rsidR="00C75FC3" w:rsidRPr="00170139">
        <w:rPr>
          <w:rFonts w:eastAsia="Calibri" w:cs="Arial"/>
          <w:szCs w:val="22"/>
          <w:lang w:eastAsia="en-US"/>
        </w:rPr>
        <w:t>n the field of business law reform</w:t>
      </w:r>
      <w:r w:rsidRPr="00170139">
        <w:rPr>
          <w:rFonts w:eastAsia="Calibri" w:cs="Arial"/>
          <w:szCs w:val="22"/>
          <w:lang w:eastAsia="en-US"/>
        </w:rPr>
        <w:t>,</w:t>
      </w:r>
      <w:r w:rsidR="00C75FC3" w:rsidRPr="00170139">
        <w:rPr>
          <w:rFonts w:eastAsia="Calibri" w:cs="Arial"/>
          <w:szCs w:val="22"/>
          <w:lang w:eastAsia="en-US"/>
        </w:rPr>
        <w:t xml:space="preserve"> as PSDI progresses through PSDI III and potentially into PSDI IV, it should pursue deeper and longer-term institutional reforms that touch on the </w:t>
      </w:r>
      <w:r w:rsidR="00C75FC3" w:rsidRPr="00170139">
        <w:rPr>
          <w:rFonts w:eastAsia="Calibri" w:cs="Arial"/>
          <w:szCs w:val="22"/>
          <w:lang w:eastAsia="en-US"/>
        </w:rPr>
        <w:lastRenderedPageBreak/>
        <w:t xml:space="preserve">underlying processes of policy development, the framing of laws and regulations, institutional transparency, and the rule of law. </w:t>
      </w:r>
      <w:r w:rsidR="004D43CA" w:rsidRPr="00170139">
        <w:rPr>
          <w:rFonts w:eastAsia="Calibri" w:cs="Arial"/>
          <w:szCs w:val="22"/>
          <w:lang w:eastAsia="en-US"/>
        </w:rPr>
        <w:t>To foster efficient</w:t>
      </w:r>
      <w:r w:rsidRPr="00170139">
        <w:rPr>
          <w:rFonts w:eastAsia="Calibri" w:cs="Arial"/>
          <w:szCs w:val="22"/>
          <w:lang w:eastAsia="en-US"/>
        </w:rPr>
        <w:t xml:space="preserve"> dispute resolution, PSDI could assist Pacific DMCs by helping to build on the local informal mediation experience in these countries, setting up arbitration forums through chambers of commerce and other institutions, and establishing commercial chambers within court systems.</w:t>
      </w:r>
    </w:p>
    <w:p w:rsidR="00C75FC3" w:rsidRPr="00170139" w:rsidRDefault="00C75FC3" w:rsidP="000C15E8">
      <w:pPr>
        <w:rPr>
          <w:rFonts w:eastAsia="Calibri" w:cs="Arial"/>
          <w:szCs w:val="22"/>
          <w:lang w:eastAsia="en-US"/>
        </w:rPr>
      </w:pPr>
    </w:p>
    <w:p w:rsidR="004B1AF2" w:rsidRPr="00170139" w:rsidRDefault="000C15E8" w:rsidP="00170139">
      <w:pPr>
        <w:tabs>
          <w:tab w:val="left" w:pos="567"/>
        </w:tabs>
        <w:rPr>
          <w:rFonts w:eastAsia="Calibri" w:cs="Arial"/>
          <w:szCs w:val="22"/>
          <w:lang w:eastAsia="en-US"/>
        </w:rPr>
      </w:pPr>
      <w:r>
        <w:rPr>
          <w:rFonts w:eastAsia="Calibri" w:cs="Arial"/>
          <w:szCs w:val="22"/>
          <w:lang w:eastAsia="en-US"/>
        </w:rPr>
        <w:tab/>
      </w:r>
      <w:r w:rsidR="004B1AF2" w:rsidRPr="00170139">
        <w:rPr>
          <w:rFonts w:eastAsia="Calibri" w:cs="Arial"/>
          <w:szCs w:val="22"/>
          <w:lang w:eastAsia="en-US"/>
        </w:rPr>
        <w:t>PSDI’s work to reform SOEs and deliver viable public-private partnerships could be coordinated with ongoing initiatives to improve public sector transparency, public financial management, and anti-corruption measures. Such coordination might involve joint training and programming with public sector auditors, parliamentarians, civic watchdogs, consumer advocates, and other nongovernment organizations.</w:t>
      </w:r>
    </w:p>
    <w:p w:rsidR="00C75FC3" w:rsidRPr="00170139" w:rsidRDefault="00C75FC3" w:rsidP="000C15E8">
      <w:pPr>
        <w:rPr>
          <w:rFonts w:eastAsia="Calibri" w:cs="Arial"/>
          <w:szCs w:val="22"/>
          <w:highlight w:val="yellow"/>
          <w:lang w:eastAsia="en-US"/>
        </w:rPr>
      </w:pPr>
    </w:p>
    <w:p w:rsidR="007B6DCF" w:rsidRPr="00170139" w:rsidRDefault="00447F12" w:rsidP="00C13C20">
      <w:pPr>
        <w:rPr>
          <w:rFonts w:eastAsia="Calibri" w:cs="Arial"/>
          <w:szCs w:val="22"/>
          <w:highlight w:val="yellow"/>
          <w:lang w:eastAsia="en-US"/>
        </w:rPr>
      </w:pPr>
      <w:r w:rsidRPr="00170139">
        <w:rPr>
          <w:rFonts w:eastAsia="Calibri" w:cs="Arial"/>
          <w:szCs w:val="22"/>
          <w:lang w:eastAsia="en-US"/>
        </w:rPr>
        <w:tab/>
      </w:r>
      <w:r w:rsidR="002772D5" w:rsidRPr="00170139">
        <w:rPr>
          <w:rFonts w:eastAsia="Calibri" w:cs="Arial"/>
          <w:szCs w:val="22"/>
          <w:lang w:eastAsia="en-US"/>
        </w:rPr>
        <w:t>Available</w:t>
      </w:r>
      <w:r w:rsidRPr="00170139">
        <w:rPr>
          <w:rFonts w:eastAsia="Calibri" w:cs="Arial"/>
          <w:szCs w:val="22"/>
          <w:lang w:eastAsia="en-US"/>
        </w:rPr>
        <w:t xml:space="preserve"> literature, whether produced by PSDI or others, amply demonstrates the relevance of the economic empowerment of women to the development of private sector</w:t>
      </w:r>
      <w:r w:rsidR="002772D5" w:rsidRPr="00170139">
        <w:rPr>
          <w:rFonts w:eastAsia="Calibri" w:cs="Arial"/>
          <w:szCs w:val="22"/>
          <w:lang w:eastAsia="en-US"/>
        </w:rPr>
        <w:t>s</w:t>
      </w:r>
      <w:r w:rsidRPr="00170139">
        <w:rPr>
          <w:rFonts w:eastAsia="Calibri" w:cs="Arial"/>
          <w:szCs w:val="22"/>
          <w:lang w:eastAsia="en-US"/>
        </w:rPr>
        <w:t xml:space="preserve"> in Pacific DMCs. The issue is whether PSDI should place its main emphasis on standalone gender initiatives, such as PSDI’s pilot projects, or on gender mainstreaming. DFAT and ADB have moved PSDI in the latter direction, which is likely to lead to a decline in near-term impact but should pro</w:t>
      </w:r>
      <w:r w:rsidR="004C0FFB" w:rsidRPr="00170139">
        <w:rPr>
          <w:rFonts w:eastAsia="Calibri" w:cs="Arial"/>
          <w:szCs w:val="22"/>
          <w:lang w:eastAsia="en-US"/>
        </w:rPr>
        <w:t>duce more sustainable outcomes.</w:t>
      </w:r>
    </w:p>
    <w:p w:rsidR="007B6DCF" w:rsidRPr="00170139" w:rsidRDefault="007B6DCF" w:rsidP="00C13C20">
      <w:pPr>
        <w:rPr>
          <w:rFonts w:eastAsia="Calibri" w:cs="Arial"/>
          <w:szCs w:val="22"/>
          <w:highlight w:val="yellow"/>
          <w:lang w:eastAsia="en-US"/>
        </w:rPr>
      </w:pPr>
    </w:p>
    <w:p w:rsidR="004B1AF2" w:rsidRPr="00170139" w:rsidRDefault="004B1AF2" w:rsidP="00170139">
      <w:pPr>
        <w:ind w:firstLine="720"/>
        <w:rPr>
          <w:rFonts w:eastAsia="Calibri" w:cs="Arial"/>
          <w:szCs w:val="22"/>
          <w:lang w:eastAsia="en-US"/>
        </w:rPr>
      </w:pPr>
      <w:r w:rsidRPr="00170139">
        <w:rPr>
          <w:rFonts w:eastAsia="Calibri" w:cs="Arial"/>
          <w:szCs w:val="22"/>
          <w:lang w:eastAsia="en-US"/>
        </w:rPr>
        <w:t>PSDI should continue its initiatives in the areas of competition policy and consumer protection. As the Pacific DMCs move toward greater financial access, and especially as digital financial services come online, addressing heightened risks and building trust among consumers will become even more critical.</w:t>
      </w:r>
      <w:r w:rsidR="006C1B6A" w:rsidRPr="00170139">
        <w:rPr>
          <w:rFonts w:eastAsia="Calibri" w:cs="Arial"/>
          <w:szCs w:val="22"/>
          <w:lang w:eastAsia="en-US"/>
        </w:rPr>
        <w:t xml:space="preserve"> In advising on competition and consumer regulatory commissions, PSDI </w:t>
      </w:r>
      <w:r w:rsidR="00C711C7" w:rsidRPr="00170139">
        <w:rPr>
          <w:rFonts w:eastAsia="Calibri" w:cs="Arial"/>
          <w:szCs w:val="22"/>
          <w:lang w:eastAsia="en-US"/>
        </w:rPr>
        <w:t xml:space="preserve">should </w:t>
      </w:r>
      <w:r w:rsidR="006C1B6A" w:rsidRPr="00170139">
        <w:rPr>
          <w:rFonts w:eastAsia="Calibri" w:cs="Arial"/>
          <w:szCs w:val="22"/>
          <w:lang w:eastAsia="en-US"/>
        </w:rPr>
        <w:t xml:space="preserve">continue </w:t>
      </w:r>
      <w:r w:rsidR="004D43CA" w:rsidRPr="00170139">
        <w:rPr>
          <w:rFonts w:eastAsia="Calibri" w:cs="Arial"/>
          <w:szCs w:val="22"/>
          <w:lang w:eastAsia="en-US"/>
        </w:rPr>
        <w:t>to recommend</w:t>
      </w:r>
      <w:r w:rsidR="006C1B6A" w:rsidRPr="00170139">
        <w:rPr>
          <w:rFonts w:eastAsia="Calibri" w:cs="Arial"/>
          <w:szCs w:val="22"/>
          <w:lang w:eastAsia="en-US"/>
        </w:rPr>
        <w:t xml:space="preserve"> the kinds of pragmatic solutions that may require compromise but are likely to be more workable and affordable to implement. Indeed, the PSDI approach might usefully be documented in a series of training materials, based on case studies, to be used in later reform initiatives.</w:t>
      </w:r>
    </w:p>
    <w:p w:rsidR="00C13C20" w:rsidRPr="00170139" w:rsidRDefault="00C13C20" w:rsidP="000C15E8">
      <w:pPr>
        <w:rPr>
          <w:rFonts w:eastAsia="Calibri" w:cs="Arial"/>
          <w:szCs w:val="22"/>
          <w:lang w:eastAsia="en-US"/>
        </w:rPr>
      </w:pPr>
    </w:p>
    <w:p w:rsidR="00346198" w:rsidRPr="00170139" w:rsidRDefault="006C1B6A" w:rsidP="00346198">
      <w:pPr>
        <w:ind w:firstLine="567"/>
        <w:rPr>
          <w:rFonts w:eastAsia="Calibri" w:cs="Arial"/>
          <w:szCs w:val="22"/>
          <w:lang w:eastAsia="en-US"/>
        </w:rPr>
      </w:pPr>
      <w:r w:rsidRPr="00170139">
        <w:rPr>
          <w:rFonts w:eastAsia="Calibri" w:cs="Arial"/>
          <w:szCs w:val="22"/>
          <w:lang w:eastAsia="en-US"/>
        </w:rPr>
        <w:t xml:space="preserve">To achieve these new objectives, while remaining focused on existing ones, </w:t>
      </w:r>
      <w:r w:rsidR="00346198" w:rsidRPr="00170139">
        <w:rPr>
          <w:rFonts w:eastAsia="Calibri" w:cs="Arial"/>
          <w:szCs w:val="22"/>
          <w:lang w:eastAsia="en-US"/>
        </w:rPr>
        <w:t>PLCO</w:t>
      </w:r>
      <w:r w:rsidR="00B35452" w:rsidRPr="00170139">
        <w:rPr>
          <w:rFonts w:eastAsia="Calibri" w:cs="Arial"/>
          <w:szCs w:val="22"/>
          <w:lang w:eastAsia="en-US"/>
        </w:rPr>
        <w:t>,</w:t>
      </w:r>
      <w:r w:rsidR="00346198" w:rsidRPr="00170139">
        <w:rPr>
          <w:rFonts w:eastAsia="Calibri" w:cs="Arial"/>
          <w:szCs w:val="22"/>
          <w:lang w:eastAsia="en-US"/>
        </w:rPr>
        <w:t xml:space="preserve"> in </w:t>
      </w:r>
      <w:r w:rsidR="00B35452" w:rsidRPr="00170139">
        <w:rPr>
          <w:rFonts w:eastAsia="Calibri" w:cs="Arial"/>
          <w:szCs w:val="22"/>
          <w:lang w:eastAsia="en-US"/>
        </w:rPr>
        <w:t xml:space="preserve">collaboration </w:t>
      </w:r>
      <w:r w:rsidR="00346198" w:rsidRPr="00170139">
        <w:rPr>
          <w:rFonts w:eastAsia="Calibri" w:cs="Arial"/>
          <w:szCs w:val="22"/>
          <w:lang w:eastAsia="en-US"/>
        </w:rPr>
        <w:t xml:space="preserve">with the </w:t>
      </w:r>
      <w:r w:rsidR="00B35452" w:rsidRPr="00170139">
        <w:rPr>
          <w:rFonts w:eastAsia="Calibri" w:cs="Arial"/>
          <w:szCs w:val="22"/>
          <w:lang w:eastAsia="en-US"/>
        </w:rPr>
        <w:t xml:space="preserve">governments of </w:t>
      </w:r>
      <w:r w:rsidR="00346198" w:rsidRPr="00170139">
        <w:rPr>
          <w:rFonts w:eastAsia="Calibri" w:cs="Arial"/>
          <w:szCs w:val="22"/>
          <w:lang w:eastAsia="en-US"/>
        </w:rPr>
        <w:t>Australia and New Zealand</w:t>
      </w:r>
      <w:r w:rsidR="00B35452" w:rsidRPr="00170139">
        <w:rPr>
          <w:rFonts w:eastAsia="Calibri" w:cs="Arial"/>
          <w:szCs w:val="22"/>
          <w:lang w:eastAsia="en-US"/>
        </w:rPr>
        <w:t>,</w:t>
      </w:r>
      <w:r w:rsidR="00346198" w:rsidRPr="00170139">
        <w:rPr>
          <w:rFonts w:eastAsia="Calibri" w:cs="Arial"/>
          <w:szCs w:val="22"/>
          <w:lang w:eastAsia="en-US"/>
        </w:rPr>
        <w:t xml:space="preserve"> will likely need to consider </w:t>
      </w:r>
      <w:r w:rsidR="007B6DCF" w:rsidRPr="00170139">
        <w:rPr>
          <w:rFonts w:eastAsia="Calibri" w:cs="Arial"/>
          <w:szCs w:val="22"/>
          <w:lang w:eastAsia="en-US"/>
        </w:rPr>
        <w:t>a new management structure</w:t>
      </w:r>
      <w:r w:rsidR="004C0FFB" w:rsidRPr="00170139">
        <w:rPr>
          <w:rFonts w:eastAsia="Calibri" w:cs="Arial"/>
          <w:szCs w:val="22"/>
          <w:lang w:eastAsia="en-US"/>
        </w:rPr>
        <w:t>. W</w:t>
      </w:r>
      <w:r w:rsidR="007B6DCF" w:rsidRPr="00170139">
        <w:rPr>
          <w:rFonts w:eastAsia="Calibri" w:cs="Arial"/>
          <w:szCs w:val="22"/>
          <w:lang w:eastAsia="en-US"/>
        </w:rPr>
        <w:t xml:space="preserve">hile clarifying lines of accountability, </w:t>
      </w:r>
      <w:r w:rsidR="004C0FFB" w:rsidRPr="00170139">
        <w:rPr>
          <w:rFonts w:eastAsia="Calibri" w:cs="Arial"/>
          <w:szCs w:val="22"/>
          <w:lang w:eastAsia="en-US"/>
        </w:rPr>
        <w:t xml:space="preserve">this new structure </w:t>
      </w:r>
      <w:r w:rsidR="007B6DCF" w:rsidRPr="00170139">
        <w:rPr>
          <w:rFonts w:eastAsia="Calibri" w:cs="Arial"/>
          <w:szCs w:val="22"/>
          <w:lang w:eastAsia="en-US"/>
        </w:rPr>
        <w:t xml:space="preserve">must enable PSDI to continue doing what it does best, i.e., building relationships, providing expertise, and responding quickly and flexibly to counterpart requests for assistance. </w:t>
      </w:r>
      <w:r w:rsidRPr="00170139">
        <w:rPr>
          <w:rFonts w:eastAsia="Calibri" w:cs="Arial"/>
          <w:szCs w:val="22"/>
          <w:lang w:eastAsia="en-US"/>
        </w:rPr>
        <w:t>Within the</w:t>
      </w:r>
      <w:r w:rsidR="007B6DCF" w:rsidRPr="00170139">
        <w:rPr>
          <w:rFonts w:eastAsia="Calibri" w:cs="Arial"/>
          <w:szCs w:val="22"/>
          <w:lang w:eastAsia="en-US"/>
        </w:rPr>
        <w:t xml:space="preserve"> various organizational models that could be emulated </w:t>
      </w:r>
      <w:r w:rsidRPr="00170139">
        <w:rPr>
          <w:rFonts w:eastAsia="Calibri" w:cs="Arial"/>
          <w:szCs w:val="22"/>
          <w:lang w:eastAsia="en-US"/>
        </w:rPr>
        <w:t>for PSDI</w:t>
      </w:r>
      <w:r w:rsidR="007B6DCF" w:rsidRPr="00170139">
        <w:rPr>
          <w:rFonts w:eastAsia="Calibri" w:cs="Arial"/>
          <w:szCs w:val="22"/>
          <w:lang w:eastAsia="en-US"/>
        </w:rPr>
        <w:t xml:space="preserve">, a </w:t>
      </w:r>
      <w:r w:rsidRPr="00170139">
        <w:rPr>
          <w:rFonts w:eastAsia="Calibri" w:cs="Arial"/>
          <w:szCs w:val="22"/>
          <w:lang w:eastAsia="en-US"/>
        </w:rPr>
        <w:t>revised</w:t>
      </w:r>
      <w:r w:rsidR="007B6DCF" w:rsidRPr="00170139">
        <w:rPr>
          <w:rFonts w:eastAsia="Calibri" w:cs="Arial"/>
          <w:szCs w:val="22"/>
          <w:lang w:eastAsia="en-US"/>
        </w:rPr>
        <w:t xml:space="preserve"> framework could incorporate a new role of team leader (or project coordinator) to whom sector consultants report.</w:t>
      </w:r>
    </w:p>
    <w:p w:rsidR="00346198" w:rsidRPr="00170139" w:rsidRDefault="00346198" w:rsidP="00C13C20">
      <w:pPr>
        <w:rPr>
          <w:rFonts w:eastAsia="Calibri" w:cs="Arial"/>
          <w:szCs w:val="22"/>
          <w:lang w:eastAsia="en-US"/>
        </w:rPr>
      </w:pPr>
    </w:p>
    <w:p w:rsidR="00346198" w:rsidRPr="00170139" w:rsidRDefault="00346198" w:rsidP="00346198">
      <w:pPr>
        <w:ind w:firstLine="567"/>
        <w:rPr>
          <w:rFonts w:eastAsia="Calibri" w:cs="Arial"/>
          <w:szCs w:val="22"/>
          <w:lang w:eastAsia="en-US"/>
        </w:rPr>
      </w:pPr>
      <w:r w:rsidRPr="00170139">
        <w:rPr>
          <w:rFonts w:eastAsia="Calibri" w:cs="Arial"/>
          <w:szCs w:val="22"/>
          <w:lang w:eastAsia="en-US"/>
        </w:rPr>
        <w:t xml:space="preserve">With the implementation of a preferred organizational structure, and the detailed recommendations provided in this report, it is envisaged that PSDI </w:t>
      </w:r>
      <w:r w:rsidR="00EA185E" w:rsidRPr="00170139">
        <w:rPr>
          <w:rFonts w:eastAsia="Calibri" w:cs="Arial"/>
          <w:szCs w:val="22"/>
          <w:lang w:eastAsia="en-US"/>
        </w:rPr>
        <w:t xml:space="preserve">will </w:t>
      </w:r>
      <w:r w:rsidRPr="00170139">
        <w:rPr>
          <w:rFonts w:eastAsia="Calibri" w:cs="Arial"/>
          <w:szCs w:val="22"/>
          <w:lang w:eastAsia="en-US"/>
        </w:rPr>
        <w:t>continue to develop and effectively serve the development needs of the 14 Pac</w:t>
      </w:r>
      <w:r w:rsidR="00CA4CD7" w:rsidRPr="00170139">
        <w:rPr>
          <w:rFonts w:eastAsia="Calibri" w:cs="Arial"/>
          <w:szCs w:val="22"/>
          <w:lang w:eastAsia="en-US"/>
        </w:rPr>
        <w:t>ific DMCs well into the future.</w:t>
      </w:r>
    </w:p>
    <w:p w:rsidR="00CA4CD7" w:rsidRPr="00170139" w:rsidRDefault="00CA4CD7" w:rsidP="00CA4CD7">
      <w:pPr>
        <w:rPr>
          <w:rFonts w:eastAsia="Calibri" w:cs="Arial"/>
          <w:szCs w:val="22"/>
          <w:lang w:eastAsia="en-US"/>
        </w:rPr>
      </w:pPr>
    </w:p>
    <w:p w:rsidR="00CA4CD7" w:rsidRPr="00346198" w:rsidRDefault="00CA4CD7" w:rsidP="00C13C20">
      <w:pPr>
        <w:rPr>
          <w:rFonts w:eastAsia="Calibri" w:cs="Arial"/>
          <w:szCs w:val="22"/>
          <w:lang w:eastAsia="en-US"/>
        </w:rPr>
      </w:pPr>
    </w:p>
    <w:p w:rsidR="00346198" w:rsidRPr="00346198" w:rsidRDefault="00346198" w:rsidP="00346198">
      <w:pPr>
        <w:ind w:firstLine="720"/>
        <w:rPr>
          <w:rFonts w:eastAsia="Calibri" w:cs="Arial"/>
          <w:szCs w:val="22"/>
          <w:lang w:eastAsia="en-US"/>
        </w:rPr>
        <w:sectPr w:rsidR="00346198" w:rsidRPr="00346198" w:rsidSect="00C930F2">
          <w:pgSz w:w="12240" w:h="15840"/>
          <w:pgMar w:top="1440" w:right="1440" w:bottom="1440" w:left="1440" w:header="720" w:footer="720" w:gutter="0"/>
          <w:pgNumType w:fmt="lowerRoman" w:chapStyle="1"/>
          <w:cols w:space="720"/>
          <w:titlePg/>
          <w:docGrid w:linePitch="360"/>
        </w:sectPr>
      </w:pPr>
    </w:p>
    <w:p w:rsidR="00346198" w:rsidRPr="0006764E" w:rsidRDefault="00346198" w:rsidP="00170139">
      <w:pPr>
        <w:keepNext/>
        <w:keepLines/>
        <w:spacing w:after="100" w:afterAutospacing="1" w:line="259" w:lineRule="auto"/>
        <w:jc w:val="center"/>
        <w:outlineLvl w:val="0"/>
        <w:rPr>
          <w:rFonts w:eastAsia="Times New Roman"/>
          <w:b/>
          <w:bCs/>
          <w:szCs w:val="22"/>
          <w:lang w:val="x-none" w:eastAsia="x-none"/>
        </w:rPr>
      </w:pPr>
      <w:bookmarkStart w:id="4" w:name="_Toc494378853"/>
      <w:r w:rsidRPr="0006764E">
        <w:rPr>
          <w:rFonts w:eastAsia="Times New Roman"/>
          <w:b/>
          <w:bCs/>
          <w:szCs w:val="22"/>
          <w:lang w:val="x-none" w:eastAsia="x-none"/>
        </w:rPr>
        <w:lastRenderedPageBreak/>
        <w:t>I.</w:t>
      </w:r>
      <w:r w:rsidR="005553A2">
        <w:rPr>
          <w:rFonts w:eastAsia="Times New Roman"/>
          <w:b/>
          <w:bCs/>
          <w:szCs w:val="22"/>
          <w:lang w:val="en-AU" w:eastAsia="x-none"/>
        </w:rPr>
        <w:t xml:space="preserve"> </w:t>
      </w:r>
      <w:r w:rsidR="00386F3B">
        <w:rPr>
          <w:rFonts w:eastAsia="Times New Roman"/>
          <w:b/>
          <w:bCs/>
          <w:szCs w:val="22"/>
          <w:lang w:val="en-AU" w:eastAsia="x-none"/>
        </w:rPr>
        <w:tab/>
      </w:r>
      <w:r w:rsidRPr="00170139">
        <w:rPr>
          <w:rFonts w:ascii="Arial Bold" w:eastAsia="Times New Roman" w:hAnsi="Arial Bold"/>
          <w:b/>
          <w:bCs/>
          <w:caps/>
          <w:sz w:val="24"/>
          <w:szCs w:val="22"/>
          <w:lang w:val="x-none" w:eastAsia="x-none"/>
        </w:rPr>
        <w:t>Introduction</w:t>
      </w:r>
      <w:bookmarkEnd w:id="4"/>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Promoting economic growth and development</w:t>
      </w:r>
      <w:r w:rsidR="00EA185E" w:rsidRPr="00170139">
        <w:rPr>
          <w:rFonts w:eastAsia="Calibri" w:cs="Arial"/>
          <w:szCs w:val="22"/>
          <w:lang w:eastAsia="en-US"/>
        </w:rPr>
        <w:t xml:space="preserve"> in the 14 Pacific developing member countries (DMCs) of the Asian Development Bank (ADB)</w:t>
      </w:r>
      <w:r w:rsidRPr="00170139">
        <w:rPr>
          <w:rFonts w:eastAsia="Calibri" w:cs="Arial"/>
          <w:szCs w:val="22"/>
          <w:lang w:eastAsia="en-US"/>
        </w:rPr>
        <w:t xml:space="preserve"> is the objective of the Pacific Private Sector Development Initiative (PSDI). This is a difficult objective</w:t>
      </w:r>
      <w:r w:rsidR="00EA185E" w:rsidRPr="00170139">
        <w:rPr>
          <w:rFonts w:eastAsia="Calibri" w:cs="Arial"/>
          <w:szCs w:val="22"/>
          <w:lang w:eastAsia="en-US"/>
        </w:rPr>
        <w:t>,</w:t>
      </w:r>
      <w:r w:rsidRPr="00170139">
        <w:rPr>
          <w:rFonts w:eastAsia="Calibri" w:cs="Arial"/>
          <w:szCs w:val="22"/>
          <w:lang w:eastAsia="en-US"/>
        </w:rPr>
        <w:t xml:space="preserve"> given the small and isolated nature of these </w:t>
      </w:r>
      <w:r w:rsidR="00EA185E" w:rsidRPr="00170139">
        <w:rPr>
          <w:rFonts w:eastAsia="Calibri" w:cs="Arial"/>
          <w:szCs w:val="22"/>
          <w:lang w:eastAsia="en-US"/>
        </w:rPr>
        <w:t xml:space="preserve">Pacific island </w:t>
      </w:r>
      <w:r w:rsidRPr="00170139">
        <w:rPr>
          <w:rFonts w:eastAsia="Calibri" w:cs="Arial"/>
          <w:szCs w:val="22"/>
          <w:lang w:eastAsia="en-US"/>
        </w:rPr>
        <w:t xml:space="preserve">economies. </w:t>
      </w:r>
      <w:r w:rsidR="00EA185E" w:rsidRPr="00170139">
        <w:rPr>
          <w:rFonts w:eastAsia="Calibri" w:cs="Arial"/>
          <w:szCs w:val="22"/>
          <w:lang w:eastAsia="en-US"/>
        </w:rPr>
        <w:t xml:space="preserve">Entrenched </w:t>
      </w:r>
      <w:r w:rsidRPr="00170139">
        <w:rPr>
          <w:rFonts w:eastAsia="Calibri" w:cs="Arial"/>
          <w:szCs w:val="22"/>
          <w:lang w:eastAsia="en-US"/>
        </w:rPr>
        <w:t xml:space="preserve">economic </w:t>
      </w:r>
      <w:r w:rsidR="005458D2">
        <w:rPr>
          <w:rFonts w:eastAsia="Calibri" w:cs="Arial"/>
          <w:szCs w:val="22"/>
          <w:lang w:eastAsia="en-US"/>
        </w:rPr>
        <w:t>problems</w:t>
      </w:r>
      <w:r w:rsidRPr="00170139">
        <w:rPr>
          <w:rFonts w:eastAsia="Calibri" w:cs="Arial"/>
          <w:szCs w:val="22"/>
          <w:lang w:eastAsia="en-US"/>
        </w:rPr>
        <w:t xml:space="preserve"> are compounded by </w:t>
      </w:r>
      <w:r w:rsidR="00EA185E" w:rsidRPr="00170139">
        <w:rPr>
          <w:rFonts w:eastAsia="Calibri" w:cs="Arial"/>
          <w:szCs w:val="22"/>
          <w:lang w:eastAsia="en-US"/>
        </w:rPr>
        <w:t xml:space="preserve">a </w:t>
      </w:r>
      <w:r w:rsidRPr="00170139">
        <w:rPr>
          <w:rFonts w:eastAsia="Calibri" w:cs="Arial"/>
          <w:szCs w:val="22"/>
          <w:lang w:eastAsia="en-US"/>
        </w:rPr>
        <w:t>historical lack of human resource development</w:t>
      </w:r>
      <w:r w:rsidR="00EA185E" w:rsidRPr="00170139">
        <w:rPr>
          <w:rFonts w:eastAsia="Calibri" w:cs="Arial"/>
          <w:szCs w:val="22"/>
          <w:lang w:eastAsia="en-US"/>
        </w:rPr>
        <w:t>,</w:t>
      </w:r>
      <w:r w:rsidRPr="00170139">
        <w:rPr>
          <w:rFonts w:eastAsia="Calibri" w:cs="Arial"/>
          <w:szCs w:val="22"/>
          <w:lang w:eastAsia="en-US"/>
        </w:rPr>
        <w:t xml:space="preserve"> as reflected in the deficiencies in education and health investments. Over past decades, these deficiencies </w:t>
      </w:r>
      <w:r w:rsidR="00504FBD" w:rsidRPr="00170139">
        <w:rPr>
          <w:rFonts w:eastAsia="Calibri" w:cs="Arial"/>
          <w:szCs w:val="22"/>
          <w:lang w:eastAsia="en-US"/>
        </w:rPr>
        <w:t xml:space="preserve">have become </w:t>
      </w:r>
      <w:r w:rsidRPr="00170139">
        <w:rPr>
          <w:rFonts w:eastAsia="Calibri" w:cs="Arial"/>
          <w:szCs w:val="22"/>
          <w:lang w:eastAsia="en-US"/>
        </w:rPr>
        <w:t>even more pronounced</w:t>
      </w:r>
      <w:r w:rsidR="00504FBD" w:rsidRPr="00170139">
        <w:rPr>
          <w:rFonts w:eastAsia="Calibri" w:cs="Arial"/>
          <w:szCs w:val="22"/>
          <w:lang w:eastAsia="en-US"/>
        </w:rPr>
        <w:t xml:space="preserve"> in light of other</w:t>
      </w:r>
      <w:r w:rsidRPr="00170139">
        <w:rPr>
          <w:rFonts w:eastAsia="Calibri" w:cs="Arial"/>
          <w:szCs w:val="22"/>
          <w:lang w:eastAsia="en-US"/>
        </w:rPr>
        <w:t xml:space="preserve"> challenges </w:t>
      </w:r>
      <w:r w:rsidR="00504FBD" w:rsidRPr="00170139">
        <w:rPr>
          <w:rFonts w:eastAsia="Calibri" w:cs="Arial"/>
          <w:szCs w:val="22"/>
          <w:lang w:eastAsia="en-US"/>
        </w:rPr>
        <w:t xml:space="preserve">faced by </w:t>
      </w:r>
      <w:r w:rsidRPr="00170139">
        <w:rPr>
          <w:rFonts w:eastAsia="Calibri" w:cs="Arial"/>
          <w:szCs w:val="22"/>
          <w:lang w:eastAsia="en-US"/>
        </w:rPr>
        <w:t xml:space="preserve">these isolated economies. Nevertheless, the PSDI program is mandated to largely </w:t>
      </w:r>
      <w:r w:rsidR="00504FBD" w:rsidRPr="00170139">
        <w:rPr>
          <w:rFonts w:eastAsia="Calibri" w:cs="Arial"/>
          <w:szCs w:val="22"/>
          <w:lang w:eastAsia="en-US"/>
        </w:rPr>
        <w:t xml:space="preserve">remove itself </w:t>
      </w:r>
      <w:r w:rsidRPr="00170139">
        <w:rPr>
          <w:rFonts w:eastAsia="Calibri" w:cs="Arial"/>
          <w:szCs w:val="22"/>
          <w:lang w:eastAsia="en-US"/>
        </w:rPr>
        <w:t xml:space="preserve">from </w:t>
      </w:r>
      <w:r w:rsidR="00504FBD" w:rsidRPr="00170139">
        <w:rPr>
          <w:rFonts w:eastAsia="Calibri" w:cs="Arial"/>
          <w:szCs w:val="22"/>
          <w:lang w:eastAsia="en-US"/>
        </w:rPr>
        <w:t xml:space="preserve">addressing </w:t>
      </w:r>
      <w:r w:rsidRPr="00170139">
        <w:rPr>
          <w:rFonts w:eastAsia="Calibri" w:cs="Arial"/>
          <w:szCs w:val="22"/>
          <w:lang w:eastAsia="en-US"/>
        </w:rPr>
        <w:t>these social constraints and focus only on private sector growth and development where major gains are achievable.</w:t>
      </w:r>
    </w:p>
    <w:p w:rsidR="00346198" w:rsidRPr="00170139" w:rsidRDefault="00346198" w:rsidP="00C13C20">
      <w:pPr>
        <w:rPr>
          <w:rFonts w:eastAsia="Calibri" w:cs="Arial"/>
          <w:szCs w:val="22"/>
          <w:lang w:eastAsia="en-US"/>
        </w:rPr>
      </w:pPr>
    </w:p>
    <w:p w:rsidR="00676E0F" w:rsidRPr="00170139" w:rsidRDefault="00676E0F" w:rsidP="00FA7F7D">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PSDI aims to produce the following overall outcome:</w:t>
      </w:r>
      <w:r w:rsidR="0043668B" w:rsidRPr="00170139">
        <w:rPr>
          <w:rFonts w:cstheme="minorHAnsi"/>
          <w:sz w:val="20"/>
          <w:szCs w:val="20"/>
        </w:rPr>
        <w:t xml:space="preserve"> </w:t>
      </w:r>
      <w:r w:rsidR="0043668B" w:rsidRPr="00170139">
        <w:rPr>
          <w:rFonts w:cstheme="minorHAnsi"/>
          <w:szCs w:val="22"/>
        </w:rPr>
        <w:t>a</w:t>
      </w:r>
      <w:r w:rsidRPr="00170139">
        <w:rPr>
          <w:rFonts w:cstheme="minorHAnsi"/>
          <w:szCs w:val="22"/>
        </w:rPr>
        <w:t>n equitable business environment that encourages new business formation, and increased domestic and foreign investments</w:t>
      </w:r>
      <w:r w:rsidR="0043668B" w:rsidRPr="00170139">
        <w:rPr>
          <w:rFonts w:cstheme="minorHAnsi"/>
          <w:szCs w:val="22"/>
        </w:rPr>
        <w:t>,</w:t>
      </w:r>
      <w:r w:rsidRPr="00170139">
        <w:rPr>
          <w:rFonts w:cstheme="minorHAnsi"/>
          <w:szCs w:val="22"/>
        </w:rPr>
        <w:t xml:space="preserve"> in Pacific DMCs.</w:t>
      </w:r>
      <w:r w:rsidRPr="00170139">
        <w:rPr>
          <w:rFonts w:cstheme="minorHAnsi"/>
          <w:sz w:val="20"/>
          <w:szCs w:val="20"/>
        </w:rPr>
        <w:t xml:space="preserve"> </w:t>
      </w:r>
      <w:r w:rsidRPr="00170139">
        <w:rPr>
          <w:rFonts w:eastAsia="Calibri" w:cs="Arial"/>
          <w:szCs w:val="22"/>
          <w:lang w:eastAsia="en-US"/>
        </w:rPr>
        <w:t>PSDI pursues this goal through a range of activities</w:t>
      </w:r>
      <w:r w:rsidR="0043668B" w:rsidRPr="00170139">
        <w:rPr>
          <w:rFonts w:eastAsia="Calibri" w:cs="Arial"/>
          <w:szCs w:val="22"/>
          <w:lang w:eastAsia="en-US"/>
        </w:rPr>
        <w:t>,</w:t>
      </w:r>
      <w:r w:rsidRPr="00170139">
        <w:rPr>
          <w:rFonts w:eastAsia="Calibri" w:cs="Arial"/>
          <w:szCs w:val="22"/>
          <w:lang w:eastAsia="en-US"/>
        </w:rPr>
        <w:t xml:space="preserve"> including</w:t>
      </w:r>
      <w:r w:rsidR="0043668B" w:rsidRPr="00170139">
        <w:rPr>
          <w:rFonts w:eastAsia="Calibri" w:cs="Arial"/>
          <w:szCs w:val="22"/>
          <w:lang w:eastAsia="en-US"/>
        </w:rPr>
        <w:t>:</w:t>
      </w:r>
      <w:r w:rsidRPr="00170139">
        <w:rPr>
          <w:rFonts w:eastAsia="Calibri" w:cs="Arial"/>
          <w:szCs w:val="22"/>
          <w:lang w:eastAsia="en-US"/>
        </w:rPr>
        <w:t xml:space="preserve"> </w:t>
      </w:r>
      <w:r w:rsidR="0043668B" w:rsidRPr="00170139">
        <w:rPr>
          <w:rFonts w:eastAsia="Calibri" w:cs="Arial"/>
          <w:szCs w:val="22"/>
          <w:lang w:eastAsia="en-US"/>
        </w:rPr>
        <w:t xml:space="preserve">(i) </w:t>
      </w:r>
      <w:r w:rsidR="00C56503" w:rsidRPr="00170139">
        <w:rPr>
          <w:rFonts w:eastAsia="Calibri" w:cs="Arial"/>
          <w:szCs w:val="22"/>
          <w:lang w:eastAsia="en-US"/>
        </w:rPr>
        <w:t>TA</w:t>
      </w:r>
      <w:r w:rsidRPr="00170139">
        <w:rPr>
          <w:rFonts w:eastAsia="Calibri" w:cs="Arial"/>
          <w:szCs w:val="22"/>
          <w:lang w:eastAsia="en-US"/>
        </w:rPr>
        <w:t xml:space="preserve"> and capacity-building; </w:t>
      </w:r>
      <w:r w:rsidR="0043668B" w:rsidRPr="00170139">
        <w:rPr>
          <w:rFonts w:eastAsia="Calibri" w:cs="Arial"/>
          <w:szCs w:val="22"/>
          <w:lang w:eastAsia="en-US"/>
        </w:rPr>
        <w:t xml:space="preserve">(ii) </w:t>
      </w:r>
      <w:r w:rsidRPr="00170139">
        <w:rPr>
          <w:rFonts w:eastAsia="Calibri" w:cs="Arial"/>
          <w:szCs w:val="22"/>
          <w:lang w:eastAsia="en-US"/>
        </w:rPr>
        <w:t xml:space="preserve">assistance in drafting and review of policy and legislation; </w:t>
      </w:r>
      <w:r w:rsidR="0043668B" w:rsidRPr="00170139">
        <w:rPr>
          <w:rFonts w:eastAsia="Calibri" w:cs="Arial"/>
          <w:szCs w:val="22"/>
          <w:lang w:eastAsia="en-US"/>
        </w:rPr>
        <w:t xml:space="preserve">(iii) </w:t>
      </w:r>
      <w:r w:rsidRPr="00170139">
        <w:rPr>
          <w:rFonts w:eastAsia="Calibri" w:cs="Arial"/>
          <w:szCs w:val="22"/>
          <w:lang w:eastAsia="en-US"/>
        </w:rPr>
        <w:t>advice and support in public-private partnerships</w:t>
      </w:r>
      <w:r w:rsidR="0043668B" w:rsidRPr="00170139">
        <w:rPr>
          <w:rFonts w:eastAsia="Calibri" w:cs="Arial"/>
          <w:szCs w:val="22"/>
          <w:lang w:eastAsia="en-US"/>
        </w:rPr>
        <w:t xml:space="preserve"> (PPPs)</w:t>
      </w:r>
      <w:r w:rsidRPr="00170139">
        <w:rPr>
          <w:rFonts w:eastAsia="Calibri" w:cs="Arial"/>
          <w:szCs w:val="22"/>
          <w:lang w:eastAsia="en-US"/>
        </w:rPr>
        <w:t xml:space="preserve"> and other transactions; and </w:t>
      </w:r>
      <w:r w:rsidR="0043668B" w:rsidRPr="00170139">
        <w:rPr>
          <w:rFonts w:eastAsia="Calibri" w:cs="Arial"/>
          <w:szCs w:val="22"/>
          <w:lang w:eastAsia="en-US"/>
        </w:rPr>
        <w:t xml:space="preserve">(iv) </w:t>
      </w:r>
      <w:r w:rsidRPr="00170139">
        <w:rPr>
          <w:rFonts w:eastAsia="Calibri" w:cs="Arial"/>
          <w:szCs w:val="22"/>
          <w:lang w:eastAsia="en-US"/>
        </w:rPr>
        <w:t>research, analysis, and outreach through publications and events such as conferences.</w:t>
      </w:r>
    </w:p>
    <w:p w:rsidR="00676E0F" w:rsidRPr="00170139" w:rsidRDefault="00676E0F" w:rsidP="00DF2784">
      <w:pPr>
        <w:rPr>
          <w:rFonts w:eastAsia="Calibri" w:cs="Arial"/>
          <w:szCs w:val="22"/>
          <w:lang w:eastAsia="en-US"/>
        </w:rPr>
      </w:pPr>
    </w:p>
    <w:p w:rsidR="00FA7F7D" w:rsidRPr="00170139" w:rsidRDefault="00346198" w:rsidP="00DF2784">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The purpose of this review is to assess PSDI III at its midpoint (May 2016)</w:t>
      </w:r>
      <w:r w:rsidR="0043668B" w:rsidRPr="00170139">
        <w:rPr>
          <w:rFonts w:eastAsia="Calibri" w:cs="Arial"/>
          <w:szCs w:val="22"/>
          <w:lang w:eastAsia="en-US"/>
        </w:rPr>
        <w:t>,</w:t>
      </w:r>
      <w:r w:rsidRPr="00170139">
        <w:rPr>
          <w:rFonts w:eastAsia="Calibri" w:cs="Arial"/>
          <w:szCs w:val="22"/>
          <w:lang w:eastAsia="en-US"/>
        </w:rPr>
        <w:t xml:space="preserve"> and provide suggestions as appropriate for the remaining portion of PSDI III (</w:t>
      </w:r>
      <w:r w:rsidR="00D578D9" w:rsidRPr="00170139">
        <w:rPr>
          <w:rFonts w:eastAsia="Calibri" w:cs="Arial"/>
          <w:szCs w:val="22"/>
          <w:lang w:eastAsia="en-US"/>
        </w:rPr>
        <w:t>October 2017</w:t>
      </w:r>
      <w:r w:rsidRPr="00170139">
        <w:rPr>
          <w:rFonts w:eastAsia="Calibri" w:cs="Arial"/>
          <w:szCs w:val="22"/>
          <w:lang w:eastAsia="en-US"/>
        </w:rPr>
        <w:t xml:space="preserve">–May 2019) as well as for the envisaged </w:t>
      </w:r>
      <w:r w:rsidR="00BB2A38" w:rsidRPr="00170139">
        <w:rPr>
          <w:rFonts w:eastAsia="Calibri" w:cs="Arial"/>
          <w:szCs w:val="22"/>
          <w:lang w:eastAsia="en-US"/>
        </w:rPr>
        <w:t xml:space="preserve">period of </w:t>
      </w:r>
      <w:r w:rsidRPr="00170139">
        <w:rPr>
          <w:rFonts w:eastAsia="Calibri" w:cs="Arial"/>
          <w:szCs w:val="22"/>
          <w:lang w:eastAsia="en-US"/>
        </w:rPr>
        <w:t>PSDI IV</w:t>
      </w:r>
      <w:r w:rsidR="00DF2784" w:rsidRPr="00170139">
        <w:rPr>
          <w:rFonts w:eastAsia="Calibri" w:cs="Arial"/>
          <w:szCs w:val="22"/>
          <w:lang w:eastAsia="en-US"/>
        </w:rPr>
        <w:t>.</w:t>
      </w:r>
    </w:p>
    <w:p w:rsidR="00FA7F7D" w:rsidRPr="00170139" w:rsidRDefault="00FA7F7D" w:rsidP="00170139"/>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PSDI I </w:t>
      </w:r>
      <w:r w:rsidR="00FA7F7D" w:rsidRPr="00170139">
        <w:rPr>
          <w:rFonts w:eastAsia="Calibri" w:cs="Arial"/>
          <w:szCs w:val="22"/>
          <w:lang w:eastAsia="en-US"/>
        </w:rPr>
        <w:t>was</w:t>
      </w:r>
      <w:r w:rsidRPr="00170139">
        <w:rPr>
          <w:rFonts w:eastAsia="Calibri" w:cs="Arial"/>
          <w:szCs w:val="22"/>
          <w:lang w:eastAsia="en-US"/>
        </w:rPr>
        <w:t xml:space="preserve"> initiated in November 2006 with a program of $9.8 million that concluded in July 2013. The overlapping PSDI II was initiated in December 2009 and ended in March 2015 with a total assistance of $12 million. The </w:t>
      </w:r>
      <w:r w:rsidR="00030682" w:rsidRPr="00170139">
        <w:rPr>
          <w:rFonts w:eastAsia="Calibri" w:cs="Arial"/>
          <w:szCs w:val="22"/>
          <w:lang w:eastAsia="en-US"/>
        </w:rPr>
        <w:t xml:space="preserve">current phase, </w:t>
      </w:r>
      <w:r w:rsidRPr="00170139">
        <w:rPr>
          <w:rFonts w:eastAsia="Calibri" w:cs="Arial"/>
          <w:szCs w:val="22"/>
          <w:lang w:eastAsia="en-US"/>
        </w:rPr>
        <w:t>PSDI III</w:t>
      </w:r>
      <w:r w:rsidR="00030682" w:rsidRPr="00170139">
        <w:rPr>
          <w:rFonts w:eastAsia="Calibri" w:cs="Arial"/>
          <w:szCs w:val="22"/>
          <w:lang w:eastAsia="en-US"/>
        </w:rPr>
        <w:t>,</w:t>
      </w:r>
      <w:r w:rsidRPr="00170139">
        <w:rPr>
          <w:rFonts w:eastAsia="Calibri" w:cs="Arial"/>
          <w:szCs w:val="22"/>
          <w:lang w:eastAsia="en-US"/>
        </w:rPr>
        <w:t xml:space="preserve"> was</w:t>
      </w:r>
      <w:r w:rsidR="00FA7F7D" w:rsidRPr="00170139">
        <w:rPr>
          <w:rFonts w:eastAsia="Calibri" w:cs="Arial"/>
          <w:szCs w:val="22"/>
          <w:lang w:eastAsia="en-US"/>
        </w:rPr>
        <w:t xml:space="preserve"> initiated in June 2013 and</w:t>
      </w:r>
      <w:r w:rsidRPr="00170139">
        <w:rPr>
          <w:rFonts w:eastAsia="Calibri" w:cs="Arial"/>
          <w:szCs w:val="22"/>
          <w:lang w:eastAsia="en-US"/>
        </w:rPr>
        <w:t xml:space="preserve"> financed with expanded resources of $</w:t>
      </w:r>
      <w:r w:rsidR="009E4A92" w:rsidRPr="00170139">
        <w:rPr>
          <w:rFonts w:eastAsia="Calibri" w:cs="Arial"/>
          <w:szCs w:val="22"/>
          <w:lang w:eastAsia="en-US"/>
        </w:rPr>
        <w:t>3</w:t>
      </w:r>
      <w:r w:rsidR="00C930F2" w:rsidRPr="00170139">
        <w:rPr>
          <w:rFonts w:eastAsia="Calibri" w:cs="Arial"/>
          <w:szCs w:val="22"/>
          <w:lang w:eastAsia="en-US"/>
        </w:rPr>
        <w:t>0</w:t>
      </w:r>
      <w:r w:rsidRPr="00170139">
        <w:rPr>
          <w:rFonts w:eastAsia="Calibri" w:cs="Arial"/>
          <w:szCs w:val="22"/>
          <w:lang w:eastAsia="en-US"/>
        </w:rPr>
        <w:t>.</w:t>
      </w:r>
      <w:r w:rsidR="00C930F2" w:rsidRPr="00170139">
        <w:rPr>
          <w:rFonts w:eastAsia="Calibri" w:cs="Arial"/>
          <w:szCs w:val="22"/>
          <w:lang w:eastAsia="en-US"/>
        </w:rPr>
        <w:t>5</w:t>
      </w:r>
      <w:r w:rsidR="009E4A92" w:rsidRPr="00170139">
        <w:rPr>
          <w:rFonts w:eastAsia="Calibri" w:cs="Arial"/>
          <w:szCs w:val="22"/>
          <w:lang w:eastAsia="en-US"/>
        </w:rPr>
        <w:t xml:space="preserve"> </w:t>
      </w:r>
      <w:r w:rsidRPr="00170139">
        <w:rPr>
          <w:rFonts w:eastAsia="Calibri" w:cs="Arial"/>
          <w:szCs w:val="22"/>
          <w:lang w:eastAsia="en-US"/>
        </w:rPr>
        <w:t>million</w:t>
      </w:r>
      <w:r w:rsidR="00C930F2" w:rsidRPr="00170139">
        <w:rPr>
          <w:rFonts w:eastAsia="Calibri" w:cs="Arial"/>
          <w:szCs w:val="22"/>
          <w:lang w:eastAsia="en-US"/>
        </w:rPr>
        <w:t xml:space="preserve">, with additional </w:t>
      </w:r>
      <w:r w:rsidR="00942131" w:rsidRPr="00170139">
        <w:rPr>
          <w:rFonts w:eastAsia="Calibri" w:cs="Arial"/>
          <w:szCs w:val="22"/>
          <w:lang w:eastAsia="en-US"/>
        </w:rPr>
        <w:t>financing of $8.08 million, primarily for PSDI’s program in Papua New Guinea (PNG), approved in June 2015</w:t>
      </w:r>
      <w:r w:rsidRPr="00170139">
        <w:rPr>
          <w:rFonts w:eastAsia="Calibri" w:cs="Arial"/>
          <w:szCs w:val="22"/>
          <w:lang w:eastAsia="en-US"/>
        </w:rPr>
        <w:t>. As of July 2017, commitments under PSDI III amounted to $32.0 million, disbursements amounted to $21.0 million</w:t>
      </w:r>
      <w:r w:rsidR="002D3749" w:rsidRPr="00170139">
        <w:rPr>
          <w:rFonts w:eastAsia="Calibri" w:cs="Arial"/>
          <w:szCs w:val="22"/>
          <w:lang w:eastAsia="en-US"/>
        </w:rPr>
        <w:t>—</w:t>
      </w:r>
      <w:r w:rsidRPr="00170139">
        <w:rPr>
          <w:rFonts w:eastAsia="Calibri" w:cs="Arial"/>
          <w:szCs w:val="22"/>
          <w:lang w:eastAsia="en-US"/>
        </w:rPr>
        <w:t xml:space="preserve">with about $4.0 million </w:t>
      </w:r>
      <w:r w:rsidR="004B7A19" w:rsidRPr="00170139">
        <w:rPr>
          <w:rFonts w:eastAsia="Calibri" w:cs="Arial"/>
          <w:szCs w:val="22"/>
          <w:lang w:eastAsia="en-US"/>
        </w:rPr>
        <w:t xml:space="preserve">disbursed to </w:t>
      </w:r>
      <w:r w:rsidR="00742E28" w:rsidRPr="00170139">
        <w:rPr>
          <w:rFonts w:eastAsia="Calibri" w:cs="Arial"/>
          <w:szCs w:val="22"/>
          <w:lang w:eastAsia="en-US"/>
        </w:rPr>
        <w:t>PNG</w:t>
      </w:r>
      <w:r w:rsidR="002D3749" w:rsidRPr="00170139">
        <w:rPr>
          <w:rFonts w:eastAsia="Calibri" w:cs="Arial"/>
          <w:szCs w:val="22"/>
          <w:lang w:eastAsia="en-US"/>
        </w:rPr>
        <w:t>—and</w:t>
      </w:r>
      <w:r w:rsidRPr="00170139">
        <w:rPr>
          <w:rFonts w:eastAsia="Calibri" w:cs="Arial"/>
          <w:szCs w:val="22"/>
          <w:lang w:eastAsia="en-US"/>
        </w:rPr>
        <w:t xml:space="preserve"> undisbursed funds amounted to $17.4 million. As such</w:t>
      </w:r>
      <w:r w:rsidR="002D3749" w:rsidRPr="00170139">
        <w:rPr>
          <w:rFonts w:eastAsia="Calibri" w:cs="Arial"/>
          <w:szCs w:val="22"/>
          <w:lang w:eastAsia="en-US"/>
        </w:rPr>
        <w:t>,</w:t>
      </w:r>
      <w:r w:rsidRPr="00170139">
        <w:rPr>
          <w:rFonts w:eastAsia="Calibri" w:cs="Arial"/>
          <w:szCs w:val="22"/>
          <w:lang w:eastAsia="en-US"/>
        </w:rPr>
        <w:t xml:space="preserve"> PSDI III is a very substantial program of assistance sponsored by DFAT, MFAT</w:t>
      </w:r>
      <w:r w:rsidR="000F1A7C" w:rsidRPr="00170139">
        <w:rPr>
          <w:rFonts w:eastAsia="Calibri" w:cs="Arial"/>
          <w:szCs w:val="22"/>
          <w:lang w:eastAsia="en-US"/>
        </w:rPr>
        <w:t>,</w:t>
      </w:r>
      <w:r w:rsidRPr="00170139">
        <w:rPr>
          <w:rFonts w:eastAsia="Calibri" w:cs="Arial"/>
          <w:szCs w:val="22"/>
          <w:lang w:eastAsia="en-US"/>
        </w:rPr>
        <w:t xml:space="preserve"> and ADB to the benefit of the 14 Pacific </w:t>
      </w:r>
      <w:r w:rsidR="002D3749" w:rsidRPr="00170139">
        <w:rPr>
          <w:rFonts w:eastAsia="Calibri" w:cs="Arial"/>
          <w:szCs w:val="22"/>
          <w:lang w:eastAsia="en-US"/>
        </w:rPr>
        <w:t>DMCs</w:t>
      </w:r>
      <w:r w:rsidRPr="00170139">
        <w:rPr>
          <w:rFonts w:eastAsia="Calibri" w:cs="Arial"/>
          <w:szCs w:val="22"/>
          <w:lang w:eastAsia="en-US"/>
        </w:rPr>
        <w:t>.</w:t>
      </w:r>
    </w:p>
    <w:p w:rsidR="00346198" w:rsidRPr="00346198" w:rsidRDefault="00346198" w:rsidP="00C13C20">
      <w:pPr>
        <w:rPr>
          <w:rFonts w:eastAsia="Calibri" w:cs="Arial"/>
          <w:szCs w:val="22"/>
          <w:lang w:eastAsia="en-US"/>
        </w:rPr>
      </w:pPr>
    </w:p>
    <w:p w:rsidR="00346198" w:rsidRPr="00170139" w:rsidRDefault="00B01DFF" w:rsidP="00BD7C37">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Under</w:t>
      </w:r>
      <w:r w:rsidR="00346198" w:rsidRPr="00170139">
        <w:rPr>
          <w:rFonts w:eastAsia="Calibri" w:cs="Arial"/>
          <w:szCs w:val="22"/>
          <w:lang w:eastAsia="en-US"/>
        </w:rPr>
        <w:t xml:space="preserve"> PSDI III, there are five lead consultants for each of the </w:t>
      </w:r>
      <w:r w:rsidR="00624F58">
        <w:rPr>
          <w:rFonts w:eastAsia="Calibri" w:cs="Arial"/>
          <w:szCs w:val="22"/>
          <w:lang w:eastAsia="en-US"/>
        </w:rPr>
        <w:t>technical</w:t>
      </w:r>
      <w:r w:rsidR="00624F58" w:rsidRPr="00170139">
        <w:rPr>
          <w:rFonts w:eastAsia="Calibri" w:cs="Arial"/>
          <w:szCs w:val="22"/>
          <w:lang w:eastAsia="en-US"/>
        </w:rPr>
        <w:t xml:space="preserve"> </w:t>
      </w:r>
      <w:r w:rsidR="00346198" w:rsidRPr="00170139">
        <w:rPr>
          <w:rFonts w:eastAsia="Calibri" w:cs="Arial"/>
          <w:szCs w:val="22"/>
          <w:lang w:eastAsia="en-US"/>
        </w:rPr>
        <w:t>areas, namely</w:t>
      </w:r>
      <w:r w:rsidRPr="00170139">
        <w:rPr>
          <w:rFonts w:eastAsia="Calibri" w:cs="Arial"/>
          <w:szCs w:val="22"/>
          <w:lang w:eastAsia="en-US"/>
        </w:rPr>
        <w:t xml:space="preserve"> (i)</w:t>
      </w:r>
      <w:r w:rsidR="005F78C4" w:rsidRPr="00170139">
        <w:rPr>
          <w:rFonts w:eastAsia="Calibri" w:cs="Arial"/>
          <w:szCs w:val="22"/>
          <w:lang w:eastAsia="en-US"/>
        </w:rPr>
        <w:t> </w:t>
      </w:r>
      <w:r w:rsidR="004F06AB" w:rsidRPr="00170139">
        <w:rPr>
          <w:rFonts w:eastAsia="Calibri" w:cs="Arial"/>
          <w:szCs w:val="22"/>
          <w:lang w:eastAsia="en-US"/>
        </w:rPr>
        <w:t>financing growth</w:t>
      </w:r>
      <w:r w:rsidR="00346198" w:rsidRPr="00170139">
        <w:rPr>
          <w:rFonts w:eastAsia="Calibri" w:cs="Arial"/>
          <w:szCs w:val="22"/>
          <w:lang w:eastAsia="en-US"/>
        </w:rPr>
        <w:t xml:space="preserve">, </w:t>
      </w:r>
      <w:r w:rsidRPr="00170139">
        <w:rPr>
          <w:rFonts w:eastAsia="Calibri" w:cs="Arial"/>
          <w:szCs w:val="22"/>
          <w:lang w:eastAsia="en-US"/>
        </w:rPr>
        <w:t xml:space="preserve">(ii) </w:t>
      </w:r>
      <w:r w:rsidR="004F06AB" w:rsidRPr="00170139">
        <w:rPr>
          <w:rFonts w:eastAsia="Calibri" w:cs="Arial"/>
          <w:szCs w:val="22"/>
          <w:lang w:eastAsia="en-US"/>
        </w:rPr>
        <w:t>business law reform</w:t>
      </w:r>
      <w:r w:rsidR="00FE472A" w:rsidRPr="00170139">
        <w:rPr>
          <w:rFonts w:eastAsia="Calibri" w:cs="Arial"/>
          <w:szCs w:val="22"/>
          <w:lang w:eastAsia="en-US"/>
        </w:rPr>
        <w:t xml:space="preserve">, </w:t>
      </w:r>
      <w:r w:rsidRPr="00170139">
        <w:rPr>
          <w:rFonts w:eastAsia="Calibri" w:cs="Arial"/>
          <w:szCs w:val="22"/>
          <w:lang w:eastAsia="en-US"/>
        </w:rPr>
        <w:t xml:space="preserve">(iii) </w:t>
      </w:r>
      <w:r w:rsidR="004F06AB" w:rsidRPr="00170139">
        <w:rPr>
          <w:rFonts w:eastAsia="Calibri" w:cs="Arial"/>
          <w:szCs w:val="22"/>
          <w:lang w:eastAsia="en-US"/>
        </w:rPr>
        <w:t>state-owned enterprise (SOE) reform and PPPs</w:t>
      </w:r>
      <w:r w:rsidR="00FE472A" w:rsidRPr="00170139">
        <w:rPr>
          <w:rFonts w:eastAsia="Calibri" w:cs="Arial"/>
          <w:szCs w:val="22"/>
          <w:lang w:eastAsia="en-US"/>
        </w:rPr>
        <w:t xml:space="preserve">, </w:t>
      </w:r>
      <w:r w:rsidRPr="00170139">
        <w:rPr>
          <w:rFonts w:eastAsia="Calibri" w:cs="Arial"/>
          <w:szCs w:val="22"/>
          <w:lang w:eastAsia="en-US"/>
        </w:rPr>
        <w:t>(iv)</w:t>
      </w:r>
      <w:r w:rsidR="004F06AB" w:rsidRPr="00170139">
        <w:rPr>
          <w:rFonts w:eastAsia="Calibri" w:cs="Arial"/>
          <w:szCs w:val="22"/>
          <w:lang w:eastAsia="en-US"/>
        </w:rPr>
        <w:t xml:space="preserve"> the economic empowerment of women</w:t>
      </w:r>
      <w:r w:rsidR="00FE472A" w:rsidRPr="00170139">
        <w:rPr>
          <w:rFonts w:eastAsia="Calibri" w:cs="Arial"/>
          <w:szCs w:val="22"/>
          <w:lang w:eastAsia="en-US"/>
        </w:rPr>
        <w:t xml:space="preserve">, and </w:t>
      </w:r>
      <w:r w:rsidRPr="00170139">
        <w:rPr>
          <w:rFonts w:eastAsia="Calibri" w:cs="Arial"/>
          <w:szCs w:val="22"/>
          <w:lang w:eastAsia="en-US"/>
        </w:rPr>
        <w:t>(v)</w:t>
      </w:r>
      <w:r w:rsidR="004F06AB" w:rsidRPr="00170139">
        <w:rPr>
          <w:rFonts w:eastAsia="Calibri" w:cs="Arial"/>
          <w:szCs w:val="22"/>
          <w:lang w:eastAsia="en-US"/>
        </w:rPr>
        <w:t xml:space="preserve"> competition </w:t>
      </w:r>
      <w:r w:rsidR="008752EF" w:rsidRPr="00170139">
        <w:rPr>
          <w:rFonts w:eastAsia="Calibri" w:cs="Arial"/>
          <w:szCs w:val="22"/>
          <w:lang w:eastAsia="en-US"/>
        </w:rPr>
        <w:t xml:space="preserve">policy </w:t>
      </w:r>
      <w:r w:rsidR="004F06AB" w:rsidRPr="00170139">
        <w:rPr>
          <w:rFonts w:eastAsia="Calibri" w:cs="Arial"/>
          <w:szCs w:val="22"/>
          <w:lang w:eastAsia="en-US"/>
        </w:rPr>
        <w:t>and consumer protection</w:t>
      </w:r>
      <w:r w:rsidR="00346198" w:rsidRPr="00170139">
        <w:rPr>
          <w:rFonts w:eastAsia="Calibri" w:cs="Arial"/>
          <w:szCs w:val="22"/>
          <w:lang w:eastAsia="en-US"/>
        </w:rPr>
        <w:t xml:space="preserve">. There are also </w:t>
      </w:r>
      <w:r w:rsidR="000F1A7C" w:rsidRPr="00170139">
        <w:rPr>
          <w:rFonts w:eastAsia="Calibri" w:cs="Arial"/>
          <w:szCs w:val="22"/>
          <w:lang w:eastAsia="en-US"/>
        </w:rPr>
        <w:t xml:space="preserve">five </w:t>
      </w:r>
      <w:r w:rsidR="00346198" w:rsidRPr="00170139">
        <w:rPr>
          <w:rFonts w:eastAsia="Calibri" w:cs="Arial"/>
          <w:szCs w:val="22"/>
          <w:lang w:eastAsia="en-US"/>
        </w:rPr>
        <w:t>county coordinators</w:t>
      </w:r>
      <w:r w:rsidR="000F1A7C" w:rsidRPr="00170139">
        <w:rPr>
          <w:rFonts w:eastAsia="Calibri" w:cs="Arial"/>
          <w:szCs w:val="22"/>
          <w:lang w:eastAsia="en-US"/>
        </w:rPr>
        <w:t xml:space="preserve">, three </w:t>
      </w:r>
      <w:r w:rsidR="00346198" w:rsidRPr="00170139">
        <w:rPr>
          <w:rFonts w:eastAsia="Calibri" w:cs="Arial"/>
          <w:szCs w:val="22"/>
          <w:lang w:eastAsia="en-US"/>
        </w:rPr>
        <w:t>full</w:t>
      </w:r>
      <w:r w:rsidRPr="00170139">
        <w:rPr>
          <w:rFonts w:eastAsia="Calibri" w:cs="Arial"/>
          <w:szCs w:val="22"/>
          <w:lang w:eastAsia="en-US"/>
        </w:rPr>
        <w:t>-</w:t>
      </w:r>
      <w:r w:rsidR="00346198" w:rsidRPr="00170139">
        <w:rPr>
          <w:rFonts w:eastAsia="Calibri" w:cs="Arial"/>
          <w:szCs w:val="22"/>
          <w:lang w:eastAsia="en-US"/>
        </w:rPr>
        <w:t>time support consultants</w:t>
      </w:r>
      <w:r w:rsidR="000F1A7C" w:rsidRPr="00170139">
        <w:rPr>
          <w:rFonts w:eastAsia="Calibri" w:cs="Arial"/>
          <w:szCs w:val="22"/>
          <w:lang w:eastAsia="en-US"/>
        </w:rPr>
        <w:t>, and a part-time</w:t>
      </w:r>
      <w:r w:rsidR="00346198" w:rsidRPr="00170139">
        <w:rPr>
          <w:rFonts w:eastAsia="Calibri" w:cs="Arial"/>
          <w:szCs w:val="22"/>
          <w:lang w:eastAsia="en-US"/>
        </w:rPr>
        <w:t xml:space="preserve"> </w:t>
      </w:r>
      <w:r w:rsidR="006F0BA4" w:rsidRPr="00170139">
        <w:rPr>
          <w:rFonts w:eastAsia="Calibri" w:cs="Arial"/>
          <w:szCs w:val="22"/>
          <w:lang w:eastAsia="en-US"/>
        </w:rPr>
        <w:t>m</w:t>
      </w:r>
      <w:r w:rsidR="00346198" w:rsidRPr="00170139">
        <w:rPr>
          <w:rFonts w:eastAsia="Calibri" w:cs="Arial"/>
          <w:szCs w:val="22"/>
          <w:lang w:eastAsia="en-US"/>
        </w:rPr>
        <w:t xml:space="preserve">onitoring &amp; </w:t>
      </w:r>
      <w:r w:rsidR="006F0BA4" w:rsidRPr="00170139">
        <w:rPr>
          <w:rFonts w:eastAsia="Calibri" w:cs="Arial"/>
          <w:szCs w:val="22"/>
          <w:lang w:eastAsia="en-US"/>
        </w:rPr>
        <w:t>e</w:t>
      </w:r>
      <w:r w:rsidR="00346198" w:rsidRPr="00170139">
        <w:rPr>
          <w:rFonts w:eastAsia="Calibri" w:cs="Arial"/>
          <w:szCs w:val="22"/>
          <w:lang w:eastAsia="en-US"/>
        </w:rPr>
        <w:t xml:space="preserve">valuation (M&amp;E) </w:t>
      </w:r>
      <w:r w:rsidR="006F0BA4" w:rsidRPr="00170139">
        <w:rPr>
          <w:rFonts w:eastAsia="Calibri" w:cs="Arial"/>
          <w:szCs w:val="22"/>
          <w:lang w:eastAsia="en-US"/>
        </w:rPr>
        <w:t>s</w:t>
      </w:r>
      <w:r w:rsidR="00346198" w:rsidRPr="00170139">
        <w:rPr>
          <w:rFonts w:eastAsia="Calibri" w:cs="Arial"/>
          <w:szCs w:val="22"/>
          <w:lang w:eastAsia="en-US"/>
        </w:rPr>
        <w:t>pecialist. In total, PSDI administers about 80 consulting contracts under PSDI III.</w:t>
      </w:r>
    </w:p>
    <w:p w:rsidR="00FE472A" w:rsidRPr="00567411" w:rsidRDefault="00FE472A" w:rsidP="00C13C20">
      <w:pPr>
        <w:contextualSpacing/>
        <w:rPr>
          <w:rFonts w:eastAsia="Calibri" w:cs="Arial"/>
          <w:szCs w:val="22"/>
          <w:lang w:eastAsia="en-US"/>
        </w:rPr>
      </w:pPr>
    </w:p>
    <w:p w:rsidR="00386F3B" w:rsidRPr="00567411" w:rsidRDefault="00386F3B" w:rsidP="00C13C20">
      <w:pPr>
        <w:contextualSpacing/>
        <w:rPr>
          <w:rFonts w:eastAsia="Calibri" w:cs="Arial"/>
          <w:szCs w:val="22"/>
          <w:lang w:eastAsia="en-US"/>
        </w:rPr>
      </w:pPr>
    </w:p>
    <w:p w:rsidR="00C94D02" w:rsidRPr="00D6162F" w:rsidRDefault="00C94D02">
      <w:pPr>
        <w:jc w:val="left"/>
        <w:rPr>
          <w:rFonts w:eastAsia="Times New Roman" w:cs="Arial"/>
          <w:bCs/>
          <w:caps/>
          <w:szCs w:val="22"/>
          <w:lang w:val="x-none" w:eastAsia="x-none"/>
        </w:rPr>
      </w:pPr>
      <w:bookmarkStart w:id="5" w:name="_Toc494378854"/>
      <w:r w:rsidRPr="00D6162F">
        <w:rPr>
          <w:rFonts w:eastAsia="Times New Roman" w:cs="Arial"/>
          <w:bCs/>
          <w:caps/>
          <w:szCs w:val="22"/>
          <w:lang w:val="x-none" w:eastAsia="x-none"/>
        </w:rPr>
        <w:br w:type="page"/>
      </w:r>
    </w:p>
    <w:p w:rsidR="00346198" w:rsidRDefault="00C13C20" w:rsidP="00170139">
      <w:pPr>
        <w:keepNext/>
        <w:keepLines/>
        <w:tabs>
          <w:tab w:val="left" w:pos="567"/>
        </w:tabs>
        <w:spacing w:after="100" w:afterAutospacing="1" w:line="259" w:lineRule="auto"/>
        <w:jc w:val="center"/>
        <w:outlineLvl w:val="0"/>
        <w:rPr>
          <w:rFonts w:ascii="Arial Bold" w:eastAsia="Times New Roman" w:hAnsi="Arial Bold"/>
          <w:b/>
          <w:bCs/>
          <w:caps/>
          <w:sz w:val="24"/>
          <w:lang w:val="x-none" w:eastAsia="x-none"/>
        </w:rPr>
      </w:pPr>
      <w:r w:rsidRPr="00170139">
        <w:rPr>
          <w:rFonts w:ascii="Arial Bold" w:eastAsia="Times New Roman" w:hAnsi="Arial Bold"/>
          <w:b/>
          <w:bCs/>
          <w:caps/>
          <w:sz w:val="24"/>
          <w:lang w:val="x-none" w:eastAsia="x-none"/>
        </w:rPr>
        <w:lastRenderedPageBreak/>
        <w:t>II.</w:t>
      </w:r>
      <w:r w:rsidR="00386F3B">
        <w:rPr>
          <w:rFonts w:ascii="Arial Bold" w:eastAsia="Times New Roman" w:hAnsi="Arial Bold"/>
          <w:b/>
          <w:bCs/>
          <w:caps/>
          <w:sz w:val="24"/>
          <w:lang w:val="en-AU" w:eastAsia="x-none"/>
        </w:rPr>
        <w:tab/>
      </w:r>
      <w:r w:rsidR="00346198" w:rsidRPr="00170139">
        <w:rPr>
          <w:rFonts w:ascii="Arial Bold" w:eastAsia="Times New Roman" w:hAnsi="Arial Bold"/>
          <w:b/>
          <w:bCs/>
          <w:caps/>
          <w:sz w:val="24"/>
          <w:lang w:val="x-none" w:eastAsia="x-none"/>
        </w:rPr>
        <w:t>Terms of Reference</w:t>
      </w:r>
      <w:bookmarkEnd w:id="5"/>
    </w:p>
    <w:p w:rsidR="00BE10EA" w:rsidRDefault="00BE10EA" w:rsidP="00170139">
      <w:pPr>
        <w:keepNext/>
        <w:keepLines/>
        <w:tabs>
          <w:tab w:val="left" w:pos="567"/>
        </w:tabs>
        <w:outlineLvl w:val="0"/>
        <w:rPr>
          <w:rFonts w:eastAsia="Times New Roman" w:cs="Arial"/>
          <w:b/>
          <w:bCs/>
          <w:sz w:val="24"/>
          <w:lang w:val="en-AU" w:eastAsia="x-none"/>
        </w:rPr>
      </w:pPr>
      <w:r w:rsidRPr="00170139">
        <w:rPr>
          <w:rFonts w:eastAsia="Times New Roman" w:cs="Arial"/>
          <w:b/>
          <w:bCs/>
          <w:caps/>
          <w:sz w:val="24"/>
          <w:lang w:val="en-AU" w:eastAsia="x-none"/>
        </w:rPr>
        <w:t>A.</w:t>
      </w:r>
      <w:r w:rsidRPr="00170139">
        <w:rPr>
          <w:rFonts w:eastAsia="Times New Roman" w:cs="Arial"/>
          <w:b/>
          <w:bCs/>
          <w:caps/>
          <w:sz w:val="24"/>
          <w:lang w:val="en-AU" w:eastAsia="x-none"/>
        </w:rPr>
        <w:tab/>
        <w:t>B</w:t>
      </w:r>
      <w:r w:rsidRPr="00170139">
        <w:rPr>
          <w:rFonts w:eastAsia="Times New Roman" w:cs="Arial"/>
          <w:b/>
          <w:bCs/>
          <w:sz w:val="24"/>
          <w:lang w:val="en-AU" w:eastAsia="x-none"/>
        </w:rPr>
        <w:t>ackground</w:t>
      </w:r>
    </w:p>
    <w:p w:rsidR="00DF2784" w:rsidRPr="00170139" w:rsidRDefault="00DF2784" w:rsidP="00DF2784">
      <w:pPr>
        <w:rPr>
          <w:rFonts w:eastAsia="Calibri" w:cs="Arial"/>
          <w:szCs w:val="22"/>
          <w:lang w:eastAsia="en-US"/>
        </w:rPr>
      </w:pPr>
    </w:p>
    <w:p w:rsidR="00346198" w:rsidRPr="00170139" w:rsidRDefault="00346198" w:rsidP="00170139">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Since 2006, PSDI has been working with ADB</w:t>
      </w:r>
      <w:r w:rsidR="00AA7F2A" w:rsidRPr="00170139">
        <w:rPr>
          <w:rFonts w:eastAsia="Calibri" w:cs="Arial"/>
          <w:szCs w:val="22"/>
          <w:lang w:eastAsia="en-US"/>
        </w:rPr>
        <w:t>’</w:t>
      </w:r>
      <w:r w:rsidRPr="00170139">
        <w:rPr>
          <w:rFonts w:eastAsia="Calibri" w:cs="Arial"/>
          <w:szCs w:val="22"/>
          <w:lang w:eastAsia="en-US"/>
        </w:rPr>
        <w:t>s 14 Pacific DMCs to improve the</w:t>
      </w:r>
      <w:r w:rsidR="00030682" w:rsidRPr="00170139">
        <w:rPr>
          <w:rFonts w:eastAsia="Calibri" w:cs="Arial"/>
          <w:szCs w:val="22"/>
          <w:lang w:eastAsia="en-US"/>
        </w:rPr>
        <w:t>ir</w:t>
      </w:r>
      <w:r w:rsidRPr="00170139">
        <w:rPr>
          <w:rFonts w:eastAsia="Calibri" w:cs="Arial"/>
          <w:szCs w:val="22"/>
          <w:lang w:eastAsia="en-US"/>
        </w:rPr>
        <w:t xml:space="preserve"> enabling environment</w:t>
      </w:r>
      <w:r w:rsidR="00030682" w:rsidRPr="00170139">
        <w:rPr>
          <w:rFonts w:eastAsia="Calibri" w:cs="Arial"/>
          <w:szCs w:val="22"/>
          <w:lang w:eastAsia="en-US"/>
        </w:rPr>
        <w:t>s</w:t>
      </w:r>
      <w:r w:rsidRPr="00170139">
        <w:rPr>
          <w:rFonts w:eastAsia="Calibri" w:cs="Arial"/>
          <w:szCs w:val="22"/>
          <w:lang w:eastAsia="en-US"/>
        </w:rPr>
        <w:t xml:space="preserve"> for business and </w:t>
      </w:r>
      <w:r w:rsidR="00030682" w:rsidRPr="00170139">
        <w:rPr>
          <w:rFonts w:eastAsia="Calibri" w:cs="Arial"/>
          <w:szCs w:val="22"/>
          <w:lang w:eastAsia="en-US"/>
        </w:rPr>
        <w:t xml:space="preserve">to </w:t>
      </w:r>
      <w:r w:rsidRPr="00170139">
        <w:rPr>
          <w:rFonts w:eastAsia="Calibri" w:cs="Arial"/>
          <w:szCs w:val="22"/>
          <w:lang w:eastAsia="en-US"/>
        </w:rPr>
        <w:t>support economic growth</w:t>
      </w:r>
      <w:r w:rsidR="00030682" w:rsidRPr="00170139">
        <w:rPr>
          <w:rFonts w:eastAsia="Calibri" w:cs="Arial"/>
          <w:szCs w:val="22"/>
          <w:lang w:eastAsia="en-US"/>
        </w:rPr>
        <w:t xml:space="preserve"> led by private sector development</w:t>
      </w:r>
      <w:r w:rsidRPr="00170139">
        <w:rPr>
          <w:rFonts w:eastAsia="Calibri" w:cs="Arial"/>
          <w:szCs w:val="22"/>
          <w:lang w:eastAsia="en-US"/>
        </w:rPr>
        <w:t>. PSDI is currentl</w:t>
      </w:r>
      <w:r w:rsidR="00A42B95" w:rsidRPr="00170139">
        <w:rPr>
          <w:rFonts w:eastAsia="Calibri" w:cs="Arial"/>
          <w:szCs w:val="22"/>
          <w:lang w:eastAsia="en-US"/>
        </w:rPr>
        <w:t>y being supported under TA 8378-</w:t>
      </w:r>
      <w:r w:rsidRPr="00170139">
        <w:rPr>
          <w:rFonts w:eastAsia="Calibri" w:cs="Arial"/>
          <w:szCs w:val="22"/>
          <w:lang w:eastAsia="en-US"/>
        </w:rPr>
        <w:t>REG: Pacific Private Sector Development Initiative, Phase III.</w:t>
      </w:r>
    </w:p>
    <w:p w:rsidR="00346198" w:rsidRPr="00170139" w:rsidRDefault="00346198" w:rsidP="00DF2784">
      <w:pPr>
        <w:rPr>
          <w:rFonts w:eastAsia="Calibri" w:cs="Arial"/>
          <w:szCs w:val="22"/>
          <w:lang w:eastAsia="en-US"/>
        </w:rPr>
      </w:pPr>
    </w:p>
    <w:p w:rsidR="00346198" w:rsidRPr="00170139" w:rsidRDefault="00346198" w:rsidP="00DF2784">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Phase III of PSDI extends from June 2013 to May 2019. At the annual TA review meeting held in August 2016, </w:t>
      </w:r>
      <w:r w:rsidR="008D3611" w:rsidRPr="00170139">
        <w:rPr>
          <w:rFonts w:eastAsia="Calibri" w:cs="Arial"/>
          <w:szCs w:val="22"/>
          <w:lang w:eastAsia="en-US"/>
        </w:rPr>
        <w:t xml:space="preserve">ADB and </w:t>
      </w:r>
      <w:r w:rsidRPr="00170139">
        <w:rPr>
          <w:rFonts w:eastAsia="Calibri" w:cs="Arial"/>
          <w:szCs w:val="22"/>
          <w:lang w:eastAsia="en-US"/>
        </w:rPr>
        <w:t xml:space="preserve">the </w:t>
      </w:r>
      <w:r w:rsidR="00030682" w:rsidRPr="00170139">
        <w:rPr>
          <w:rFonts w:eastAsia="Calibri" w:cs="Arial"/>
          <w:szCs w:val="22"/>
          <w:lang w:eastAsia="en-US"/>
        </w:rPr>
        <w:t xml:space="preserve">governments </w:t>
      </w:r>
      <w:r w:rsidRPr="00170139">
        <w:rPr>
          <w:rFonts w:eastAsia="Calibri" w:cs="Arial"/>
          <w:szCs w:val="22"/>
          <w:lang w:eastAsia="en-US"/>
        </w:rPr>
        <w:t>of Australia</w:t>
      </w:r>
      <w:r w:rsidR="00030682" w:rsidRPr="00170139">
        <w:rPr>
          <w:rFonts w:eastAsia="Calibri" w:cs="Arial"/>
          <w:szCs w:val="22"/>
          <w:lang w:eastAsia="en-US"/>
        </w:rPr>
        <w:t xml:space="preserve"> and</w:t>
      </w:r>
      <w:r w:rsidRPr="00170139">
        <w:rPr>
          <w:rFonts w:eastAsia="Calibri" w:cs="Arial"/>
          <w:szCs w:val="22"/>
          <w:lang w:eastAsia="en-US"/>
        </w:rPr>
        <w:t xml:space="preserve"> New Zealand agreed that it was timely to undertake a review of </w:t>
      </w:r>
      <w:r w:rsidR="00030682" w:rsidRPr="00170139">
        <w:rPr>
          <w:rFonts w:eastAsia="Calibri" w:cs="Arial"/>
          <w:szCs w:val="22"/>
          <w:lang w:eastAsia="en-US"/>
        </w:rPr>
        <w:t xml:space="preserve">PSDI’s </w:t>
      </w:r>
      <w:r w:rsidRPr="00170139">
        <w:rPr>
          <w:rFonts w:eastAsia="Calibri" w:cs="Arial"/>
          <w:szCs w:val="22"/>
          <w:lang w:eastAsia="en-US"/>
        </w:rPr>
        <w:t xml:space="preserve">performance </w:t>
      </w:r>
      <w:r w:rsidR="00030682" w:rsidRPr="00170139">
        <w:rPr>
          <w:rFonts w:eastAsia="Calibri" w:cs="Arial"/>
          <w:szCs w:val="22"/>
          <w:lang w:eastAsia="en-US"/>
        </w:rPr>
        <w:t xml:space="preserve">at the midpoint of </w:t>
      </w:r>
      <w:r w:rsidRPr="00170139">
        <w:rPr>
          <w:rFonts w:eastAsia="Calibri" w:cs="Arial"/>
          <w:szCs w:val="22"/>
          <w:lang w:eastAsia="en-US"/>
        </w:rPr>
        <w:t>Phase III.</w:t>
      </w:r>
    </w:p>
    <w:p w:rsidR="00346198" w:rsidRPr="00170139" w:rsidRDefault="00346198" w:rsidP="00DF2784">
      <w:pPr>
        <w:rPr>
          <w:rFonts w:eastAsia="Calibri" w:cs="Arial"/>
          <w:szCs w:val="22"/>
          <w:lang w:eastAsia="en-US"/>
        </w:rPr>
      </w:pPr>
    </w:p>
    <w:p w:rsidR="008D3611" w:rsidRPr="00170139" w:rsidRDefault="008D3611" w:rsidP="00C951B3">
      <w:pPr>
        <w:keepNext/>
        <w:keepLines/>
        <w:tabs>
          <w:tab w:val="left" w:pos="567"/>
        </w:tabs>
        <w:outlineLvl w:val="0"/>
        <w:rPr>
          <w:rFonts w:ascii="Arial Bold" w:eastAsia="Times New Roman" w:hAnsi="Arial Bold" w:cs="Arial"/>
          <w:b/>
          <w:bCs/>
          <w:sz w:val="24"/>
          <w:lang w:val="en-AU" w:eastAsia="x-none"/>
        </w:rPr>
      </w:pPr>
      <w:r w:rsidRPr="00170139">
        <w:rPr>
          <w:rFonts w:ascii="Arial Bold" w:eastAsia="Times New Roman" w:hAnsi="Arial Bold" w:cs="Arial"/>
          <w:b/>
          <w:bCs/>
          <w:sz w:val="24"/>
          <w:lang w:val="en-AU" w:eastAsia="x-none"/>
        </w:rPr>
        <w:t>B.</w:t>
      </w:r>
      <w:r w:rsidRPr="00170139">
        <w:rPr>
          <w:rFonts w:ascii="Arial Bold" w:eastAsia="Times New Roman" w:hAnsi="Arial Bold" w:cs="Arial"/>
          <w:b/>
          <w:bCs/>
          <w:sz w:val="24"/>
          <w:lang w:val="en-AU" w:eastAsia="x-none"/>
        </w:rPr>
        <w:tab/>
        <w:t>Purpose of the Midterm Review</w:t>
      </w:r>
    </w:p>
    <w:p w:rsidR="008D3611" w:rsidRPr="00170139" w:rsidRDefault="008D3611" w:rsidP="00DF2784">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The objective of the </w:t>
      </w:r>
      <w:r w:rsidR="00676E0F" w:rsidRPr="00170139">
        <w:rPr>
          <w:rFonts w:eastAsia="Calibri" w:cs="Arial"/>
          <w:szCs w:val="22"/>
          <w:lang w:eastAsia="en-US"/>
        </w:rPr>
        <w:t>m</w:t>
      </w:r>
      <w:r w:rsidRPr="00170139">
        <w:rPr>
          <w:rFonts w:eastAsia="Calibri" w:cs="Arial"/>
          <w:szCs w:val="22"/>
          <w:lang w:eastAsia="en-US"/>
        </w:rPr>
        <w:t>id</w:t>
      </w:r>
      <w:r w:rsidR="00676E0F" w:rsidRPr="00170139">
        <w:rPr>
          <w:rFonts w:eastAsia="Calibri" w:cs="Arial"/>
          <w:szCs w:val="22"/>
          <w:lang w:eastAsia="en-US"/>
        </w:rPr>
        <w:t>t</w:t>
      </w:r>
      <w:r w:rsidRPr="00170139">
        <w:rPr>
          <w:rFonts w:eastAsia="Calibri" w:cs="Arial"/>
          <w:szCs w:val="22"/>
          <w:lang w:eastAsia="en-US"/>
        </w:rPr>
        <w:t xml:space="preserve">erm </w:t>
      </w:r>
      <w:r w:rsidR="00676E0F" w:rsidRPr="00170139">
        <w:rPr>
          <w:rFonts w:eastAsia="Calibri" w:cs="Arial"/>
          <w:szCs w:val="22"/>
          <w:lang w:eastAsia="en-US"/>
        </w:rPr>
        <w:t>r</w:t>
      </w:r>
      <w:r w:rsidRPr="00170139">
        <w:rPr>
          <w:rFonts w:eastAsia="Calibri" w:cs="Arial"/>
          <w:szCs w:val="22"/>
          <w:lang w:eastAsia="en-US"/>
        </w:rPr>
        <w:t xml:space="preserve">eview is to carry out a diagnostic of PSDI, assessing the performance, effectiveness, and relevance of the program, and providing suggestions as appropriate for future PSDI activities. The recommendations will </w:t>
      </w:r>
      <w:r w:rsidR="008D3611" w:rsidRPr="00170139">
        <w:rPr>
          <w:rFonts w:eastAsia="Calibri" w:cs="Arial"/>
          <w:szCs w:val="22"/>
          <w:lang w:eastAsia="en-US"/>
        </w:rPr>
        <w:t xml:space="preserve">primarily </w:t>
      </w:r>
      <w:r w:rsidRPr="00170139">
        <w:rPr>
          <w:rFonts w:eastAsia="Calibri" w:cs="Arial"/>
          <w:szCs w:val="22"/>
          <w:lang w:eastAsia="en-US"/>
        </w:rPr>
        <w:t>address</w:t>
      </w:r>
      <w:r w:rsidR="008D3611" w:rsidRPr="00170139">
        <w:rPr>
          <w:rFonts w:eastAsia="Calibri" w:cs="Arial"/>
          <w:szCs w:val="22"/>
          <w:lang w:eastAsia="en-US"/>
        </w:rPr>
        <w:t xml:space="preserve"> issues of</w:t>
      </w:r>
      <w:r w:rsidRPr="00170139">
        <w:rPr>
          <w:rFonts w:eastAsia="Calibri" w:cs="Arial"/>
          <w:szCs w:val="22"/>
          <w:lang w:eastAsia="en-US"/>
        </w:rPr>
        <w:t xml:space="preserve"> PSDI program quality, but will also outline possible future directions for PSDI and ADB in </w:t>
      </w:r>
      <w:r w:rsidR="008D3611" w:rsidRPr="00170139">
        <w:rPr>
          <w:rFonts w:eastAsia="Calibri" w:cs="Arial"/>
          <w:szCs w:val="22"/>
          <w:lang w:eastAsia="en-US"/>
        </w:rPr>
        <w:t>the Pacific region</w:t>
      </w:r>
      <w:r w:rsidRPr="00170139">
        <w:rPr>
          <w:rFonts w:eastAsia="Calibri" w:cs="Arial"/>
          <w:szCs w:val="22"/>
          <w:lang w:eastAsia="en-US"/>
        </w:rPr>
        <w:t>. ADB seeks input on how it can effectively support private sector development in the region</w:t>
      </w:r>
      <w:r w:rsidR="008D3611" w:rsidRPr="00170139">
        <w:rPr>
          <w:rFonts w:eastAsia="Calibri" w:cs="Arial"/>
          <w:szCs w:val="22"/>
          <w:lang w:eastAsia="en-US"/>
        </w:rPr>
        <w:t>,</w:t>
      </w:r>
      <w:r w:rsidRPr="00170139">
        <w:rPr>
          <w:rFonts w:eastAsia="Calibri" w:cs="Arial"/>
          <w:szCs w:val="22"/>
          <w:lang w:eastAsia="en-US"/>
        </w:rPr>
        <w:t xml:space="preserve"> while enhancing synergy and linkages across different projects and sectors.</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ind w:left="567" w:hanging="567"/>
        <w:rPr>
          <w:rFonts w:eastAsia="Calibri" w:cs="Arial"/>
          <w:szCs w:val="22"/>
          <w:lang w:eastAsia="en-US"/>
        </w:rPr>
      </w:pPr>
      <w:r w:rsidRPr="00170139">
        <w:rPr>
          <w:rFonts w:eastAsia="Calibri" w:cs="Arial"/>
          <w:szCs w:val="22"/>
          <w:lang w:eastAsia="en-US"/>
        </w:rPr>
        <w:t xml:space="preserve">The </w:t>
      </w:r>
      <w:r w:rsidR="004D6661" w:rsidRPr="00170139">
        <w:rPr>
          <w:rFonts w:eastAsia="Calibri" w:cs="Arial"/>
          <w:szCs w:val="22"/>
          <w:lang w:eastAsia="en-US"/>
        </w:rPr>
        <w:t xml:space="preserve">review will </w:t>
      </w:r>
      <w:r w:rsidRPr="00170139">
        <w:rPr>
          <w:rFonts w:eastAsia="Calibri" w:cs="Arial"/>
          <w:szCs w:val="22"/>
          <w:lang w:eastAsia="en-US"/>
        </w:rPr>
        <w:t>focus its work on the following areas and outputs:</w:t>
      </w:r>
    </w:p>
    <w:p w:rsidR="00346198" w:rsidRPr="00170139" w:rsidRDefault="00346198" w:rsidP="00A42B95">
      <w:pPr>
        <w:rPr>
          <w:rFonts w:eastAsia="Calibri" w:cs="Arial"/>
          <w:szCs w:val="22"/>
          <w:lang w:eastAsia="en-US"/>
        </w:rPr>
      </w:pPr>
    </w:p>
    <w:p w:rsidR="00346198" w:rsidRPr="00170139" w:rsidRDefault="00346198" w:rsidP="003B44F9">
      <w:pPr>
        <w:numPr>
          <w:ilvl w:val="0"/>
          <w:numId w:val="14"/>
        </w:numPr>
        <w:ind w:left="1134" w:hanging="567"/>
        <w:rPr>
          <w:rFonts w:eastAsia="Calibri" w:cs="Arial"/>
          <w:szCs w:val="22"/>
          <w:lang w:eastAsia="en-US"/>
        </w:rPr>
      </w:pPr>
      <w:r w:rsidRPr="00170139">
        <w:rPr>
          <w:rFonts w:eastAsia="Calibri" w:cs="Arial"/>
          <w:b/>
          <w:szCs w:val="22"/>
          <w:lang w:eastAsia="en-US"/>
        </w:rPr>
        <w:t xml:space="preserve">Financing </w:t>
      </w:r>
      <w:r w:rsidR="007A5780" w:rsidRPr="00170139">
        <w:rPr>
          <w:rFonts w:eastAsia="Calibri" w:cs="Arial"/>
          <w:b/>
          <w:szCs w:val="22"/>
          <w:lang w:eastAsia="en-US"/>
        </w:rPr>
        <w:t>g</w:t>
      </w:r>
      <w:r w:rsidRPr="00170139">
        <w:rPr>
          <w:rFonts w:eastAsia="Calibri" w:cs="Arial"/>
          <w:b/>
          <w:szCs w:val="22"/>
          <w:lang w:eastAsia="en-US"/>
        </w:rPr>
        <w:t>rowth</w:t>
      </w:r>
      <w:r w:rsidR="007A5780" w:rsidRPr="00170139">
        <w:rPr>
          <w:rFonts w:eastAsia="Calibri" w:cs="Arial"/>
          <w:b/>
          <w:szCs w:val="22"/>
          <w:lang w:eastAsia="en-US"/>
        </w:rPr>
        <w:t>.</w:t>
      </w:r>
      <w:r w:rsidRPr="00170139">
        <w:rPr>
          <w:rFonts w:eastAsia="Calibri" w:cs="Arial"/>
          <w:szCs w:val="22"/>
          <w:lang w:eastAsia="en-US"/>
        </w:rPr>
        <w:t xml:space="preserve"> </w:t>
      </w:r>
      <w:r w:rsidR="004D6661" w:rsidRPr="00170139">
        <w:rPr>
          <w:rFonts w:eastAsia="Calibri" w:cs="Arial"/>
          <w:szCs w:val="22"/>
          <w:lang w:eastAsia="en-US"/>
        </w:rPr>
        <w:t xml:space="preserve">How </w:t>
      </w:r>
      <w:r w:rsidR="00E45288" w:rsidRPr="00170139">
        <w:rPr>
          <w:rFonts w:eastAsia="Calibri" w:cs="Arial"/>
          <w:szCs w:val="22"/>
          <w:lang w:eastAsia="en-US"/>
        </w:rPr>
        <w:t xml:space="preserve">PSDI works with </w:t>
      </w:r>
      <w:r w:rsidRPr="00170139">
        <w:rPr>
          <w:rFonts w:eastAsia="Calibri" w:cs="Arial"/>
          <w:szCs w:val="22"/>
          <w:lang w:eastAsia="en-US"/>
        </w:rPr>
        <w:t xml:space="preserve">selected Pacific </w:t>
      </w:r>
      <w:r w:rsidR="0080506F" w:rsidRPr="00170139">
        <w:rPr>
          <w:rFonts w:eastAsia="Calibri" w:cs="Arial"/>
          <w:szCs w:val="22"/>
          <w:lang w:eastAsia="en-US"/>
        </w:rPr>
        <w:t xml:space="preserve">DMCs </w:t>
      </w:r>
      <w:r w:rsidR="00E45288" w:rsidRPr="00170139">
        <w:rPr>
          <w:rFonts w:eastAsia="Calibri" w:cs="Arial"/>
          <w:szCs w:val="22"/>
          <w:lang w:eastAsia="en-US"/>
        </w:rPr>
        <w:t>to help</w:t>
      </w:r>
      <w:r w:rsidR="0080506F" w:rsidRPr="00170139">
        <w:rPr>
          <w:rFonts w:eastAsia="Calibri" w:cs="Arial"/>
          <w:szCs w:val="22"/>
          <w:lang w:eastAsia="en-US"/>
        </w:rPr>
        <w:t xml:space="preserve"> </w:t>
      </w:r>
      <w:r w:rsidRPr="00170139">
        <w:rPr>
          <w:rFonts w:eastAsia="Calibri" w:cs="Arial"/>
          <w:szCs w:val="22"/>
          <w:lang w:eastAsia="en-US"/>
        </w:rPr>
        <w:t>improve access to financial services</w:t>
      </w:r>
      <w:r w:rsidR="00E45288" w:rsidRPr="00170139">
        <w:rPr>
          <w:rFonts w:eastAsia="Calibri" w:cs="Arial"/>
          <w:szCs w:val="22"/>
          <w:lang w:eastAsia="en-US"/>
        </w:rPr>
        <w:t xml:space="preserve"> for</w:t>
      </w:r>
      <w:r w:rsidRPr="00170139">
        <w:rPr>
          <w:rFonts w:eastAsia="Calibri" w:cs="Arial"/>
          <w:szCs w:val="22"/>
          <w:lang w:eastAsia="en-US"/>
        </w:rPr>
        <w:t xml:space="preserve"> </w:t>
      </w:r>
      <w:r w:rsidR="00E45288" w:rsidRPr="00170139">
        <w:rPr>
          <w:rFonts w:eastAsia="Calibri" w:cs="Arial"/>
          <w:szCs w:val="22"/>
          <w:lang w:eastAsia="en-US"/>
        </w:rPr>
        <w:t xml:space="preserve">businesses and households, with the aim of </w:t>
      </w:r>
      <w:r w:rsidRPr="00170139">
        <w:rPr>
          <w:rFonts w:eastAsia="Calibri" w:cs="Arial"/>
          <w:szCs w:val="22"/>
          <w:lang w:eastAsia="en-US"/>
        </w:rPr>
        <w:t>promot</w:t>
      </w:r>
      <w:r w:rsidR="00E45288" w:rsidRPr="00170139">
        <w:rPr>
          <w:rFonts w:eastAsia="Calibri" w:cs="Arial"/>
          <w:szCs w:val="22"/>
          <w:lang w:eastAsia="en-US"/>
        </w:rPr>
        <w:t>ing</w:t>
      </w:r>
      <w:r w:rsidRPr="00170139">
        <w:rPr>
          <w:rFonts w:eastAsia="Calibri" w:cs="Arial"/>
          <w:szCs w:val="22"/>
          <w:lang w:eastAsia="en-US"/>
        </w:rPr>
        <w:t xml:space="preserve"> economic growth</w:t>
      </w:r>
      <w:r w:rsidR="0064266F" w:rsidRPr="00170139">
        <w:rPr>
          <w:rFonts w:eastAsia="Calibri" w:cs="Arial"/>
          <w:szCs w:val="22"/>
          <w:lang w:eastAsia="en-US"/>
        </w:rPr>
        <w:t>.</w:t>
      </w:r>
    </w:p>
    <w:p w:rsidR="00346198" w:rsidRPr="00170139" w:rsidRDefault="00346198" w:rsidP="00A42B95">
      <w:pPr>
        <w:numPr>
          <w:ilvl w:val="0"/>
          <w:numId w:val="14"/>
        </w:numPr>
        <w:ind w:left="1134" w:hanging="567"/>
        <w:rPr>
          <w:rFonts w:eastAsia="Calibri" w:cs="Arial"/>
          <w:szCs w:val="22"/>
          <w:lang w:eastAsia="en-US"/>
        </w:rPr>
      </w:pPr>
      <w:r w:rsidRPr="00170139">
        <w:rPr>
          <w:rFonts w:eastAsia="Calibri" w:cs="Arial"/>
          <w:b/>
          <w:szCs w:val="22"/>
          <w:lang w:eastAsia="en-US"/>
        </w:rPr>
        <w:t xml:space="preserve">Business </w:t>
      </w:r>
      <w:r w:rsidR="007A5780" w:rsidRPr="00170139">
        <w:rPr>
          <w:rFonts w:eastAsia="Calibri" w:cs="Arial"/>
          <w:b/>
          <w:szCs w:val="22"/>
          <w:lang w:eastAsia="en-US"/>
        </w:rPr>
        <w:t>l</w:t>
      </w:r>
      <w:r w:rsidRPr="00170139">
        <w:rPr>
          <w:rFonts w:eastAsia="Calibri" w:cs="Arial"/>
          <w:b/>
          <w:szCs w:val="22"/>
          <w:lang w:eastAsia="en-US"/>
        </w:rPr>
        <w:t xml:space="preserve">aw </w:t>
      </w:r>
      <w:r w:rsidR="007A5780" w:rsidRPr="00170139">
        <w:rPr>
          <w:rFonts w:eastAsia="Calibri" w:cs="Arial"/>
          <w:b/>
          <w:szCs w:val="22"/>
          <w:lang w:eastAsia="en-US"/>
        </w:rPr>
        <w:t>r</w:t>
      </w:r>
      <w:r w:rsidRPr="00170139">
        <w:rPr>
          <w:rFonts w:eastAsia="Calibri" w:cs="Arial"/>
          <w:b/>
          <w:szCs w:val="22"/>
          <w:lang w:eastAsia="en-US"/>
        </w:rPr>
        <w:t>eform</w:t>
      </w:r>
      <w:r w:rsidR="007A5780" w:rsidRPr="00170139">
        <w:rPr>
          <w:rFonts w:eastAsia="Calibri" w:cs="Arial"/>
          <w:b/>
          <w:szCs w:val="22"/>
          <w:lang w:eastAsia="en-US"/>
        </w:rPr>
        <w:t>.</w:t>
      </w:r>
      <w:r w:rsidRPr="00170139">
        <w:rPr>
          <w:rFonts w:eastAsia="Calibri" w:cs="Arial"/>
          <w:szCs w:val="22"/>
          <w:lang w:eastAsia="en-US"/>
        </w:rPr>
        <w:t xml:space="preserve"> </w:t>
      </w:r>
      <w:r w:rsidR="004D6661" w:rsidRPr="00170139">
        <w:rPr>
          <w:rFonts w:eastAsia="Calibri" w:cs="Arial"/>
          <w:szCs w:val="22"/>
          <w:lang w:eastAsia="en-US"/>
        </w:rPr>
        <w:t xml:space="preserve">How </w:t>
      </w:r>
      <w:r w:rsidR="00E45288" w:rsidRPr="00170139">
        <w:rPr>
          <w:rFonts w:eastAsia="Calibri" w:cs="Arial"/>
          <w:szCs w:val="22"/>
          <w:lang w:eastAsia="en-US"/>
        </w:rPr>
        <w:t>PSDI engages with the governments of</w:t>
      </w:r>
      <w:r w:rsidRPr="00170139">
        <w:rPr>
          <w:rFonts w:eastAsia="Calibri" w:cs="Arial"/>
          <w:szCs w:val="22"/>
          <w:lang w:eastAsia="en-US"/>
        </w:rPr>
        <w:t xml:space="preserve"> </w:t>
      </w:r>
      <w:r w:rsidR="004D6661" w:rsidRPr="00170139">
        <w:rPr>
          <w:rFonts w:eastAsia="Calibri" w:cs="Arial"/>
          <w:szCs w:val="22"/>
          <w:lang w:eastAsia="en-US"/>
        </w:rPr>
        <w:t xml:space="preserve">selected </w:t>
      </w:r>
      <w:r w:rsidRPr="00170139">
        <w:rPr>
          <w:rFonts w:eastAsia="Calibri" w:cs="Arial"/>
          <w:szCs w:val="22"/>
          <w:lang w:eastAsia="en-US"/>
        </w:rPr>
        <w:t xml:space="preserve">Pacific DMCs </w:t>
      </w:r>
      <w:r w:rsidR="00E45288" w:rsidRPr="00170139">
        <w:rPr>
          <w:rFonts w:eastAsia="Calibri" w:cs="Arial"/>
          <w:szCs w:val="22"/>
          <w:lang w:eastAsia="en-US"/>
        </w:rPr>
        <w:t>to</w:t>
      </w:r>
      <w:r w:rsidRPr="00170139">
        <w:rPr>
          <w:rFonts w:eastAsia="Calibri" w:cs="Arial"/>
          <w:szCs w:val="22"/>
          <w:lang w:eastAsia="en-US"/>
        </w:rPr>
        <w:t xml:space="preserve"> </w:t>
      </w:r>
      <w:r w:rsidR="00E45288" w:rsidRPr="00170139">
        <w:rPr>
          <w:rFonts w:eastAsia="Calibri" w:cs="Arial"/>
          <w:szCs w:val="22"/>
          <w:lang w:eastAsia="en-US"/>
        </w:rPr>
        <w:t xml:space="preserve">help </w:t>
      </w:r>
      <w:r w:rsidRPr="00170139">
        <w:rPr>
          <w:rFonts w:eastAsia="Calibri" w:cs="Arial"/>
          <w:szCs w:val="22"/>
          <w:lang w:eastAsia="en-US"/>
        </w:rPr>
        <w:t>implement</w:t>
      </w:r>
      <w:r w:rsidR="00E45288" w:rsidRPr="00170139">
        <w:rPr>
          <w:rFonts w:eastAsia="Calibri" w:cs="Arial"/>
          <w:szCs w:val="22"/>
          <w:lang w:eastAsia="en-US"/>
        </w:rPr>
        <w:t xml:space="preserve"> business laws that</w:t>
      </w:r>
      <w:r w:rsidRPr="00170139">
        <w:rPr>
          <w:rFonts w:eastAsia="Calibri" w:cs="Arial"/>
          <w:szCs w:val="22"/>
          <w:lang w:eastAsia="en-US"/>
        </w:rPr>
        <w:t xml:space="preserve"> promo</w:t>
      </w:r>
      <w:r w:rsidR="0080506F" w:rsidRPr="00170139">
        <w:rPr>
          <w:rFonts w:eastAsia="Calibri" w:cs="Arial"/>
          <w:szCs w:val="22"/>
          <w:lang w:eastAsia="en-US"/>
        </w:rPr>
        <w:t>te entrepreneurship,</w:t>
      </w:r>
      <w:r w:rsidRPr="00170139">
        <w:rPr>
          <w:rFonts w:eastAsia="Calibri" w:cs="Arial"/>
          <w:szCs w:val="22"/>
          <w:lang w:eastAsia="en-US"/>
        </w:rPr>
        <w:t xml:space="preserve"> busi</w:t>
      </w:r>
      <w:r w:rsidR="0080506F" w:rsidRPr="00170139">
        <w:rPr>
          <w:rFonts w:eastAsia="Calibri" w:cs="Arial"/>
          <w:szCs w:val="22"/>
          <w:lang w:eastAsia="en-US"/>
        </w:rPr>
        <w:t>ness formation, and investment</w:t>
      </w:r>
      <w:r w:rsidR="0064266F" w:rsidRPr="00170139">
        <w:rPr>
          <w:rFonts w:eastAsia="Calibri" w:cs="Arial"/>
          <w:szCs w:val="22"/>
          <w:lang w:eastAsia="en-US"/>
        </w:rPr>
        <w:t>.</w:t>
      </w:r>
    </w:p>
    <w:p w:rsidR="00346198" w:rsidRPr="00170139" w:rsidRDefault="00346198" w:rsidP="00A42B95">
      <w:pPr>
        <w:numPr>
          <w:ilvl w:val="0"/>
          <w:numId w:val="14"/>
        </w:numPr>
        <w:ind w:left="1134" w:hanging="567"/>
        <w:rPr>
          <w:rFonts w:eastAsia="Calibri" w:cs="Arial"/>
          <w:szCs w:val="22"/>
          <w:lang w:eastAsia="en-US"/>
        </w:rPr>
      </w:pPr>
      <w:r w:rsidRPr="00170139">
        <w:rPr>
          <w:rFonts w:eastAsia="Calibri" w:cs="Arial"/>
          <w:b/>
          <w:szCs w:val="22"/>
          <w:lang w:eastAsia="en-US"/>
        </w:rPr>
        <w:t xml:space="preserve">State-owned </w:t>
      </w:r>
      <w:r w:rsidR="007A5780" w:rsidRPr="00170139">
        <w:rPr>
          <w:rFonts w:eastAsia="Calibri" w:cs="Arial"/>
          <w:b/>
          <w:szCs w:val="22"/>
          <w:lang w:eastAsia="en-US"/>
        </w:rPr>
        <w:t>e</w:t>
      </w:r>
      <w:r w:rsidRPr="00170139">
        <w:rPr>
          <w:rFonts w:eastAsia="Calibri" w:cs="Arial"/>
          <w:b/>
          <w:szCs w:val="22"/>
          <w:lang w:eastAsia="en-US"/>
        </w:rPr>
        <w:t xml:space="preserve">nterprise </w:t>
      </w:r>
      <w:r w:rsidR="007A5780" w:rsidRPr="00170139">
        <w:rPr>
          <w:rFonts w:eastAsia="Calibri" w:cs="Arial"/>
          <w:b/>
          <w:szCs w:val="22"/>
          <w:lang w:eastAsia="en-US"/>
        </w:rPr>
        <w:t>r</w:t>
      </w:r>
      <w:r w:rsidRPr="00170139">
        <w:rPr>
          <w:rFonts w:eastAsia="Calibri" w:cs="Arial"/>
          <w:b/>
          <w:szCs w:val="22"/>
          <w:lang w:eastAsia="en-US"/>
        </w:rPr>
        <w:t xml:space="preserve">eform and </w:t>
      </w:r>
      <w:r w:rsidR="007A5780" w:rsidRPr="00170139">
        <w:rPr>
          <w:rFonts w:eastAsia="Calibri" w:cs="Arial"/>
          <w:b/>
          <w:szCs w:val="22"/>
          <w:lang w:eastAsia="en-US"/>
        </w:rPr>
        <w:t>p</w:t>
      </w:r>
      <w:r w:rsidRPr="00170139">
        <w:rPr>
          <w:rFonts w:eastAsia="Calibri" w:cs="Arial"/>
          <w:b/>
          <w:szCs w:val="22"/>
          <w:lang w:eastAsia="en-US"/>
        </w:rPr>
        <w:t>ublic-</w:t>
      </w:r>
      <w:r w:rsidR="007A5780" w:rsidRPr="00170139">
        <w:rPr>
          <w:rFonts w:eastAsia="Calibri" w:cs="Arial"/>
          <w:b/>
          <w:szCs w:val="22"/>
          <w:lang w:eastAsia="en-US"/>
        </w:rPr>
        <w:t>p</w:t>
      </w:r>
      <w:r w:rsidRPr="00170139">
        <w:rPr>
          <w:rFonts w:eastAsia="Calibri" w:cs="Arial"/>
          <w:b/>
          <w:szCs w:val="22"/>
          <w:lang w:eastAsia="en-US"/>
        </w:rPr>
        <w:t xml:space="preserve">rivate </w:t>
      </w:r>
      <w:r w:rsidR="007A5780" w:rsidRPr="00170139">
        <w:rPr>
          <w:rFonts w:eastAsia="Calibri" w:cs="Arial"/>
          <w:b/>
          <w:szCs w:val="22"/>
          <w:lang w:eastAsia="en-US"/>
        </w:rPr>
        <w:t>p</w:t>
      </w:r>
      <w:r w:rsidRPr="00170139">
        <w:rPr>
          <w:rFonts w:eastAsia="Calibri" w:cs="Arial"/>
          <w:b/>
          <w:szCs w:val="22"/>
          <w:lang w:eastAsia="en-US"/>
        </w:rPr>
        <w:t>artnerships</w:t>
      </w:r>
      <w:r w:rsidR="007A5780" w:rsidRPr="00170139">
        <w:rPr>
          <w:rFonts w:eastAsia="Calibri" w:cs="Arial"/>
          <w:b/>
          <w:szCs w:val="22"/>
          <w:lang w:eastAsia="en-US"/>
        </w:rPr>
        <w:t>.</w:t>
      </w:r>
      <w:r w:rsidRPr="00170139">
        <w:rPr>
          <w:rFonts w:eastAsia="Calibri" w:cs="Arial"/>
          <w:szCs w:val="22"/>
          <w:lang w:eastAsia="en-US"/>
        </w:rPr>
        <w:t xml:space="preserve"> </w:t>
      </w:r>
      <w:r w:rsidR="004D6661" w:rsidRPr="00170139">
        <w:rPr>
          <w:rFonts w:eastAsia="Calibri" w:cs="Arial"/>
          <w:szCs w:val="22"/>
          <w:lang w:eastAsia="en-US"/>
        </w:rPr>
        <w:t xml:space="preserve">How </w:t>
      </w:r>
      <w:r w:rsidR="00E45288" w:rsidRPr="00170139">
        <w:rPr>
          <w:rFonts w:eastAsia="Calibri" w:cs="Arial"/>
          <w:szCs w:val="22"/>
          <w:lang w:eastAsia="en-US"/>
        </w:rPr>
        <w:t>PSDI helps deliver</w:t>
      </w:r>
      <w:r w:rsidRPr="00170139">
        <w:rPr>
          <w:rFonts w:eastAsia="Calibri" w:cs="Arial"/>
          <w:szCs w:val="22"/>
          <w:lang w:eastAsia="en-US"/>
        </w:rPr>
        <w:t xml:space="preserve"> infrastructure services </w:t>
      </w:r>
      <w:r w:rsidR="00E45288" w:rsidRPr="00170139">
        <w:rPr>
          <w:rFonts w:eastAsia="Calibri" w:cs="Arial"/>
          <w:szCs w:val="22"/>
          <w:lang w:eastAsia="en-US"/>
        </w:rPr>
        <w:t>that are</w:t>
      </w:r>
      <w:r w:rsidRPr="00170139">
        <w:rPr>
          <w:rFonts w:eastAsia="Calibri" w:cs="Arial"/>
          <w:szCs w:val="22"/>
          <w:lang w:eastAsia="en-US"/>
        </w:rPr>
        <w:t xml:space="preserve"> more efficient and cost-effective </w:t>
      </w:r>
      <w:r w:rsidR="00E45288" w:rsidRPr="00170139">
        <w:rPr>
          <w:rFonts w:eastAsia="Calibri" w:cs="Arial"/>
          <w:szCs w:val="22"/>
          <w:lang w:eastAsia="en-US"/>
        </w:rPr>
        <w:t xml:space="preserve">by working to ensure that </w:t>
      </w:r>
      <w:r w:rsidRPr="00170139">
        <w:rPr>
          <w:rFonts w:eastAsia="Calibri" w:cs="Arial"/>
          <w:szCs w:val="22"/>
          <w:lang w:eastAsia="en-US"/>
        </w:rPr>
        <w:t xml:space="preserve">the institutional support for these </w:t>
      </w:r>
      <w:r w:rsidR="00E45288" w:rsidRPr="00170139">
        <w:rPr>
          <w:rFonts w:eastAsia="Calibri" w:cs="Arial"/>
          <w:szCs w:val="22"/>
          <w:lang w:eastAsia="en-US"/>
        </w:rPr>
        <w:t xml:space="preserve">services, </w:t>
      </w:r>
      <w:r w:rsidRPr="00170139">
        <w:rPr>
          <w:rFonts w:eastAsia="Calibri" w:cs="Arial"/>
          <w:szCs w:val="22"/>
          <w:lang w:eastAsia="en-US"/>
        </w:rPr>
        <w:t>including legal and regulatory frameworks</w:t>
      </w:r>
      <w:r w:rsidR="00E45288" w:rsidRPr="00170139">
        <w:rPr>
          <w:rFonts w:eastAsia="Calibri" w:cs="Arial"/>
          <w:szCs w:val="22"/>
          <w:lang w:eastAsia="en-US"/>
        </w:rPr>
        <w:t>,</w:t>
      </w:r>
      <w:r w:rsidRPr="00170139">
        <w:rPr>
          <w:rFonts w:eastAsia="Calibri" w:cs="Arial"/>
          <w:szCs w:val="22"/>
          <w:lang w:eastAsia="en-US"/>
        </w:rPr>
        <w:t xml:space="preserve"> are in place</w:t>
      </w:r>
      <w:r w:rsidR="0064266F" w:rsidRPr="00170139">
        <w:rPr>
          <w:rFonts w:eastAsia="Calibri" w:cs="Arial"/>
          <w:szCs w:val="22"/>
          <w:lang w:eastAsia="en-US"/>
        </w:rPr>
        <w:t>.</w:t>
      </w:r>
    </w:p>
    <w:p w:rsidR="00346198" w:rsidRPr="00170139" w:rsidRDefault="00346198" w:rsidP="00A42B95">
      <w:pPr>
        <w:numPr>
          <w:ilvl w:val="0"/>
          <w:numId w:val="14"/>
        </w:numPr>
        <w:ind w:left="1134" w:hanging="567"/>
        <w:rPr>
          <w:rFonts w:eastAsia="Calibri" w:cs="Arial"/>
          <w:szCs w:val="22"/>
          <w:lang w:eastAsia="en-US"/>
        </w:rPr>
      </w:pPr>
      <w:r w:rsidRPr="00170139">
        <w:rPr>
          <w:rFonts w:eastAsia="Calibri" w:cs="Arial"/>
          <w:b/>
          <w:szCs w:val="22"/>
          <w:lang w:eastAsia="en-US"/>
        </w:rPr>
        <w:t xml:space="preserve">Economic </w:t>
      </w:r>
      <w:r w:rsidR="007A5780" w:rsidRPr="00170139">
        <w:rPr>
          <w:rFonts w:eastAsia="Calibri" w:cs="Arial"/>
          <w:b/>
          <w:szCs w:val="22"/>
          <w:lang w:eastAsia="en-US"/>
        </w:rPr>
        <w:t>e</w:t>
      </w:r>
      <w:r w:rsidRPr="00170139">
        <w:rPr>
          <w:rFonts w:eastAsia="Calibri" w:cs="Arial"/>
          <w:b/>
          <w:szCs w:val="22"/>
          <w:lang w:eastAsia="en-US"/>
        </w:rPr>
        <w:t xml:space="preserve">mpowerment of </w:t>
      </w:r>
      <w:r w:rsidR="007A5780" w:rsidRPr="00170139">
        <w:rPr>
          <w:rFonts w:eastAsia="Calibri" w:cs="Arial"/>
          <w:b/>
          <w:szCs w:val="22"/>
          <w:lang w:eastAsia="en-US"/>
        </w:rPr>
        <w:t>w</w:t>
      </w:r>
      <w:r w:rsidRPr="00170139">
        <w:rPr>
          <w:rFonts w:eastAsia="Calibri" w:cs="Arial"/>
          <w:b/>
          <w:szCs w:val="22"/>
          <w:lang w:eastAsia="en-US"/>
        </w:rPr>
        <w:t>omen</w:t>
      </w:r>
      <w:r w:rsidR="007A5780" w:rsidRPr="00170139">
        <w:rPr>
          <w:rFonts w:eastAsia="Calibri" w:cs="Arial"/>
          <w:b/>
          <w:szCs w:val="22"/>
          <w:lang w:eastAsia="en-US"/>
        </w:rPr>
        <w:t>.</w:t>
      </w:r>
      <w:r w:rsidRPr="00170139">
        <w:rPr>
          <w:rFonts w:eastAsia="Calibri" w:cs="Arial"/>
          <w:szCs w:val="22"/>
          <w:lang w:eastAsia="en-US"/>
        </w:rPr>
        <w:t xml:space="preserve"> </w:t>
      </w:r>
      <w:r w:rsidR="004D6661" w:rsidRPr="00170139">
        <w:rPr>
          <w:rFonts w:eastAsia="Calibri" w:cs="Arial"/>
          <w:szCs w:val="22"/>
          <w:lang w:eastAsia="en-US"/>
        </w:rPr>
        <w:t xml:space="preserve">How </w:t>
      </w:r>
      <w:r w:rsidR="00E45288" w:rsidRPr="00170139">
        <w:rPr>
          <w:rFonts w:eastAsia="Calibri" w:cs="Arial"/>
          <w:szCs w:val="22"/>
          <w:lang w:eastAsia="en-US"/>
        </w:rPr>
        <w:t xml:space="preserve">PSDI </w:t>
      </w:r>
      <w:r w:rsidR="004D6661" w:rsidRPr="00170139">
        <w:rPr>
          <w:rFonts w:eastAsia="Calibri" w:cs="Arial"/>
          <w:szCs w:val="22"/>
          <w:lang w:eastAsia="en-US"/>
        </w:rPr>
        <w:t>collaborates</w:t>
      </w:r>
      <w:r w:rsidR="00E45288" w:rsidRPr="00170139">
        <w:rPr>
          <w:rFonts w:eastAsia="Calibri" w:cs="Arial"/>
          <w:szCs w:val="22"/>
          <w:lang w:eastAsia="en-US"/>
        </w:rPr>
        <w:t xml:space="preserve"> with selected Pacific DMCs to p</w:t>
      </w:r>
      <w:r w:rsidRPr="00170139">
        <w:rPr>
          <w:rFonts w:eastAsia="Calibri" w:cs="Arial"/>
          <w:szCs w:val="22"/>
          <w:lang w:eastAsia="en-US"/>
        </w:rPr>
        <w:t xml:space="preserve">ilot initiatives promoting the economic empowerment of women. </w:t>
      </w:r>
      <w:r w:rsidR="004D6661" w:rsidRPr="00170139">
        <w:rPr>
          <w:rFonts w:eastAsia="Calibri" w:cs="Arial"/>
          <w:szCs w:val="22"/>
          <w:lang w:eastAsia="en-US"/>
        </w:rPr>
        <w:t xml:space="preserve">Note: </w:t>
      </w:r>
      <w:r w:rsidR="0064266F" w:rsidRPr="00170139">
        <w:rPr>
          <w:rFonts w:eastAsia="Calibri" w:cs="Arial"/>
          <w:szCs w:val="22"/>
          <w:lang w:eastAsia="en-US"/>
        </w:rPr>
        <w:t>In many of these Pacific island economies, t</w:t>
      </w:r>
      <w:r w:rsidRPr="00170139">
        <w:rPr>
          <w:rFonts w:eastAsia="Calibri" w:cs="Arial"/>
          <w:szCs w:val="22"/>
          <w:lang w:eastAsia="en-US"/>
        </w:rPr>
        <w:t xml:space="preserve">he cultural distance to be traversed towards reasonable equality needs to be understood and these programs will, </w:t>
      </w:r>
      <w:r w:rsidR="0064266F" w:rsidRPr="00170139">
        <w:rPr>
          <w:rFonts w:eastAsia="Calibri" w:cs="Arial"/>
          <w:szCs w:val="22"/>
          <w:lang w:eastAsia="en-US"/>
        </w:rPr>
        <w:t xml:space="preserve">by </w:t>
      </w:r>
      <w:r w:rsidRPr="00170139">
        <w:rPr>
          <w:rFonts w:eastAsia="Calibri" w:cs="Arial"/>
          <w:szCs w:val="22"/>
          <w:lang w:eastAsia="en-US"/>
        </w:rPr>
        <w:t>necessity, extend into decades-long efforts.</w:t>
      </w:r>
    </w:p>
    <w:p w:rsidR="00346198" w:rsidRPr="00170139" w:rsidRDefault="00346198" w:rsidP="00A42B95">
      <w:pPr>
        <w:numPr>
          <w:ilvl w:val="0"/>
          <w:numId w:val="14"/>
        </w:numPr>
        <w:ind w:left="1134" w:hanging="567"/>
        <w:rPr>
          <w:rFonts w:eastAsia="Calibri" w:cs="Arial"/>
          <w:szCs w:val="22"/>
          <w:lang w:eastAsia="en-US"/>
        </w:rPr>
      </w:pPr>
      <w:r w:rsidRPr="00170139">
        <w:rPr>
          <w:rFonts w:eastAsia="Calibri" w:cs="Arial"/>
          <w:b/>
          <w:szCs w:val="22"/>
          <w:lang w:eastAsia="en-US"/>
        </w:rPr>
        <w:t xml:space="preserve">Competition </w:t>
      </w:r>
      <w:r w:rsidR="007A5780" w:rsidRPr="00170139">
        <w:rPr>
          <w:rFonts w:eastAsia="Calibri" w:cs="Arial"/>
          <w:b/>
          <w:szCs w:val="22"/>
          <w:lang w:eastAsia="en-US"/>
        </w:rPr>
        <w:t>p</w:t>
      </w:r>
      <w:r w:rsidRPr="00170139">
        <w:rPr>
          <w:rFonts w:eastAsia="Calibri" w:cs="Arial"/>
          <w:b/>
          <w:szCs w:val="22"/>
          <w:lang w:eastAsia="en-US"/>
        </w:rPr>
        <w:t xml:space="preserve">olicy and </w:t>
      </w:r>
      <w:r w:rsidR="007A5780" w:rsidRPr="00170139">
        <w:rPr>
          <w:rFonts w:eastAsia="Calibri" w:cs="Arial"/>
          <w:b/>
          <w:szCs w:val="22"/>
          <w:lang w:eastAsia="en-US"/>
        </w:rPr>
        <w:t>c</w:t>
      </w:r>
      <w:r w:rsidRPr="00170139">
        <w:rPr>
          <w:rFonts w:eastAsia="Calibri" w:cs="Arial"/>
          <w:b/>
          <w:szCs w:val="22"/>
          <w:lang w:eastAsia="en-US"/>
        </w:rPr>
        <w:t xml:space="preserve">onsumer </w:t>
      </w:r>
      <w:r w:rsidR="007A5780" w:rsidRPr="00170139">
        <w:rPr>
          <w:rFonts w:eastAsia="Calibri" w:cs="Arial"/>
          <w:b/>
          <w:szCs w:val="22"/>
          <w:lang w:eastAsia="en-US"/>
        </w:rPr>
        <w:t>p</w:t>
      </w:r>
      <w:r w:rsidRPr="00170139">
        <w:rPr>
          <w:rFonts w:eastAsia="Calibri" w:cs="Arial"/>
          <w:b/>
          <w:szCs w:val="22"/>
          <w:lang w:eastAsia="en-US"/>
        </w:rPr>
        <w:t>rotection</w:t>
      </w:r>
      <w:r w:rsidR="007A5780" w:rsidRPr="00170139">
        <w:rPr>
          <w:rFonts w:eastAsia="Calibri" w:cs="Arial"/>
          <w:b/>
          <w:szCs w:val="22"/>
          <w:lang w:eastAsia="en-US"/>
        </w:rPr>
        <w:t>.</w:t>
      </w:r>
      <w:r w:rsidR="007A5780" w:rsidRPr="00170139">
        <w:rPr>
          <w:rFonts w:eastAsia="Calibri" w:cs="Arial"/>
          <w:szCs w:val="22"/>
          <w:lang w:eastAsia="en-US"/>
        </w:rPr>
        <w:t xml:space="preserve"> </w:t>
      </w:r>
      <w:r w:rsidR="004D6661" w:rsidRPr="00170139">
        <w:rPr>
          <w:rFonts w:eastAsia="Calibri" w:cs="Arial"/>
          <w:szCs w:val="22"/>
          <w:lang w:eastAsia="en-US"/>
        </w:rPr>
        <w:t xml:space="preserve">How </w:t>
      </w:r>
      <w:r w:rsidR="0064266F" w:rsidRPr="00170139">
        <w:rPr>
          <w:rFonts w:eastAsia="Calibri" w:cs="Arial"/>
          <w:szCs w:val="22"/>
          <w:lang w:eastAsia="en-US"/>
        </w:rPr>
        <w:t>PSDI encourages the governments of s</w:t>
      </w:r>
      <w:r w:rsidRPr="00170139">
        <w:rPr>
          <w:rFonts w:eastAsia="Calibri" w:cs="Arial"/>
          <w:szCs w:val="22"/>
          <w:lang w:eastAsia="en-US"/>
        </w:rPr>
        <w:t>elected Pacific DMC</w:t>
      </w:r>
      <w:r w:rsidR="0064266F" w:rsidRPr="00170139">
        <w:rPr>
          <w:rFonts w:eastAsia="Calibri" w:cs="Arial"/>
          <w:szCs w:val="22"/>
          <w:lang w:eastAsia="en-US"/>
        </w:rPr>
        <w:t>s</w:t>
      </w:r>
      <w:r w:rsidRPr="00170139">
        <w:rPr>
          <w:rFonts w:eastAsia="Calibri" w:cs="Arial"/>
          <w:szCs w:val="22"/>
          <w:lang w:eastAsia="en-US"/>
        </w:rPr>
        <w:t xml:space="preserve"> to establish </w:t>
      </w:r>
      <w:r w:rsidR="0064266F" w:rsidRPr="00170139">
        <w:rPr>
          <w:rFonts w:eastAsia="Calibri" w:cs="Arial"/>
          <w:szCs w:val="22"/>
          <w:lang w:eastAsia="en-US"/>
        </w:rPr>
        <w:t xml:space="preserve">national </w:t>
      </w:r>
      <w:r w:rsidRPr="00170139">
        <w:rPr>
          <w:rFonts w:eastAsia="Calibri" w:cs="Arial"/>
          <w:szCs w:val="22"/>
          <w:lang w:eastAsia="en-US"/>
        </w:rPr>
        <w:t>framework</w:t>
      </w:r>
      <w:r w:rsidR="0064266F" w:rsidRPr="00170139">
        <w:rPr>
          <w:rFonts w:eastAsia="Calibri" w:cs="Arial"/>
          <w:szCs w:val="22"/>
          <w:lang w:eastAsia="en-US"/>
        </w:rPr>
        <w:t>s</w:t>
      </w:r>
      <w:r w:rsidRPr="00170139">
        <w:rPr>
          <w:rFonts w:eastAsia="Calibri" w:cs="Arial"/>
          <w:szCs w:val="22"/>
          <w:lang w:eastAsia="en-US"/>
        </w:rPr>
        <w:t xml:space="preserve"> that promote compe</w:t>
      </w:r>
      <w:r w:rsidR="0080506F" w:rsidRPr="00170139">
        <w:rPr>
          <w:rFonts w:eastAsia="Calibri" w:cs="Arial"/>
          <w:szCs w:val="22"/>
          <w:lang w:eastAsia="en-US"/>
        </w:rPr>
        <w:t>tition and consumer protection.</w:t>
      </w:r>
    </w:p>
    <w:p w:rsidR="00346198" w:rsidRPr="00170139" w:rsidRDefault="00346198" w:rsidP="00A42B95">
      <w:pPr>
        <w:rPr>
          <w:rFonts w:eastAsia="Calibri" w:cs="Arial"/>
          <w:szCs w:val="22"/>
          <w:lang w:eastAsia="en-US"/>
        </w:rPr>
      </w:pPr>
    </w:p>
    <w:p w:rsidR="00346198" w:rsidRPr="00170139" w:rsidRDefault="00346198" w:rsidP="00C13C20">
      <w:pPr>
        <w:numPr>
          <w:ilvl w:val="0"/>
          <w:numId w:val="10"/>
        </w:numPr>
        <w:ind w:left="567" w:hanging="567"/>
        <w:rPr>
          <w:rFonts w:eastAsia="Calibri" w:cs="Arial"/>
          <w:szCs w:val="22"/>
          <w:lang w:eastAsia="en-US"/>
        </w:rPr>
      </w:pPr>
      <w:r w:rsidRPr="00170139">
        <w:rPr>
          <w:rFonts w:eastAsia="Calibri" w:cs="Arial"/>
          <w:szCs w:val="22"/>
          <w:lang w:eastAsia="en-US"/>
        </w:rPr>
        <w:t>Specifically, the review will:</w:t>
      </w:r>
    </w:p>
    <w:p w:rsidR="00346198" w:rsidRPr="00170139" w:rsidRDefault="00346198" w:rsidP="00C13C20">
      <w:pPr>
        <w:rPr>
          <w:rFonts w:eastAsia="Calibri" w:cs="Arial"/>
          <w:szCs w:val="22"/>
          <w:lang w:eastAsia="en-US"/>
        </w:rPr>
      </w:pPr>
    </w:p>
    <w:p w:rsidR="00346198" w:rsidRPr="00170139" w:rsidRDefault="004D6661" w:rsidP="00170139">
      <w:pPr>
        <w:pStyle w:val="ListParagraph"/>
        <w:numPr>
          <w:ilvl w:val="0"/>
          <w:numId w:val="15"/>
        </w:numPr>
        <w:spacing w:after="0" w:line="240" w:lineRule="auto"/>
        <w:ind w:hanging="540"/>
        <w:jc w:val="both"/>
      </w:pPr>
      <w:r w:rsidRPr="00170139">
        <w:t xml:space="preserve">outline </w:t>
      </w:r>
      <w:r w:rsidR="00346198" w:rsidRPr="00170139">
        <w:t>the strengths and weaknesses of PSDI, along with key achievements and shortfalls to date;</w:t>
      </w:r>
    </w:p>
    <w:p w:rsidR="00346198" w:rsidRPr="00170139" w:rsidRDefault="004D6661" w:rsidP="001E3AFD">
      <w:pPr>
        <w:numPr>
          <w:ilvl w:val="0"/>
          <w:numId w:val="15"/>
        </w:numPr>
        <w:ind w:hanging="540"/>
        <w:rPr>
          <w:rFonts w:eastAsia="Calibri" w:cs="Arial"/>
          <w:szCs w:val="22"/>
          <w:lang w:eastAsia="en-US"/>
        </w:rPr>
      </w:pPr>
      <w:r w:rsidRPr="00170139">
        <w:rPr>
          <w:rFonts w:eastAsia="Calibri" w:cs="Arial"/>
          <w:szCs w:val="22"/>
          <w:lang w:eastAsia="en-US"/>
        </w:rPr>
        <w:t>e</w:t>
      </w:r>
      <w:r w:rsidR="00346198" w:rsidRPr="00170139">
        <w:rPr>
          <w:rFonts w:eastAsia="Calibri" w:cs="Arial"/>
          <w:szCs w:val="22"/>
          <w:lang w:eastAsia="en-US"/>
        </w:rPr>
        <w:t xml:space="preserve">valuate PSDI and provide recommendations for improving its performance in terms of </w:t>
      </w:r>
      <w:r w:rsidR="00942131" w:rsidRPr="00170139">
        <w:rPr>
          <w:rFonts w:eastAsia="Calibri" w:cs="Arial"/>
          <w:szCs w:val="22"/>
          <w:lang w:eastAsia="en-US"/>
        </w:rPr>
        <w:t xml:space="preserve">the Organisation for Economic Co-operation and Development-Development </w:t>
      </w:r>
      <w:r w:rsidR="00942131" w:rsidRPr="00170139">
        <w:rPr>
          <w:rFonts w:eastAsia="Calibri" w:cs="Arial"/>
          <w:szCs w:val="22"/>
          <w:lang w:eastAsia="en-US"/>
        </w:rPr>
        <w:lastRenderedPageBreak/>
        <w:t>Assistance Committee (OECD-DAC)</w:t>
      </w:r>
      <w:r w:rsidR="00346198" w:rsidRPr="00170139">
        <w:rPr>
          <w:rFonts w:eastAsia="Calibri" w:cs="Arial"/>
          <w:szCs w:val="22"/>
          <w:lang w:eastAsia="en-US"/>
        </w:rPr>
        <w:t xml:space="preserve"> criteria (relevance, effectiveness, efficiency, impact, and sustainability)</w:t>
      </w:r>
      <w:r w:rsidR="00346198" w:rsidRPr="00170139">
        <w:rPr>
          <w:rFonts w:eastAsia="Calibri" w:cs="Arial"/>
          <w:szCs w:val="22"/>
          <w:vertAlign w:val="superscript"/>
          <w:lang w:eastAsia="en-US"/>
        </w:rPr>
        <w:footnoteReference w:id="1"/>
      </w:r>
      <w:r w:rsidR="00346198" w:rsidRPr="00170139">
        <w:rPr>
          <w:rFonts w:eastAsia="Calibri" w:cs="Arial"/>
          <w:szCs w:val="22"/>
          <w:lang w:eastAsia="en-US"/>
        </w:rPr>
        <w:t xml:space="preserve"> as well as gender equity considerations;</w:t>
      </w:r>
    </w:p>
    <w:p w:rsidR="00346198" w:rsidRPr="00170139" w:rsidRDefault="00875115" w:rsidP="00F432CA">
      <w:pPr>
        <w:numPr>
          <w:ilvl w:val="0"/>
          <w:numId w:val="15"/>
        </w:numPr>
        <w:ind w:hanging="513"/>
        <w:rPr>
          <w:rFonts w:eastAsia="Calibri" w:cs="Arial"/>
          <w:szCs w:val="22"/>
          <w:lang w:eastAsia="en-US"/>
        </w:rPr>
      </w:pPr>
      <w:r w:rsidRPr="00170139">
        <w:rPr>
          <w:rFonts w:eastAsia="Calibri" w:cs="Arial"/>
          <w:szCs w:val="22"/>
          <w:lang w:eastAsia="en-US"/>
        </w:rPr>
        <w:t>i</w:t>
      </w:r>
      <w:r w:rsidR="00346198" w:rsidRPr="00170139">
        <w:rPr>
          <w:rFonts w:eastAsia="Calibri" w:cs="Arial"/>
          <w:szCs w:val="22"/>
          <w:lang w:eastAsia="en-US"/>
        </w:rPr>
        <w:t>dentify ways to improve the linkages between PSDI and other ADB operations, as well as key development partners</w:t>
      </w:r>
      <w:r w:rsidRPr="00170139">
        <w:rPr>
          <w:rFonts w:eastAsia="Calibri" w:cs="Arial"/>
          <w:szCs w:val="22"/>
          <w:lang w:eastAsia="en-US"/>
        </w:rPr>
        <w:t>,</w:t>
      </w:r>
      <w:r w:rsidR="00346198" w:rsidRPr="00170139">
        <w:rPr>
          <w:rFonts w:eastAsia="Calibri" w:cs="Arial"/>
          <w:szCs w:val="22"/>
          <w:lang w:eastAsia="en-US"/>
        </w:rPr>
        <w:t xml:space="preserve"> including DFAT and MFAT, for better development impacts and effectiveness;</w:t>
      </w:r>
    </w:p>
    <w:p w:rsidR="00346198" w:rsidRPr="00170139" w:rsidRDefault="00875115" w:rsidP="00F432CA">
      <w:pPr>
        <w:numPr>
          <w:ilvl w:val="0"/>
          <w:numId w:val="15"/>
        </w:numPr>
        <w:ind w:hanging="513"/>
        <w:rPr>
          <w:rFonts w:eastAsia="Calibri" w:cs="Arial"/>
          <w:szCs w:val="22"/>
          <w:lang w:eastAsia="en-US"/>
        </w:rPr>
      </w:pPr>
      <w:r w:rsidRPr="00170139">
        <w:rPr>
          <w:rFonts w:eastAsia="Calibri" w:cs="Arial"/>
          <w:szCs w:val="22"/>
          <w:lang w:eastAsia="en-US"/>
        </w:rPr>
        <w:t>r</w:t>
      </w:r>
      <w:r w:rsidR="00346198" w:rsidRPr="00170139">
        <w:rPr>
          <w:rFonts w:eastAsia="Calibri" w:cs="Arial"/>
          <w:szCs w:val="22"/>
          <w:lang w:eastAsia="en-US"/>
        </w:rPr>
        <w:t>ecommend possible future directions for PSDI, including expanding or deepening the scope of the program, during the remaining term of Phase III, and in any future phase; and</w:t>
      </w:r>
    </w:p>
    <w:p w:rsidR="00346198" w:rsidRPr="00170139" w:rsidRDefault="00875115" w:rsidP="00F432CA">
      <w:pPr>
        <w:numPr>
          <w:ilvl w:val="0"/>
          <w:numId w:val="15"/>
        </w:numPr>
        <w:ind w:hanging="513"/>
        <w:rPr>
          <w:rFonts w:eastAsia="Calibri" w:cs="Arial"/>
          <w:szCs w:val="22"/>
          <w:lang w:eastAsia="en-US"/>
        </w:rPr>
      </w:pPr>
      <w:r w:rsidRPr="00170139">
        <w:rPr>
          <w:rFonts w:eastAsia="Calibri" w:cs="Arial"/>
          <w:szCs w:val="22"/>
          <w:lang w:eastAsia="en-US"/>
        </w:rPr>
        <w:t>i</w:t>
      </w:r>
      <w:r w:rsidR="00346198" w:rsidRPr="00170139">
        <w:rPr>
          <w:rFonts w:eastAsia="Calibri" w:cs="Arial"/>
          <w:szCs w:val="22"/>
          <w:lang w:eastAsia="en-US"/>
        </w:rPr>
        <w:t xml:space="preserve">n light of the PSDI experience, recommend possible strategic directions and operational </w:t>
      </w:r>
      <w:r w:rsidRPr="00170139">
        <w:rPr>
          <w:rFonts w:eastAsia="Calibri" w:cs="Arial"/>
          <w:szCs w:val="22"/>
          <w:lang w:eastAsia="en-US"/>
        </w:rPr>
        <w:t xml:space="preserve">improvements that might warrant </w:t>
      </w:r>
      <w:r w:rsidR="00346198" w:rsidRPr="00170139">
        <w:rPr>
          <w:rFonts w:eastAsia="Calibri" w:cs="Arial"/>
          <w:szCs w:val="22"/>
          <w:lang w:eastAsia="en-US"/>
        </w:rPr>
        <w:t>ADB</w:t>
      </w:r>
      <w:r w:rsidR="005F78C4" w:rsidRPr="00170139">
        <w:rPr>
          <w:rFonts w:eastAsia="Calibri" w:cs="Arial"/>
          <w:szCs w:val="22"/>
          <w:lang w:eastAsia="en-US"/>
        </w:rPr>
        <w:t>’</w:t>
      </w:r>
      <w:r w:rsidR="00346198" w:rsidRPr="00170139">
        <w:rPr>
          <w:rFonts w:eastAsia="Calibri" w:cs="Arial"/>
          <w:szCs w:val="22"/>
          <w:lang w:eastAsia="en-US"/>
        </w:rPr>
        <w:t xml:space="preserve">s support </w:t>
      </w:r>
      <w:r w:rsidRPr="00170139">
        <w:rPr>
          <w:rFonts w:eastAsia="Calibri" w:cs="Arial"/>
          <w:szCs w:val="22"/>
          <w:lang w:eastAsia="en-US"/>
        </w:rPr>
        <w:t>in the areas of</w:t>
      </w:r>
      <w:r w:rsidR="00346198" w:rsidRPr="00170139">
        <w:rPr>
          <w:rFonts w:eastAsia="Calibri" w:cs="Arial"/>
          <w:szCs w:val="22"/>
          <w:lang w:eastAsia="en-US"/>
        </w:rPr>
        <w:t xml:space="preserve"> private sector development, private sector operations, and financial sector development.</w:t>
      </w:r>
    </w:p>
    <w:p w:rsidR="00346198" w:rsidRPr="00170139" w:rsidRDefault="00346198" w:rsidP="0080506F">
      <w:pPr>
        <w:rPr>
          <w:rFonts w:eastAsia="Calibri" w:cs="Arial"/>
          <w:szCs w:val="22"/>
          <w:lang w:eastAsia="en-US"/>
        </w:rPr>
      </w:pPr>
    </w:p>
    <w:p w:rsidR="00346198" w:rsidRPr="0080506F" w:rsidRDefault="00346198" w:rsidP="0080506F">
      <w:pPr>
        <w:rPr>
          <w:rFonts w:eastAsia="Calibri" w:cs="Arial"/>
          <w:szCs w:val="22"/>
          <w:lang w:eastAsia="en-US"/>
        </w:rPr>
      </w:pPr>
    </w:p>
    <w:p w:rsidR="00346198" w:rsidRPr="0080506F" w:rsidRDefault="00346198" w:rsidP="0080506F">
      <w:pPr>
        <w:rPr>
          <w:rFonts w:eastAsia="Calibri" w:cs="Arial"/>
          <w:szCs w:val="22"/>
          <w:lang w:eastAsia="en-US"/>
        </w:rPr>
      </w:pPr>
      <w:r w:rsidRPr="0080506F">
        <w:rPr>
          <w:rFonts w:eastAsia="Calibri" w:cs="Arial"/>
          <w:szCs w:val="22"/>
          <w:lang w:eastAsia="en-US"/>
        </w:rPr>
        <w:br w:type="page"/>
      </w:r>
    </w:p>
    <w:p w:rsidR="00346198" w:rsidRPr="0006764E" w:rsidRDefault="00C13C20" w:rsidP="00170139">
      <w:pPr>
        <w:keepNext/>
        <w:keepLines/>
        <w:tabs>
          <w:tab w:val="left" w:pos="567"/>
        </w:tabs>
        <w:spacing w:after="100" w:afterAutospacing="1" w:line="259" w:lineRule="auto"/>
        <w:jc w:val="center"/>
        <w:outlineLvl w:val="0"/>
        <w:rPr>
          <w:rFonts w:eastAsia="Times New Roman"/>
          <w:b/>
          <w:bCs/>
          <w:szCs w:val="22"/>
          <w:lang w:val="x-none" w:eastAsia="x-none"/>
        </w:rPr>
      </w:pPr>
      <w:bookmarkStart w:id="6" w:name="_Toc494378855"/>
      <w:r w:rsidRPr="0006764E">
        <w:rPr>
          <w:rFonts w:eastAsia="Times New Roman"/>
          <w:b/>
          <w:bCs/>
          <w:szCs w:val="22"/>
          <w:lang w:val="x-none" w:eastAsia="x-none"/>
        </w:rPr>
        <w:lastRenderedPageBreak/>
        <w:t>III.</w:t>
      </w:r>
      <w:r w:rsidR="00386F3B">
        <w:rPr>
          <w:rFonts w:eastAsia="Times New Roman"/>
          <w:b/>
          <w:bCs/>
          <w:szCs w:val="22"/>
          <w:lang w:val="en-AU" w:eastAsia="x-none"/>
        </w:rPr>
        <w:tab/>
      </w:r>
      <w:r w:rsidR="00346198" w:rsidRPr="00170139">
        <w:rPr>
          <w:rFonts w:ascii="Arial Bold" w:eastAsia="Times New Roman" w:hAnsi="Arial Bold"/>
          <w:b/>
          <w:bCs/>
          <w:caps/>
          <w:sz w:val="24"/>
          <w:szCs w:val="22"/>
          <w:lang w:val="x-none" w:eastAsia="x-none"/>
        </w:rPr>
        <w:t>Allocation of Technical Assistance Resources</w:t>
      </w:r>
      <w:bookmarkEnd w:id="6"/>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Allocation of </w:t>
      </w:r>
      <w:r w:rsidR="00875115" w:rsidRPr="00170139">
        <w:rPr>
          <w:rFonts w:eastAsia="Calibri" w:cs="Arial"/>
          <w:szCs w:val="22"/>
          <w:lang w:eastAsia="en-US"/>
        </w:rPr>
        <w:t>TA</w:t>
      </w:r>
      <w:r w:rsidRPr="00170139">
        <w:rPr>
          <w:rFonts w:eastAsia="Calibri" w:cs="Arial"/>
          <w:szCs w:val="22"/>
          <w:lang w:eastAsia="en-US"/>
        </w:rPr>
        <w:t xml:space="preserve"> resources</w:t>
      </w:r>
      <w:r w:rsidR="00875115" w:rsidRPr="00170139">
        <w:rPr>
          <w:rFonts w:eastAsia="Calibri" w:cs="Arial"/>
          <w:szCs w:val="22"/>
          <w:lang w:eastAsia="en-US"/>
        </w:rPr>
        <w:t>,</w:t>
      </w:r>
      <w:r w:rsidRPr="00170139">
        <w:rPr>
          <w:rFonts w:eastAsia="Calibri" w:cs="Arial"/>
          <w:szCs w:val="22"/>
          <w:lang w:eastAsia="en-US"/>
        </w:rPr>
        <w:t xml:space="preserve"> which have been based on country demand</w:t>
      </w:r>
      <w:r w:rsidR="00875115" w:rsidRPr="00170139">
        <w:rPr>
          <w:rFonts w:eastAsia="Calibri" w:cs="Arial"/>
          <w:szCs w:val="22"/>
          <w:lang w:eastAsia="en-US"/>
        </w:rPr>
        <w:t>,</w:t>
      </w:r>
      <w:r w:rsidRPr="00170139">
        <w:rPr>
          <w:rFonts w:eastAsia="Calibri" w:cs="Arial"/>
          <w:szCs w:val="22"/>
          <w:lang w:eastAsia="en-US"/>
        </w:rPr>
        <w:t xml:space="preserve"> should also be guided by country consultations on the productive areas for development in each </w:t>
      </w:r>
      <w:r w:rsidR="00A76947" w:rsidRPr="00170139">
        <w:rPr>
          <w:rFonts w:eastAsia="Calibri" w:cs="Arial"/>
          <w:szCs w:val="22"/>
          <w:lang w:eastAsia="en-US"/>
        </w:rPr>
        <w:t>Pacific DMC</w:t>
      </w:r>
      <w:r w:rsidRPr="00170139">
        <w:rPr>
          <w:rFonts w:eastAsia="Calibri" w:cs="Arial"/>
          <w:szCs w:val="22"/>
          <w:lang w:eastAsia="en-US"/>
        </w:rPr>
        <w:t>. Such consultations are more easily</w:t>
      </w:r>
      <w:r w:rsidR="00C5384C" w:rsidRPr="00170139">
        <w:rPr>
          <w:rFonts w:eastAsia="Calibri" w:cs="Arial"/>
          <w:szCs w:val="22"/>
          <w:lang w:eastAsia="en-US"/>
        </w:rPr>
        <w:t xml:space="preserve"> and effectively</w:t>
      </w:r>
      <w:r w:rsidRPr="00170139">
        <w:rPr>
          <w:rFonts w:eastAsia="Calibri" w:cs="Arial"/>
          <w:szCs w:val="22"/>
          <w:lang w:eastAsia="en-US"/>
        </w:rPr>
        <w:t xml:space="preserve"> </w:t>
      </w:r>
      <w:r w:rsidR="00875115" w:rsidRPr="00170139">
        <w:rPr>
          <w:rFonts w:eastAsia="Calibri" w:cs="Arial"/>
          <w:szCs w:val="22"/>
          <w:lang w:eastAsia="en-US"/>
        </w:rPr>
        <w:t xml:space="preserve">conducted </w:t>
      </w:r>
      <w:r w:rsidRPr="00170139">
        <w:rPr>
          <w:rFonts w:eastAsia="Calibri" w:cs="Arial"/>
          <w:szCs w:val="22"/>
          <w:lang w:eastAsia="en-US"/>
        </w:rPr>
        <w:t xml:space="preserve">at the sector level </w:t>
      </w:r>
      <w:r w:rsidR="00C5384C" w:rsidRPr="00170139">
        <w:rPr>
          <w:rFonts w:eastAsia="Calibri" w:cs="Arial"/>
          <w:szCs w:val="22"/>
          <w:lang w:eastAsia="en-US"/>
        </w:rPr>
        <w:t>than at</w:t>
      </w:r>
      <w:r w:rsidRPr="00170139">
        <w:rPr>
          <w:rFonts w:eastAsia="Calibri" w:cs="Arial"/>
          <w:szCs w:val="22"/>
          <w:lang w:eastAsia="en-US"/>
        </w:rPr>
        <w:t xml:space="preserve"> the country level. Country</w:t>
      </w:r>
      <w:r w:rsidR="00875115" w:rsidRPr="00170139">
        <w:rPr>
          <w:rFonts w:eastAsia="Calibri" w:cs="Arial"/>
          <w:szCs w:val="22"/>
          <w:lang w:eastAsia="en-US"/>
        </w:rPr>
        <w:t>-</w:t>
      </w:r>
      <w:r w:rsidRPr="00170139">
        <w:rPr>
          <w:rFonts w:eastAsia="Calibri" w:cs="Arial"/>
          <w:szCs w:val="22"/>
          <w:lang w:eastAsia="en-US"/>
        </w:rPr>
        <w:t xml:space="preserve">level allocations </w:t>
      </w:r>
      <w:r w:rsidR="00875115" w:rsidRPr="00170139">
        <w:rPr>
          <w:rFonts w:eastAsia="Calibri" w:cs="Arial"/>
          <w:szCs w:val="22"/>
          <w:lang w:eastAsia="en-US"/>
        </w:rPr>
        <w:t xml:space="preserve">do </w:t>
      </w:r>
      <w:r w:rsidRPr="00170139">
        <w:rPr>
          <w:rFonts w:eastAsia="Calibri" w:cs="Arial"/>
          <w:szCs w:val="22"/>
          <w:lang w:eastAsia="en-US"/>
        </w:rPr>
        <w:t>not appear to have responded to economic variables. Rather, in terms of successful outcomes</w:t>
      </w:r>
      <w:r w:rsidR="00875115" w:rsidRPr="00170139">
        <w:rPr>
          <w:rFonts w:eastAsia="Calibri" w:cs="Arial"/>
          <w:szCs w:val="22"/>
          <w:lang w:eastAsia="en-US"/>
        </w:rPr>
        <w:t>—</w:t>
      </w:r>
      <w:r w:rsidRPr="00170139">
        <w:rPr>
          <w:rFonts w:eastAsia="Calibri" w:cs="Arial"/>
          <w:szCs w:val="22"/>
          <w:lang w:eastAsia="en-US"/>
        </w:rPr>
        <w:t>such as in the development of legal framework</w:t>
      </w:r>
      <w:r w:rsidR="00875115" w:rsidRPr="00170139">
        <w:rPr>
          <w:rFonts w:eastAsia="Calibri" w:cs="Arial"/>
          <w:szCs w:val="22"/>
          <w:lang w:eastAsia="en-US"/>
        </w:rPr>
        <w:t>s</w:t>
      </w:r>
      <w:r w:rsidRPr="00170139">
        <w:rPr>
          <w:rFonts w:eastAsia="Calibri" w:cs="Arial"/>
          <w:szCs w:val="22"/>
          <w:lang w:eastAsia="en-US"/>
        </w:rPr>
        <w:t xml:space="preserve"> for private sector operations or in the development of secured transactions</w:t>
      </w:r>
      <w:r w:rsidR="00C5384C" w:rsidRPr="00170139">
        <w:rPr>
          <w:rFonts w:eastAsia="Calibri" w:cs="Arial"/>
          <w:szCs w:val="22"/>
          <w:lang w:eastAsia="en-US"/>
        </w:rPr>
        <w:t xml:space="preserve"> frameworks</w:t>
      </w:r>
      <w:r w:rsidRPr="00170139">
        <w:rPr>
          <w:rFonts w:eastAsia="Calibri" w:cs="Arial"/>
          <w:szCs w:val="22"/>
          <w:lang w:eastAsia="en-US"/>
        </w:rPr>
        <w:t xml:space="preserve"> in</w:t>
      </w:r>
      <w:r w:rsidR="00C5384C" w:rsidRPr="00170139">
        <w:rPr>
          <w:rFonts w:eastAsia="Calibri" w:cs="Arial"/>
          <w:szCs w:val="22"/>
          <w:lang w:eastAsia="en-US"/>
        </w:rPr>
        <w:t xml:space="preserve"> </w:t>
      </w:r>
      <w:r w:rsidRPr="00170139">
        <w:rPr>
          <w:rFonts w:eastAsia="Calibri" w:cs="Arial"/>
          <w:szCs w:val="22"/>
          <w:lang w:eastAsia="en-US"/>
        </w:rPr>
        <w:t>finance</w:t>
      </w:r>
      <w:r w:rsidR="00875115" w:rsidRPr="00170139">
        <w:rPr>
          <w:rFonts w:eastAsia="Calibri" w:cs="Arial"/>
          <w:szCs w:val="22"/>
          <w:lang w:eastAsia="en-US"/>
        </w:rPr>
        <w:t>—</w:t>
      </w:r>
      <w:r w:rsidRPr="00170139">
        <w:rPr>
          <w:rFonts w:eastAsia="Calibri" w:cs="Arial"/>
          <w:szCs w:val="22"/>
          <w:lang w:eastAsia="en-US"/>
        </w:rPr>
        <w:t xml:space="preserve">the major </w:t>
      </w:r>
      <w:r w:rsidR="00C5384C" w:rsidRPr="00170139">
        <w:rPr>
          <w:rFonts w:eastAsia="Calibri" w:cs="Arial"/>
          <w:szCs w:val="22"/>
          <w:lang w:eastAsia="en-US"/>
        </w:rPr>
        <w:t xml:space="preserve">gains </w:t>
      </w:r>
      <w:r w:rsidRPr="00170139">
        <w:rPr>
          <w:rFonts w:eastAsia="Calibri" w:cs="Arial"/>
          <w:szCs w:val="22"/>
          <w:lang w:eastAsia="en-US"/>
        </w:rPr>
        <w:t xml:space="preserve">have been </w:t>
      </w:r>
      <w:r w:rsidR="00422F5E" w:rsidRPr="00170139">
        <w:rPr>
          <w:rFonts w:eastAsia="Calibri" w:cs="Arial"/>
          <w:szCs w:val="22"/>
          <w:lang w:eastAsia="en-US"/>
        </w:rPr>
        <w:t>achieved</w:t>
      </w:r>
      <w:r w:rsidR="00C5384C" w:rsidRPr="00170139">
        <w:rPr>
          <w:rFonts w:eastAsia="Calibri" w:cs="Arial"/>
          <w:szCs w:val="22"/>
          <w:lang w:eastAsia="en-US"/>
        </w:rPr>
        <w:t xml:space="preserve"> </w:t>
      </w:r>
      <w:r w:rsidRPr="00170139">
        <w:rPr>
          <w:rFonts w:eastAsia="Calibri" w:cs="Arial"/>
          <w:szCs w:val="22"/>
          <w:lang w:eastAsia="en-US"/>
        </w:rPr>
        <w:t xml:space="preserve">where </w:t>
      </w:r>
      <w:r w:rsidR="00E640F8" w:rsidRPr="00170139">
        <w:rPr>
          <w:rFonts w:eastAsia="Calibri" w:cs="Arial"/>
          <w:szCs w:val="22"/>
          <w:lang w:eastAsia="en-US"/>
        </w:rPr>
        <w:t xml:space="preserve">broad-based </w:t>
      </w:r>
      <w:r w:rsidRPr="00170139">
        <w:rPr>
          <w:rFonts w:eastAsia="Calibri" w:cs="Arial"/>
          <w:szCs w:val="22"/>
          <w:lang w:eastAsia="en-US"/>
        </w:rPr>
        <w:t xml:space="preserve">development potentials </w:t>
      </w:r>
      <w:r w:rsidR="00C5384C" w:rsidRPr="00170139">
        <w:rPr>
          <w:rFonts w:eastAsia="Calibri" w:cs="Arial"/>
          <w:szCs w:val="22"/>
          <w:lang w:eastAsia="en-US"/>
        </w:rPr>
        <w:t>have been</w:t>
      </w:r>
      <w:r w:rsidRPr="00170139">
        <w:rPr>
          <w:rFonts w:eastAsia="Calibri" w:cs="Arial"/>
          <w:szCs w:val="22"/>
          <w:lang w:eastAsia="en-US"/>
        </w:rPr>
        <w:t xml:space="preserve"> the greatest. Based upon consultant advocacy, major progress has been achieved in implementation. Hopefully, such progress can continue to be achieved at the sectoral level</w:t>
      </w:r>
      <w:r w:rsidR="00C5384C" w:rsidRPr="00170139">
        <w:rPr>
          <w:rFonts w:eastAsia="Calibri" w:cs="Arial"/>
          <w:szCs w:val="22"/>
          <w:lang w:eastAsia="en-US"/>
        </w:rPr>
        <w:t>,</w:t>
      </w:r>
      <w:r w:rsidRPr="00170139">
        <w:rPr>
          <w:rFonts w:eastAsia="Calibri" w:cs="Arial"/>
          <w:szCs w:val="22"/>
          <w:lang w:eastAsia="en-US"/>
        </w:rPr>
        <w:t xml:space="preserve"> where PSDI consultants and the</w:t>
      </w:r>
      <w:r w:rsidR="004F0FEE" w:rsidRPr="00170139">
        <w:rPr>
          <w:rFonts w:eastAsia="Calibri" w:cs="Arial"/>
          <w:szCs w:val="22"/>
          <w:lang w:eastAsia="en-US"/>
        </w:rPr>
        <w:t xml:space="preserve"> governments of</w:t>
      </w:r>
      <w:r w:rsidRPr="00170139">
        <w:rPr>
          <w:rFonts w:eastAsia="Calibri" w:cs="Arial"/>
          <w:szCs w:val="22"/>
          <w:lang w:eastAsia="en-US"/>
        </w:rPr>
        <w:t xml:space="preserve"> DMC</w:t>
      </w:r>
      <w:r w:rsidR="004F0FEE" w:rsidRPr="00170139">
        <w:rPr>
          <w:rFonts w:eastAsia="Calibri" w:cs="Arial"/>
          <w:szCs w:val="22"/>
          <w:lang w:eastAsia="en-US"/>
        </w:rPr>
        <w:t>s</w:t>
      </w:r>
      <w:r w:rsidRPr="00170139">
        <w:rPr>
          <w:rFonts w:eastAsia="Calibri" w:cs="Arial"/>
          <w:szCs w:val="22"/>
          <w:lang w:eastAsia="en-US"/>
        </w:rPr>
        <w:t xml:space="preserve"> find the development potential to be the most relevant.</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Th</w:t>
      </w:r>
      <w:r w:rsidR="004F0FEE" w:rsidRPr="00170139">
        <w:rPr>
          <w:rFonts w:eastAsia="Calibri" w:cs="Arial"/>
          <w:szCs w:val="22"/>
          <w:lang w:eastAsia="en-US"/>
        </w:rPr>
        <w:t>e</w:t>
      </w:r>
      <w:r w:rsidRPr="00170139">
        <w:rPr>
          <w:rFonts w:eastAsia="Calibri" w:cs="Arial"/>
          <w:szCs w:val="22"/>
          <w:lang w:eastAsia="en-US"/>
        </w:rPr>
        <w:t xml:space="preserve"> shift to a sector focus for resource allocation is already underway with the review of tourism in selected DMCs. </w:t>
      </w:r>
      <w:r w:rsidR="004F0FEE" w:rsidRPr="00170139">
        <w:rPr>
          <w:rFonts w:eastAsia="Calibri" w:cs="Arial"/>
          <w:szCs w:val="22"/>
          <w:lang w:eastAsia="en-US"/>
        </w:rPr>
        <w:t xml:space="preserve">The </w:t>
      </w:r>
      <w:r w:rsidRPr="00170139">
        <w:rPr>
          <w:rFonts w:eastAsia="Calibri" w:cs="Arial"/>
          <w:szCs w:val="22"/>
          <w:lang w:eastAsia="en-US"/>
        </w:rPr>
        <w:t>tourism sectors</w:t>
      </w:r>
      <w:r w:rsidR="004F0FEE" w:rsidRPr="00170139">
        <w:rPr>
          <w:rFonts w:eastAsia="Calibri" w:cs="Arial"/>
          <w:szCs w:val="22"/>
          <w:lang w:eastAsia="en-US"/>
        </w:rPr>
        <w:t xml:space="preserve"> of Pacific islands economies</w:t>
      </w:r>
      <w:r w:rsidRPr="00170139">
        <w:rPr>
          <w:rFonts w:eastAsia="Calibri" w:cs="Arial"/>
          <w:szCs w:val="22"/>
          <w:lang w:eastAsia="en-US"/>
        </w:rPr>
        <w:t xml:space="preserve"> have a high degree of development potential. This has already been </w:t>
      </w:r>
      <w:r w:rsidR="004F0FEE" w:rsidRPr="00170139">
        <w:rPr>
          <w:rFonts w:eastAsia="Calibri" w:cs="Arial"/>
          <w:szCs w:val="22"/>
          <w:lang w:eastAsia="en-US"/>
        </w:rPr>
        <w:t xml:space="preserve">identified </w:t>
      </w:r>
      <w:r w:rsidRPr="00170139">
        <w:rPr>
          <w:rFonts w:eastAsia="Calibri" w:cs="Arial"/>
          <w:szCs w:val="22"/>
          <w:lang w:eastAsia="en-US"/>
        </w:rPr>
        <w:t>in DMCs such as Palau</w:t>
      </w:r>
      <w:r w:rsidR="004F0FEE" w:rsidRPr="00170139">
        <w:rPr>
          <w:rFonts w:eastAsia="Calibri" w:cs="Arial"/>
          <w:szCs w:val="22"/>
          <w:lang w:eastAsia="en-US"/>
        </w:rPr>
        <w:t>,</w:t>
      </w:r>
      <w:r w:rsidRPr="00170139">
        <w:rPr>
          <w:rFonts w:eastAsia="Calibri" w:cs="Arial"/>
          <w:szCs w:val="22"/>
          <w:lang w:eastAsia="en-US"/>
        </w:rPr>
        <w:t xml:space="preserve"> which has the second</w:t>
      </w:r>
      <w:r w:rsidR="004F0FEE" w:rsidRPr="00170139">
        <w:rPr>
          <w:rFonts w:eastAsia="Calibri" w:cs="Arial"/>
          <w:szCs w:val="22"/>
          <w:lang w:eastAsia="en-US"/>
        </w:rPr>
        <w:t>-</w:t>
      </w:r>
      <w:r w:rsidRPr="00170139">
        <w:rPr>
          <w:rFonts w:eastAsia="Calibri" w:cs="Arial"/>
          <w:szCs w:val="22"/>
          <w:lang w:eastAsia="en-US"/>
        </w:rPr>
        <w:t>highest per capita income in the Pacific, but is still well below its potential. The tourism sector review will highlight the need for new investments in infrastructure</w:t>
      </w:r>
      <w:r w:rsidR="000C15E8">
        <w:rPr>
          <w:rFonts w:eastAsia="Calibri" w:cs="Arial"/>
          <w:szCs w:val="22"/>
          <w:lang w:eastAsia="en-US"/>
        </w:rPr>
        <w:t xml:space="preserve"> </w:t>
      </w:r>
      <w:r w:rsidRPr="00170139">
        <w:rPr>
          <w:rFonts w:eastAsia="Calibri" w:cs="Arial"/>
          <w:szCs w:val="22"/>
          <w:lang w:eastAsia="en-US"/>
        </w:rPr>
        <w:t>that can be developed through the development programs of bilateral and international donor agencies.</w:t>
      </w:r>
      <w:r w:rsidR="000C15E8" w:rsidRPr="00170139">
        <w:rPr>
          <w:rFonts w:eastAsia="Calibri" w:cs="Arial"/>
          <w:szCs w:val="22"/>
          <w:vertAlign w:val="superscript"/>
          <w:lang w:eastAsia="en-US"/>
        </w:rPr>
        <w:footnoteReference w:id="2"/>
      </w:r>
      <w:r w:rsidRPr="00170139">
        <w:rPr>
          <w:rFonts w:eastAsia="Calibri" w:cs="Arial"/>
          <w:szCs w:val="22"/>
          <w:lang w:eastAsia="en-US"/>
        </w:rPr>
        <w:t xml:space="preserve"> </w:t>
      </w:r>
      <w:r w:rsidR="004F0FEE" w:rsidRPr="00170139">
        <w:rPr>
          <w:rFonts w:eastAsia="Calibri" w:cs="Arial"/>
          <w:szCs w:val="22"/>
          <w:lang w:eastAsia="en-US"/>
        </w:rPr>
        <w:t>Using PSDI consultancy to p</w:t>
      </w:r>
      <w:r w:rsidRPr="00170139">
        <w:rPr>
          <w:rFonts w:eastAsia="Calibri" w:cs="Arial"/>
          <w:szCs w:val="22"/>
          <w:lang w:eastAsia="en-US"/>
        </w:rPr>
        <w:t>romot</w:t>
      </w:r>
      <w:r w:rsidR="004F0FEE" w:rsidRPr="00170139">
        <w:rPr>
          <w:rFonts w:eastAsia="Calibri" w:cs="Arial"/>
          <w:szCs w:val="22"/>
          <w:lang w:eastAsia="en-US"/>
        </w:rPr>
        <w:t>e</w:t>
      </w:r>
      <w:r w:rsidRPr="00170139">
        <w:rPr>
          <w:rFonts w:eastAsia="Calibri" w:cs="Arial"/>
          <w:szCs w:val="22"/>
          <w:lang w:eastAsia="en-US"/>
        </w:rPr>
        <w:t xml:space="preserve"> the </w:t>
      </w:r>
      <w:r w:rsidR="004F0FEE" w:rsidRPr="00170139">
        <w:rPr>
          <w:rFonts w:eastAsia="Calibri" w:cs="Arial"/>
          <w:szCs w:val="22"/>
          <w:lang w:eastAsia="en-US"/>
        </w:rPr>
        <w:t xml:space="preserve">necessary </w:t>
      </w:r>
      <w:r w:rsidRPr="00170139">
        <w:rPr>
          <w:rFonts w:eastAsia="Calibri" w:cs="Arial"/>
          <w:szCs w:val="22"/>
          <w:lang w:eastAsia="en-US"/>
        </w:rPr>
        <w:t xml:space="preserve">legal and regulatory reforms will serve to augment and ensure the success of such </w:t>
      </w:r>
      <w:r w:rsidR="004F0FEE" w:rsidRPr="00170139">
        <w:rPr>
          <w:rFonts w:eastAsia="Calibri" w:cs="Arial"/>
          <w:szCs w:val="22"/>
          <w:lang w:eastAsia="en-US"/>
        </w:rPr>
        <w:t>investments</w:t>
      </w:r>
      <w:r w:rsidRPr="00170139">
        <w:rPr>
          <w:rFonts w:eastAsia="Calibri" w:cs="Arial"/>
          <w:szCs w:val="22"/>
          <w:lang w:eastAsia="en-US"/>
        </w:rPr>
        <w:t>. In addition to continued emphasis on the ongoing programs of PSDI</w:t>
      </w:r>
      <w:r w:rsidR="004F0FEE" w:rsidRPr="00170139">
        <w:rPr>
          <w:rFonts w:eastAsia="Calibri" w:cs="Arial"/>
          <w:szCs w:val="22"/>
          <w:lang w:eastAsia="en-US"/>
        </w:rPr>
        <w:t>, which have</w:t>
      </w:r>
      <w:r w:rsidRPr="00170139">
        <w:rPr>
          <w:rFonts w:eastAsia="Calibri" w:cs="Arial"/>
          <w:szCs w:val="22"/>
          <w:lang w:eastAsia="en-US"/>
        </w:rPr>
        <w:t xml:space="preserve"> been so evidently successful, emphasizing </w:t>
      </w:r>
      <w:r w:rsidR="004F0FEE" w:rsidRPr="00170139">
        <w:rPr>
          <w:rFonts w:eastAsia="Calibri" w:cs="Arial"/>
          <w:szCs w:val="22"/>
          <w:lang w:eastAsia="en-US"/>
        </w:rPr>
        <w:t>a</w:t>
      </w:r>
      <w:r w:rsidRPr="00170139">
        <w:rPr>
          <w:rFonts w:eastAsia="Calibri" w:cs="Arial"/>
          <w:szCs w:val="22"/>
          <w:lang w:eastAsia="en-US"/>
        </w:rPr>
        <w:t xml:space="preserve"> sector focus </w:t>
      </w:r>
      <w:r w:rsidR="004F0FEE" w:rsidRPr="00170139">
        <w:rPr>
          <w:rFonts w:eastAsia="Calibri" w:cs="Arial"/>
          <w:szCs w:val="22"/>
          <w:lang w:eastAsia="en-US"/>
        </w:rPr>
        <w:t>for the remainder</w:t>
      </w:r>
      <w:r w:rsidRPr="00170139">
        <w:rPr>
          <w:rFonts w:eastAsia="Calibri" w:cs="Arial"/>
          <w:szCs w:val="22"/>
          <w:lang w:eastAsia="en-US"/>
        </w:rPr>
        <w:t xml:space="preserve"> of PSDI Phase III period will help ensure </w:t>
      </w:r>
      <w:r w:rsidR="004F0FEE" w:rsidRPr="00170139">
        <w:rPr>
          <w:rFonts w:eastAsia="Calibri" w:cs="Arial"/>
          <w:szCs w:val="22"/>
          <w:lang w:eastAsia="en-US"/>
        </w:rPr>
        <w:t xml:space="preserve">the </w:t>
      </w:r>
      <w:r w:rsidRPr="00170139">
        <w:rPr>
          <w:rFonts w:eastAsia="Calibri" w:cs="Arial"/>
          <w:szCs w:val="22"/>
          <w:lang w:eastAsia="en-US"/>
        </w:rPr>
        <w:t>continued relevance</w:t>
      </w:r>
      <w:r w:rsidR="004F0FEE" w:rsidRPr="00170139">
        <w:rPr>
          <w:rFonts w:eastAsia="Calibri" w:cs="Arial"/>
          <w:szCs w:val="22"/>
          <w:lang w:eastAsia="en-US"/>
        </w:rPr>
        <w:t xml:space="preserve"> of PSDI activities</w:t>
      </w:r>
      <w:r w:rsidRPr="00170139">
        <w:rPr>
          <w:rFonts w:eastAsia="Calibri" w:cs="Arial"/>
          <w:szCs w:val="22"/>
          <w:lang w:eastAsia="en-US"/>
        </w:rPr>
        <w:t>.</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The development of </w:t>
      </w:r>
      <w:r w:rsidR="004F0FEE" w:rsidRPr="00170139">
        <w:rPr>
          <w:rFonts w:eastAsia="Calibri" w:cs="Arial"/>
          <w:szCs w:val="22"/>
          <w:lang w:eastAsia="en-US"/>
        </w:rPr>
        <w:t>productive</w:t>
      </w:r>
      <w:r w:rsidR="003256A4" w:rsidRPr="00170139">
        <w:rPr>
          <w:rFonts w:eastAsia="Calibri" w:cs="Arial"/>
          <w:szCs w:val="22"/>
          <w:lang w:eastAsia="en-US"/>
        </w:rPr>
        <w:t xml:space="preserve"> and ongoing</w:t>
      </w:r>
      <w:r w:rsidR="004F0FEE" w:rsidRPr="00170139">
        <w:rPr>
          <w:rFonts w:eastAsia="Calibri" w:cs="Arial"/>
          <w:szCs w:val="22"/>
          <w:lang w:eastAsia="en-US"/>
        </w:rPr>
        <w:t xml:space="preserve"> </w:t>
      </w:r>
      <w:r w:rsidRPr="00170139">
        <w:rPr>
          <w:rFonts w:eastAsia="Calibri" w:cs="Arial"/>
          <w:szCs w:val="22"/>
          <w:lang w:eastAsia="en-US"/>
        </w:rPr>
        <w:t>dialogue between the private sector</w:t>
      </w:r>
      <w:r w:rsidR="004F0FEE" w:rsidRPr="00170139">
        <w:rPr>
          <w:rFonts w:eastAsia="Calibri" w:cs="Arial"/>
          <w:szCs w:val="22"/>
          <w:lang w:eastAsia="en-US"/>
        </w:rPr>
        <w:t xml:space="preserve"> of each Pacific DMC</w:t>
      </w:r>
      <w:r w:rsidRPr="00170139">
        <w:rPr>
          <w:rFonts w:eastAsia="Calibri" w:cs="Arial"/>
          <w:szCs w:val="22"/>
          <w:lang w:eastAsia="en-US"/>
        </w:rPr>
        <w:t xml:space="preserve"> and </w:t>
      </w:r>
      <w:r w:rsidR="003256A4" w:rsidRPr="00170139">
        <w:rPr>
          <w:rFonts w:eastAsia="Calibri" w:cs="Arial"/>
          <w:szCs w:val="22"/>
          <w:lang w:eastAsia="en-US"/>
        </w:rPr>
        <w:t xml:space="preserve">its </w:t>
      </w:r>
      <w:r w:rsidRPr="00170139">
        <w:rPr>
          <w:rFonts w:eastAsia="Calibri" w:cs="Arial"/>
          <w:szCs w:val="22"/>
          <w:lang w:eastAsia="en-US"/>
        </w:rPr>
        <w:t xml:space="preserve">respective government needs to be strengthened. The model developed by Palau has a lot to recommend and could be taken as a starting point for other Pacific DMCs </w:t>
      </w:r>
      <w:r w:rsidR="003256A4" w:rsidRPr="00170139">
        <w:rPr>
          <w:rFonts w:eastAsia="Calibri" w:cs="Arial"/>
          <w:szCs w:val="22"/>
          <w:lang w:eastAsia="en-US"/>
        </w:rPr>
        <w:t>that have</w:t>
      </w:r>
      <w:r w:rsidRPr="00170139">
        <w:rPr>
          <w:rFonts w:eastAsia="Calibri" w:cs="Arial"/>
          <w:szCs w:val="22"/>
          <w:lang w:eastAsia="en-US"/>
        </w:rPr>
        <w:t xml:space="preserve"> yet </w:t>
      </w:r>
      <w:r w:rsidR="003256A4" w:rsidRPr="00170139">
        <w:rPr>
          <w:rFonts w:eastAsia="Calibri" w:cs="Arial"/>
          <w:szCs w:val="22"/>
          <w:lang w:eastAsia="en-US"/>
        </w:rPr>
        <w:t xml:space="preserve">to develop </w:t>
      </w:r>
      <w:r w:rsidRPr="00170139">
        <w:rPr>
          <w:rFonts w:eastAsia="Calibri" w:cs="Arial"/>
          <w:szCs w:val="22"/>
          <w:lang w:eastAsia="en-US"/>
        </w:rPr>
        <w:t>a dialogue mechanism. Palau established an Economic Advisory Group (EAG)</w:t>
      </w:r>
      <w:r w:rsidR="003256A4" w:rsidRPr="00170139">
        <w:rPr>
          <w:rFonts w:eastAsia="Calibri" w:cs="Arial"/>
          <w:szCs w:val="22"/>
          <w:vertAlign w:val="superscript"/>
          <w:lang w:eastAsia="en-US"/>
        </w:rPr>
        <w:t xml:space="preserve"> </w:t>
      </w:r>
      <w:r w:rsidR="003256A4" w:rsidRPr="00170139">
        <w:rPr>
          <w:rFonts w:eastAsia="Calibri" w:cs="Arial"/>
          <w:szCs w:val="22"/>
          <w:vertAlign w:val="superscript"/>
          <w:lang w:eastAsia="en-US"/>
        </w:rPr>
        <w:footnoteReference w:id="3"/>
      </w:r>
      <w:r w:rsidRPr="00170139">
        <w:rPr>
          <w:rFonts w:eastAsia="Calibri" w:cs="Arial"/>
          <w:szCs w:val="22"/>
          <w:lang w:eastAsia="en-US"/>
        </w:rPr>
        <w:t xml:space="preserve"> with the mandate of implementing the government’s </w:t>
      </w:r>
      <w:r w:rsidR="003256A4" w:rsidRPr="00170139">
        <w:rPr>
          <w:rFonts w:eastAsia="Calibri" w:cs="Arial"/>
          <w:szCs w:val="22"/>
          <w:lang w:eastAsia="en-US"/>
        </w:rPr>
        <w:t>medium-t</w:t>
      </w:r>
      <w:r w:rsidRPr="00170139">
        <w:rPr>
          <w:rFonts w:eastAsia="Calibri" w:cs="Arial"/>
          <w:szCs w:val="22"/>
          <w:lang w:eastAsia="en-US"/>
        </w:rPr>
        <w:t xml:space="preserve">erm </w:t>
      </w:r>
      <w:r w:rsidR="003256A4" w:rsidRPr="00170139">
        <w:rPr>
          <w:rFonts w:eastAsia="Calibri" w:cs="Arial"/>
          <w:szCs w:val="22"/>
          <w:lang w:eastAsia="en-US"/>
        </w:rPr>
        <w:t>development s</w:t>
      </w:r>
      <w:r w:rsidRPr="00170139">
        <w:rPr>
          <w:rFonts w:eastAsia="Calibri" w:cs="Arial"/>
          <w:szCs w:val="22"/>
          <w:lang w:eastAsia="en-US"/>
        </w:rPr>
        <w:t>trategy. Each year</w:t>
      </w:r>
      <w:r w:rsidR="003256A4" w:rsidRPr="00170139">
        <w:rPr>
          <w:rFonts w:eastAsia="Calibri" w:cs="Arial"/>
          <w:szCs w:val="22"/>
          <w:lang w:eastAsia="en-US"/>
        </w:rPr>
        <w:t>,</w:t>
      </w:r>
      <w:r w:rsidRPr="00170139">
        <w:rPr>
          <w:rFonts w:eastAsia="Calibri" w:cs="Arial"/>
          <w:szCs w:val="22"/>
          <w:lang w:eastAsia="en-US"/>
        </w:rPr>
        <w:t xml:space="preserve"> the EAG prioritizes actions for the forthcoming year </w:t>
      </w:r>
      <w:r w:rsidR="003256A4" w:rsidRPr="00170139">
        <w:rPr>
          <w:rFonts w:eastAsia="Calibri" w:cs="Arial"/>
          <w:szCs w:val="22"/>
          <w:lang w:eastAsia="en-US"/>
        </w:rPr>
        <w:t xml:space="preserve">through </w:t>
      </w:r>
      <w:r w:rsidRPr="00170139">
        <w:rPr>
          <w:rFonts w:eastAsia="Calibri" w:cs="Arial"/>
          <w:szCs w:val="22"/>
          <w:lang w:eastAsia="en-US"/>
        </w:rPr>
        <w:t xml:space="preserve">a dialogue between the government and the </w:t>
      </w:r>
      <w:r w:rsidR="003256A4" w:rsidRPr="00170139">
        <w:rPr>
          <w:rFonts w:eastAsia="Calibri" w:cs="Arial"/>
          <w:szCs w:val="22"/>
          <w:lang w:eastAsia="en-US"/>
        </w:rPr>
        <w:t xml:space="preserve">country’s </w:t>
      </w:r>
      <w:r w:rsidRPr="00170139">
        <w:rPr>
          <w:rFonts w:eastAsia="Calibri" w:cs="Arial"/>
          <w:szCs w:val="22"/>
          <w:lang w:eastAsia="en-US"/>
        </w:rPr>
        <w:t>private sector</w:t>
      </w:r>
      <w:r w:rsidR="003256A4" w:rsidRPr="00170139">
        <w:rPr>
          <w:rFonts w:eastAsia="Calibri" w:cs="Arial"/>
          <w:szCs w:val="22"/>
          <w:lang w:eastAsia="en-US"/>
        </w:rPr>
        <w:t>. This dialogue</w:t>
      </w:r>
      <w:r w:rsidRPr="00170139">
        <w:rPr>
          <w:rFonts w:eastAsia="Calibri" w:cs="Arial"/>
          <w:szCs w:val="22"/>
          <w:lang w:eastAsia="en-US"/>
        </w:rPr>
        <w:t xml:space="preserve"> provide</w:t>
      </w:r>
      <w:r w:rsidR="003256A4" w:rsidRPr="00170139">
        <w:rPr>
          <w:rFonts w:eastAsia="Calibri" w:cs="Arial"/>
          <w:szCs w:val="22"/>
          <w:lang w:eastAsia="en-US"/>
        </w:rPr>
        <w:t>s</w:t>
      </w:r>
      <w:r w:rsidRPr="00170139">
        <w:rPr>
          <w:rFonts w:eastAsia="Calibri" w:cs="Arial"/>
          <w:szCs w:val="22"/>
          <w:lang w:eastAsia="en-US"/>
        </w:rPr>
        <w:t xml:space="preserve"> a basis for coordinated approaches to economic policy formulation and implementation. The EAG was largely responsible for the success of </w:t>
      </w:r>
      <w:r w:rsidR="003256A4" w:rsidRPr="00170139">
        <w:rPr>
          <w:rFonts w:eastAsia="Calibri" w:cs="Arial"/>
          <w:szCs w:val="22"/>
          <w:lang w:eastAsia="en-US"/>
        </w:rPr>
        <w:t>Palau’s</w:t>
      </w:r>
      <w:r w:rsidRPr="00170139">
        <w:rPr>
          <w:rFonts w:eastAsia="Calibri" w:cs="Arial"/>
          <w:szCs w:val="22"/>
          <w:lang w:eastAsia="en-US"/>
        </w:rPr>
        <w:t xml:space="preserve"> tourism policy. This </w:t>
      </w:r>
      <w:r w:rsidR="003256A4" w:rsidRPr="00170139">
        <w:rPr>
          <w:rFonts w:eastAsia="Calibri" w:cs="Arial"/>
          <w:szCs w:val="22"/>
          <w:lang w:eastAsia="en-US"/>
        </w:rPr>
        <w:t xml:space="preserve">process </w:t>
      </w:r>
      <w:r w:rsidRPr="00170139">
        <w:rPr>
          <w:rFonts w:eastAsia="Calibri" w:cs="Arial"/>
          <w:szCs w:val="22"/>
          <w:lang w:eastAsia="en-US"/>
        </w:rPr>
        <w:t xml:space="preserve">of dialogue and coordinated economic policy </w:t>
      </w:r>
      <w:r w:rsidR="003256A4" w:rsidRPr="00170139">
        <w:rPr>
          <w:rFonts w:eastAsia="Calibri" w:cs="Arial"/>
          <w:szCs w:val="22"/>
          <w:lang w:eastAsia="en-US"/>
        </w:rPr>
        <w:t xml:space="preserve">development </w:t>
      </w:r>
      <w:r w:rsidRPr="00170139">
        <w:rPr>
          <w:rFonts w:eastAsia="Calibri" w:cs="Arial"/>
          <w:szCs w:val="22"/>
          <w:lang w:eastAsia="en-US"/>
        </w:rPr>
        <w:t xml:space="preserve">has </w:t>
      </w:r>
      <w:r w:rsidR="00EE7446" w:rsidRPr="00170139">
        <w:rPr>
          <w:rFonts w:eastAsia="Calibri" w:cs="Arial"/>
          <w:szCs w:val="22"/>
          <w:lang w:eastAsia="en-US"/>
        </w:rPr>
        <w:t>since</w:t>
      </w:r>
      <w:r w:rsidRPr="00170139">
        <w:rPr>
          <w:rFonts w:eastAsia="Calibri" w:cs="Arial"/>
          <w:szCs w:val="22"/>
          <w:lang w:eastAsia="en-US"/>
        </w:rPr>
        <w:t xml:space="preserve"> been successfully adopted in Tonga</w:t>
      </w:r>
      <w:r w:rsidR="00EE7446" w:rsidRPr="00170139">
        <w:rPr>
          <w:rFonts w:eastAsia="Calibri" w:cs="Arial"/>
          <w:szCs w:val="22"/>
          <w:lang w:eastAsia="en-US"/>
        </w:rPr>
        <w:t>,</w:t>
      </w:r>
      <w:r w:rsidRPr="00170139">
        <w:rPr>
          <w:rFonts w:eastAsia="Calibri" w:cs="Arial"/>
          <w:szCs w:val="22"/>
          <w:lang w:eastAsia="en-US"/>
        </w:rPr>
        <w:t xml:space="preserve"> with regular monthly meetings between </w:t>
      </w:r>
      <w:r w:rsidR="00EE7446" w:rsidRPr="00170139">
        <w:rPr>
          <w:rFonts w:eastAsia="Calibri" w:cs="Arial"/>
          <w:szCs w:val="22"/>
          <w:lang w:eastAsia="en-US"/>
        </w:rPr>
        <w:t>c</w:t>
      </w:r>
      <w:r w:rsidRPr="00170139">
        <w:rPr>
          <w:rFonts w:eastAsia="Calibri" w:cs="Arial"/>
          <w:szCs w:val="22"/>
          <w:lang w:eastAsia="en-US"/>
        </w:rPr>
        <w:t>hamber</w:t>
      </w:r>
      <w:r w:rsidR="00EE7446" w:rsidRPr="00170139">
        <w:rPr>
          <w:rFonts w:eastAsia="Calibri" w:cs="Arial"/>
          <w:szCs w:val="22"/>
          <w:lang w:eastAsia="en-US"/>
        </w:rPr>
        <w:t>s</w:t>
      </w:r>
      <w:r w:rsidRPr="00170139">
        <w:rPr>
          <w:rFonts w:eastAsia="Calibri" w:cs="Arial"/>
          <w:szCs w:val="22"/>
          <w:lang w:eastAsia="en-US"/>
        </w:rPr>
        <w:t xml:space="preserve"> of </w:t>
      </w:r>
      <w:r w:rsidR="00EE7446" w:rsidRPr="00170139">
        <w:rPr>
          <w:rFonts w:eastAsia="Calibri" w:cs="Arial"/>
          <w:szCs w:val="22"/>
          <w:lang w:eastAsia="en-US"/>
        </w:rPr>
        <w:t>c</w:t>
      </w:r>
      <w:r w:rsidRPr="00170139">
        <w:rPr>
          <w:rFonts w:eastAsia="Calibri" w:cs="Arial"/>
          <w:szCs w:val="22"/>
          <w:lang w:eastAsia="en-US"/>
        </w:rPr>
        <w:t xml:space="preserve">ommerce and the </w:t>
      </w:r>
      <w:r w:rsidR="00EE7446" w:rsidRPr="00170139">
        <w:rPr>
          <w:rFonts w:eastAsia="Calibri" w:cs="Arial"/>
          <w:szCs w:val="22"/>
          <w:lang w:eastAsia="en-US"/>
        </w:rPr>
        <w:t>government to exchange information and plans</w:t>
      </w:r>
      <w:r w:rsidRPr="00170139">
        <w:rPr>
          <w:rFonts w:eastAsia="Calibri" w:cs="Arial"/>
          <w:szCs w:val="22"/>
          <w:lang w:eastAsia="en-US"/>
        </w:rPr>
        <w:t>. Additionally</w:t>
      </w:r>
      <w:r w:rsidR="00EE7446" w:rsidRPr="00170139">
        <w:rPr>
          <w:rFonts w:eastAsia="Calibri" w:cs="Arial"/>
          <w:szCs w:val="22"/>
          <w:lang w:eastAsia="en-US"/>
        </w:rPr>
        <w:t>,</w:t>
      </w:r>
      <w:r w:rsidRPr="00170139">
        <w:rPr>
          <w:rFonts w:eastAsia="Calibri" w:cs="Arial"/>
          <w:szCs w:val="22"/>
          <w:lang w:eastAsia="en-US"/>
        </w:rPr>
        <w:t xml:space="preserve"> many </w:t>
      </w:r>
      <w:r w:rsidR="00EE7446" w:rsidRPr="00170139">
        <w:rPr>
          <w:rFonts w:eastAsia="Calibri" w:cs="Arial"/>
          <w:szCs w:val="22"/>
          <w:lang w:eastAsia="en-US"/>
        </w:rPr>
        <w:t xml:space="preserve">working groups to foster dialogue between </w:t>
      </w:r>
      <w:r w:rsidRPr="00170139">
        <w:rPr>
          <w:rFonts w:eastAsia="Calibri" w:cs="Arial"/>
          <w:szCs w:val="22"/>
          <w:lang w:eastAsia="en-US"/>
        </w:rPr>
        <w:t>public</w:t>
      </w:r>
      <w:r w:rsidR="00EE7446" w:rsidRPr="00170139">
        <w:rPr>
          <w:rFonts w:eastAsia="Calibri" w:cs="Arial"/>
          <w:szCs w:val="22"/>
          <w:lang w:eastAsia="en-US"/>
        </w:rPr>
        <w:t xml:space="preserve"> and </w:t>
      </w:r>
      <w:r w:rsidRPr="00170139">
        <w:rPr>
          <w:rFonts w:eastAsia="Calibri" w:cs="Arial"/>
          <w:szCs w:val="22"/>
          <w:lang w:eastAsia="en-US"/>
        </w:rPr>
        <w:t>private sector</w:t>
      </w:r>
      <w:r w:rsidR="00EE7446" w:rsidRPr="00170139">
        <w:rPr>
          <w:rFonts w:eastAsia="Calibri" w:cs="Arial"/>
          <w:szCs w:val="22"/>
          <w:lang w:eastAsia="en-US"/>
        </w:rPr>
        <w:t>s</w:t>
      </w:r>
      <w:r w:rsidRPr="00170139">
        <w:rPr>
          <w:rFonts w:eastAsia="Calibri" w:cs="Arial"/>
          <w:szCs w:val="22"/>
          <w:lang w:eastAsia="en-US"/>
        </w:rPr>
        <w:t xml:space="preserve"> have been </w:t>
      </w:r>
      <w:r w:rsidR="00E63AEB" w:rsidRPr="00170139">
        <w:rPr>
          <w:rFonts w:eastAsia="Calibri" w:cs="Arial"/>
          <w:szCs w:val="22"/>
          <w:lang w:eastAsia="en-US"/>
        </w:rPr>
        <w:t xml:space="preserve">supported </w:t>
      </w:r>
      <w:r w:rsidRPr="00170139">
        <w:rPr>
          <w:rFonts w:eastAsia="Calibri" w:cs="Arial"/>
          <w:szCs w:val="22"/>
          <w:lang w:eastAsia="en-US"/>
        </w:rPr>
        <w:t>by PSDI</w:t>
      </w:r>
      <w:r w:rsidR="00EE7446" w:rsidRPr="00170139">
        <w:rPr>
          <w:rFonts w:eastAsia="Calibri" w:cs="Arial"/>
          <w:szCs w:val="22"/>
          <w:lang w:eastAsia="en-US"/>
        </w:rPr>
        <w:t>,</w:t>
      </w:r>
      <w:r w:rsidRPr="00170139">
        <w:rPr>
          <w:rFonts w:eastAsia="Calibri" w:cs="Arial"/>
          <w:szCs w:val="22"/>
          <w:lang w:eastAsia="en-US"/>
        </w:rPr>
        <w:t xml:space="preserve"> including in Solomon Islands.</w:t>
      </w:r>
    </w:p>
    <w:p w:rsidR="00346198" w:rsidRPr="00170139" w:rsidRDefault="00346198" w:rsidP="00C13C20">
      <w:pPr>
        <w:rPr>
          <w:rFonts w:eastAsia="Calibri" w:cs="Arial"/>
          <w:szCs w:val="22"/>
          <w:lang w:eastAsia="en-US"/>
        </w:rPr>
      </w:pPr>
    </w:p>
    <w:p w:rsidR="00346198" w:rsidRPr="00170139" w:rsidRDefault="00346198" w:rsidP="00C951B3">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The data generated by PSDI for country allocations and sectoral focus are best estimates</w:t>
      </w:r>
      <w:r w:rsidR="00EE7446" w:rsidRPr="00170139">
        <w:rPr>
          <w:rFonts w:eastAsia="Calibri" w:cs="Arial"/>
          <w:szCs w:val="22"/>
          <w:lang w:eastAsia="en-US"/>
        </w:rPr>
        <w:t>,</w:t>
      </w:r>
      <w:r w:rsidRPr="00170139">
        <w:rPr>
          <w:rFonts w:eastAsia="Calibri" w:cs="Arial"/>
          <w:szCs w:val="22"/>
          <w:lang w:eastAsia="en-US"/>
        </w:rPr>
        <w:t xml:space="preserve"> but do not appear to be well grounded </w:t>
      </w:r>
      <w:r w:rsidR="00EE7446" w:rsidRPr="00170139">
        <w:rPr>
          <w:rFonts w:eastAsia="Calibri" w:cs="Arial"/>
          <w:szCs w:val="22"/>
          <w:lang w:eastAsia="en-US"/>
        </w:rPr>
        <w:t xml:space="preserve">by a </w:t>
      </w:r>
      <w:r w:rsidRPr="00170139">
        <w:rPr>
          <w:rFonts w:eastAsia="Calibri" w:cs="Arial"/>
          <w:szCs w:val="22"/>
          <w:lang w:eastAsia="en-US"/>
        </w:rPr>
        <w:t>statistical system that can provid</w:t>
      </w:r>
      <w:r w:rsidR="00EE7446" w:rsidRPr="00170139">
        <w:rPr>
          <w:rFonts w:eastAsia="Calibri" w:cs="Arial"/>
          <w:szCs w:val="22"/>
          <w:lang w:eastAsia="en-US"/>
        </w:rPr>
        <w:t>e</w:t>
      </w:r>
      <w:r w:rsidRPr="00170139">
        <w:rPr>
          <w:rFonts w:eastAsia="Calibri" w:cs="Arial"/>
          <w:szCs w:val="22"/>
          <w:lang w:eastAsia="en-US"/>
        </w:rPr>
        <w:t xml:space="preserve"> reliable data. As PSDI allocations are becoming sizeable, most notably in </w:t>
      </w:r>
      <w:r w:rsidR="00742E28" w:rsidRPr="00170139">
        <w:rPr>
          <w:rFonts w:eastAsia="Calibri" w:cs="Arial"/>
          <w:szCs w:val="22"/>
          <w:lang w:eastAsia="en-US"/>
        </w:rPr>
        <w:t>PNG</w:t>
      </w:r>
      <w:r w:rsidRPr="00170139">
        <w:rPr>
          <w:rFonts w:eastAsia="Calibri" w:cs="Arial"/>
          <w:szCs w:val="22"/>
          <w:lang w:eastAsia="en-US"/>
        </w:rPr>
        <w:t>, it is important that the country</w:t>
      </w:r>
      <w:r w:rsidR="00EE7446" w:rsidRPr="00170139">
        <w:rPr>
          <w:rFonts w:eastAsia="Calibri" w:cs="Arial"/>
          <w:szCs w:val="22"/>
          <w:lang w:eastAsia="en-US"/>
        </w:rPr>
        <w:t>-level</w:t>
      </w:r>
      <w:r w:rsidRPr="00170139">
        <w:rPr>
          <w:rFonts w:eastAsia="Calibri" w:cs="Arial"/>
          <w:szCs w:val="22"/>
          <w:lang w:eastAsia="en-US"/>
        </w:rPr>
        <w:t xml:space="preserve"> allocation of PSDI resources be properly accounted for in a system where</w:t>
      </w:r>
      <w:r w:rsidR="00EE7446" w:rsidRPr="00170139">
        <w:rPr>
          <w:rFonts w:eastAsia="Calibri" w:cs="Arial"/>
          <w:szCs w:val="22"/>
          <w:lang w:eastAsia="en-US"/>
        </w:rPr>
        <w:t xml:space="preserve"> there is routine</w:t>
      </w:r>
      <w:r w:rsidRPr="00170139">
        <w:rPr>
          <w:rFonts w:eastAsia="Calibri" w:cs="Arial"/>
          <w:szCs w:val="22"/>
          <w:lang w:eastAsia="en-US"/>
        </w:rPr>
        <w:t xml:space="preserve"> crosschecking of the results from the data generated. The statistical system could be developed in conjunction with the ADB Controllers’ Department</w:t>
      </w:r>
      <w:r w:rsidR="00EE7446" w:rsidRPr="00170139">
        <w:rPr>
          <w:rFonts w:eastAsia="Calibri" w:cs="Arial"/>
          <w:szCs w:val="22"/>
          <w:lang w:eastAsia="en-US"/>
        </w:rPr>
        <w:t>,</w:t>
      </w:r>
      <w:r w:rsidRPr="00170139">
        <w:rPr>
          <w:rFonts w:eastAsia="Calibri" w:cs="Arial"/>
          <w:szCs w:val="22"/>
          <w:lang w:eastAsia="en-US"/>
        </w:rPr>
        <w:t xml:space="preserve"> so the resulting data can be utilized in ADB’s allocation of resources to its DMCs. These systems would also serve to provide increased confidence </w:t>
      </w:r>
      <w:r w:rsidR="00EE7446" w:rsidRPr="00170139">
        <w:rPr>
          <w:rFonts w:eastAsia="Calibri" w:cs="Arial"/>
          <w:szCs w:val="22"/>
          <w:lang w:eastAsia="en-US"/>
        </w:rPr>
        <w:t xml:space="preserve">for </w:t>
      </w:r>
      <w:r w:rsidRPr="00170139">
        <w:rPr>
          <w:rFonts w:eastAsia="Calibri" w:cs="Arial"/>
          <w:szCs w:val="22"/>
          <w:lang w:eastAsia="en-US"/>
        </w:rPr>
        <w:t>DFAT and MFAT in the reliability of the PSDI statistics being provided.</w:t>
      </w:r>
    </w:p>
    <w:p w:rsidR="00EE7446" w:rsidRPr="00170139" w:rsidRDefault="00EE7446" w:rsidP="00170139"/>
    <w:p w:rsidR="00EE7446" w:rsidRPr="00170139" w:rsidRDefault="00EE7446" w:rsidP="00170139">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lastRenderedPageBreak/>
        <w:t xml:space="preserve">Reflecting the reform agendas </w:t>
      </w:r>
      <w:r w:rsidR="00031C68" w:rsidRPr="00170139">
        <w:rPr>
          <w:rFonts w:eastAsia="Calibri" w:cs="Arial"/>
          <w:szCs w:val="22"/>
          <w:lang w:eastAsia="en-US"/>
        </w:rPr>
        <w:t xml:space="preserve">required </w:t>
      </w:r>
      <w:r w:rsidRPr="00170139">
        <w:rPr>
          <w:rFonts w:eastAsia="Calibri" w:cs="Arial"/>
          <w:szCs w:val="22"/>
          <w:lang w:eastAsia="en-US"/>
        </w:rPr>
        <w:t xml:space="preserve">by </w:t>
      </w:r>
      <w:r w:rsidR="00031C68" w:rsidRPr="00170139">
        <w:rPr>
          <w:rFonts w:eastAsia="Calibri" w:cs="Arial"/>
          <w:szCs w:val="22"/>
          <w:lang w:eastAsia="en-US"/>
        </w:rPr>
        <w:t xml:space="preserve">different </w:t>
      </w:r>
      <w:r w:rsidRPr="00170139">
        <w:rPr>
          <w:rFonts w:eastAsia="Calibri" w:cs="Arial"/>
          <w:szCs w:val="22"/>
          <w:lang w:eastAsia="en-US"/>
        </w:rPr>
        <w:t xml:space="preserve">Pacific </w:t>
      </w:r>
      <w:r w:rsidR="00031C68" w:rsidRPr="00170139">
        <w:rPr>
          <w:rFonts w:eastAsia="Calibri" w:cs="Arial"/>
          <w:szCs w:val="22"/>
          <w:lang w:eastAsia="en-US"/>
        </w:rPr>
        <w:t xml:space="preserve">island </w:t>
      </w:r>
      <w:r w:rsidRPr="00170139">
        <w:rPr>
          <w:rFonts w:eastAsia="Calibri" w:cs="Arial"/>
          <w:szCs w:val="22"/>
          <w:lang w:eastAsia="en-US"/>
        </w:rPr>
        <w:t>economies, the distribution of PSDI assistance</w:t>
      </w:r>
      <w:r w:rsidR="00031C68" w:rsidRPr="00170139">
        <w:rPr>
          <w:rFonts w:eastAsia="Calibri" w:cs="Arial"/>
          <w:szCs w:val="22"/>
          <w:lang w:eastAsia="en-US"/>
        </w:rPr>
        <w:t xml:space="preserve"> to each DMC</w:t>
      </w:r>
      <w:r w:rsidRPr="00170139">
        <w:rPr>
          <w:rFonts w:eastAsia="Calibri" w:cs="Arial"/>
          <w:szCs w:val="22"/>
          <w:lang w:eastAsia="en-US"/>
        </w:rPr>
        <w:t xml:space="preserve"> </w:t>
      </w:r>
      <w:r w:rsidR="00031C68" w:rsidRPr="00170139">
        <w:rPr>
          <w:rFonts w:eastAsia="Calibri" w:cs="Arial"/>
          <w:szCs w:val="22"/>
          <w:lang w:eastAsia="en-US"/>
        </w:rPr>
        <w:t xml:space="preserve">is </w:t>
      </w:r>
      <w:r w:rsidRPr="00170139">
        <w:rPr>
          <w:rFonts w:eastAsia="Calibri" w:cs="Arial"/>
          <w:szCs w:val="22"/>
          <w:lang w:eastAsia="en-US"/>
        </w:rPr>
        <w:t>shown in Figure 1</w:t>
      </w:r>
      <w:r w:rsidR="00031C68" w:rsidRPr="00170139">
        <w:rPr>
          <w:rFonts w:eastAsia="Calibri" w:cs="Arial"/>
          <w:szCs w:val="22"/>
          <w:lang w:eastAsia="en-US"/>
        </w:rPr>
        <w:t>.</w:t>
      </w:r>
      <w:r w:rsidRPr="00170139">
        <w:rPr>
          <w:rFonts w:eastAsia="Calibri" w:cs="Arial"/>
          <w:szCs w:val="22"/>
          <w:lang w:eastAsia="en-US"/>
        </w:rPr>
        <w:t xml:space="preserve"> During </w:t>
      </w:r>
      <w:r w:rsidR="00031C68" w:rsidRPr="00170139">
        <w:rPr>
          <w:rFonts w:eastAsia="Calibri" w:cs="Arial"/>
          <w:szCs w:val="22"/>
          <w:lang w:eastAsia="en-US"/>
        </w:rPr>
        <w:t xml:space="preserve">the first half of </w:t>
      </w:r>
      <w:r w:rsidRPr="00170139">
        <w:rPr>
          <w:rFonts w:eastAsia="Calibri" w:cs="Arial"/>
          <w:szCs w:val="22"/>
          <w:lang w:eastAsia="en-US"/>
        </w:rPr>
        <w:t>PSDI III, the focus</w:t>
      </w:r>
      <w:r w:rsidR="00031C68" w:rsidRPr="00170139">
        <w:rPr>
          <w:rFonts w:eastAsia="Calibri" w:cs="Arial"/>
          <w:szCs w:val="22"/>
          <w:lang w:eastAsia="en-US"/>
        </w:rPr>
        <w:t xml:space="preserve"> of assistance</w:t>
      </w:r>
      <w:r w:rsidRPr="00170139">
        <w:rPr>
          <w:rFonts w:eastAsia="Calibri" w:cs="Arial"/>
          <w:szCs w:val="22"/>
          <w:lang w:eastAsia="en-US"/>
        </w:rPr>
        <w:t xml:space="preserve"> </w:t>
      </w:r>
      <w:r w:rsidR="00031C68" w:rsidRPr="00170139">
        <w:rPr>
          <w:rFonts w:eastAsia="Calibri" w:cs="Arial"/>
          <w:szCs w:val="22"/>
          <w:lang w:eastAsia="en-US"/>
        </w:rPr>
        <w:t xml:space="preserve">has </w:t>
      </w:r>
      <w:r w:rsidRPr="00170139">
        <w:rPr>
          <w:rFonts w:eastAsia="Calibri" w:cs="Arial"/>
          <w:szCs w:val="22"/>
          <w:lang w:eastAsia="en-US"/>
        </w:rPr>
        <w:t>shifted in favor of PNG, Solomon Islands, Tonga, and Vanuatu</w:t>
      </w:r>
      <w:r w:rsidR="00031C68" w:rsidRPr="00170139">
        <w:rPr>
          <w:rFonts w:eastAsia="Calibri" w:cs="Arial"/>
          <w:szCs w:val="22"/>
          <w:lang w:eastAsia="en-US"/>
        </w:rPr>
        <w:t>,</w:t>
      </w:r>
      <w:r w:rsidRPr="00170139">
        <w:rPr>
          <w:rFonts w:eastAsia="Calibri" w:cs="Arial"/>
          <w:szCs w:val="22"/>
          <w:lang w:eastAsia="en-US"/>
        </w:rPr>
        <w:t xml:space="preserve"> where PSDI consultants have assisted in major reform efforts. </w:t>
      </w:r>
      <w:r w:rsidR="006F5F4E" w:rsidRPr="00170139">
        <w:rPr>
          <w:rFonts w:eastAsia="Calibri" w:cs="Arial"/>
          <w:szCs w:val="22"/>
          <w:lang w:eastAsia="en-US"/>
        </w:rPr>
        <w:t xml:space="preserve">During </w:t>
      </w:r>
      <w:r w:rsidRPr="00170139">
        <w:rPr>
          <w:rFonts w:eastAsia="Calibri" w:cs="Arial"/>
          <w:szCs w:val="22"/>
          <w:lang w:eastAsia="en-US"/>
        </w:rPr>
        <w:t xml:space="preserve">the latter part of the first half of PSDI III, the Fiji program has showed some encouraging revival. </w:t>
      </w:r>
      <w:r w:rsidR="006F5F4E" w:rsidRPr="00170139">
        <w:rPr>
          <w:rFonts w:eastAsia="Calibri" w:cs="Arial"/>
          <w:szCs w:val="22"/>
          <w:lang w:eastAsia="en-US"/>
        </w:rPr>
        <w:t>The sectoral</w:t>
      </w:r>
      <w:r w:rsidR="00031C68" w:rsidRPr="00170139">
        <w:rPr>
          <w:rFonts w:eastAsia="Calibri" w:cs="Arial"/>
          <w:szCs w:val="22"/>
          <w:lang w:eastAsia="en-US"/>
        </w:rPr>
        <w:t xml:space="preserve"> focus</w:t>
      </w:r>
      <w:r w:rsidR="006F5F4E" w:rsidRPr="00170139">
        <w:rPr>
          <w:rFonts w:eastAsia="Calibri" w:cs="Arial"/>
          <w:szCs w:val="22"/>
          <w:lang w:eastAsia="en-US"/>
        </w:rPr>
        <w:t xml:space="preserve"> of PSDI assistance is </w:t>
      </w:r>
      <w:r w:rsidR="00031C68" w:rsidRPr="00170139">
        <w:rPr>
          <w:rFonts w:eastAsia="Calibri" w:cs="Arial"/>
          <w:szCs w:val="22"/>
          <w:lang w:eastAsia="en-US"/>
        </w:rPr>
        <w:t xml:space="preserve">shown in Figure 2. </w:t>
      </w:r>
      <w:r w:rsidR="006F5F4E" w:rsidRPr="00170139">
        <w:rPr>
          <w:rFonts w:eastAsia="Calibri" w:cs="Arial"/>
          <w:szCs w:val="22"/>
          <w:lang w:eastAsia="en-US"/>
        </w:rPr>
        <w:t>T</w:t>
      </w:r>
      <w:r w:rsidRPr="00170139">
        <w:rPr>
          <w:rFonts w:eastAsia="Calibri" w:cs="Arial"/>
          <w:szCs w:val="22"/>
          <w:lang w:eastAsia="en-US"/>
        </w:rPr>
        <w:t>he leading focus area during the first half of PSDI III has been financing growth</w:t>
      </w:r>
      <w:r w:rsidR="006F5F4E" w:rsidRPr="00170139">
        <w:rPr>
          <w:rFonts w:eastAsia="Calibri" w:cs="Arial"/>
          <w:szCs w:val="22"/>
          <w:lang w:eastAsia="en-US"/>
        </w:rPr>
        <w:t>,</w:t>
      </w:r>
      <w:r w:rsidRPr="00170139">
        <w:rPr>
          <w:rFonts w:eastAsia="Calibri" w:cs="Arial"/>
          <w:szCs w:val="22"/>
          <w:lang w:eastAsia="en-US"/>
        </w:rPr>
        <w:t xml:space="preserve"> which was also dominant during PSDI I and II. Business law reform is the next largest focus area</w:t>
      </w:r>
      <w:r w:rsidR="006F5F4E" w:rsidRPr="00170139">
        <w:rPr>
          <w:rFonts w:eastAsia="Calibri" w:cs="Arial"/>
          <w:szCs w:val="22"/>
          <w:lang w:eastAsia="en-US"/>
        </w:rPr>
        <w:t>,</w:t>
      </w:r>
      <w:r w:rsidRPr="00170139">
        <w:rPr>
          <w:rFonts w:eastAsia="Calibri" w:cs="Arial"/>
          <w:szCs w:val="22"/>
          <w:lang w:eastAsia="en-US"/>
        </w:rPr>
        <w:t xml:space="preserve"> followed by SOE reforms. The two new focus areas </w:t>
      </w:r>
      <w:r w:rsidR="006F5F4E" w:rsidRPr="00170139">
        <w:rPr>
          <w:rFonts w:eastAsia="Calibri" w:cs="Arial"/>
          <w:szCs w:val="22"/>
          <w:lang w:eastAsia="en-US"/>
        </w:rPr>
        <w:t xml:space="preserve">introduced </w:t>
      </w:r>
      <w:r w:rsidRPr="00170139">
        <w:rPr>
          <w:rFonts w:eastAsia="Calibri" w:cs="Arial"/>
          <w:szCs w:val="22"/>
          <w:lang w:eastAsia="en-US"/>
        </w:rPr>
        <w:t xml:space="preserve">during PSDI III, </w:t>
      </w:r>
      <w:r w:rsidR="006F5F4E" w:rsidRPr="00170139">
        <w:rPr>
          <w:rFonts w:eastAsia="Calibri" w:cs="Arial"/>
          <w:szCs w:val="22"/>
          <w:lang w:eastAsia="en-US"/>
        </w:rPr>
        <w:t xml:space="preserve">the economic empowerment of women </w:t>
      </w:r>
      <w:r w:rsidRPr="00170139">
        <w:rPr>
          <w:rFonts w:eastAsia="Calibri" w:cs="Arial"/>
          <w:szCs w:val="22"/>
          <w:lang w:eastAsia="en-US"/>
        </w:rPr>
        <w:t>and competition and consumer protection</w:t>
      </w:r>
      <w:r w:rsidR="006F5F4E" w:rsidRPr="00170139">
        <w:rPr>
          <w:rFonts w:eastAsia="Calibri" w:cs="Arial"/>
          <w:szCs w:val="22"/>
          <w:lang w:eastAsia="en-US"/>
        </w:rPr>
        <w:t>,</w:t>
      </w:r>
      <w:r w:rsidRPr="00170139">
        <w:rPr>
          <w:rFonts w:eastAsia="Calibri" w:cs="Arial"/>
          <w:szCs w:val="22"/>
          <w:lang w:eastAsia="en-US"/>
        </w:rPr>
        <w:t xml:space="preserve"> showed rapid </w:t>
      </w:r>
      <w:r w:rsidR="006F5F4E" w:rsidRPr="00170139">
        <w:rPr>
          <w:rFonts w:eastAsia="Calibri" w:cs="Arial"/>
          <w:szCs w:val="22"/>
          <w:lang w:eastAsia="en-US"/>
        </w:rPr>
        <w:t xml:space="preserve">growth in </w:t>
      </w:r>
      <w:r w:rsidRPr="00170139">
        <w:rPr>
          <w:rFonts w:eastAsia="Calibri" w:cs="Arial"/>
          <w:szCs w:val="22"/>
          <w:lang w:eastAsia="en-US"/>
        </w:rPr>
        <w:t xml:space="preserve">demand </w:t>
      </w:r>
      <w:r w:rsidR="006F5F4E" w:rsidRPr="00170139">
        <w:rPr>
          <w:rFonts w:eastAsia="Calibri" w:cs="Arial"/>
          <w:szCs w:val="22"/>
          <w:lang w:eastAsia="en-US"/>
        </w:rPr>
        <w:t>for assistance</w:t>
      </w:r>
      <w:r w:rsidR="00C951B3" w:rsidRPr="00170139">
        <w:rPr>
          <w:rFonts w:eastAsia="Calibri" w:cs="Arial"/>
          <w:szCs w:val="22"/>
          <w:lang w:eastAsia="en-US"/>
        </w:rPr>
        <w:t>.</w:t>
      </w:r>
    </w:p>
    <w:p w:rsidR="00346198" w:rsidRPr="00346198" w:rsidRDefault="00346198" w:rsidP="00346198">
      <w:pPr>
        <w:spacing w:after="160" w:line="259" w:lineRule="auto"/>
        <w:contextualSpacing/>
        <w:jc w:val="left"/>
        <w:rPr>
          <w:rFonts w:eastAsia="Calibri" w:cs="Arial"/>
          <w:szCs w:val="22"/>
          <w:lang w:eastAsia="en-US"/>
        </w:rPr>
      </w:pPr>
    </w:p>
    <w:p w:rsidR="00346198" w:rsidRDefault="00346198" w:rsidP="00346198">
      <w:pPr>
        <w:contextualSpacing/>
        <w:jc w:val="center"/>
        <w:rPr>
          <w:rFonts w:eastAsia="Calibri" w:cs="Arial"/>
          <w:b/>
          <w:szCs w:val="22"/>
          <w:lang w:eastAsia="en-US"/>
        </w:rPr>
      </w:pPr>
      <w:r w:rsidRPr="00170139">
        <w:rPr>
          <w:rFonts w:eastAsia="Calibri" w:cs="Arial"/>
          <w:b/>
          <w:szCs w:val="22"/>
          <w:lang w:eastAsia="en-US"/>
        </w:rPr>
        <w:t>Figure 1</w:t>
      </w:r>
      <w:r w:rsidR="005553A2" w:rsidRPr="00170139">
        <w:rPr>
          <w:rFonts w:eastAsia="Calibri" w:cs="Arial"/>
          <w:b/>
          <w:szCs w:val="22"/>
          <w:lang w:eastAsia="en-US"/>
        </w:rPr>
        <w:t>:</w:t>
      </w:r>
      <w:r w:rsidRPr="00170139">
        <w:rPr>
          <w:rFonts w:eastAsia="Calibri" w:cs="Arial"/>
          <w:b/>
          <w:szCs w:val="22"/>
          <w:lang w:eastAsia="en-US"/>
        </w:rPr>
        <w:t xml:space="preserve"> P</w:t>
      </w:r>
      <w:r w:rsidR="005553A2" w:rsidRPr="00170139">
        <w:rPr>
          <w:rFonts w:eastAsia="Calibri" w:cs="Arial"/>
          <w:b/>
          <w:szCs w:val="22"/>
          <w:lang w:eastAsia="en-US"/>
        </w:rPr>
        <w:t xml:space="preserve">rivate </w:t>
      </w:r>
      <w:r w:rsidRPr="00170139">
        <w:rPr>
          <w:rFonts w:eastAsia="Calibri" w:cs="Arial"/>
          <w:b/>
          <w:szCs w:val="22"/>
          <w:lang w:eastAsia="en-US"/>
        </w:rPr>
        <w:t>S</w:t>
      </w:r>
      <w:r w:rsidR="005553A2" w:rsidRPr="00170139">
        <w:rPr>
          <w:rFonts w:eastAsia="Calibri" w:cs="Arial"/>
          <w:b/>
          <w:szCs w:val="22"/>
          <w:lang w:eastAsia="en-US"/>
        </w:rPr>
        <w:t xml:space="preserve">ector </w:t>
      </w:r>
      <w:r w:rsidRPr="00170139">
        <w:rPr>
          <w:rFonts w:eastAsia="Calibri" w:cs="Arial"/>
          <w:b/>
          <w:szCs w:val="22"/>
          <w:lang w:eastAsia="en-US"/>
        </w:rPr>
        <w:t>D</w:t>
      </w:r>
      <w:r w:rsidR="005553A2" w:rsidRPr="00170139">
        <w:rPr>
          <w:rFonts w:eastAsia="Calibri" w:cs="Arial"/>
          <w:b/>
          <w:szCs w:val="22"/>
          <w:lang w:eastAsia="en-US"/>
        </w:rPr>
        <w:t xml:space="preserve">evelopment </w:t>
      </w:r>
      <w:r w:rsidRPr="00170139">
        <w:rPr>
          <w:rFonts w:eastAsia="Calibri" w:cs="Arial"/>
          <w:b/>
          <w:szCs w:val="22"/>
          <w:lang w:eastAsia="en-US"/>
        </w:rPr>
        <w:t>I</w:t>
      </w:r>
      <w:r w:rsidR="005553A2" w:rsidRPr="00170139">
        <w:rPr>
          <w:rFonts w:eastAsia="Calibri" w:cs="Arial"/>
          <w:b/>
          <w:szCs w:val="22"/>
          <w:lang w:eastAsia="en-US"/>
        </w:rPr>
        <w:t>nitiative</w:t>
      </w:r>
      <w:r w:rsidRPr="00170139">
        <w:rPr>
          <w:rFonts w:eastAsia="Calibri" w:cs="Arial"/>
          <w:b/>
          <w:szCs w:val="22"/>
          <w:lang w:eastAsia="en-US"/>
        </w:rPr>
        <w:t xml:space="preserve"> III</w:t>
      </w:r>
      <w:r w:rsidR="005553A2" w:rsidRPr="00170139">
        <w:rPr>
          <w:rFonts w:eastAsia="Calibri" w:cs="Arial"/>
          <w:b/>
          <w:szCs w:val="22"/>
          <w:lang w:eastAsia="en-US"/>
        </w:rPr>
        <w:t>,</w:t>
      </w:r>
      <w:r w:rsidRPr="00170139">
        <w:rPr>
          <w:rFonts w:eastAsia="Calibri" w:cs="Arial"/>
          <w:b/>
          <w:szCs w:val="22"/>
          <w:lang w:eastAsia="en-US"/>
        </w:rPr>
        <w:t xml:space="preserve"> Outlays by Economy</w:t>
      </w:r>
    </w:p>
    <w:p w:rsidR="007A5780" w:rsidRPr="00170139" w:rsidRDefault="007A5780" w:rsidP="00C951B3">
      <w:pPr>
        <w:contextualSpacing/>
        <w:rPr>
          <w:rFonts w:eastAsia="Calibri" w:cs="Arial"/>
          <w:szCs w:val="22"/>
          <w:lang w:eastAsia="en-US"/>
        </w:rPr>
      </w:pPr>
    </w:p>
    <w:p w:rsidR="00346198" w:rsidRPr="00346198" w:rsidRDefault="00346198" w:rsidP="00346198">
      <w:pPr>
        <w:contextualSpacing/>
        <w:jc w:val="center"/>
        <w:rPr>
          <w:rFonts w:eastAsia="Calibri" w:cs="Arial"/>
          <w:b/>
          <w:szCs w:val="22"/>
          <w:lang w:eastAsia="en-US"/>
        </w:rPr>
      </w:pPr>
      <w:r w:rsidRPr="00346198">
        <w:rPr>
          <w:rFonts w:eastAsia="Calibri" w:cs="Arial"/>
          <w:b/>
          <w:noProof/>
          <w:szCs w:val="22"/>
          <w:lang w:val="en-AU" w:eastAsia="en-AU"/>
        </w:rPr>
        <w:drawing>
          <wp:inline distT="0" distB="0" distL="0" distR="0" wp14:anchorId="5EC400B0" wp14:editId="6CB155A4">
            <wp:extent cx="3930555" cy="2415963"/>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3818" cy="2424115"/>
                    </a:xfrm>
                    <a:prstGeom prst="rect">
                      <a:avLst/>
                    </a:prstGeom>
                    <a:noFill/>
                  </pic:spPr>
                </pic:pic>
              </a:graphicData>
            </a:graphic>
          </wp:inline>
        </w:drawing>
      </w:r>
    </w:p>
    <w:p w:rsidR="00346198" w:rsidRPr="00E96438" w:rsidRDefault="00346198" w:rsidP="00346198">
      <w:pPr>
        <w:ind w:left="6480" w:hanging="5062"/>
        <w:jc w:val="left"/>
        <w:rPr>
          <w:rFonts w:eastAsia="Calibri" w:cs="Arial"/>
          <w:sz w:val="16"/>
          <w:szCs w:val="16"/>
          <w:lang w:eastAsia="en-US"/>
        </w:rPr>
      </w:pPr>
      <w:r w:rsidRPr="00170139">
        <w:rPr>
          <w:rFonts w:eastAsia="Calibri" w:cs="Arial"/>
          <w:sz w:val="16"/>
          <w:szCs w:val="16"/>
          <w:lang w:eastAsia="en-US"/>
        </w:rPr>
        <w:t>Source</w:t>
      </w:r>
      <w:r w:rsidRPr="00E96438">
        <w:rPr>
          <w:rFonts w:eastAsia="Calibri" w:cs="Arial"/>
          <w:sz w:val="16"/>
          <w:szCs w:val="16"/>
          <w:lang w:eastAsia="en-US"/>
        </w:rPr>
        <w:t>: P</w:t>
      </w:r>
      <w:r w:rsidR="00C94D02" w:rsidRPr="00E96438">
        <w:rPr>
          <w:rFonts w:eastAsia="Calibri" w:cs="Arial"/>
          <w:sz w:val="16"/>
          <w:szCs w:val="16"/>
          <w:lang w:eastAsia="en-US"/>
        </w:rPr>
        <w:t xml:space="preserve">rivate </w:t>
      </w:r>
      <w:r w:rsidRPr="00E96438">
        <w:rPr>
          <w:rFonts w:eastAsia="Calibri" w:cs="Arial"/>
          <w:sz w:val="16"/>
          <w:szCs w:val="16"/>
          <w:lang w:eastAsia="en-US"/>
        </w:rPr>
        <w:t>S</w:t>
      </w:r>
      <w:r w:rsidR="00C94D02" w:rsidRPr="00E96438">
        <w:rPr>
          <w:rFonts w:eastAsia="Calibri" w:cs="Arial"/>
          <w:sz w:val="16"/>
          <w:szCs w:val="16"/>
          <w:lang w:eastAsia="en-US"/>
        </w:rPr>
        <w:t xml:space="preserve">ector </w:t>
      </w:r>
      <w:r w:rsidRPr="00E96438">
        <w:rPr>
          <w:rFonts w:eastAsia="Calibri" w:cs="Arial"/>
          <w:sz w:val="16"/>
          <w:szCs w:val="16"/>
          <w:lang w:eastAsia="en-US"/>
        </w:rPr>
        <w:t>D</w:t>
      </w:r>
      <w:r w:rsidR="00C94D02" w:rsidRPr="00E96438">
        <w:rPr>
          <w:rFonts w:eastAsia="Calibri" w:cs="Arial"/>
          <w:sz w:val="16"/>
          <w:szCs w:val="16"/>
          <w:lang w:eastAsia="en-US"/>
        </w:rPr>
        <w:t xml:space="preserve">evelopment </w:t>
      </w:r>
      <w:r w:rsidRPr="00E96438">
        <w:rPr>
          <w:rFonts w:eastAsia="Calibri" w:cs="Arial"/>
          <w:sz w:val="16"/>
          <w:szCs w:val="16"/>
          <w:lang w:eastAsia="en-US"/>
        </w:rPr>
        <w:t>I</w:t>
      </w:r>
      <w:r w:rsidR="00B662C0" w:rsidRPr="00E96438">
        <w:rPr>
          <w:rFonts w:eastAsia="Calibri" w:cs="Arial"/>
          <w:sz w:val="16"/>
          <w:szCs w:val="16"/>
          <w:lang w:eastAsia="en-US"/>
        </w:rPr>
        <w:t>nitiative</w:t>
      </w:r>
      <w:r w:rsidRPr="00E96438">
        <w:rPr>
          <w:rFonts w:eastAsia="Calibri" w:cs="Arial"/>
          <w:sz w:val="16"/>
          <w:szCs w:val="16"/>
          <w:lang w:eastAsia="en-US"/>
        </w:rPr>
        <w:t xml:space="preserve"> estimated data</w:t>
      </w:r>
    </w:p>
    <w:p w:rsidR="007A5780" w:rsidRPr="00346198" w:rsidRDefault="007A5780" w:rsidP="00C951B3">
      <w:pPr>
        <w:ind w:left="6480" w:hanging="6480"/>
        <w:rPr>
          <w:rFonts w:eastAsia="Calibri" w:cs="Arial"/>
          <w:szCs w:val="22"/>
          <w:lang w:eastAsia="en-US"/>
        </w:rPr>
      </w:pPr>
    </w:p>
    <w:p w:rsidR="00346198" w:rsidRDefault="00346198" w:rsidP="00346198">
      <w:pPr>
        <w:jc w:val="center"/>
        <w:rPr>
          <w:rFonts w:eastAsia="Calibri" w:cs="Arial"/>
          <w:b/>
          <w:szCs w:val="22"/>
          <w:lang w:eastAsia="en-US"/>
        </w:rPr>
      </w:pPr>
      <w:r w:rsidRPr="00170139">
        <w:rPr>
          <w:rFonts w:eastAsia="Calibri" w:cs="Arial"/>
          <w:b/>
          <w:szCs w:val="22"/>
          <w:lang w:eastAsia="en-US"/>
        </w:rPr>
        <w:t>Figure 2</w:t>
      </w:r>
      <w:r w:rsidR="005553A2" w:rsidRPr="00170139">
        <w:rPr>
          <w:rFonts w:eastAsia="Calibri" w:cs="Arial"/>
          <w:b/>
          <w:szCs w:val="22"/>
          <w:lang w:eastAsia="en-US"/>
        </w:rPr>
        <w:t>:</w:t>
      </w:r>
      <w:r w:rsidRPr="00170139">
        <w:rPr>
          <w:rFonts w:eastAsia="Calibri" w:cs="Arial"/>
          <w:b/>
          <w:szCs w:val="22"/>
          <w:lang w:eastAsia="en-US"/>
        </w:rPr>
        <w:t xml:space="preserve"> P</w:t>
      </w:r>
      <w:r w:rsidR="005553A2" w:rsidRPr="00170139">
        <w:rPr>
          <w:rFonts w:eastAsia="Calibri" w:cs="Arial"/>
          <w:b/>
          <w:szCs w:val="22"/>
          <w:lang w:eastAsia="en-US"/>
        </w:rPr>
        <w:t xml:space="preserve">rivate </w:t>
      </w:r>
      <w:r w:rsidRPr="00170139">
        <w:rPr>
          <w:rFonts w:eastAsia="Calibri" w:cs="Arial"/>
          <w:b/>
          <w:szCs w:val="22"/>
          <w:lang w:eastAsia="en-US"/>
        </w:rPr>
        <w:t>S</w:t>
      </w:r>
      <w:r w:rsidR="005553A2" w:rsidRPr="00170139">
        <w:rPr>
          <w:rFonts w:eastAsia="Calibri" w:cs="Arial"/>
          <w:b/>
          <w:szCs w:val="22"/>
          <w:lang w:eastAsia="en-US"/>
        </w:rPr>
        <w:t xml:space="preserve">ector </w:t>
      </w:r>
      <w:r w:rsidRPr="00170139">
        <w:rPr>
          <w:rFonts w:eastAsia="Calibri" w:cs="Arial"/>
          <w:b/>
          <w:szCs w:val="22"/>
          <w:lang w:eastAsia="en-US"/>
        </w:rPr>
        <w:t>D</w:t>
      </w:r>
      <w:r w:rsidR="005553A2" w:rsidRPr="00170139">
        <w:rPr>
          <w:rFonts w:eastAsia="Calibri" w:cs="Arial"/>
          <w:b/>
          <w:szCs w:val="22"/>
          <w:lang w:eastAsia="en-US"/>
        </w:rPr>
        <w:t xml:space="preserve">evelopment </w:t>
      </w:r>
      <w:r w:rsidRPr="00170139">
        <w:rPr>
          <w:rFonts w:eastAsia="Calibri" w:cs="Arial"/>
          <w:b/>
          <w:szCs w:val="22"/>
          <w:lang w:eastAsia="en-US"/>
        </w:rPr>
        <w:t>I</w:t>
      </w:r>
      <w:r w:rsidR="005553A2" w:rsidRPr="00170139">
        <w:rPr>
          <w:rFonts w:eastAsia="Calibri" w:cs="Arial"/>
          <w:b/>
          <w:szCs w:val="22"/>
          <w:lang w:eastAsia="en-US"/>
        </w:rPr>
        <w:t>nitiative</w:t>
      </w:r>
      <w:r w:rsidRPr="00170139">
        <w:rPr>
          <w:rFonts w:eastAsia="Calibri" w:cs="Arial"/>
          <w:b/>
          <w:szCs w:val="22"/>
          <w:lang w:eastAsia="en-US"/>
        </w:rPr>
        <w:t xml:space="preserve"> III</w:t>
      </w:r>
      <w:r w:rsidR="005553A2" w:rsidRPr="00170139">
        <w:rPr>
          <w:rFonts w:eastAsia="Calibri" w:cs="Arial"/>
          <w:b/>
          <w:szCs w:val="22"/>
          <w:lang w:eastAsia="en-US"/>
        </w:rPr>
        <w:t>,</w:t>
      </w:r>
      <w:r w:rsidRPr="00170139">
        <w:rPr>
          <w:rFonts w:eastAsia="Calibri" w:cs="Arial"/>
          <w:b/>
          <w:szCs w:val="22"/>
          <w:lang w:eastAsia="en-US"/>
        </w:rPr>
        <w:t xml:space="preserve"> Outlays by Focus Area</w:t>
      </w:r>
    </w:p>
    <w:p w:rsidR="007A5780" w:rsidRPr="00170139" w:rsidRDefault="007A5780" w:rsidP="00C951B3">
      <w:pPr>
        <w:rPr>
          <w:rFonts w:eastAsia="Calibri" w:cs="Arial"/>
          <w:szCs w:val="22"/>
          <w:lang w:eastAsia="en-US"/>
        </w:rPr>
      </w:pPr>
    </w:p>
    <w:p w:rsidR="00346198" w:rsidRPr="00346198" w:rsidRDefault="00346198" w:rsidP="00346198">
      <w:pPr>
        <w:ind w:left="6480" w:hanging="6480"/>
        <w:jc w:val="center"/>
        <w:rPr>
          <w:rFonts w:eastAsia="Calibri" w:cs="Arial"/>
          <w:b/>
          <w:szCs w:val="22"/>
          <w:lang w:eastAsia="en-US"/>
        </w:rPr>
      </w:pPr>
      <w:r w:rsidRPr="00346198">
        <w:rPr>
          <w:rFonts w:eastAsia="Calibri" w:cs="Arial"/>
          <w:b/>
          <w:noProof/>
          <w:szCs w:val="22"/>
          <w:lang w:val="en-AU" w:eastAsia="en-AU"/>
        </w:rPr>
        <w:drawing>
          <wp:inline distT="0" distB="0" distL="0" distR="0" wp14:anchorId="6B5EE3F0" wp14:editId="4CBC784C">
            <wp:extent cx="3889612" cy="2336508"/>
            <wp:effectExtent l="0" t="0" r="0"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6848" cy="2340855"/>
                    </a:xfrm>
                    <a:prstGeom prst="rect">
                      <a:avLst/>
                    </a:prstGeom>
                    <a:noFill/>
                  </pic:spPr>
                </pic:pic>
              </a:graphicData>
            </a:graphic>
          </wp:inline>
        </w:drawing>
      </w:r>
    </w:p>
    <w:p w:rsidR="00346198" w:rsidRPr="00346198" w:rsidRDefault="00346198" w:rsidP="00346198">
      <w:pPr>
        <w:ind w:left="6480" w:hanging="5062"/>
        <w:jc w:val="left"/>
        <w:rPr>
          <w:rFonts w:eastAsia="Calibri" w:cs="Arial"/>
          <w:sz w:val="16"/>
          <w:szCs w:val="16"/>
          <w:lang w:eastAsia="en-US"/>
        </w:rPr>
      </w:pPr>
      <w:r w:rsidRPr="00170139">
        <w:rPr>
          <w:rFonts w:eastAsia="Calibri" w:cs="Arial"/>
          <w:sz w:val="16"/>
          <w:szCs w:val="16"/>
          <w:lang w:eastAsia="en-US"/>
        </w:rPr>
        <w:t>Source</w:t>
      </w:r>
      <w:r w:rsidRPr="00346198">
        <w:rPr>
          <w:rFonts w:eastAsia="Calibri" w:cs="Arial"/>
          <w:sz w:val="16"/>
          <w:szCs w:val="16"/>
          <w:lang w:eastAsia="en-US"/>
        </w:rPr>
        <w:t xml:space="preserve">: </w:t>
      </w:r>
      <w:r w:rsidR="00B662C0" w:rsidRPr="00346198">
        <w:rPr>
          <w:rFonts w:eastAsia="Calibri" w:cs="Arial"/>
          <w:sz w:val="16"/>
          <w:szCs w:val="16"/>
          <w:lang w:eastAsia="en-US"/>
        </w:rPr>
        <w:t>P</w:t>
      </w:r>
      <w:r w:rsidR="00B662C0">
        <w:rPr>
          <w:rFonts w:eastAsia="Calibri" w:cs="Arial"/>
          <w:sz w:val="16"/>
          <w:szCs w:val="16"/>
          <w:lang w:eastAsia="en-US"/>
        </w:rPr>
        <w:t xml:space="preserve">rivate </w:t>
      </w:r>
      <w:r w:rsidR="00B662C0" w:rsidRPr="00346198">
        <w:rPr>
          <w:rFonts w:eastAsia="Calibri" w:cs="Arial"/>
          <w:sz w:val="16"/>
          <w:szCs w:val="16"/>
          <w:lang w:eastAsia="en-US"/>
        </w:rPr>
        <w:t>S</w:t>
      </w:r>
      <w:r w:rsidR="00B662C0">
        <w:rPr>
          <w:rFonts w:eastAsia="Calibri" w:cs="Arial"/>
          <w:sz w:val="16"/>
          <w:szCs w:val="16"/>
          <w:lang w:eastAsia="en-US"/>
        </w:rPr>
        <w:t xml:space="preserve">ector </w:t>
      </w:r>
      <w:r w:rsidR="00B662C0" w:rsidRPr="00346198">
        <w:rPr>
          <w:rFonts w:eastAsia="Calibri" w:cs="Arial"/>
          <w:sz w:val="16"/>
          <w:szCs w:val="16"/>
          <w:lang w:eastAsia="en-US"/>
        </w:rPr>
        <w:t>D</w:t>
      </w:r>
      <w:r w:rsidR="00B662C0">
        <w:rPr>
          <w:rFonts w:eastAsia="Calibri" w:cs="Arial"/>
          <w:sz w:val="16"/>
          <w:szCs w:val="16"/>
          <w:lang w:eastAsia="en-US"/>
        </w:rPr>
        <w:t xml:space="preserve">evelopment </w:t>
      </w:r>
      <w:r w:rsidR="00B662C0" w:rsidRPr="00346198">
        <w:rPr>
          <w:rFonts w:eastAsia="Calibri" w:cs="Arial"/>
          <w:sz w:val="16"/>
          <w:szCs w:val="16"/>
          <w:lang w:eastAsia="en-US"/>
        </w:rPr>
        <w:t>I</w:t>
      </w:r>
      <w:r w:rsidR="00B662C0">
        <w:rPr>
          <w:rFonts w:eastAsia="Calibri" w:cs="Arial"/>
          <w:sz w:val="16"/>
          <w:szCs w:val="16"/>
          <w:lang w:eastAsia="en-US"/>
        </w:rPr>
        <w:t>nitiative</w:t>
      </w:r>
      <w:r w:rsidRPr="00346198">
        <w:rPr>
          <w:rFonts w:eastAsia="Calibri" w:cs="Arial"/>
          <w:sz w:val="16"/>
          <w:szCs w:val="16"/>
          <w:lang w:eastAsia="en-US"/>
        </w:rPr>
        <w:t xml:space="preserve"> estimated data</w:t>
      </w:r>
    </w:p>
    <w:p w:rsidR="00346198" w:rsidRDefault="00346198" w:rsidP="00DF2784">
      <w:pPr>
        <w:rPr>
          <w:rFonts w:eastAsia="Calibri" w:cs="Arial"/>
          <w:szCs w:val="22"/>
          <w:lang w:eastAsia="en-US"/>
        </w:rPr>
      </w:pPr>
    </w:p>
    <w:p w:rsidR="00EE7446" w:rsidRPr="00170139" w:rsidRDefault="00C018AB" w:rsidP="00170139">
      <w:pPr>
        <w:pStyle w:val="ListParagraph"/>
        <w:numPr>
          <w:ilvl w:val="0"/>
          <w:numId w:val="10"/>
        </w:numPr>
        <w:spacing w:after="0" w:line="240" w:lineRule="auto"/>
        <w:ind w:left="0" w:firstLine="0"/>
        <w:jc w:val="both"/>
      </w:pPr>
      <w:r w:rsidRPr="00170139">
        <w:t>M</w:t>
      </w:r>
      <w:r w:rsidR="00031C68" w:rsidRPr="00170139">
        <w:t>ajor development</w:t>
      </w:r>
      <w:r w:rsidR="00D41E9C" w:rsidRPr="00170139">
        <w:t>s</w:t>
      </w:r>
      <w:r w:rsidR="00031C68" w:rsidRPr="00170139">
        <w:t xml:space="preserve"> in each of </w:t>
      </w:r>
      <w:r w:rsidRPr="00170139">
        <w:t xml:space="preserve">PSDI’s five </w:t>
      </w:r>
      <w:r w:rsidR="00031C68" w:rsidRPr="00170139">
        <w:t>focus area</w:t>
      </w:r>
      <w:r w:rsidR="00A33C20" w:rsidRPr="00170139">
        <w:t>s</w:t>
      </w:r>
      <w:r w:rsidRPr="00170139">
        <w:t xml:space="preserve"> help to explain the shift in distribution of assistance</w:t>
      </w:r>
      <w:r w:rsidR="00031C68" w:rsidRPr="00170139">
        <w:t>.</w:t>
      </w:r>
    </w:p>
    <w:p w:rsidR="00346198" w:rsidRPr="00170139" w:rsidRDefault="00346198" w:rsidP="00DF2784">
      <w:pPr>
        <w:rPr>
          <w:rFonts w:eastAsia="Calibri" w:cs="Arial"/>
          <w:szCs w:val="22"/>
          <w:lang w:eastAsia="en-US"/>
        </w:rPr>
      </w:pPr>
    </w:p>
    <w:p w:rsidR="00346198" w:rsidRPr="00170139" w:rsidRDefault="008C7B5E" w:rsidP="00170139">
      <w:pPr>
        <w:keepNext/>
        <w:spacing w:after="160"/>
        <w:outlineLvl w:val="1"/>
        <w:rPr>
          <w:rFonts w:eastAsia="Times New Roman" w:cs="Arial"/>
          <w:b/>
          <w:bCs/>
          <w:iCs/>
          <w:sz w:val="24"/>
          <w:lang w:eastAsia="en-US"/>
        </w:rPr>
      </w:pPr>
      <w:bookmarkStart w:id="7" w:name="_Toc494367930"/>
      <w:bookmarkStart w:id="8" w:name="_Toc494378774"/>
      <w:bookmarkStart w:id="9" w:name="_Toc494378856"/>
      <w:bookmarkStart w:id="10" w:name="_Toc494271704"/>
      <w:r w:rsidRPr="00170139">
        <w:rPr>
          <w:rFonts w:eastAsia="Times New Roman" w:cs="Arial"/>
          <w:b/>
          <w:bCs/>
          <w:iCs/>
          <w:sz w:val="24"/>
          <w:lang w:eastAsia="en-US"/>
        </w:rPr>
        <w:lastRenderedPageBreak/>
        <w:t>A.</w:t>
      </w:r>
      <w:r w:rsidR="00386F3B" w:rsidRPr="00170139">
        <w:rPr>
          <w:rFonts w:eastAsia="Times New Roman" w:cs="Arial"/>
          <w:b/>
          <w:bCs/>
          <w:iCs/>
          <w:sz w:val="24"/>
          <w:lang w:eastAsia="en-US"/>
        </w:rPr>
        <w:tab/>
      </w:r>
      <w:r w:rsidR="00346198" w:rsidRPr="00170139">
        <w:rPr>
          <w:rFonts w:eastAsia="Times New Roman" w:cs="Arial"/>
          <w:b/>
          <w:bCs/>
          <w:iCs/>
          <w:sz w:val="24"/>
          <w:lang w:eastAsia="en-US"/>
        </w:rPr>
        <w:t>Financing Growth</w:t>
      </w:r>
      <w:bookmarkEnd w:id="7"/>
      <w:bookmarkEnd w:id="8"/>
      <w:bookmarkEnd w:id="9"/>
      <w:bookmarkEnd w:id="10"/>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Within the current focus on financial intermediation in the Pacific, financial markets are generally grossly underdeveloped and private sector access to finance is very limited. These limitations are most severely felt by women </w:t>
      </w:r>
      <w:r w:rsidR="00C018AB" w:rsidRPr="00170139">
        <w:rPr>
          <w:rFonts w:eastAsia="Calibri" w:cs="Arial"/>
          <w:szCs w:val="22"/>
          <w:lang w:eastAsia="en-US"/>
        </w:rPr>
        <w:t>and</w:t>
      </w:r>
      <w:r w:rsidRPr="00170139">
        <w:rPr>
          <w:rFonts w:eastAsia="Calibri" w:cs="Arial"/>
          <w:szCs w:val="22"/>
          <w:lang w:eastAsia="en-US"/>
        </w:rPr>
        <w:t xml:space="preserve"> the private sector in rural areas.</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PSDI</w:t>
      </w:r>
      <w:r w:rsidR="00C018AB" w:rsidRPr="00170139">
        <w:rPr>
          <w:rFonts w:eastAsia="Calibri" w:cs="Arial"/>
          <w:szCs w:val="22"/>
          <w:lang w:eastAsia="en-US"/>
        </w:rPr>
        <w:t>’s</w:t>
      </w:r>
      <w:r w:rsidRPr="00170139">
        <w:rPr>
          <w:rFonts w:eastAsia="Calibri" w:cs="Arial"/>
          <w:szCs w:val="22"/>
          <w:lang w:eastAsia="en-US"/>
        </w:rPr>
        <w:t xml:space="preserve"> focus has appropriately been on products</w:t>
      </w:r>
      <w:r w:rsidR="00C018AB" w:rsidRPr="00170139">
        <w:rPr>
          <w:rFonts w:eastAsia="Calibri" w:cs="Arial"/>
          <w:szCs w:val="22"/>
          <w:lang w:eastAsia="en-US"/>
        </w:rPr>
        <w:t>,</w:t>
      </w:r>
      <w:r w:rsidRPr="00170139">
        <w:rPr>
          <w:rFonts w:eastAsia="Calibri" w:cs="Arial"/>
          <w:szCs w:val="22"/>
          <w:lang w:eastAsia="en-US"/>
        </w:rPr>
        <w:t xml:space="preserve"> such as secured transactions</w:t>
      </w:r>
      <w:r w:rsidR="00C018AB" w:rsidRPr="00170139">
        <w:rPr>
          <w:rFonts w:eastAsia="Calibri" w:cs="Arial"/>
          <w:szCs w:val="22"/>
          <w:lang w:eastAsia="en-US"/>
        </w:rPr>
        <w:t>,</w:t>
      </w:r>
      <w:r w:rsidRPr="00170139">
        <w:rPr>
          <w:rFonts w:eastAsia="Calibri" w:cs="Arial"/>
          <w:szCs w:val="22"/>
          <w:lang w:eastAsia="en-US"/>
        </w:rPr>
        <w:t xml:space="preserve"> suited to the </w:t>
      </w:r>
      <w:r w:rsidR="00C018AB" w:rsidRPr="00170139">
        <w:rPr>
          <w:rFonts w:eastAsia="Calibri" w:cs="Arial"/>
          <w:szCs w:val="22"/>
          <w:lang w:eastAsia="en-US"/>
        </w:rPr>
        <w:t xml:space="preserve">economic </w:t>
      </w:r>
      <w:r w:rsidRPr="00170139">
        <w:rPr>
          <w:rFonts w:eastAsia="Calibri" w:cs="Arial"/>
          <w:szCs w:val="22"/>
          <w:lang w:eastAsia="en-US"/>
        </w:rPr>
        <w:t xml:space="preserve">realities of the Pacific. With the assistance of PSDI, secured transactions and registry reforms have been successfully implemented in the Marshall Islands, </w:t>
      </w:r>
      <w:r w:rsidR="00C018AB" w:rsidRPr="00170139">
        <w:rPr>
          <w:rFonts w:eastAsia="Calibri" w:cs="Arial"/>
          <w:szCs w:val="22"/>
          <w:lang w:eastAsia="en-US"/>
        </w:rPr>
        <w:t xml:space="preserve">the </w:t>
      </w:r>
      <w:r w:rsidRPr="00170139">
        <w:rPr>
          <w:rFonts w:eastAsia="Calibri" w:cs="Arial"/>
          <w:szCs w:val="22"/>
          <w:lang w:eastAsia="en-US"/>
        </w:rPr>
        <w:t>Federated States of Micronesia</w:t>
      </w:r>
      <w:r w:rsidR="0042365A" w:rsidRPr="00170139">
        <w:rPr>
          <w:rFonts w:eastAsia="Calibri" w:cs="Arial"/>
          <w:szCs w:val="22"/>
          <w:lang w:eastAsia="en-US"/>
        </w:rPr>
        <w:t xml:space="preserve"> (FSM)</w:t>
      </w:r>
      <w:r w:rsidRPr="00170139">
        <w:rPr>
          <w:rFonts w:eastAsia="Calibri" w:cs="Arial"/>
          <w:szCs w:val="22"/>
          <w:lang w:eastAsia="en-US"/>
        </w:rPr>
        <w:t xml:space="preserve">, Palau, </w:t>
      </w:r>
      <w:r w:rsidR="00742E28" w:rsidRPr="00170139">
        <w:rPr>
          <w:rFonts w:eastAsia="Calibri" w:cs="Arial"/>
          <w:szCs w:val="22"/>
          <w:lang w:eastAsia="en-US"/>
        </w:rPr>
        <w:t>PNG</w:t>
      </w:r>
      <w:r w:rsidRPr="00170139">
        <w:rPr>
          <w:rFonts w:eastAsia="Calibri" w:cs="Arial"/>
          <w:szCs w:val="22"/>
          <w:lang w:eastAsia="en-US"/>
        </w:rPr>
        <w:t>, Samoa, Solomon Islands, Tonga</w:t>
      </w:r>
      <w:r w:rsidR="0067638D">
        <w:rPr>
          <w:rFonts w:eastAsia="Calibri" w:cs="Arial"/>
          <w:szCs w:val="22"/>
          <w:lang w:eastAsia="en-US"/>
        </w:rPr>
        <w:t>, and Vanuatu</w:t>
      </w:r>
      <w:r w:rsidRPr="00170139">
        <w:rPr>
          <w:rFonts w:eastAsia="Calibri" w:cs="Arial"/>
          <w:szCs w:val="22"/>
          <w:lang w:eastAsia="en-US"/>
        </w:rPr>
        <w:t xml:space="preserve">. With the total number of security contracts registered, </w:t>
      </w:r>
      <w:r w:rsidR="00C018AB" w:rsidRPr="00170139">
        <w:rPr>
          <w:rFonts w:eastAsia="Calibri" w:cs="Arial"/>
          <w:szCs w:val="22"/>
          <w:lang w:eastAsia="en-US"/>
        </w:rPr>
        <w:t xml:space="preserve">some </w:t>
      </w:r>
      <w:r w:rsidRPr="00170139">
        <w:rPr>
          <w:rFonts w:eastAsia="Calibri" w:cs="Arial"/>
          <w:szCs w:val="22"/>
          <w:lang w:eastAsia="en-US"/>
        </w:rPr>
        <w:t>37,000 loans have resulted from the implementation of the secured transactions framework. Secured transactions are now being extended to meet the financing needs of the rural sector and</w:t>
      </w:r>
      <w:r w:rsidR="00C018AB" w:rsidRPr="00170139">
        <w:rPr>
          <w:rFonts w:eastAsia="Calibri" w:cs="Arial"/>
          <w:szCs w:val="22"/>
          <w:lang w:eastAsia="en-US"/>
        </w:rPr>
        <w:t xml:space="preserve"> are,</w:t>
      </w:r>
      <w:r w:rsidRPr="00170139">
        <w:rPr>
          <w:rFonts w:eastAsia="Calibri" w:cs="Arial"/>
          <w:szCs w:val="22"/>
          <w:lang w:eastAsia="en-US"/>
        </w:rPr>
        <w:t xml:space="preserve"> in particular</w:t>
      </w:r>
      <w:r w:rsidR="00C018AB" w:rsidRPr="00170139">
        <w:rPr>
          <w:rFonts w:eastAsia="Calibri" w:cs="Arial"/>
          <w:szCs w:val="22"/>
          <w:lang w:eastAsia="en-US"/>
        </w:rPr>
        <w:t>,</w:t>
      </w:r>
      <w:r w:rsidRPr="00170139">
        <w:rPr>
          <w:rFonts w:eastAsia="Calibri" w:cs="Arial"/>
          <w:szCs w:val="22"/>
          <w:lang w:eastAsia="en-US"/>
        </w:rPr>
        <w:t xml:space="preserve"> focused on the needs of agriculture. For example, the PSDI team is extending its </w:t>
      </w:r>
      <w:r w:rsidR="00C018AB" w:rsidRPr="00170139">
        <w:rPr>
          <w:rFonts w:eastAsia="Calibri" w:cs="Arial"/>
          <w:szCs w:val="22"/>
          <w:lang w:eastAsia="en-US"/>
        </w:rPr>
        <w:t xml:space="preserve">pilot on </w:t>
      </w:r>
      <w:r w:rsidRPr="00170139">
        <w:rPr>
          <w:rFonts w:eastAsia="Calibri" w:cs="Arial"/>
          <w:szCs w:val="22"/>
          <w:lang w:eastAsia="en-US"/>
        </w:rPr>
        <w:t>vanilla financing in Tonga and is planning to extend those secured transactions approaches to another crop during PSDI III. In a welcomed step</w:t>
      </w:r>
      <w:r w:rsidR="00C018AB" w:rsidRPr="00170139">
        <w:rPr>
          <w:rFonts w:eastAsia="Calibri" w:cs="Arial"/>
          <w:szCs w:val="22"/>
          <w:lang w:eastAsia="en-US"/>
        </w:rPr>
        <w:t>,</w:t>
      </w:r>
      <w:r w:rsidRPr="00170139">
        <w:rPr>
          <w:rFonts w:eastAsia="Calibri" w:cs="Arial"/>
          <w:szCs w:val="22"/>
          <w:lang w:eastAsia="en-US"/>
        </w:rPr>
        <w:t xml:space="preserve"> the </w:t>
      </w:r>
      <w:r w:rsidR="00C018AB" w:rsidRPr="00170139">
        <w:rPr>
          <w:rFonts w:eastAsia="Calibri" w:cs="Arial"/>
          <w:szCs w:val="22"/>
          <w:lang w:eastAsia="en-US"/>
        </w:rPr>
        <w:t xml:space="preserve">Government of </w:t>
      </w:r>
      <w:r w:rsidRPr="00170139">
        <w:rPr>
          <w:rFonts w:eastAsia="Calibri" w:cs="Arial"/>
          <w:szCs w:val="22"/>
          <w:lang w:eastAsia="en-US"/>
        </w:rPr>
        <w:t>Fiji has indicated that it will be introducing a secured transaction bill to the Parliament in 2018</w:t>
      </w:r>
      <w:r w:rsidR="00C018AB" w:rsidRPr="00170139">
        <w:rPr>
          <w:rFonts w:eastAsia="Calibri" w:cs="Arial"/>
          <w:szCs w:val="22"/>
          <w:lang w:eastAsia="en-US"/>
        </w:rPr>
        <w:t>,</w:t>
      </w:r>
      <w:r w:rsidRPr="00170139">
        <w:rPr>
          <w:rFonts w:eastAsia="Calibri" w:cs="Arial"/>
          <w:szCs w:val="22"/>
          <w:lang w:eastAsia="en-US"/>
        </w:rPr>
        <w:t xml:space="preserve"> so PSDI </w:t>
      </w:r>
      <w:r w:rsidR="00C018AB" w:rsidRPr="00170139">
        <w:rPr>
          <w:rFonts w:eastAsia="Calibri" w:cs="Arial"/>
          <w:szCs w:val="22"/>
          <w:lang w:eastAsia="en-US"/>
        </w:rPr>
        <w:t xml:space="preserve">can </w:t>
      </w:r>
      <w:r w:rsidRPr="00170139">
        <w:rPr>
          <w:rFonts w:eastAsia="Calibri" w:cs="Arial"/>
          <w:szCs w:val="22"/>
          <w:lang w:eastAsia="en-US"/>
        </w:rPr>
        <w:t xml:space="preserve">start working with lenders to identify and develop new financing options focused on agriculture applications. </w:t>
      </w:r>
      <w:r w:rsidR="00C018AB" w:rsidRPr="00170139">
        <w:rPr>
          <w:rFonts w:eastAsia="Calibri" w:cs="Arial"/>
          <w:szCs w:val="22"/>
          <w:lang w:eastAsia="en-US"/>
        </w:rPr>
        <w:t>The s</w:t>
      </w:r>
      <w:r w:rsidRPr="00170139">
        <w:rPr>
          <w:rFonts w:eastAsia="Calibri" w:cs="Arial"/>
          <w:szCs w:val="22"/>
          <w:lang w:eastAsia="en-US"/>
        </w:rPr>
        <w:t xml:space="preserve">ecured transactions </w:t>
      </w:r>
      <w:r w:rsidR="00C018AB" w:rsidRPr="00170139">
        <w:rPr>
          <w:rFonts w:eastAsia="Calibri" w:cs="Arial"/>
          <w:szCs w:val="22"/>
          <w:lang w:eastAsia="en-US"/>
        </w:rPr>
        <w:t xml:space="preserve">framework </w:t>
      </w:r>
      <w:r w:rsidRPr="00170139">
        <w:rPr>
          <w:rFonts w:eastAsia="Calibri" w:cs="Arial"/>
          <w:szCs w:val="22"/>
          <w:lang w:eastAsia="en-US"/>
        </w:rPr>
        <w:t>is a very valuable program and should be extended as rapidly as possible during the remainder of PSDI III period</w:t>
      </w:r>
      <w:r w:rsidR="00C018AB" w:rsidRPr="00170139">
        <w:rPr>
          <w:rFonts w:eastAsia="Calibri" w:cs="Arial"/>
          <w:szCs w:val="22"/>
          <w:lang w:eastAsia="en-US"/>
        </w:rPr>
        <w:t>,</w:t>
      </w:r>
      <w:r w:rsidRPr="00170139">
        <w:rPr>
          <w:rFonts w:eastAsia="Calibri" w:cs="Arial"/>
          <w:szCs w:val="22"/>
          <w:lang w:eastAsia="en-US"/>
        </w:rPr>
        <w:t xml:space="preserve"> with </w:t>
      </w:r>
      <w:r w:rsidR="00E841F8" w:rsidRPr="00170139">
        <w:rPr>
          <w:rFonts w:eastAsia="Calibri" w:cs="Arial"/>
          <w:szCs w:val="22"/>
          <w:lang w:eastAsia="en-US"/>
        </w:rPr>
        <w:t xml:space="preserve">an aim to have </w:t>
      </w:r>
      <w:r w:rsidRPr="00170139">
        <w:rPr>
          <w:rFonts w:eastAsia="Calibri" w:cs="Arial"/>
          <w:szCs w:val="22"/>
          <w:lang w:eastAsia="en-US"/>
        </w:rPr>
        <w:t xml:space="preserve">all the larger </w:t>
      </w:r>
      <w:r w:rsidR="00E841F8" w:rsidRPr="00170139">
        <w:rPr>
          <w:rFonts w:eastAsia="Calibri" w:cs="Arial"/>
          <w:szCs w:val="22"/>
          <w:lang w:eastAsia="en-US"/>
        </w:rPr>
        <w:t xml:space="preserve">Pacific island </w:t>
      </w:r>
      <w:r w:rsidRPr="00170139">
        <w:rPr>
          <w:rFonts w:eastAsia="Calibri" w:cs="Arial"/>
          <w:szCs w:val="22"/>
          <w:lang w:eastAsia="en-US"/>
        </w:rPr>
        <w:t xml:space="preserve">economies adopting these reforms </w:t>
      </w:r>
      <w:r w:rsidR="00E841F8" w:rsidRPr="00170139">
        <w:rPr>
          <w:rFonts w:eastAsia="Calibri" w:cs="Arial"/>
          <w:szCs w:val="22"/>
          <w:lang w:eastAsia="en-US"/>
        </w:rPr>
        <w:t>prior to the end of PSDI III</w:t>
      </w:r>
      <w:r w:rsidRPr="00170139">
        <w:rPr>
          <w:rFonts w:eastAsia="Calibri" w:cs="Arial"/>
          <w:szCs w:val="22"/>
          <w:lang w:eastAsia="en-US"/>
        </w:rPr>
        <w:t>.</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The development of government-owned banks is also a useful focus in achieving increased private sector access to finance</w:t>
      </w:r>
      <w:r w:rsidR="00E841F8" w:rsidRPr="00170139">
        <w:rPr>
          <w:rFonts w:eastAsia="Calibri" w:cs="Arial"/>
          <w:szCs w:val="22"/>
          <w:lang w:eastAsia="en-US"/>
        </w:rPr>
        <w:t xml:space="preserve"> because</w:t>
      </w:r>
      <w:r w:rsidRPr="00170139">
        <w:rPr>
          <w:rFonts w:eastAsia="Calibri" w:cs="Arial"/>
          <w:szCs w:val="22"/>
          <w:lang w:eastAsia="en-US"/>
        </w:rPr>
        <w:t xml:space="preserve"> a number of </w:t>
      </w:r>
      <w:r w:rsidR="00E841F8" w:rsidRPr="00170139">
        <w:rPr>
          <w:rFonts w:eastAsia="Calibri" w:cs="Arial"/>
          <w:szCs w:val="22"/>
          <w:lang w:eastAsia="en-US"/>
        </w:rPr>
        <w:t>Pacific DMCs</w:t>
      </w:r>
      <w:r w:rsidRPr="00170139">
        <w:rPr>
          <w:rFonts w:eastAsia="Calibri" w:cs="Arial"/>
          <w:szCs w:val="22"/>
          <w:lang w:eastAsia="en-US"/>
        </w:rPr>
        <w:t xml:space="preserve"> have public development banks. These development banks could become more commercially oriented in their lending programs</w:t>
      </w:r>
      <w:r w:rsidR="00E841F8" w:rsidRPr="00170139">
        <w:rPr>
          <w:rFonts w:eastAsia="Calibri" w:cs="Arial"/>
          <w:szCs w:val="22"/>
          <w:lang w:eastAsia="en-US"/>
        </w:rPr>
        <w:t>,</w:t>
      </w:r>
      <w:r w:rsidRPr="00170139">
        <w:rPr>
          <w:rFonts w:eastAsia="Calibri" w:cs="Arial"/>
          <w:szCs w:val="22"/>
          <w:lang w:eastAsia="en-US"/>
        </w:rPr>
        <w:t xml:space="preserve"> </w:t>
      </w:r>
      <w:r w:rsidR="00E841F8" w:rsidRPr="00170139">
        <w:rPr>
          <w:rFonts w:eastAsia="Calibri" w:cs="Arial"/>
          <w:szCs w:val="22"/>
          <w:lang w:eastAsia="en-US"/>
        </w:rPr>
        <w:t xml:space="preserve">focusing </w:t>
      </w:r>
      <w:r w:rsidRPr="00170139">
        <w:rPr>
          <w:rFonts w:eastAsia="Calibri" w:cs="Arial"/>
          <w:szCs w:val="22"/>
          <w:lang w:eastAsia="en-US"/>
        </w:rPr>
        <w:t xml:space="preserve">in particular </w:t>
      </w:r>
      <w:r w:rsidR="00E841F8" w:rsidRPr="00170139">
        <w:rPr>
          <w:rFonts w:eastAsia="Calibri" w:cs="Arial"/>
          <w:szCs w:val="22"/>
          <w:lang w:eastAsia="en-US"/>
        </w:rPr>
        <w:t xml:space="preserve">on </w:t>
      </w:r>
      <w:r w:rsidRPr="00170139">
        <w:rPr>
          <w:rFonts w:eastAsia="Calibri" w:cs="Arial"/>
          <w:szCs w:val="22"/>
          <w:lang w:eastAsia="en-US"/>
        </w:rPr>
        <w:t>meet</w:t>
      </w:r>
      <w:r w:rsidR="00E841F8" w:rsidRPr="00170139">
        <w:rPr>
          <w:rFonts w:eastAsia="Calibri" w:cs="Arial"/>
          <w:szCs w:val="22"/>
          <w:lang w:eastAsia="en-US"/>
        </w:rPr>
        <w:t>ing</w:t>
      </w:r>
      <w:r w:rsidRPr="00170139">
        <w:rPr>
          <w:rFonts w:eastAsia="Calibri" w:cs="Arial"/>
          <w:szCs w:val="22"/>
          <w:lang w:eastAsia="en-US"/>
        </w:rPr>
        <w:t xml:space="preserve"> the financing needs of their private sector clients and women</w:t>
      </w:r>
      <w:r w:rsidR="00E841F8" w:rsidRPr="00170139">
        <w:rPr>
          <w:rFonts w:eastAsia="Calibri" w:cs="Arial"/>
          <w:szCs w:val="22"/>
          <w:lang w:eastAsia="en-US"/>
        </w:rPr>
        <w:t xml:space="preserve"> entrepreneurs</w:t>
      </w:r>
      <w:r w:rsidRPr="00170139">
        <w:rPr>
          <w:rFonts w:eastAsia="Calibri" w:cs="Arial"/>
          <w:szCs w:val="22"/>
          <w:lang w:eastAsia="en-US"/>
        </w:rPr>
        <w:t>. PSDI program</w:t>
      </w:r>
      <w:r w:rsidR="00E841F8" w:rsidRPr="00170139">
        <w:rPr>
          <w:rFonts w:eastAsia="Calibri" w:cs="Arial"/>
          <w:szCs w:val="22"/>
          <w:lang w:eastAsia="en-US"/>
        </w:rPr>
        <w:t>s</w:t>
      </w:r>
      <w:r w:rsidRPr="00170139">
        <w:rPr>
          <w:rFonts w:eastAsia="Calibri" w:cs="Arial"/>
          <w:szCs w:val="22"/>
          <w:lang w:eastAsia="en-US"/>
        </w:rPr>
        <w:t xml:space="preserve"> </w:t>
      </w:r>
      <w:r w:rsidR="00E841F8" w:rsidRPr="00170139">
        <w:rPr>
          <w:rFonts w:eastAsia="Calibri" w:cs="Arial"/>
          <w:szCs w:val="22"/>
          <w:lang w:eastAsia="en-US"/>
        </w:rPr>
        <w:t xml:space="preserve">to </w:t>
      </w:r>
      <w:r w:rsidRPr="00170139">
        <w:rPr>
          <w:rFonts w:eastAsia="Calibri" w:cs="Arial"/>
          <w:szCs w:val="22"/>
          <w:lang w:eastAsia="en-US"/>
        </w:rPr>
        <w:t xml:space="preserve">refocus the National Development Bank of Palau and the FSM Development Bank are almost complete and plans are now underway to extend </w:t>
      </w:r>
      <w:r w:rsidR="00681BD0" w:rsidRPr="00170139">
        <w:rPr>
          <w:rFonts w:eastAsia="Calibri" w:cs="Arial"/>
          <w:szCs w:val="22"/>
          <w:lang w:eastAsia="en-US"/>
        </w:rPr>
        <w:t>these efforts</w:t>
      </w:r>
      <w:r w:rsidRPr="00170139">
        <w:rPr>
          <w:rFonts w:eastAsia="Calibri" w:cs="Arial"/>
          <w:szCs w:val="22"/>
          <w:lang w:eastAsia="en-US"/>
        </w:rPr>
        <w:t xml:space="preserve"> to two other development banks </w:t>
      </w:r>
      <w:r w:rsidR="00681BD0" w:rsidRPr="00170139">
        <w:rPr>
          <w:rFonts w:eastAsia="Calibri" w:cs="Arial"/>
          <w:szCs w:val="22"/>
          <w:lang w:eastAsia="en-US"/>
        </w:rPr>
        <w:t xml:space="preserve">during the remainder of PSDI III. The two institutions are to be </w:t>
      </w:r>
      <w:r w:rsidRPr="00170139">
        <w:rPr>
          <w:rFonts w:eastAsia="Calibri" w:cs="Arial"/>
          <w:szCs w:val="22"/>
          <w:lang w:eastAsia="en-US"/>
        </w:rPr>
        <w:t>selected from among the Development Bank of Tuvalu, the Development Bank of Samoa</w:t>
      </w:r>
      <w:r w:rsidR="00AA7F2A" w:rsidRPr="00170139">
        <w:rPr>
          <w:rFonts w:eastAsia="Calibri" w:cs="Arial"/>
          <w:szCs w:val="22"/>
          <w:lang w:eastAsia="en-US"/>
        </w:rPr>
        <w:t xml:space="preserve">, </w:t>
      </w:r>
      <w:r w:rsidRPr="00170139">
        <w:rPr>
          <w:rFonts w:eastAsia="Calibri" w:cs="Arial"/>
          <w:szCs w:val="22"/>
          <w:lang w:eastAsia="en-US"/>
        </w:rPr>
        <w:t>and the</w:t>
      </w:r>
      <w:r w:rsidR="00C13C20" w:rsidRPr="00170139">
        <w:rPr>
          <w:rFonts w:eastAsia="Calibri" w:cs="Arial"/>
          <w:szCs w:val="22"/>
          <w:lang w:eastAsia="en-US"/>
        </w:rPr>
        <w:t xml:space="preserve"> National Development Bank</w:t>
      </w:r>
      <w:r w:rsidR="00E841F8" w:rsidRPr="00170139">
        <w:rPr>
          <w:rFonts w:eastAsia="Calibri" w:cs="Arial"/>
          <w:szCs w:val="22"/>
          <w:lang w:eastAsia="en-US"/>
        </w:rPr>
        <w:t xml:space="preserve"> (</w:t>
      </w:r>
      <w:r w:rsidR="007D266B" w:rsidRPr="00170139">
        <w:rPr>
          <w:rFonts w:eastAsia="Calibri" w:cs="Arial"/>
          <w:szCs w:val="22"/>
          <w:lang w:eastAsia="en-US"/>
        </w:rPr>
        <w:t xml:space="preserve">of </w:t>
      </w:r>
      <w:r w:rsidR="00E841F8" w:rsidRPr="00170139">
        <w:rPr>
          <w:rFonts w:eastAsia="Calibri" w:cs="Arial"/>
          <w:szCs w:val="22"/>
          <w:lang w:eastAsia="en-US"/>
        </w:rPr>
        <w:t>PNG)</w:t>
      </w:r>
      <w:r w:rsidR="00C13C20" w:rsidRPr="00170139">
        <w:rPr>
          <w:rFonts w:eastAsia="Calibri" w:cs="Arial"/>
          <w:szCs w:val="22"/>
          <w:lang w:eastAsia="en-US"/>
        </w:rPr>
        <w:t>.</w:t>
      </w:r>
    </w:p>
    <w:p w:rsidR="00346198" w:rsidRPr="00170139" w:rsidRDefault="00346198" w:rsidP="00C13C20">
      <w:pPr>
        <w:rPr>
          <w:rFonts w:eastAsia="Calibri" w:cs="Arial"/>
          <w:szCs w:val="22"/>
          <w:lang w:eastAsia="en-US"/>
        </w:rPr>
      </w:pPr>
    </w:p>
    <w:p w:rsidR="00346198" w:rsidRPr="00170139" w:rsidRDefault="00681BD0"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Also in the very early</w:t>
      </w:r>
      <w:r w:rsidR="00346198" w:rsidRPr="00170139">
        <w:rPr>
          <w:rFonts w:eastAsia="Calibri" w:cs="Arial"/>
          <w:szCs w:val="22"/>
          <w:lang w:eastAsia="en-US"/>
        </w:rPr>
        <w:t xml:space="preserve"> stage</w:t>
      </w:r>
      <w:r w:rsidRPr="00170139">
        <w:rPr>
          <w:rFonts w:eastAsia="Calibri" w:cs="Arial"/>
          <w:szCs w:val="22"/>
          <w:lang w:eastAsia="en-US"/>
        </w:rPr>
        <w:t>s</w:t>
      </w:r>
      <w:r w:rsidR="00346198" w:rsidRPr="00170139">
        <w:rPr>
          <w:rFonts w:eastAsia="Calibri" w:cs="Arial"/>
          <w:szCs w:val="22"/>
          <w:lang w:eastAsia="en-US"/>
        </w:rPr>
        <w:t xml:space="preserve"> of development are the financial activities of the provident funds located in </w:t>
      </w:r>
      <w:r w:rsidR="00AA7F2A" w:rsidRPr="00170139">
        <w:rPr>
          <w:rFonts w:eastAsia="Calibri" w:cs="Arial"/>
          <w:szCs w:val="22"/>
          <w:lang w:eastAsia="en-US"/>
        </w:rPr>
        <w:t xml:space="preserve">many Pacific </w:t>
      </w:r>
      <w:r w:rsidRPr="00170139">
        <w:rPr>
          <w:rFonts w:eastAsia="Calibri" w:cs="Arial"/>
          <w:szCs w:val="22"/>
          <w:lang w:eastAsia="en-US"/>
        </w:rPr>
        <w:t xml:space="preserve">island </w:t>
      </w:r>
      <w:r w:rsidR="00AA7F2A" w:rsidRPr="00170139">
        <w:rPr>
          <w:rFonts w:eastAsia="Calibri" w:cs="Arial"/>
          <w:szCs w:val="22"/>
          <w:lang w:eastAsia="en-US"/>
        </w:rPr>
        <w:t>countries</w:t>
      </w:r>
      <w:r w:rsidR="00346198" w:rsidRPr="00170139">
        <w:rPr>
          <w:rFonts w:eastAsia="Calibri" w:cs="Arial"/>
          <w:szCs w:val="22"/>
          <w:lang w:eastAsia="en-US"/>
        </w:rPr>
        <w:t>. These provident funds help to contribute to the surplus of savings in these economies, often just transferring their resulting cash surpluses to the commercial banks through deposits. These long</w:t>
      </w:r>
      <w:r w:rsidRPr="00170139">
        <w:rPr>
          <w:rFonts w:eastAsia="Calibri" w:cs="Arial"/>
          <w:szCs w:val="22"/>
          <w:lang w:eastAsia="en-US"/>
        </w:rPr>
        <w:t>-</w:t>
      </w:r>
      <w:r w:rsidR="00346198" w:rsidRPr="00170139">
        <w:rPr>
          <w:rFonts w:eastAsia="Calibri" w:cs="Arial"/>
          <w:szCs w:val="22"/>
          <w:lang w:eastAsia="en-US"/>
        </w:rPr>
        <w:t>term saving</w:t>
      </w:r>
      <w:r w:rsidRPr="00170139">
        <w:rPr>
          <w:rFonts w:eastAsia="Calibri" w:cs="Arial"/>
          <w:szCs w:val="22"/>
          <w:lang w:eastAsia="en-US"/>
        </w:rPr>
        <w:t>s</w:t>
      </w:r>
      <w:r w:rsidR="00346198" w:rsidRPr="00170139">
        <w:rPr>
          <w:rFonts w:eastAsia="Calibri" w:cs="Arial"/>
          <w:szCs w:val="22"/>
          <w:lang w:eastAsia="en-US"/>
        </w:rPr>
        <w:t xml:space="preserve"> institutions need to develop active programs to initiate equity and debt markets to serve private sector </w:t>
      </w:r>
      <w:r w:rsidR="004D43CA" w:rsidRPr="00170139">
        <w:rPr>
          <w:rFonts w:eastAsia="Calibri" w:cs="Arial"/>
          <w:szCs w:val="22"/>
          <w:lang w:eastAsia="en-US"/>
        </w:rPr>
        <w:t>small and medium-sized enterprises (</w:t>
      </w:r>
      <w:r w:rsidR="00346198" w:rsidRPr="00170139">
        <w:rPr>
          <w:rFonts w:eastAsia="Calibri" w:cs="Arial"/>
          <w:szCs w:val="22"/>
          <w:lang w:eastAsia="en-US"/>
        </w:rPr>
        <w:t>SMEs</w:t>
      </w:r>
      <w:r w:rsidR="004D43CA" w:rsidRPr="00170139">
        <w:rPr>
          <w:rFonts w:eastAsia="Calibri" w:cs="Arial"/>
          <w:szCs w:val="22"/>
          <w:lang w:eastAsia="en-US"/>
        </w:rPr>
        <w:t>)</w:t>
      </w:r>
      <w:r w:rsidR="00346198" w:rsidRPr="00170139">
        <w:rPr>
          <w:rFonts w:eastAsia="Calibri" w:cs="Arial"/>
          <w:szCs w:val="22"/>
          <w:lang w:eastAsia="en-US"/>
        </w:rPr>
        <w:t>. In such cash</w:t>
      </w:r>
      <w:r w:rsidRPr="00170139">
        <w:rPr>
          <w:rFonts w:eastAsia="Calibri" w:cs="Arial"/>
          <w:szCs w:val="22"/>
          <w:lang w:eastAsia="en-US"/>
        </w:rPr>
        <w:t>-</w:t>
      </w:r>
      <w:r w:rsidR="00346198" w:rsidRPr="00170139">
        <w:rPr>
          <w:rFonts w:eastAsia="Calibri" w:cs="Arial"/>
          <w:szCs w:val="22"/>
          <w:lang w:eastAsia="en-US"/>
        </w:rPr>
        <w:t xml:space="preserve">surplus </w:t>
      </w:r>
      <w:r w:rsidRPr="00170139">
        <w:rPr>
          <w:rFonts w:eastAsia="Calibri" w:cs="Arial"/>
          <w:szCs w:val="22"/>
          <w:lang w:eastAsia="en-US"/>
        </w:rPr>
        <w:t>scenarios</w:t>
      </w:r>
      <w:r w:rsidR="00346198" w:rsidRPr="00170139">
        <w:rPr>
          <w:rFonts w:eastAsia="Calibri" w:cs="Arial"/>
          <w:szCs w:val="22"/>
          <w:lang w:eastAsia="en-US"/>
        </w:rPr>
        <w:t>, no financially viable private sector enterprise should be exposed to the restrictions on credit availability</w:t>
      </w:r>
      <w:r w:rsidRPr="00170139">
        <w:rPr>
          <w:rFonts w:eastAsia="Calibri" w:cs="Arial"/>
          <w:szCs w:val="22"/>
          <w:lang w:eastAsia="en-US"/>
        </w:rPr>
        <w:t xml:space="preserve"> that are currently evident</w:t>
      </w:r>
      <w:r w:rsidR="00346198" w:rsidRPr="00170139">
        <w:rPr>
          <w:rFonts w:eastAsia="Calibri" w:cs="Arial"/>
          <w:szCs w:val="22"/>
          <w:lang w:eastAsia="en-US"/>
        </w:rPr>
        <w:t xml:space="preserve">. It is simply an issue of developing the appropriate instruments </w:t>
      </w:r>
      <w:r w:rsidRPr="00170139">
        <w:rPr>
          <w:rFonts w:eastAsia="Calibri" w:cs="Arial"/>
          <w:szCs w:val="22"/>
          <w:lang w:eastAsia="en-US"/>
        </w:rPr>
        <w:t>to</w:t>
      </w:r>
      <w:r w:rsidR="00346198" w:rsidRPr="00170139">
        <w:rPr>
          <w:rFonts w:eastAsia="Calibri" w:cs="Arial"/>
          <w:szCs w:val="22"/>
          <w:lang w:eastAsia="en-US"/>
        </w:rPr>
        <w:t xml:space="preserve"> give confidence to financial decision</w:t>
      </w:r>
      <w:r w:rsidRPr="00170139">
        <w:rPr>
          <w:rFonts w:eastAsia="Calibri" w:cs="Arial"/>
          <w:szCs w:val="22"/>
          <w:lang w:eastAsia="en-US"/>
        </w:rPr>
        <w:t>-makers</w:t>
      </w:r>
      <w:r w:rsidR="00346198" w:rsidRPr="00170139">
        <w:rPr>
          <w:rFonts w:eastAsia="Calibri" w:cs="Arial"/>
          <w:szCs w:val="22"/>
          <w:lang w:eastAsia="en-US"/>
        </w:rPr>
        <w:t xml:space="preserve">. Such development programs need to be accelerated over the remainder of PSDI III. </w:t>
      </w:r>
      <w:r w:rsidRPr="00170139">
        <w:rPr>
          <w:rFonts w:eastAsia="Calibri" w:cs="Arial"/>
          <w:szCs w:val="22"/>
          <w:lang w:eastAsia="en-US"/>
        </w:rPr>
        <w:t xml:space="preserve">For </w:t>
      </w:r>
      <w:r w:rsidR="00346198" w:rsidRPr="00170139">
        <w:rPr>
          <w:rFonts w:eastAsia="Calibri" w:cs="Arial"/>
          <w:szCs w:val="22"/>
          <w:lang w:eastAsia="en-US"/>
        </w:rPr>
        <w:t>PSDI IV, the possibility of becoming involved in establishing and upgrading credit bureaus to provide reliable information on credit ratings would help to further loosen credit market restrictions in the Pacific.</w:t>
      </w:r>
      <w:r w:rsidR="00346198" w:rsidRPr="00170139">
        <w:rPr>
          <w:rFonts w:eastAsia="Calibri" w:cs="Arial"/>
          <w:szCs w:val="22"/>
          <w:vertAlign w:val="superscript"/>
          <w:lang w:eastAsia="en-US"/>
        </w:rPr>
        <w:footnoteReference w:id="4"/>
      </w:r>
    </w:p>
    <w:p w:rsidR="00346198" w:rsidRPr="00170139" w:rsidRDefault="00346198" w:rsidP="00C13C20">
      <w:pPr>
        <w:tabs>
          <w:tab w:val="left" w:pos="567"/>
        </w:tabs>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Commercial banking in the Pacific is largely undertaken by foreign-owned banks</w:t>
      </w:r>
      <w:r w:rsidR="00681BD0" w:rsidRPr="00170139">
        <w:rPr>
          <w:rFonts w:eastAsia="Calibri" w:cs="Arial"/>
          <w:szCs w:val="22"/>
          <w:lang w:eastAsia="en-US"/>
        </w:rPr>
        <w:t xml:space="preserve"> that are risk averse</w:t>
      </w:r>
      <w:r w:rsidRPr="00170139">
        <w:rPr>
          <w:rFonts w:eastAsia="Calibri" w:cs="Arial"/>
          <w:szCs w:val="22"/>
          <w:lang w:eastAsia="en-US"/>
        </w:rPr>
        <w:t xml:space="preserve"> </w:t>
      </w:r>
      <w:r w:rsidR="00681BD0" w:rsidRPr="00170139">
        <w:rPr>
          <w:rFonts w:eastAsia="Calibri" w:cs="Arial"/>
          <w:szCs w:val="22"/>
          <w:lang w:eastAsia="en-US"/>
        </w:rPr>
        <w:t xml:space="preserve">and </w:t>
      </w:r>
      <w:r w:rsidRPr="00170139">
        <w:rPr>
          <w:rFonts w:eastAsia="Calibri" w:cs="Arial"/>
          <w:szCs w:val="22"/>
          <w:lang w:eastAsia="en-US"/>
        </w:rPr>
        <w:t xml:space="preserve">do not fully understand local markets. </w:t>
      </w:r>
      <w:r w:rsidR="00681BD0" w:rsidRPr="00170139">
        <w:rPr>
          <w:rFonts w:eastAsia="Calibri" w:cs="Arial"/>
          <w:szCs w:val="22"/>
          <w:lang w:eastAsia="en-US"/>
        </w:rPr>
        <w:t>In turn, t</w:t>
      </w:r>
      <w:r w:rsidRPr="00170139">
        <w:rPr>
          <w:rFonts w:eastAsia="Calibri" w:cs="Arial"/>
          <w:szCs w:val="22"/>
          <w:lang w:eastAsia="en-US"/>
        </w:rPr>
        <w:t xml:space="preserve">he </w:t>
      </w:r>
      <w:r w:rsidR="00681BD0" w:rsidRPr="00170139">
        <w:rPr>
          <w:rFonts w:eastAsia="Calibri" w:cs="Arial"/>
          <w:szCs w:val="22"/>
          <w:lang w:eastAsia="en-US"/>
        </w:rPr>
        <w:t>c</w:t>
      </w:r>
      <w:r w:rsidRPr="00170139">
        <w:rPr>
          <w:rFonts w:eastAsia="Calibri" w:cs="Arial"/>
          <w:szCs w:val="22"/>
          <w:lang w:eastAsia="en-US"/>
        </w:rPr>
        <w:t xml:space="preserve">entral </w:t>
      </w:r>
      <w:r w:rsidR="00681BD0" w:rsidRPr="00170139">
        <w:rPr>
          <w:rFonts w:eastAsia="Calibri" w:cs="Arial"/>
          <w:szCs w:val="22"/>
          <w:lang w:eastAsia="en-US"/>
        </w:rPr>
        <w:t>b</w:t>
      </w:r>
      <w:r w:rsidRPr="00170139">
        <w:rPr>
          <w:rFonts w:eastAsia="Calibri" w:cs="Arial"/>
          <w:szCs w:val="22"/>
          <w:lang w:eastAsia="en-US"/>
        </w:rPr>
        <w:t>anks</w:t>
      </w:r>
      <w:r w:rsidR="00681BD0" w:rsidRPr="00170139">
        <w:rPr>
          <w:rFonts w:eastAsia="Calibri" w:cs="Arial"/>
          <w:szCs w:val="22"/>
          <w:lang w:eastAsia="en-US"/>
        </w:rPr>
        <w:t xml:space="preserve"> of Pacific DMCs</w:t>
      </w:r>
      <w:r w:rsidRPr="00170139">
        <w:rPr>
          <w:rFonts w:eastAsia="Calibri" w:cs="Arial"/>
          <w:szCs w:val="22"/>
          <w:lang w:eastAsia="en-US"/>
        </w:rPr>
        <w:t xml:space="preserve"> cannot effectively encourage the </w:t>
      </w:r>
      <w:r w:rsidR="00681BD0" w:rsidRPr="00170139">
        <w:rPr>
          <w:rFonts w:eastAsia="Calibri" w:cs="Arial"/>
          <w:szCs w:val="22"/>
          <w:lang w:eastAsia="en-US"/>
        </w:rPr>
        <w:t xml:space="preserve">necessary </w:t>
      </w:r>
      <w:r w:rsidRPr="00170139">
        <w:rPr>
          <w:rFonts w:eastAsia="Calibri" w:cs="Arial"/>
          <w:szCs w:val="22"/>
          <w:lang w:eastAsia="en-US"/>
        </w:rPr>
        <w:t>changes. PSDI should find effective means of providing new financial instruments to meet the needs of the private sector</w:t>
      </w:r>
      <w:r w:rsidR="00681BD0" w:rsidRPr="00170139">
        <w:rPr>
          <w:rFonts w:eastAsia="Calibri" w:cs="Arial"/>
          <w:szCs w:val="22"/>
          <w:lang w:eastAsia="en-US"/>
        </w:rPr>
        <w:t xml:space="preserve"> in Pacific island economies</w:t>
      </w:r>
      <w:r w:rsidRPr="00170139">
        <w:rPr>
          <w:rFonts w:eastAsia="Calibri" w:cs="Arial"/>
          <w:szCs w:val="22"/>
          <w:lang w:eastAsia="en-US"/>
        </w:rPr>
        <w:t>. In particular, the</w:t>
      </w:r>
      <w:r w:rsidR="00A1754B" w:rsidRPr="00170139">
        <w:rPr>
          <w:rFonts w:eastAsia="Calibri" w:cs="Arial"/>
          <w:szCs w:val="22"/>
          <w:lang w:eastAsia="en-US"/>
        </w:rPr>
        <w:t>se</w:t>
      </w:r>
      <w:r w:rsidRPr="00170139">
        <w:rPr>
          <w:rFonts w:eastAsia="Calibri" w:cs="Arial"/>
          <w:szCs w:val="22"/>
          <w:lang w:eastAsia="en-US"/>
        </w:rPr>
        <w:t xml:space="preserve"> new financial instruments need to serve women entrepreneurs</w:t>
      </w:r>
      <w:r w:rsidR="00483E85" w:rsidRPr="00170139">
        <w:rPr>
          <w:rFonts w:eastAsia="Calibri" w:cs="Arial"/>
          <w:szCs w:val="22"/>
          <w:lang w:eastAsia="en-US"/>
        </w:rPr>
        <w:t>, who would be greatly assisted by</w:t>
      </w:r>
      <w:r w:rsidRPr="00170139">
        <w:rPr>
          <w:rFonts w:eastAsia="Calibri" w:cs="Arial"/>
          <w:szCs w:val="22"/>
          <w:lang w:eastAsia="en-US"/>
        </w:rPr>
        <w:t xml:space="preserve"> the credit</w:t>
      </w:r>
      <w:r w:rsidR="00483E85" w:rsidRPr="00170139">
        <w:rPr>
          <w:rFonts w:eastAsia="Calibri" w:cs="Arial"/>
          <w:szCs w:val="22"/>
          <w:lang w:eastAsia="en-US"/>
        </w:rPr>
        <w:t>-</w:t>
      </w:r>
      <w:r w:rsidRPr="00170139">
        <w:rPr>
          <w:rFonts w:eastAsia="Calibri" w:cs="Arial"/>
          <w:szCs w:val="22"/>
          <w:lang w:eastAsia="en-US"/>
        </w:rPr>
        <w:t>rating systems proposed for PSDI IV.</w:t>
      </w:r>
    </w:p>
    <w:p w:rsidR="00346198" w:rsidRPr="00C13C20" w:rsidRDefault="00346198" w:rsidP="00C13C20">
      <w:pPr>
        <w:rPr>
          <w:rFonts w:eastAsia="Calibri" w:cs="Arial"/>
          <w:szCs w:val="22"/>
          <w:lang w:eastAsia="en-US"/>
        </w:rPr>
      </w:pPr>
    </w:p>
    <w:p w:rsidR="00346198" w:rsidRPr="00170139" w:rsidRDefault="008C7B5E" w:rsidP="00170139">
      <w:pPr>
        <w:keepNext/>
        <w:spacing w:after="160"/>
        <w:outlineLvl w:val="1"/>
        <w:rPr>
          <w:rFonts w:eastAsia="Times New Roman" w:cs="Arial"/>
          <w:b/>
          <w:bCs/>
          <w:iCs/>
          <w:sz w:val="24"/>
          <w:lang w:eastAsia="en-US"/>
        </w:rPr>
      </w:pPr>
      <w:bookmarkStart w:id="11" w:name="_Toc492046370"/>
      <w:bookmarkStart w:id="12" w:name="_Toc492046536"/>
      <w:bookmarkStart w:id="13" w:name="_Toc492046627"/>
      <w:bookmarkStart w:id="14" w:name="_Toc492046371"/>
      <w:bookmarkStart w:id="15" w:name="_Toc492046537"/>
      <w:bookmarkStart w:id="16" w:name="_Toc492046628"/>
      <w:bookmarkStart w:id="17" w:name="_Toc492046372"/>
      <w:bookmarkStart w:id="18" w:name="_Toc492046538"/>
      <w:bookmarkStart w:id="19" w:name="_Toc492046629"/>
      <w:bookmarkStart w:id="20" w:name="_Toc494271705"/>
      <w:bookmarkStart w:id="21" w:name="_Toc494367931"/>
      <w:bookmarkStart w:id="22" w:name="_Toc494378775"/>
      <w:bookmarkStart w:id="23" w:name="_Toc494378857"/>
      <w:bookmarkEnd w:id="11"/>
      <w:bookmarkEnd w:id="12"/>
      <w:bookmarkEnd w:id="13"/>
      <w:bookmarkEnd w:id="14"/>
      <w:bookmarkEnd w:id="15"/>
      <w:bookmarkEnd w:id="16"/>
      <w:bookmarkEnd w:id="17"/>
      <w:bookmarkEnd w:id="18"/>
      <w:bookmarkEnd w:id="19"/>
      <w:r w:rsidRPr="00170139">
        <w:rPr>
          <w:rFonts w:eastAsia="Times New Roman" w:cs="Arial"/>
          <w:b/>
          <w:bCs/>
          <w:iCs/>
          <w:sz w:val="24"/>
          <w:lang w:eastAsia="en-US"/>
        </w:rPr>
        <w:t>B.</w:t>
      </w:r>
      <w:r w:rsidR="00386F3B" w:rsidRPr="00170139">
        <w:rPr>
          <w:rFonts w:eastAsia="Times New Roman" w:cs="Arial"/>
          <w:b/>
          <w:bCs/>
          <w:iCs/>
          <w:sz w:val="24"/>
          <w:lang w:eastAsia="en-US"/>
        </w:rPr>
        <w:tab/>
      </w:r>
      <w:r w:rsidR="00346198" w:rsidRPr="00170139">
        <w:rPr>
          <w:rFonts w:eastAsia="Times New Roman" w:cs="Arial"/>
          <w:b/>
          <w:bCs/>
          <w:iCs/>
          <w:sz w:val="24"/>
          <w:lang w:eastAsia="en-US"/>
        </w:rPr>
        <w:t>Business Law Reform</w:t>
      </w:r>
      <w:bookmarkEnd w:id="20"/>
      <w:bookmarkEnd w:id="21"/>
      <w:bookmarkEnd w:id="22"/>
      <w:bookmarkEnd w:id="23"/>
    </w:p>
    <w:p w:rsidR="00346198" w:rsidRPr="00170139" w:rsidRDefault="00483E85"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PSDI’s program for </w:t>
      </w:r>
      <w:r w:rsidR="00346198" w:rsidRPr="00170139">
        <w:rPr>
          <w:rFonts w:eastAsia="Calibri" w:cs="Arial"/>
          <w:szCs w:val="22"/>
          <w:lang w:eastAsia="en-US"/>
        </w:rPr>
        <w:t xml:space="preserve">business law </w:t>
      </w:r>
      <w:r w:rsidRPr="00170139">
        <w:rPr>
          <w:rFonts w:eastAsia="Calibri" w:cs="Arial"/>
          <w:szCs w:val="22"/>
          <w:lang w:eastAsia="en-US"/>
        </w:rPr>
        <w:t xml:space="preserve">reform </w:t>
      </w:r>
      <w:r w:rsidR="00346198" w:rsidRPr="00170139">
        <w:rPr>
          <w:rFonts w:eastAsia="Calibri" w:cs="Arial"/>
          <w:szCs w:val="22"/>
          <w:lang w:eastAsia="en-US"/>
        </w:rPr>
        <w:t xml:space="preserve">is being very effectively moved forward. </w:t>
      </w:r>
      <w:r w:rsidRPr="00170139">
        <w:rPr>
          <w:rFonts w:eastAsia="Calibri" w:cs="Arial"/>
          <w:szCs w:val="22"/>
          <w:lang w:eastAsia="en-US"/>
        </w:rPr>
        <w:t>With support from PSDI, new c</w:t>
      </w:r>
      <w:r w:rsidR="00346198" w:rsidRPr="00170139">
        <w:rPr>
          <w:rFonts w:eastAsia="Calibri" w:cs="Arial"/>
          <w:szCs w:val="22"/>
          <w:lang w:eastAsia="en-US"/>
        </w:rPr>
        <w:t>ompany law</w:t>
      </w:r>
      <w:r w:rsidRPr="00170139">
        <w:rPr>
          <w:rFonts w:eastAsia="Calibri" w:cs="Arial"/>
          <w:szCs w:val="22"/>
          <w:lang w:eastAsia="en-US"/>
        </w:rPr>
        <w:t>s</w:t>
      </w:r>
      <w:r w:rsidR="00346198" w:rsidRPr="00170139">
        <w:rPr>
          <w:rFonts w:eastAsia="Calibri" w:cs="Arial"/>
          <w:szCs w:val="22"/>
          <w:lang w:eastAsia="en-US"/>
        </w:rPr>
        <w:t xml:space="preserve"> and regulation</w:t>
      </w:r>
      <w:r w:rsidRPr="00170139">
        <w:rPr>
          <w:rFonts w:eastAsia="Calibri" w:cs="Arial"/>
          <w:szCs w:val="22"/>
          <w:lang w:eastAsia="en-US"/>
        </w:rPr>
        <w:t>s</w:t>
      </w:r>
      <w:r w:rsidR="00346198" w:rsidRPr="00170139">
        <w:rPr>
          <w:rFonts w:eastAsia="Calibri" w:cs="Arial"/>
          <w:szCs w:val="22"/>
          <w:lang w:eastAsia="en-US"/>
        </w:rPr>
        <w:t xml:space="preserve"> have been successfully implemented in Samoa, Solomon Islands, Tonga</w:t>
      </w:r>
      <w:r w:rsidRPr="00170139">
        <w:rPr>
          <w:rFonts w:eastAsia="Calibri" w:cs="Arial"/>
          <w:szCs w:val="22"/>
          <w:lang w:eastAsia="en-US"/>
        </w:rPr>
        <w:t>,</w:t>
      </w:r>
      <w:r w:rsidR="00346198" w:rsidRPr="00170139">
        <w:rPr>
          <w:rFonts w:eastAsia="Calibri" w:cs="Arial"/>
          <w:szCs w:val="22"/>
          <w:lang w:eastAsia="en-US"/>
        </w:rPr>
        <w:t xml:space="preserve"> and Vanuatu. The goal is to complete basic business law reform in all of the larger Pacific island economies by the end of PSDI III. A companion reform is to ensure the incorporation of gender</w:t>
      </w:r>
      <w:r w:rsidRPr="00170139">
        <w:rPr>
          <w:rFonts w:eastAsia="Calibri" w:cs="Arial"/>
          <w:szCs w:val="22"/>
          <w:lang w:eastAsia="en-US"/>
        </w:rPr>
        <w:t>-</w:t>
      </w:r>
      <w:r w:rsidR="00346198" w:rsidRPr="00170139">
        <w:rPr>
          <w:rFonts w:eastAsia="Calibri" w:cs="Arial"/>
          <w:szCs w:val="22"/>
          <w:lang w:eastAsia="en-US"/>
        </w:rPr>
        <w:t>based information in</w:t>
      </w:r>
      <w:r w:rsidRPr="00170139">
        <w:rPr>
          <w:rFonts w:eastAsia="Calibri" w:cs="Arial"/>
          <w:szCs w:val="22"/>
          <w:lang w:eastAsia="en-US"/>
        </w:rPr>
        <w:t>to</w:t>
      </w:r>
      <w:r w:rsidR="00346198" w:rsidRPr="00170139">
        <w:rPr>
          <w:rFonts w:eastAsia="Calibri" w:cs="Arial"/>
          <w:szCs w:val="22"/>
          <w:lang w:eastAsia="en-US"/>
        </w:rPr>
        <w:t xml:space="preserve"> the company registr</w:t>
      </w:r>
      <w:r w:rsidRPr="00170139">
        <w:rPr>
          <w:rFonts w:eastAsia="Calibri" w:cs="Arial"/>
          <w:szCs w:val="22"/>
          <w:lang w:eastAsia="en-US"/>
        </w:rPr>
        <w:t xml:space="preserve">y of each </w:t>
      </w:r>
      <w:r w:rsidR="00B806D5" w:rsidRPr="00170139">
        <w:rPr>
          <w:rFonts w:eastAsia="Calibri" w:cs="Arial"/>
          <w:szCs w:val="22"/>
          <w:lang w:eastAsia="en-US"/>
        </w:rPr>
        <w:t>country</w:t>
      </w:r>
      <w:r w:rsidRPr="00170139">
        <w:rPr>
          <w:rFonts w:eastAsia="Calibri" w:cs="Arial"/>
          <w:szCs w:val="22"/>
          <w:lang w:eastAsia="en-US"/>
        </w:rPr>
        <w:t>, capturing information on</w:t>
      </w:r>
      <w:r w:rsidR="00346198" w:rsidRPr="00170139">
        <w:rPr>
          <w:rFonts w:eastAsia="Calibri" w:cs="Arial"/>
          <w:szCs w:val="22"/>
          <w:lang w:eastAsia="en-US"/>
        </w:rPr>
        <w:t xml:space="preserve"> employees and</w:t>
      </w:r>
      <w:r w:rsidRPr="00170139">
        <w:rPr>
          <w:rFonts w:eastAsia="Calibri" w:cs="Arial"/>
          <w:szCs w:val="22"/>
          <w:lang w:eastAsia="en-US"/>
        </w:rPr>
        <w:t>,</w:t>
      </w:r>
      <w:r w:rsidR="00346198" w:rsidRPr="00170139">
        <w:rPr>
          <w:rFonts w:eastAsia="Calibri" w:cs="Arial"/>
          <w:szCs w:val="22"/>
          <w:lang w:eastAsia="en-US"/>
        </w:rPr>
        <w:t xml:space="preserve"> in particular, women managers and directors. The registering of employees </w:t>
      </w:r>
      <w:r w:rsidR="00B806D5" w:rsidRPr="00170139">
        <w:rPr>
          <w:rFonts w:eastAsia="Calibri" w:cs="Arial"/>
          <w:szCs w:val="22"/>
          <w:lang w:eastAsia="en-US"/>
        </w:rPr>
        <w:t xml:space="preserve">moving </w:t>
      </w:r>
      <w:r w:rsidR="00346198" w:rsidRPr="00170139">
        <w:rPr>
          <w:rFonts w:eastAsia="Calibri" w:cs="Arial"/>
          <w:szCs w:val="22"/>
          <w:lang w:eastAsia="en-US"/>
        </w:rPr>
        <w:t xml:space="preserve">from the informal </w:t>
      </w:r>
      <w:r w:rsidR="00B806D5" w:rsidRPr="00170139">
        <w:rPr>
          <w:rFonts w:eastAsia="Calibri" w:cs="Arial"/>
          <w:szCs w:val="22"/>
          <w:lang w:eastAsia="en-US"/>
        </w:rPr>
        <w:t xml:space="preserve">economy </w:t>
      </w:r>
      <w:r w:rsidR="00346198" w:rsidRPr="00170139">
        <w:rPr>
          <w:rFonts w:eastAsia="Calibri" w:cs="Arial"/>
          <w:szCs w:val="22"/>
          <w:lang w:eastAsia="en-US"/>
        </w:rPr>
        <w:t xml:space="preserve">into the formal </w:t>
      </w:r>
      <w:r w:rsidR="00B806D5" w:rsidRPr="00170139">
        <w:rPr>
          <w:rFonts w:eastAsia="Calibri" w:cs="Arial"/>
          <w:szCs w:val="22"/>
          <w:lang w:eastAsia="en-US"/>
        </w:rPr>
        <w:t>economy,</w:t>
      </w:r>
      <w:r w:rsidR="00346198" w:rsidRPr="00170139">
        <w:rPr>
          <w:rFonts w:eastAsia="Calibri" w:cs="Arial"/>
          <w:szCs w:val="22"/>
          <w:lang w:eastAsia="en-US"/>
        </w:rPr>
        <w:t xml:space="preserve"> and codifying the numbers involved</w:t>
      </w:r>
      <w:r w:rsidR="00B806D5" w:rsidRPr="00170139">
        <w:rPr>
          <w:rFonts w:eastAsia="Calibri" w:cs="Arial"/>
          <w:szCs w:val="22"/>
          <w:lang w:eastAsia="en-US"/>
        </w:rPr>
        <w:t>,</w:t>
      </w:r>
      <w:r w:rsidR="00346198" w:rsidRPr="00170139">
        <w:rPr>
          <w:rFonts w:eastAsia="Calibri" w:cs="Arial"/>
          <w:szCs w:val="22"/>
          <w:lang w:eastAsia="en-US"/>
        </w:rPr>
        <w:t xml:space="preserve"> will be very important </w:t>
      </w:r>
      <w:r w:rsidR="00B806D5" w:rsidRPr="00170139">
        <w:rPr>
          <w:rFonts w:eastAsia="Calibri" w:cs="Arial"/>
          <w:szCs w:val="22"/>
          <w:lang w:eastAsia="en-US"/>
        </w:rPr>
        <w:t>in</w:t>
      </w:r>
      <w:r w:rsidR="00346198" w:rsidRPr="00170139">
        <w:rPr>
          <w:rFonts w:eastAsia="Calibri" w:cs="Arial"/>
          <w:szCs w:val="22"/>
          <w:lang w:eastAsia="en-US"/>
        </w:rPr>
        <w:t xml:space="preserve"> </w:t>
      </w:r>
      <w:r w:rsidR="00B806D5" w:rsidRPr="00170139">
        <w:rPr>
          <w:rFonts w:eastAsia="Calibri" w:cs="Arial"/>
          <w:szCs w:val="22"/>
          <w:lang w:eastAsia="en-US"/>
        </w:rPr>
        <w:t xml:space="preserve">educating </w:t>
      </w:r>
      <w:r w:rsidR="00346198" w:rsidRPr="00170139">
        <w:rPr>
          <w:rFonts w:eastAsia="Calibri" w:cs="Arial"/>
          <w:szCs w:val="22"/>
          <w:lang w:eastAsia="en-US"/>
        </w:rPr>
        <w:t>women employees, managers, and directors</w:t>
      </w:r>
      <w:r w:rsidR="00B806D5" w:rsidRPr="00170139">
        <w:rPr>
          <w:rFonts w:eastAsia="Calibri" w:cs="Arial"/>
          <w:szCs w:val="22"/>
          <w:lang w:eastAsia="en-US"/>
        </w:rPr>
        <w:t xml:space="preserve"> about the economic empowerment of women</w:t>
      </w:r>
      <w:r w:rsidR="00346198" w:rsidRPr="00170139">
        <w:rPr>
          <w:rFonts w:eastAsia="Calibri" w:cs="Arial"/>
          <w:szCs w:val="22"/>
          <w:lang w:eastAsia="en-US"/>
        </w:rPr>
        <w:t xml:space="preserve">. Social and economic reviews of the corporate sector’s performance </w:t>
      </w:r>
      <w:r w:rsidR="00B806D5" w:rsidRPr="00170139">
        <w:rPr>
          <w:rFonts w:eastAsia="Calibri" w:cs="Arial"/>
          <w:szCs w:val="22"/>
          <w:lang w:eastAsia="en-US"/>
        </w:rPr>
        <w:t>in</w:t>
      </w:r>
      <w:r w:rsidR="00346198" w:rsidRPr="00170139">
        <w:rPr>
          <w:rFonts w:eastAsia="Calibri" w:cs="Arial"/>
          <w:szCs w:val="22"/>
          <w:lang w:eastAsia="en-US"/>
        </w:rPr>
        <w:t xml:space="preserve"> enhancing women’s </w:t>
      </w:r>
      <w:r w:rsidR="00B806D5" w:rsidRPr="00170139">
        <w:rPr>
          <w:rFonts w:eastAsia="Calibri" w:cs="Arial"/>
          <w:szCs w:val="22"/>
          <w:lang w:eastAsia="en-US"/>
        </w:rPr>
        <w:t xml:space="preserve">economic participation </w:t>
      </w:r>
      <w:r w:rsidR="00346198" w:rsidRPr="00170139">
        <w:rPr>
          <w:rFonts w:eastAsia="Calibri" w:cs="Arial"/>
          <w:szCs w:val="22"/>
          <w:lang w:eastAsia="en-US"/>
        </w:rPr>
        <w:t>are often difficult to complete</w:t>
      </w:r>
      <w:r w:rsidR="00B806D5" w:rsidRPr="00170139">
        <w:rPr>
          <w:rFonts w:eastAsia="Calibri" w:cs="Arial"/>
          <w:szCs w:val="22"/>
          <w:lang w:eastAsia="en-US"/>
        </w:rPr>
        <w:t>,</w:t>
      </w:r>
      <w:r w:rsidR="00346198" w:rsidRPr="00170139">
        <w:rPr>
          <w:rFonts w:eastAsia="Calibri" w:cs="Arial"/>
          <w:szCs w:val="22"/>
          <w:lang w:eastAsia="en-US"/>
        </w:rPr>
        <w:t xml:space="preserve"> but comparative statistics on what positions women hold are relatively easier</w:t>
      </w:r>
      <w:r w:rsidR="00B806D5" w:rsidRPr="00170139">
        <w:rPr>
          <w:rFonts w:eastAsia="Calibri" w:cs="Arial"/>
          <w:szCs w:val="22"/>
          <w:lang w:eastAsia="en-US"/>
        </w:rPr>
        <w:t xml:space="preserve"> to attain</w:t>
      </w:r>
      <w:r w:rsidR="00346198" w:rsidRPr="00170139">
        <w:rPr>
          <w:rFonts w:eastAsia="Calibri" w:cs="Arial"/>
          <w:szCs w:val="22"/>
          <w:lang w:eastAsia="en-US"/>
        </w:rPr>
        <w:t xml:space="preserve"> and can be </w:t>
      </w:r>
      <w:r w:rsidR="00B806D5" w:rsidRPr="00170139">
        <w:rPr>
          <w:rFonts w:eastAsia="Calibri" w:cs="Arial"/>
          <w:szCs w:val="22"/>
          <w:lang w:eastAsia="en-US"/>
        </w:rPr>
        <w:t xml:space="preserve">even </w:t>
      </w:r>
      <w:r w:rsidR="00346198" w:rsidRPr="00170139">
        <w:rPr>
          <w:rFonts w:eastAsia="Calibri" w:cs="Arial"/>
          <w:szCs w:val="22"/>
          <w:lang w:eastAsia="en-US"/>
        </w:rPr>
        <w:t>more effective. Relative data on women’s empowerment</w:t>
      </w:r>
      <w:r w:rsidR="00B806D5" w:rsidRPr="00170139">
        <w:rPr>
          <w:rFonts w:eastAsia="Calibri" w:cs="Arial"/>
          <w:szCs w:val="22"/>
          <w:lang w:eastAsia="en-US"/>
        </w:rPr>
        <w:t>,</w:t>
      </w:r>
      <w:r w:rsidR="00346198" w:rsidRPr="00170139">
        <w:rPr>
          <w:rFonts w:eastAsia="Calibri" w:cs="Arial"/>
          <w:szCs w:val="22"/>
          <w:lang w:eastAsia="en-US"/>
        </w:rPr>
        <w:t xml:space="preserve"> documented through the transparency of the PSDI-sponsored registry systems</w:t>
      </w:r>
      <w:r w:rsidR="00B806D5" w:rsidRPr="00170139">
        <w:rPr>
          <w:rFonts w:eastAsia="Calibri" w:cs="Arial"/>
          <w:szCs w:val="22"/>
          <w:lang w:eastAsia="en-US"/>
        </w:rPr>
        <w:t>,</w:t>
      </w:r>
      <w:r w:rsidR="00346198" w:rsidRPr="00170139">
        <w:rPr>
          <w:rFonts w:eastAsia="Calibri" w:cs="Arial"/>
          <w:szCs w:val="22"/>
          <w:lang w:eastAsia="en-US"/>
        </w:rPr>
        <w:t xml:space="preserve"> </w:t>
      </w:r>
      <w:r w:rsidR="00B806D5" w:rsidRPr="00170139">
        <w:rPr>
          <w:rFonts w:eastAsia="Calibri" w:cs="Arial"/>
          <w:szCs w:val="22"/>
          <w:lang w:eastAsia="en-US"/>
        </w:rPr>
        <w:t xml:space="preserve">could </w:t>
      </w:r>
      <w:r w:rsidR="00346198" w:rsidRPr="00170139">
        <w:rPr>
          <w:rFonts w:eastAsia="Calibri" w:cs="Arial"/>
          <w:szCs w:val="22"/>
          <w:lang w:eastAsia="en-US"/>
        </w:rPr>
        <w:t>be very helpful</w:t>
      </w:r>
      <w:r w:rsidR="00B806D5" w:rsidRPr="00170139">
        <w:rPr>
          <w:rFonts w:eastAsia="Calibri" w:cs="Arial"/>
          <w:szCs w:val="22"/>
          <w:lang w:eastAsia="en-US"/>
        </w:rPr>
        <w:t xml:space="preserve"> in this regard</w:t>
      </w:r>
      <w:r w:rsidR="00346198" w:rsidRPr="00170139">
        <w:rPr>
          <w:rFonts w:eastAsia="Calibri" w:cs="Arial"/>
          <w:szCs w:val="22"/>
          <w:lang w:eastAsia="en-US"/>
        </w:rPr>
        <w:t>.</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PSDI </w:t>
      </w:r>
      <w:r w:rsidR="00CD5D6D" w:rsidRPr="00170139">
        <w:rPr>
          <w:rFonts w:eastAsia="Calibri" w:cs="Arial"/>
          <w:szCs w:val="22"/>
          <w:lang w:eastAsia="en-US"/>
        </w:rPr>
        <w:t xml:space="preserve">conducted a </w:t>
      </w:r>
      <w:r w:rsidRPr="00170139">
        <w:rPr>
          <w:rFonts w:eastAsia="Calibri" w:cs="Arial"/>
          <w:szCs w:val="22"/>
          <w:lang w:eastAsia="en-US"/>
        </w:rPr>
        <w:t>review of Palau’s corporate law and company registry at the beginning of PSDI III</w:t>
      </w:r>
      <w:r w:rsidR="00CD5D6D" w:rsidRPr="00170139">
        <w:rPr>
          <w:rFonts w:eastAsia="Calibri" w:cs="Arial"/>
          <w:szCs w:val="22"/>
          <w:lang w:eastAsia="en-US"/>
        </w:rPr>
        <w:t>, and</w:t>
      </w:r>
      <w:r w:rsidRPr="00170139">
        <w:rPr>
          <w:rFonts w:eastAsia="Calibri" w:cs="Arial"/>
          <w:szCs w:val="22"/>
          <w:lang w:eastAsia="en-US"/>
        </w:rPr>
        <w:t xml:space="preserve"> found that the </w:t>
      </w:r>
      <w:r w:rsidR="00CD5D6D" w:rsidRPr="00170139">
        <w:rPr>
          <w:rFonts w:eastAsia="Calibri" w:cs="Arial"/>
          <w:szCs w:val="22"/>
          <w:lang w:eastAsia="en-US"/>
        </w:rPr>
        <w:t xml:space="preserve">country’s </w:t>
      </w:r>
      <w:r w:rsidRPr="00170139">
        <w:rPr>
          <w:rFonts w:eastAsia="Calibri" w:cs="Arial"/>
          <w:szCs w:val="22"/>
          <w:lang w:eastAsia="en-US"/>
        </w:rPr>
        <w:t xml:space="preserve">private sector was severely constrained by an outdated corporate law and an almost dysfunctional paper-based corporate registry. In 2016, the Government of Palau </w:t>
      </w:r>
      <w:r w:rsidR="00CD5D6D" w:rsidRPr="00170139">
        <w:rPr>
          <w:rFonts w:eastAsia="Calibri" w:cs="Arial"/>
          <w:szCs w:val="22"/>
          <w:lang w:eastAsia="en-US"/>
        </w:rPr>
        <w:t xml:space="preserve">asked </w:t>
      </w:r>
      <w:r w:rsidRPr="00170139">
        <w:rPr>
          <w:rFonts w:eastAsia="Calibri" w:cs="Arial"/>
          <w:szCs w:val="22"/>
          <w:lang w:eastAsia="en-US"/>
        </w:rPr>
        <w:t>PSDI to lead a reform program of the corporate registry</w:t>
      </w:r>
      <w:r w:rsidR="00CD5D6D" w:rsidRPr="00170139">
        <w:rPr>
          <w:rFonts w:eastAsia="Calibri" w:cs="Arial"/>
          <w:szCs w:val="22"/>
          <w:lang w:eastAsia="en-US"/>
        </w:rPr>
        <w:t>,</w:t>
      </w:r>
      <w:r w:rsidRPr="00170139">
        <w:rPr>
          <w:rFonts w:eastAsia="Calibri" w:cs="Arial"/>
          <w:szCs w:val="22"/>
          <w:lang w:eastAsia="en-US"/>
        </w:rPr>
        <w:t xml:space="preserve"> includ</w:t>
      </w:r>
      <w:r w:rsidR="00CD5D6D" w:rsidRPr="00170139">
        <w:rPr>
          <w:rFonts w:eastAsia="Calibri" w:cs="Arial"/>
          <w:szCs w:val="22"/>
          <w:lang w:eastAsia="en-US"/>
        </w:rPr>
        <w:t>ing</w:t>
      </w:r>
      <w:r w:rsidRPr="00170139">
        <w:rPr>
          <w:rFonts w:eastAsia="Calibri" w:cs="Arial"/>
          <w:szCs w:val="22"/>
          <w:lang w:eastAsia="en-US"/>
        </w:rPr>
        <w:t xml:space="preserve"> the development of an online registry once </w:t>
      </w:r>
      <w:r w:rsidR="00CD5D6D" w:rsidRPr="00170139">
        <w:rPr>
          <w:rFonts w:eastAsia="Calibri" w:cs="Arial"/>
          <w:szCs w:val="22"/>
          <w:lang w:eastAsia="en-US"/>
        </w:rPr>
        <w:t xml:space="preserve">appropriate </w:t>
      </w:r>
      <w:r w:rsidRPr="00170139">
        <w:rPr>
          <w:rFonts w:eastAsia="Calibri" w:cs="Arial"/>
          <w:szCs w:val="22"/>
          <w:shd w:val="clear" w:color="auto" w:fill="FFFFFF"/>
          <w:lang w:eastAsia="en-US"/>
        </w:rPr>
        <w:t xml:space="preserve">corporate legislation is drafted and </w:t>
      </w:r>
      <w:r w:rsidR="00CD5D6D" w:rsidRPr="00170139">
        <w:rPr>
          <w:rFonts w:eastAsia="Calibri" w:cs="Arial"/>
          <w:szCs w:val="22"/>
          <w:shd w:val="clear" w:color="auto" w:fill="FFFFFF"/>
          <w:lang w:eastAsia="en-US"/>
        </w:rPr>
        <w:t>enacted</w:t>
      </w:r>
      <w:r w:rsidRPr="00170139">
        <w:rPr>
          <w:rFonts w:eastAsia="Calibri" w:cs="Arial"/>
          <w:szCs w:val="22"/>
          <w:lang w:eastAsia="en-US"/>
        </w:rPr>
        <w:t xml:space="preserve">. The legislation will be finalized in 2017 and PSDI will assist </w:t>
      </w:r>
      <w:r w:rsidR="00CD5D6D" w:rsidRPr="00170139">
        <w:rPr>
          <w:rFonts w:eastAsia="Calibri" w:cs="Arial"/>
          <w:szCs w:val="22"/>
          <w:lang w:eastAsia="en-US"/>
        </w:rPr>
        <w:t xml:space="preserve">with </w:t>
      </w:r>
      <w:r w:rsidRPr="00170139">
        <w:rPr>
          <w:rFonts w:eastAsia="Calibri" w:cs="Arial"/>
          <w:szCs w:val="22"/>
          <w:lang w:eastAsia="en-US"/>
        </w:rPr>
        <w:t xml:space="preserve">its passage through </w:t>
      </w:r>
      <w:r w:rsidR="0080506F" w:rsidRPr="00170139">
        <w:rPr>
          <w:rFonts w:eastAsia="Calibri" w:cs="Arial"/>
          <w:szCs w:val="22"/>
          <w:lang w:eastAsia="en-US"/>
        </w:rPr>
        <w:t>Palau</w:t>
      </w:r>
      <w:r w:rsidR="00CD5D6D" w:rsidRPr="00170139">
        <w:rPr>
          <w:rFonts w:eastAsia="Calibri" w:cs="Arial"/>
          <w:szCs w:val="22"/>
          <w:lang w:eastAsia="en-US"/>
        </w:rPr>
        <w:t>’s</w:t>
      </w:r>
      <w:r w:rsidR="0080506F" w:rsidRPr="00170139">
        <w:rPr>
          <w:rFonts w:eastAsia="Calibri" w:cs="Arial"/>
          <w:szCs w:val="22"/>
          <w:lang w:eastAsia="en-US"/>
        </w:rPr>
        <w:t xml:space="preserve"> House of Representatives.</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In Vanuatu, PSDI supported an overhaul of business laws in 2012 and 2013</w:t>
      </w:r>
      <w:r w:rsidR="003262AB" w:rsidRPr="00170139">
        <w:rPr>
          <w:rFonts w:eastAsia="Calibri" w:cs="Arial"/>
          <w:szCs w:val="22"/>
          <w:lang w:eastAsia="en-US"/>
        </w:rPr>
        <w:t>. W</w:t>
      </w:r>
      <w:r w:rsidRPr="00170139">
        <w:rPr>
          <w:rFonts w:eastAsia="Calibri" w:cs="Arial"/>
          <w:szCs w:val="22"/>
          <w:lang w:eastAsia="en-US"/>
        </w:rPr>
        <w:t xml:space="preserve">ith the new legal framework in place, PSDI has supported </w:t>
      </w:r>
      <w:r w:rsidR="003262AB" w:rsidRPr="00170139">
        <w:rPr>
          <w:rFonts w:eastAsia="Calibri" w:cs="Arial"/>
          <w:szCs w:val="22"/>
          <w:lang w:eastAsia="en-US"/>
        </w:rPr>
        <w:t xml:space="preserve">its </w:t>
      </w:r>
      <w:r w:rsidRPr="00170139">
        <w:rPr>
          <w:rFonts w:eastAsia="Calibri" w:cs="Arial"/>
          <w:szCs w:val="22"/>
          <w:lang w:eastAsia="en-US"/>
        </w:rPr>
        <w:t>implementation</w:t>
      </w:r>
      <w:r w:rsidR="003262AB" w:rsidRPr="00170139">
        <w:rPr>
          <w:rFonts w:eastAsia="Calibri" w:cs="Arial"/>
          <w:szCs w:val="22"/>
          <w:lang w:eastAsia="en-US"/>
        </w:rPr>
        <w:t>,</w:t>
      </w:r>
      <w:r w:rsidRPr="00170139">
        <w:rPr>
          <w:rFonts w:eastAsia="Calibri" w:cs="Arial"/>
          <w:szCs w:val="22"/>
          <w:lang w:eastAsia="en-US"/>
        </w:rPr>
        <w:t xml:space="preserve"> including the launch </w:t>
      </w:r>
      <w:r w:rsidR="003262AB" w:rsidRPr="00170139">
        <w:rPr>
          <w:rFonts w:eastAsia="Calibri" w:cs="Arial"/>
          <w:szCs w:val="22"/>
          <w:lang w:eastAsia="en-US"/>
        </w:rPr>
        <w:t xml:space="preserve">in August 2015 </w:t>
      </w:r>
      <w:r w:rsidRPr="00170139">
        <w:rPr>
          <w:rFonts w:eastAsia="Calibri" w:cs="Arial"/>
          <w:szCs w:val="22"/>
          <w:lang w:eastAsia="en-US"/>
        </w:rPr>
        <w:t xml:space="preserve">of </w:t>
      </w:r>
      <w:r w:rsidR="003262AB" w:rsidRPr="00170139">
        <w:rPr>
          <w:rFonts w:eastAsia="Calibri" w:cs="Arial"/>
          <w:szCs w:val="22"/>
          <w:lang w:eastAsia="en-US"/>
        </w:rPr>
        <w:t xml:space="preserve">an </w:t>
      </w:r>
      <w:r w:rsidRPr="00170139">
        <w:rPr>
          <w:rFonts w:eastAsia="Calibri" w:cs="Arial"/>
          <w:szCs w:val="22"/>
          <w:lang w:eastAsia="en-US"/>
        </w:rPr>
        <w:t xml:space="preserve">online </w:t>
      </w:r>
      <w:r w:rsidR="003262AB" w:rsidRPr="00170139">
        <w:rPr>
          <w:rFonts w:eastAsia="Calibri" w:cs="Arial"/>
          <w:szCs w:val="22"/>
          <w:lang w:eastAsia="en-US"/>
        </w:rPr>
        <w:t xml:space="preserve">registry for </w:t>
      </w:r>
      <w:r w:rsidRPr="00170139">
        <w:rPr>
          <w:rFonts w:eastAsia="Calibri" w:cs="Arial"/>
          <w:szCs w:val="22"/>
          <w:lang w:eastAsia="en-US"/>
        </w:rPr>
        <w:t>companies, business names</w:t>
      </w:r>
      <w:r w:rsidR="003262AB" w:rsidRPr="00170139">
        <w:rPr>
          <w:rFonts w:eastAsia="Calibri" w:cs="Arial"/>
          <w:szCs w:val="22"/>
          <w:lang w:eastAsia="en-US"/>
        </w:rPr>
        <w:t>,</w:t>
      </w:r>
      <w:r w:rsidRPr="00170139">
        <w:rPr>
          <w:rFonts w:eastAsia="Calibri" w:cs="Arial"/>
          <w:szCs w:val="22"/>
          <w:lang w:eastAsia="en-US"/>
        </w:rPr>
        <w:t xml:space="preserve"> and charitable </w:t>
      </w:r>
      <w:r w:rsidR="003262AB" w:rsidRPr="00170139">
        <w:rPr>
          <w:rFonts w:eastAsia="Calibri" w:cs="Arial"/>
          <w:szCs w:val="22"/>
          <w:lang w:eastAsia="en-US"/>
        </w:rPr>
        <w:t xml:space="preserve">associations. This </w:t>
      </w:r>
      <w:r w:rsidRPr="00170139">
        <w:rPr>
          <w:rFonts w:eastAsia="Calibri" w:cs="Arial"/>
          <w:szCs w:val="22"/>
          <w:lang w:eastAsia="en-US"/>
        </w:rPr>
        <w:t>registry has sharply reduced</w:t>
      </w:r>
      <w:r w:rsidR="003262AB" w:rsidRPr="00170139">
        <w:rPr>
          <w:rFonts w:eastAsia="Calibri" w:cs="Arial"/>
          <w:szCs w:val="22"/>
          <w:lang w:eastAsia="en-US"/>
        </w:rPr>
        <w:t xml:space="preserve"> the time it takes for </w:t>
      </w:r>
      <w:r w:rsidRPr="00170139">
        <w:rPr>
          <w:rFonts w:eastAsia="Calibri" w:cs="Arial"/>
          <w:szCs w:val="22"/>
          <w:lang w:eastAsia="en-US"/>
        </w:rPr>
        <w:t>private sector</w:t>
      </w:r>
      <w:r w:rsidR="003262AB" w:rsidRPr="00170139">
        <w:rPr>
          <w:rFonts w:eastAsia="Calibri" w:cs="Arial"/>
          <w:szCs w:val="22"/>
          <w:lang w:eastAsia="en-US"/>
        </w:rPr>
        <w:t xml:space="preserve"> enterprises</w:t>
      </w:r>
      <w:r w:rsidRPr="00170139">
        <w:rPr>
          <w:rFonts w:eastAsia="Calibri" w:cs="Arial"/>
          <w:szCs w:val="22"/>
          <w:lang w:eastAsia="en-US"/>
        </w:rPr>
        <w:t xml:space="preserve"> to undertake registrations and other regulatory requirements.</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In Samoa, PSDI has been supporting business law reform and</w:t>
      </w:r>
      <w:r w:rsidR="003262AB" w:rsidRPr="00170139">
        <w:rPr>
          <w:rFonts w:eastAsia="Calibri" w:cs="Arial"/>
          <w:szCs w:val="22"/>
          <w:lang w:eastAsia="en-US"/>
        </w:rPr>
        <w:t>,</w:t>
      </w:r>
      <w:r w:rsidRPr="00170139">
        <w:rPr>
          <w:rFonts w:eastAsia="Calibri" w:cs="Arial"/>
          <w:szCs w:val="22"/>
          <w:lang w:eastAsia="en-US"/>
        </w:rPr>
        <w:t xml:space="preserve"> in 2017</w:t>
      </w:r>
      <w:r w:rsidR="003262AB" w:rsidRPr="00170139">
        <w:rPr>
          <w:rFonts w:eastAsia="Calibri" w:cs="Arial"/>
          <w:szCs w:val="22"/>
          <w:lang w:eastAsia="en-US"/>
        </w:rPr>
        <w:t>, it helped</w:t>
      </w:r>
      <w:r w:rsidRPr="00170139">
        <w:rPr>
          <w:rFonts w:eastAsia="Calibri" w:cs="Arial"/>
          <w:szCs w:val="22"/>
          <w:lang w:eastAsia="en-US"/>
        </w:rPr>
        <w:t xml:space="preserve"> implement </w:t>
      </w:r>
      <w:r w:rsidR="003262AB" w:rsidRPr="00170139">
        <w:rPr>
          <w:rFonts w:eastAsia="Calibri" w:cs="Arial"/>
          <w:szCs w:val="22"/>
          <w:lang w:eastAsia="en-US"/>
        </w:rPr>
        <w:t xml:space="preserve">a </w:t>
      </w:r>
      <w:r w:rsidRPr="00170139">
        <w:rPr>
          <w:rFonts w:eastAsia="Calibri" w:cs="Arial"/>
          <w:szCs w:val="22"/>
          <w:lang w:eastAsia="en-US"/>
        </w:rPr>
        <w:t xml:space="preserve">business law simplification package </w:t>
      </w:r>
      <w:r w:rsidR="003262AB" w:rsidRPr="00170139">
        <w:rPr>
          <w:rFonts w:eastAsia="Calibri" w:cs="Arial"/>
          <w:szCs w:val="22"/>
          <w:lang w:eastAsia="en-US"/>
        </w:rPr>
        <w:t xml:space="preserve">that </w:t>
      </w:r>
      <w:r w:rsidRPr="00170139">
        <w:rPr>
          <w:rFonts w:eastAsia="Calibri" w:cs="Arial"/>
          <w:szCs w:val="22"/>
          <w:lang w:eastAsia="en-US"/>
        </w:rPr>
        <w:t>include</w:t>
      </w:r>
      <w:r w:rsidR="003262AB" w:rsidRPr="00170139">
        <w:rPr>
          <w:rFonts w:eastAsia="Calibri" w:cs="Arial"/>
          <w:szCs w:val="22"/>
          <w:lang w:eastAsia="en-US"/>
        </w:rPr>
        <w:t>s</w:t>
      </w:r>
      <w:r w:rsidRPr="00170139">
        <w:rPr>
          <w:rFonts w:eastAsia="Calibri" w:cs="Arial"/>
          <w:szCs w:val="22"/>
          <w:lang w:eastAsia="en-US"/>
        </w:rPr>
        <w:t xml:space="preserve"> a legal diagnostic and policy review of foreign direct investment, company law</w:t>
      </w:r>
      <w:r w:rsidR="003262AB" w:rsidRPr="00170139">
        <w:rPr>
          <w:rFonts w:eastAsia="Calibri" w:cs="Arial"/>
          <w:szCs w:val="22"/>
          <w:lang w:eastAsia="en-US"/>
        </w:rPr>
        <w:t>,</w:t>
      </w:r>
      <w:r w:rsidRPr="00170139">
        <w:rPr>
          <w:rFonts w:eastAsia="Calibri" w:cs="Arial"/>
          <w:szCs w:val="22"/>
          <w:lang w:eastAsia="en-US"/>
        </w:rPr>
        <w:t xml:space="preserve"> and other entities supervised by </w:t>
      </w:r>
      <w:r w:rsidR="003262AB" w:rsidRPr="00170139">
        <w:rPr>
          <w:rFonts w:eastAsia="Calibri" w:cs="Arial"/>
          <w:szCs w:val="22"/>
          <w:lang w:eastAsia="en-US"/>
        </w:rPr>
        <w:t xml:space="preserve">Samoa’s </w:t>
      </w:r>
      <w:r w:rsidRPr="00170139">
        <w:rPr>
          <w:rFonts w:eastAsia="Calibri" w:cs="Arial"/>
          <w:szCs w:val="22"/>
          <w:lang w:eastAsia="en-US"/>
        </w:rPr>
        <w:t xml:space="preserve">Ministry of Commerce. This </w:t>
      </w:r>
      <w:r w:rsidR="003262AB" w:rsidRPr="00170139">
        <w:rPr>
          <w:rFonts w:eastAsia="Calibri" w:cs="Arial"/>
          <w:szCs w:val="22"/>
          <w:lang w:eastAsia="en-US"/>
        </w:rPr>
        <w:t xml:space="preserve">package </w:t>
      </w:r>
      <w:r w:rsidRPr="00170139">
        <w:rPr>
          <w:rFonts w:eastAsia="Calibri" w:cs="Arial"/>
          <w:szCs w:val="22"/>
          <w:lang w:eastAsia="en-US"/>
        </w:rPr>
        <w:t xml:space="preserve">will include a feasibility </w:t>
      </w:r>
      <w:r w:rsidR="003262AB" w:rsidRPr="00170139">
        <w:rPr>
          <w:rFonts w:eastAsia="Calibri" w:cs="Arial"/>
          <w:szCs w:val="22"/>
          <w:lang w:eastAsia="en-US"/>
        </w:rPr>
        <w:t xml:space="preserve">study </w:t>
      </w:r>
      <w:r w:rsidRPr="00170139">
        <w:rPr>
          <w:rFonts w:eastAsia="Calibri" w:cs="Arial"/>
          <w:szCs w:val="22"/>
          <w:lang w:eastAsia="en-US"/>
        </w:rPr>
        <w:t>for a</w:t>
      </w:r>
      <w:r w:rsidR="003262AB" w:rsidRPr="00170139">
        <w:rPr>
          <w:rFonts w:eastAsia="Calibri" w:cs="Arial"/>
          <w:szCs w:val="22"/>
          <w:lang w:eastAsia="en-US"/>
        </w:rPr>
        <w:t>n electronic</w:t>
      </w:r>
      <w:r w:rsidRPr="00170139">
        <w:rPr>
          <w:rFonts w:eastAsia="Calibri" w:cs="Arial"/>
          <w:szCs w:val="22"/>
          <w:lang w:eastAsia="en-US"/>
        </w:rPr>
        <w:t xml:space="preserve"> business names registry</w:t>
      </w:r>
      <w:r w:rsidR="003262AB" w:rsidRPr="00170139">
        <w:rPr>
          <w:rFonts w:eastAsia="Calibri" w:cs="Arial"/>
          <w:szCs w:val="22"/>
          <w:lang w:eastAsia="en-US"/>
        </w:rPr>
        <w:t>, which</w:t>
      </w:r>
      <w:r w:rsidRPr="00170139">
        <w:rPr>
          <w:rFonts w:eastAsia="Calibri" w:cs="Arial"/>
          <w:szCs w:val="22"/>
          <w:lang w:eastAsia="en-US"/>
        </w:rPr>
        <w:t xml:space="preserve"> </w:t>
      </w:r>
      <w:r w:rsidR="003262AB" w:rsidRPr="00170139">
        <w:rPr>
          <w:rFonts w:eastAsia="Calibri" w:cs="Arial"/>
          <w:szCs w:val="22"/>
          <w:lang w:eastAsia="en-US"/>
        </w:rPr>
        <w:t>is</w:t>
      </w:r>
      <w:r w:rsidRPr="00170139">
        <w:rPr>
          <w:rFonts w:eastAsia="Calibri" w:cs="Arial"/>
          <w:szCs w:val="22"/>
          <w:lang w:eastAsia="en-US"/>
        </w:rPr>
        <w:t xml:space="preserve"> expected to provide the basis for the government’s e-payment facilities. Corporate law reform is also underway in the smaller economy of </w:t>
      </w:r>
      <w:r w:rsidR="003262AB" w:rsidRPr="00170139">
        <w:rPr>
          <w:rFonts w:eastAsia="Calibri" w:cs="Arial"/>
          <w:szCs w:val="22"/>
          <w:lang w:eastAsia="en-US"/>
        </w:rPr>
        <w:t>the FSM</w:t>
      </w:r>
      <w:r w:rsidRPr="00170139">
        <w:rPr>
          <w:rFonts w:eastAsia="Calibri" w:cs="Arial"/>
          <w:szCs w:val="22"/>
          <w:lang w:eastAsia="en-US"/>
        </w:rPr>
        <w:t>.</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PSDI has rapidly upscaled its program in Fiji</w:t>
      </w:r>
      <w:r w:rsidR="003262AB" w:rsidRPr="00170139">
        <w:rPr>
          <w:rFonts w:eastAsia="Calibri" w:cs="Arial"/>
          <w:szCs w:val="22"/>
          <w:lang w:eastAsia="en-US"/>
        </w:rPr>
        <w:t>,</w:t>
      </w:r>
      <w:r w:rsidRPr="00170139">
        <w:rPr>
          <w:rFonts w:eastAsia="Calibri" w:cs="Arial"/>
          <w:szCs w:val="22"/>
          <w:lang w:eastAsia="en-US"/>
        </w:rPr>
        <w:t xml:space="preserve"> following the resumption of development activities </w:t>
      </w:r>
      <w:r w:rsidR="003262AB" w:rsidRPr="00170139">
        <w:rPr>
          <w:rFonts w:eastAsia="Calibri" w:cs="Arial"/>
          <w:szCs w:val="22"/>
          <w:lang w:eastAsia="en-US"/>
        </w:rPr>
        <w:t xml:space="preserve">after </w:t>
      </w:r>
      <w:r w:rsidRPr="00170139">
        <w:rPr>
          <w:rFonts w:eastAsia="Calibri" w:cs="Arial"/>
          <w:szCs w:val="22"/>
          <w:lang w:eastAsia="en-US"/>
        </w:rPr>
        <w:t xml:space="preserve">democracy </w:t>
      </w:r>
      <w:r w:rsidR="003262AB" w:rsidRPr="00170139">
        <w:rPr>
          <w:rFonts w:eastAsia="Calibri" w:cs="Arial"/>
          <w:szCs w:val="22"/>
          <w:lang w:eastAsia="en-US"/>
        </w:rPr>
        <w:t>was</w:t>
      </w:r>
      <w:r w:rsidRPr="00170139">
        <w:rPr>
          <w:rFonts w:eastAsia="Calibri" w:cs="Arial"/>
          <w:szCs w:val="22"/>
          <w:lang w:eastAsia="en-US"/>
        </w:rPr>
        <w:t xml:space="preserve"> restored in November 2014. PSDI has supported the Secured Securities Taskforce in Fiji to develop a policy paper to guide </w:t>
      </w:r>
      <w:r w:rsidR="008606BE" w:rsidRPr="00170139">
        <w:rPr>
          <w:rFonts w:eastAsia="Calibri" w:cs="Arial"/>
          <w:szCs w:val="22"/>
          <w:lang w:eastAsia="en-US"/>
        </w:rPr>
        <w:t xml:space="preserve">the legislative </w:t>
      </w:r>
      <w:r w:rsidRPr="00170139">
        <w:rPr>
          <w:rFonts w:eastAsia="Calibri" w:cs="Arial"/>
          <w:szCs w:val="22"/>
          <w:lang w:eastAsia="en-US"/>
        </w:rPr>
        <w:t>reforms</w:t>
      </w:r>
      <w:r w:rsidR="008606BE" w:rsidRPr="00170139">
        <w:rPr>
          <w:rFonts w:eastAsia="Calibri" w:cs="Arial"/>
          <w:szCs w:val="22"/>
          <w:lang w:eastAsia="en-US"/>
        </w:rPr>
        <w:t xml:space="preserve"> necessary for secured transactions. It</w:t>
      </w:r>
      <w:r w:rsidRPr="00170139">
        <w:rPr>
          <w:rFonts w:eastAsia="Calibri" w:cs="Arial"/>
          <w:szCs w:val="22"/>
          <w:lang w:eastAsia="en-US"/>
        </w:rPr>
        <w:t xml:space="preserve"> has </w:t>
      </w:r>
      <w:r w:rsidR="008606BE" w:rsidRPr="00170139">
        <w:rPr>
          <w:rFonts w:eastAsia="Calibri" w:cs="Arial"/>
          <w:szCs w:val="22"/>
          <w:lang w:eastAsia="en-US"/>
        </w:rPr>
        <w:t xml:space="preserve">simultaneously </w:t>
      </w:r>
      <w:r w:rsidRPr="00170139">
        <w:rPr>
          <w:rFonts w:eastAsia="Calibri" w:cs="Arial"/>
          <w:szCs w:val="22"/>
          <w:lang w:eastAsia="en-US"/>
        </w:rPr>
        <w:t xml:space="preserve">been working with the Fiji Development Bank to support </w:t>
      </w:r>
      <w:r w:rsidR="008606BE" w:rsidRPr="00170139">
        <w:rPr>
          <w:rFonts w:eastAsia="Calibri" w:cs="Arial"/>
          <w:szCs w:val="22"/>
          <w:lang w:eastAsia="en-US"/>
        </w:rPr>
        <w:t xml:space="preserve">the implementation of </w:t>
      </w:r>
      <w:r w:rsidRPr="00170139">
        <w:rPr>
          <w:rFonts w:eastAsia="Calibri" w:cs="Arial"/>
          <w:szCs w:val="22"/>
          <w:lang w:eastAsia="en-US"/>
        </w:rPr>
        <w:t xml:space="preserve">secured transaction reform applications once the </w:t>
      </w:r>
      <w:r w:rsidR="003262AB" w:rsidRPr="00170139">
        <w:rPr>
          <w:rFonts w:eastAsia="Calibri" w:cs="Arial"/>
          <w:szCs w:val="22"/>
          <w:lang w:eastAsia="en-US"/>
        </w:rPr>
        <w:t>necessary</w:t>
      </w:r>
      <w:r w:rsidR="008606BE" w:rsidRPr="00170139">
        <w:rPr>
          <w:rFonts w:eastAsia="Calibri" w:cs="Arial"/>
          <w:szCs w:val="22"/>
          <w:lang w:eastAsia="en-US"/>
        </w:rPr>
        <w:t xml:space="preserve"> legislative</w:t>
      </w:r>
      <w:r w:rsidR="003262AB" w:rsidRPr="00170139">
        <w:rPr>
          <w:rFonts w:eastAsia="Calibri" w:cs="Arial"/>
          <w:szCs w:val="22"/>
          <w:lang w:eastAsia="en-US"/>
        </w:rPr>
        <w:t xml:space="preserve"> </w:t>
      </w:r>
      <w:r w:rsidRPr="00170139">
        <w:rPr>
          <w:rFonts w:eastAsia="Calibri" w:cs="Arial"/>
          <w:szCs w:val="22"/>
          <w:lang w:eastAsia="en-US"/>
        </w:rPr>
        <w:t>reforms are passed. PSDI has also undertaken a comprehensive review of all the business law reforms needed in Fiji</w:t>
      </w:r>
      <w:r w:rsidR="008606BE" w:rsidRPr="00170139">
        <w:rPr>
          <w:rFonts w:eastAsia="Calibri" w:cs="Arial"/>
          <w:szCs w:val="22"/>
          <w:lang w:eastAsia="en-US"/>
        </w:rPr>
        <w:t>. This work has been conducted</w:t>
      </w:r>
      <w:r w:rsidRPr="00170139">
        <w:rPr>
          <w:rFonts w:eastAsia="Calibri" w:cs="Arial"/>
          <w:szCs w:val="22"/>
          <w:lang w:eastAsia="en-US"/>
        </w:rPr>
        <w:t xml:space="preserve"> in conjunction with New Zealand’s Company Office</w:t>
      </w:r>
      <w:r w:rsidR="008606BE" w:rsidRPr="00170139">
        <w:rPr>
          <w:rFonts w:eastAsia="Calibri" w:cs="Arial"/>
          <w:szCs w:val="22"/>
          <w:lang w:eastAsia="en-US"/>
        </w:rPr>
        <w:t>,</w:t>
      </w:r>
      <w:r w:rsidRPr="00170139">
        <w:rPr>
          <w:rFonts w:eastAsia="Calibri" w:cs="Arial"/>
          <w:szCs w:val="22"/>
          <w:lang w:eastAsia="en-US"/>
        </w:rPr>
        <w:t xml:space="preserve"> which is also prepared to assist in the implementation of Fiji’s </w:t>
      </w:r>
      <w:r w:rsidR="008606BE" w:rsidRPr="00170139">
        <w:rPr>
          <w:rFonts w:eastAsia="Calibri" w:cs="Arial"/>
          <w:szCs w:val="22"/>
          <w:lang w:eastAsia="en-US"/>
        </w:rPr>
        <w:t xml:space="preserve">companies </w:t>
      </w:r>
      <w:r w:rsidRPr="00170139">
        <w:rPr>
          <w:rFonts w:eastAsia="Calibri" w:cs="Arial"/>
          <w:szCs w:val="22"/>
          <w:lang w:eastAsia="en-US"/>
        </w:rPr>
        <w:t>registry.</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PSDI’s most active program in business law reform has been in Solomon Islands</w:t>
      </w:r>
      <w:r w:rsidR="008606BE" w:rsidRPr="00170139">
        <w:rPr>
          <w:rFonts w:eastAsia="Calibri" w:cs="Arial"/>
          <w:szCs w:val="22"/>
          <w:lang w:eastAsia="en-US"/>
        </w:rPr>
        <w:t xml:space="preserve">, </w:t>
      </w:r>
      <w:r w:rsidRPr="00170139">
        <w:rPr>
          <w:rFonts w:eastAsia="Calibri" w:cs="Arial"/>
          <w:szCs w:val="22"/>
          <w:lang w:eastAsia="en-US"/>
        </w:rPr>
        <w:t xml:space="preserve">with very effective results. Corporate registration times have been reduced from 3 months to 36 hours. </w:t>
      </w:r>
      <w:r w:rsidR="008606BE" w:rsidRPr="00170139">
        <w:rPr>
          <w:rFonts w:eastAsia="Calibri" w:cs="Arial"/>
          <w:szCs w:val="22"/>
          <w:lang w:eastAsia="en-US"/>
        </w:rPr>
        <w:t>In August 2014</w:t>
      </w:r>
      <w:r w:rsidRPr="00170139">
        <w:rPr>
          <w:rFonts w:eastAsia="Calibri" w:cs="Arial"/>
          <w:szCs w:val="22"/>
          <w:lang w:eastAsia="en-US"/>
        </w:rPr>
        <w:t>, a reform was taken in</w:t>
      </w:r>
      <w:r w:rsidR="008606BE" w:rsidRPr="00170139">
        <w:rPr>
          <w:rFonts w:eastAsia="Calibri" w:cs="Arial"/>
          <w:szCs w:val="22"/>
          <w:lang w:eastAsia="en-US"/>
        </w:rPr>
        <w:t xml:space="preserve"> the registration of</w:t>
      </w:r>
      <w:r w:rsidRPr="00170139">
        <w:rPr>
          <w:rFonts w:eastAsia="Calibri" w:cs="Arial"/>
          <w:szCs w:val="22"/>
          <w:lang w:eastAsia="en-US"/>
        </w:rPr>
        <w:t xml:space="preserve"> business names</w:t>
      </w:r>
      <w:r w:rsidR="008606BE" w:rsidRPr="00170139">
        <w:rPr>
          <w:rFonts w:eastAsia="Calibri" w:cs="Arial"/>
          <w:szCs w:val="22"/>
          <w:lang w:eastAsia="en-US"/>
        </w:rPr>
        <w:t>,</w:t>
      </w:r>
      <w:r w:rsidRPr="00170139">
        <w:rPr>
          <w:rFonts w:eastAsia="Calibri" w:cs="Arial"/>
          <w:szCs w:val="22"/>
          <w:lang w:eastAsia="en-US"/>
        </w:rPr>
        <w:t xml:space="preserve"> resulting in small businesses being able to register their names both faster and more cheaply. PSDI </w:t>
      </w:r>
      <w:r w:rsidR="008752EF" w:rsidRPr="00170139">
        <w:rPr>
          <w:rFonts w:eastAsia="Calibri" w:cs="Arial"/>
          <w:szCs w:val="22"/>
          <w:lang w:eastAsia="en-US"/>
        </w:rPr>
        <w:t xml:space="preserve">has continued </w:t>
      </w:r>
      <w:r w:rsidRPr="00170139">
        <w:rPr>
          <w:rFonts w:eastAsia="Calibri" w:cs="Arial"/>
          <w:szCs w:val="22"/>
          <w:lang w:eastAsia="en-US"/>
        </w:rPr>
        <w:lastRenderedPageBreak/>
        <w:t>to support the</w:t>
      </w:r>
      <w:r w:rsidR="008606BE" w:rsidRPr="00170139">
        <w:rPr>
          <w:rFonts w:eastAsia="Calibri" w:cs="Arial"/>
          <w:szCs w:val="22"/>
          <w:lang w:eastAsia="en-US"/>
        </w:rPr>
        <w:t xml:space="preserve"> implementation of Solomon Islands’</w:t>
      </w:r>
      <w:r w:rsidRPr="00170139">
        <w:rPr>
          <w:rFonts w:eastAsia="Calibri" w:cs="Arial"/>
          <w:szCs w:val="22"/>
          <w:lang w:eastAsia="en-US"/>
        </w:rPr>
        <w:t xml:space="preserve"> Business Names Act</w:t>
      </w:r>
      <w:r w:rsidR="008606BE" w:rsidRPr="00170139">
        <w:rPr>
          <w:rFonts w:eastAsia="Calibri" w:cs="Arial"/>
          <w:szCs w:val="22"/>
          <w:lang w:eastAsia="en-US"/>
        </w:rPr>
        <w:t xml:space="preserve"> 2014 and,</w:t>
      </w:r>
      <w:r w:rsidRPr="00170139">
        <w:rPr>
          <w:rFonts w:eastAsia="Calibri" w:cs="Arial"/>
          <w:szCs w:val="22"/>
          <w:lang w:eastAsia="en-US"/>
        </w:rPr>
        <w:t xml:space="preserve"> in November 2016, business names were included in the </w:t>
      </w:r>
      <w:r w:rsidR="008606BE" w:rsidRPr="00170139">
        <w:rPr>
          <w:rFonts w:eastAsia="Calibri" w:cs="Arial"/>
          <w:szCs w:val="22"/>
          <w:lang w:eastAsia="en-US"/>
        </w:rPr>
        <w:t xml:space="preserve">country’s </w:t>
      </w:r>
      <w:r w:rsidRPr="00170139">
        <w:rPr>
          <w:rFonts w:eastAsia="Calibri" w:cs="Arial"/>
          <w:szCs w:val="22"/>
          <w:lang w:eastAsia="en-US"/>
        </w:rPr>
        <w:t>online business registry</w:t>
      </w:r>
      <w:r w:rsidR="008606BE" w:rsidRPr="00170139">
        <w:rPr>
          <w:rFonts w:eastAsia="Calibri" w:cs="Arial"/>
          <w:szCs w:val="22"/>
          <w:lang w:eastAsia="en-US"/>
        </w:rPr>
        <w:t>.</w:t>
      </w:r>
    </w:p>
    <w:p w:rsidR="00346198" w:rsidRPr="00170139" w:rsidRDefault="00346198" w:rsidP="00C13C20">
      <w:pPr>
        <w:rPr>
          <w:rFonts w:eastAsia="Calibri" w:cs="Arial"/>
          <w:szCs w:val="22"/>
          <w:lang w:eastAsia="en-US"/>
        </w:rPr>
      </w:pPr>
    </w:p>
    <w:p w:rsidR="00346198" w:rsidRPr="00170139" w:rsidRDefault="008C7B5E" w:rsidP="00170139">
      <w:pPr>
        <w:keepNext/>
        <w:spacing w:after="160"/>
        <w:outlineLvl w:val="1"/>
        <w:rPr>
          <w:rFonts w:eastAsia="Times New Roman" w:cs="Arial"/>
          <w:b/>
          <w:bCs/>
          <w:iCs/>
          <w:sz w:val="24"/>
          <w:lang w:eastAsia="en-US"/>
        </w:rPr>
      </w:pPr>
      <w:bookmarkStart w:id="24" w:name="_Toc494271706"/>
      <w:bookmarkStart w:id="25" w:name="_Toc494367932"/>
      <w:bookmarkStart w:id="26" w:name="_Toc494378776"/>
      <w:bookmarkStart w:id="27" w:name="_Toc494378858"/>
      <w:r w:rsidRPr="00170139">
        <w:rPr>
          <w:rFonts w:eastAsia="Times New Roman" w:cs="Arial"/>
          <w:b/>
          <w:bCs/>
          <w:iCs/>
          <w:sz w:val="24"/>
          <w:lang w:eastAsia="en-US"/>
        </w:rPr>
        <w:t>C.</w:t>
      </w:r>
      <w:r w:rsidR="00386F3B" w:rsidRPr="00170139">
        <w:rPr>
          <w:rFonts w:eastAsia="Times New Roman" w:cs="Arial"/>
          <w:b/>
          <w:bCs/>
          <w:iCs/>
          <w:sz w:val="24"/>
          <w:lang w:eastAsia="en-US"/>
        </w:rPr>
        <w:tab/>
      </w:r>
      <w:r w:rsidR="00346198" w:rsidRPr="00170139">
        <w:rPr>
          <w:rFonts w:eastAsia="Times New Roman" w:cs="Arial"/>
          <w:b/>
          <w:bCs/>
          <w:iCs/>
          <w:sz w:val="24"/>
          <w:lang w:eastAsia="en-US"/>
        </w:rPr>
        <w:t>State-</w:t>
      </w:r>
      <w:r w:rsidRPr="00170139">
        <w:rPr>
          <w:rFonts w:eastAsia="Times New Roman" w:cs="Arial"/>
          <w:b/>
          <w:bCs/>
          <w:iCs/>
          <w:sz w:val="24"/>
          <w:lang w:eastAsia="en-US"/>
        </w:rPr>
        <w:t>O</w:t>
      </w:r>
      <w:r w:rsidR="00346198" w:rsidRPr="00170139">
        <w:rPr>
          <w:rFonts w:eastAsia="Times New Roman" w:cs="Arial"/>
          <w:b/>
          <w:bCs/>
          <w:iCs/>
          <w:sz w:val="24"/>
          <w:lang w:eastAsia="en-US"/>
        </w:rPr>
        <w:t>wned Enterprise Reform and P</w:t>
      </w:r>
      <w:r w:rsidR="002C45B4" w:rsidRPr="00170139">
        <w:rPr>
          <w:rFonts w:eastAsia="Times New Roman" w:cs="Arial"/>
          <w:b/>
          <w:bCs/>
          <w:iCs/>
          <w:sz w:val="24"/>
          <w:lang w:eastAsia="en-US"/>
        </w:rPr>
        <w:t xml:space="preserve">ublic </w:t>
      </w:r>
      <w:r w:rsidR="00346198" w:rsidRPr="00170139">
        <w:rPr>
          <w:rFonts w:eastAsia="Times New Roman" w:cs="Arial"/>
          <w:b/>
          <w:bCs/>
          <w:iCs/>
          <w:sz w:val="24"/>
          <w:lang w:eastAsia="en-US"/>
        </w:rPr>
        <w:t>P</w:t>
      </w:r>
      <w:r w:rsidR="002C45B4" w:rsidRPr="00170139">
        <w:rPr>
          <w:rFonts w:eastAsia="Times New Roman" w:cs="Arial"/>
          <w:b/>
          <w:bCs/>
          <w:iCs/>
          <w:sz w:val="24"/>
          <w:lang w:eastAsia="en-US"/>
        </w:rPr>
        <w:t xml:space="preserve">rivate </w:t>
      </w:r>
      <w:r w:rsidR="00346198" w:rsidRPr="00170139">
        <w:rPr>
          <w:rFonts w:eastAsia="Times New Roman" w:cs="Arial"/>
          <w:b/>
          <w:bCs/>
          <w:iCs/>
          <w:sz w:val="24"/>
          <w:lang w:eastAsia="en-US"/>
        </w:rPr>
        <w:t>P</w:t>
      </w:r>
      <w:r w:rsidR="002C45B4" w:rsidRPr="00170139">
        <w:rPr>
          <w:rFonts w:eastAsia="Times New Roman" w:cs="Arial"/>
          <w:b/>
          <w:bCs/>
          <w:iCs/>
          <w:sz w:val="24"/>
          <w:lang w:eastAsia="en-US"/>
        </w:rPr>
        <w:t>artnership</w:t>
      </w:r>
      <w:r w:rsidR="00346198" w:rsidRPr="00170139">
        <w:rPr>
          <w:rFonts w:eastAsia="Times New Roman" w:cs="Arial"/>
          <w:b/>
          <w:bCs/>
          <w:iCs/>
          <w:sz w:val="24"/>
          <w:lang w:eastAsia="en-US"/>
        </w:rPr>
        <w:t>s</w:t>
      </w:r>
      <w:bookmarkEnd w:id="24"/>
      <w:bookmarkEnd w:id="25"/>
      <w:bookmarkEnd w:id="26"/>
      <w:bookmarkEnd w:id="27"/>
    </w:p>
    <w:p w:rsidR="00346198" w:rsidRPr="00170139" w:rsidRDefault="008A370C"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PSDI’s SOE </w:t>
      </w:r>
      <w:r w:rsidR="00346198" w:rsidRPr="00170139">
        <w:rPr>
          <w:rFonts w:eastAsia="Calibri" w:cs="Arial"/>
          <w:szCs w:val="22"/>
          <w:lang w:eastAsia="en-US"/>
        </w:rPr>
        <w:t>benchmarking study</w:t>
      </w:r>
      <w:r w:rsidR="008752EF" w:rsidRPr="00170139">
        <w:rPr>
          <w:rFonts w:eastAsia="Calibri" w:cs="Arial"/>
          <w:szCs w:val="22"/>
          <w:lang w:eastAsia="en-US"/>
        </w:rPr>
        <w:t xml:space="preserve"> revealed that</w:t>
      </w:r>
      <w:r w:rsidR="00346198" w:rsidRPr="00170139">
        <w:rPr>
          <w:rFonts w:eastAsia="Calibri" w:cs="Arial"/>
          <w:szCs w:val="22"/>
          <w:lang w:eastAsia="en-US"/>
        </w:rPr>
        <w:t xml:space="preserve"> SOEs are generally the largest commercial enterprises in Pacific </w:t>
      </w:r>
      <w:r w:rsidR="008752EF" w:rsidRPr="00170139">
        <w:rPr>
          <w:rFonts w:eastAsia="Calibri" w:cs="Arial"/>
          <w:szCs w:val="22"/>
          <w:lang w:eastAsia="en-US"/>
        </w:rPr>
        <w:t xml:space="preserve">island </w:t>
      </w:r>
      <w:r w:rsidR="00346198" w:rsidRPr="00170139">
        <w:rPr>
          <w:rFonts w:eastAsia="Calibri" w:cs="Arial"/>
          <w:szCs w:val="22"/>
          <w:lang w:eastAsia="en-US"/>
        </w:rPr>
        <w:t>economies and</w:t>
      </w:r>
      <w:r w:rsidR="008752EF" w:rsidRPr="00170139">
        <w:rPr>
          <w:rFonts w:eastAsia="Calibri" w:cs="Arial"/>
          <w:szCs w:val="22"/>
          <w:lang w:eastAsia="en-US"/>
        </w:rPr>
        <w:t>, due to lack of competition,</w:t>
      </w:r>
      <w:r w:rsidR="00346198" w:rsidRPr="00170139">
        <w:rPr>
          <w:rFonts w:eastAsia="Calibri" w:cs="Arial"/>
          <w:szCs w:val="22"/>
          <w:lang w:eastAsia="en-US"/>
        </w:rPr>
        <w:t xml:space="preserve"> are often the least efficient.</w:t>
      </w:r>
      <w:r w:rsidRPr="00170139">
        <w:rPr>
          <w:rStyle w:val="FootnoteReference"/>
          <w:rFonts w:eastAsia="Calibri" w:cs="Arial"/>
          <w:szCs w:val="22"/>
          <w:lang w:eastAsia="en-US"/>
        </w:rPr>
        <w:footnoteReference w:id="5"/>
      </w:r>
      <w:r w:rsidR="00346198" w:rsidRPr="00170139">
        <w:rPr>
          <w:rFonts w:eastAsia="Calibri" w:cs="Arial"/>
          <w:szCs w:val="22"/>
          <w:lang w:eastAsia="en-US"/>
        </w:rPr>
        <w:t xml:space="preserve"> PSDI has supported the restructuring and </w:t>
      </w:r>
      <w:r w:rsidR="00282670" w:rsidRPr="00170139">
        <w:rPr>
          <w:rFonts w:eastAsia="Calibri" w:cs="Arial"/>
          <w:szCs w:val="22"/>
          <w:lang w:eastAsia="en-US"/>
        </w:rPr>
        <w:t xml:space="preserve">privatization </w:t>
      </w:r>
      <w:r w:rsidR="00346198" w:rsidRPr="00170139">
        <w:rPr>
          <w:rFonts w:eastAsia="Calibri" w:cs="Arial"/>
          <w:szCs w:val="22"/>
          <w:lang w:eastAsia="en-US"/>
        </w:rPr>
        <w:t xml:space="preserve">of 67 SOEs in the </w:t>
      </w:r>
      <w:r w:rsidR="008752EF" w:rsidRPr="00170139">
        <w:rPr>
          <w:rFonts w:eastAsia="Calibri" w:cs="Arial"/>
          <w:szCs w:val="22"/>
          <w:lang w:eastAsia="en-US"/>
        </w:rPr>
        <w:t xml:space="preserve">Pacific </w:t>
      </w:r>
      <w:r w:rsidR="00346198" w:rsidRPr="00170139">
        <w:rPr>
          <w:rFonts w:eastAsia="Calibri" w:cs="Arial"/>
          <w:szCs w:val="22"/>
          <w:lang w:eastAsia="en-US"/>
        </w:rPr>
        <w:t>region, improving their financial and operational performance and reducing the</w:t>
      </w:r>
      <w:r w:rsidR="008752EF" w:rsidRPr="00170139">
        <w:rPr>
          <w:rFonts w:eastAsia="Calibri" w:cs="Arial"/>
          <w:szCs w:val="22"/>
          <w:lang w:eastAsia="en-US"/>
        </w:rPr>
        <w:t>ir</w:t>
      </w:r>
      <w:r w:rsidR="00346198" w:rsidRPr="00170139">
        <w:rPr>
          <w:rFonts w:eastAsia="Calibri" w:cs="Arial"/>
          <w:szCs w:val="22"/>
          <w:lang w:eastAsia="en-US"/>
        </w:rPr>
        <w:t xml:space="preserve"> burden on state budgets. Most </w:t>
      </w:r>
      <w:r w:rsidR="008752EF" w:rsidRPr="00170139">
        <w:rPr>
          <w:rFonts w:eastAsia="Calibri" w:cs="Arial"/>
          <w:szCs w:val="22"/>
          <w:lang w:eastAsia="en-US"/>
        </w:rPr>
        <w:t xml:space="preserve">SOEs </w:t>
      </w:r>
      <w:r w:rsidR="00346198" w:rsidRPr="00170139">
        <w:rPr>
          <w:rFonts w:eastAsia="Calibri" w:cs="Arial"/>
          <w:szCs w:val="22"/>
          <w:lang w:eastAsia="en-US"/>
        </w:rPr>
        <w:t>are monopoly providers of essential public services such as airports, ports, power utilities</w:t>
      </w:r>
      <w:r w:rsidR="008752EF" w:rsidRPr="00170139">
        <w:rPr>
          <w:rFonts w:eastAsia="Calibri" w:cs="Arial"/>
          <w:szCs w:val="22"/>
          <w:lang w:eastAsia="en-US"/>
        </w:rPr>
        <w:t>,</w:t>
      </w:r>
      <w:r w:rsidR="00346198" w:rsidRPr="00170139">
        <w:rPr>
          <w:rFonts w:eastAsia="Calibri" w:cs="Arial"/>
          <w:szCs w:val="22"/>
          <w:lang w:eastAsia="en-US"/>
        </w:rPr>
        <w:t xml:space="preserve"> and </w:t>
      </w:r>
      <w:r w:rsidR="008752EF" w:rsidRPr="00170139">
        <w:rPr>
          <w:rFonts w:eastAsia="Calibri" w:cs="Arial"/>
          <w:szCs w:val="22"/>
          <w:lang w:eastAsia="en-US"/>
        </w:rPr>
        <w:t xml:space="preserve">provision of </w:t>
      </w:r>
      <w:r w:rsidR="00346198" w:rsidRPr="00170139">
        <w:rPr>
          <w:rFonts w:eastAsia="Calibri" w:cs="Arial"/>
          <w:szCs w:val="22"/>
          <w:lang w:eastAsia="en-US"/>
        </w:rPr>
        <w:t>water and sanitation</w:t>
      </w:r>
      <w:r w:rsidR="008752EF" w:rsidRPr="00170139">
        <w:rPr>
          <w:rFonts w:eastAsia="Calibri" w:cs="Arial"/>
          <w:szCs w:val="22"/>
          <w:lang w:eastAsia="en-US"/>
        </w:rPr>
        <w:t>. These amenities are</w:t>
      </w:r>
      <w:r w:rsidR="00346198" w:rsidRPr="00170139">
        <w:rPr>
          <w:rFonts w:eastAsia="Calibri" w:cs="Arial"/>
          <w:szCs w:val="22"/>
          <w:lang w:eastAsia="en-US"/>
        </w:rPr>
        <w:t xml:space="preserve"> often</w:t>
      </w:r>
      <w:r w:rsidR="008752EF" w:rsidRPr="00170139">
        <w:rPr>
          <w:rFonts w:eastAsia="Calibri" w:cs="Arial"/>
          <w:szCs w:val="22"/>
          <w:lang w:eastAsia="en-US"/>
        </w:rPr>
        <w:t xml:space="preserve"> delivered</w:t>
      </w:r>
      <w:r w:rsidR="00346198" w:rsidRPr="00170139">
        <w:rPr>
          <w:rFonts w:eastAsia="Calibri" w:cs="Arial"/>
          <w:szCs w:val="22"/>
          <w:lang w:eastAsia="en-US"/>
        </w:rPr>
        <w:t xml:space="preserve"> at high cost with low service standards. </w:t>
      </w:r>
      <w:r w:rsidR="008752EF" w:rsidRPr="00170139">
        <w:rPr>
          <w:rFonts w:eastAsia="Calibri" w:cs="Arial"/>
          <w:szCs w:val="22"/>
          <w:lang w:eastAsia="en-US"/>
        </w:rPr>
        <w:t xml:space="preserve">Given their leading role in private sector cost structures, inefficient </w:t>
      </w:r>
      <w:r w:rsidR="00346198" w:rsidRPr="00170139">
        <w:rPr>
          <w:rFonts w:eastAsia="Calibri" w:cs="Arial"/>
          <w:szCs w:val="22"/>
          <w:lang w:eastAsia="en-US"/>
        </w:rPr>
        <w:t>SOE</w:t>
      </w:r>
      <w:r w:rsidR="008752EF" w:rsidRPr="00170139">
        <w:rPr>
          <w:rFonts w:eastAsia="Calibri" w:cs="Arial"/>
          <w:szCs w:val="22"/>
          <w:lang w:eastAsia="en-US"/>
        </w:rPr>
        <w:t>s</w:t>
      </w:r>
      <w:r w:rsidR="00346198" w:rsidRPr="00170139">
        <w:rPr>
          <w:rFonts w:eastAsia="Calibri" w:cs="Arial"/>
          <w:szCs w:val="22"/>
          <w:lang w:eastAsia="en-US"/>
        </w:rPr>
        <w:t xml:space="preserve"> also negatively impact the performance of </w:t>
      </w:r>
      <w:r w:rsidR="008752EF" w:rsidRPr="00170139">
        <w:rPr>
          <w:rFonts w:eastAsia="Calibri" w:cs="Arial"/>
          <w:szCs w:val="22"/>
          <w:lang w:eastAsia="en-US"/>
        </w:rPr>
        <w:t xml:space="preserve">the </w:t>
      </w:r>
      <w:r w:rsidR="00346198" w:rsidRPr="00170139">
        <w:rPr>
          <w:rFonts w:eastAsia="Calibri" w:cs="Arial"/>
          <w:szCs w:val="22"/>
          <w:lang w:eastAsia="en-US"/>
        </w:rPr>
        <w:t>private sectors</w:t>
      </w:r>
      <w:r w:rsidR="008752EF" w:rsidRPr="00170139">
        <w:rPr>
          <w:rFonts w:eastAsia="Calibri" w:cs="Arial"/>
          <w:szCs w:val="22"/>
          <w:lang w:eastAsia="en-US"/>
        </w:rPr>
        <w:t xml:space="preserve"> in Pacific DMCs</w:t>
      </w:r>
      <w:r w:rsidR="00346198" w:rsidRPr="00170139">
        <w:rPr>
          <w:rFonts w:eastAsia="Calibri" w:cs="Arial"/>
          <w:szCs w:val="22"/>
          <w:lang w:eastAsia="en-US"/>
        </w:rPr>
        <w:t xml:space="preserve">. </w:t>
      </w:r>
      <w:r w:rsidR="000D6744" w:rsidRPr="00170139">
        <w:rPr>
          <w:rFonts w:eastAsia="Calibri" w:cs="Arial"/>
          <w:szCs w:val="22"/>
          <w:lang w:eastAsia="en-US"/>
        </w:rPr>
        <w:t>The a</w:t>
      </w:r>
      <w:r w:rsidR="00346198" w:rsidRPr="00170139">
        <w:rPr>
          <w:rFonts w:eastAsia="Calibri" w:cs="Arial"/>
          <w:szCs w:val="22"/>
          <w:lang w:eastAsia="en-US"/>
        </w:rPr>
        <w:t xml:space="preserve">verage return on equity of the SOE portfolio in eight Pacific </w:t>
      </w:r>
      <w:r w:rsidR="008752EF" w:rsidRPr="00170139">
        <w:rPr>
          <w:rFonts w:eastAsia="Calibri" w:cs="Arial"/>
          <w:szCs w:val="22"/>
          <w:lang w:eastAsia="en-US"/>
        </w:rPr>
        <w:t xml:space="preserve">island </w:t>
      </w:r>
      <w:r w:rsidR="00346198" w:rsidRPr="00170139">
        <w:rPr>
          <w:rFonts w:eastAsia="Calibri" w:cs="Arial"/>
          <w:szCs w:val="22"/>
          <w:lang w:eastAsia="en-US"/>
        </w:rPr>
        <w:t xml:space="preserve">countries improved from -5.67% in 2008 to 0.60% </w:t>
      </w:r>
      <w:r w:rsidR="000D6744" w:rsidRPr="00170139">
        <w:rPr>
          <w:rFonts w:eastAsia="Calibri" w:cs="Arial"/>
          <w:szCs w:val="22"/>
          <w:lang w:eastAsia="en-US"/>
        </w:rPr>
        <w:t xml:space="preserve">over </w:t>
      </w:r>
      <w:r w:rsidR="00346198" w:rsidRPr="00170139">
        <w:rPr>
          <w:rFonts w:eastAsia="Calibri" w:cs="Arial"/>
          <w:szCs w:val="22"/>
          <w:lang w:eastAsia="en-US"/>
        </w:rPr>
        <w:t>2010</w:t>
      </w:r>
      <w:r w:rsidR="000D6744" w:rsidRPr="00170139">
        <w:rPr>
          <w:rFonts w:eastAsia="Calibri" w:cs="Arial"/>
          <w:szCs w:val="22"/>
          <w:lang w:eastAsia="en-US"/>
        </w:rPr>
        <w:t>–20</w:t>
      </w:r>
      <w:r w:rsidR="00346198" w:rsidRPr="00170139">
        <w:rPr>
          <w:rFonts w:eastAsia="Calibri" w:cs="Arial"/>
          <w:szCs w:val="22"/>
          <w:lang w:eastAsia="en-US"/>
        </w:rPr>
        <w:t>14. Solomon Islands’ SOE turnaround was the most impressive</w:t>
      </w:r>
      <w:r w:rsidR="000D6744" w:rsidRPr="00170139">
        <w:rPr>
          <w:rFonts w:eastAsia="Calibri" w:cs="Arial"/>
          <w:szCs w:val="22"/>
          <w:lang w:eastAsia="en-US"/>
        </w:rPr>
        <w:t>, with</w:t>
      </w:r>
      <w:r w:rsidR="00346198" w:rsidRPr="00170139">
        <w:rPr>
          <w:rFonts w:eastAsia="Calibri" w:cs="Arial"/>
          <w:szCs w:val="22"/>
          <w:lang w:eastAsia="en-US"/>
        </w:rPr>
        <w:t xml:space="preserve"> </w:t>
      </w:r>
      <w:r w:rsidR="009A7415" w:rsidRPr="00170139">
        <w:rPr>
          <w:rFonts w:cs="Ideal Sans"/>
          <w:szCs w:val="22"/>
        </w:rPr>
        <w:t>average return on equity of the portfolio increasing from -11% in 2002–2009, to 10% in 2010–2014.</w:t>
      </w:r>
    </w:p>
    <w:p w:rsidR="00346198" w:rsidRPr="00170139" w:rsidRDefault="00346198" w:rsidP="00C13C20">
      <w:pPr>
        <w:rPr>
          <w:rFonts w:eastAsia="Calibri" w:cs="Arial"/>
          <w:szCs w:val="22"/>
          <w:lang w:eastAsia="en-US"/>
        </w:rPr>
      </w:pPr>
    </w:p>
    <w:p w:rsidR="00346198" w:rsidRPr="00170139" w:rsidRDefault="000D6744"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The result in Solomon Islands reflects an </w:t>
      </w:r>
      <w:r w:rsidR="00346198" w:rsidRPr="00170139">
        <w:rPr>
          <w:rFonts w:eastAsia="Calibri" w:cs="Arial"/>
          <w:szCs w:val="22"/>
          <w:lang w:eastAsia="en-US"/>
        </w:rPr>
        <w:t>active SOE policy reform program supported by PSDI</w:t>
      </w:r>
      <w:r w:rsidRPr="00170139">
        <w:rPr>
          <w:rFonts w:eastAsia="Calibri" w:cs="Arial"/>
          <w:szCs w:val="22"/>
          <w:lang w:eastAsia="en-US"/>
        </w:rPr>
        <w:t>. In the absence of privatization, r</w:t>
      </w:r>
      <w:r w:rsidR="00346198" w:rsidRPr="00170139">
        <w:rPr>
          <w:rFonts w:eastAsia="Calibri" w:cs="Arial"/>
          <w:szCs w:val="22"/>
          <w:lang w:eastAsia="en-US"/>
        </w:rPr>
        <w:t>elevant policy reforms were achieved in the larger SOEs</w:t>
      </w:r>
      <w:r w:rsidRPr="00170139">
        <w:rPr>
          <w:rFonts w:eastAsia="Calibri" w:cs="Arial"/>
          <w:szCs w:val="22"/>
          <w:lang w:eastAsia="en-US"/>
        </w:rPr>
        <w:t>, starting</w:t>
      </w:r>
      <w:r w:rsidR="00346198" w:rsidRPr="00170139">
        <w:rPr>
          <w:rFonts w:eastAsia="Calibri" w:cs="Arial"/>
          <w:szCs w:val="22"/>
          <w:lang w:eastAsia="en-US"/>
        </w:rPr>
        <w:t xml:space="preserve"> in 2009. PSDI </w:t>
      </w:r>
      <w:r w:rsidRPr="00170139">
        <w:rPr>
          <w:rFonts w:eastAsia="Calibri" w:cs="Arial"/>
          <w:szCs w:val="22"/>
          <w:lang w:eastAsia="en-US"/>
        </w:rPr>
        <w:t xml:space="preserve">helped develop </w:t>
      </w:r>
      <w:r w:rsidR="00346198" w:rsidRPr="00170139">
        <w:rPr>
          <w:rFonts w:eastAsia="Calibri" w:cs="Arial"/>
          <w:szCs w:val="22"/>
          <w:lang w:eastAsia="en-US"/>
        </w:rPr>
        <w:t>SOE monitoring</w:t>
      </w:r>
      <w:r w:rsidRPr="00170139">
        <w:rPr>
          <w:rFonts w:eastAsia="Calibri" w:cs="Arial"/>
          <w:szCs w:val="22"/>
          <w:lang w:eastAsia="en-US"/>
        </w:rPr>
        <w:t xml:space="preserve"> protocols</w:t>
      </w:r>
      <w:r w:rsidR="00346198" w:rsidRPr="00170139">
        <w:rPr>
          <w:rFonts w:eastAsia="Calibri" w:cs="Arial"/>
          <w:szCs w:val="22"/>
          <w:lang w:eastAsia="en-US"/>
        </w:rPr>
        <w:t xml:space="preserve"> and supported the monitoring unit</w:t>
      </w:r>
      <w:r w:rsidRPr="00170139">
        <w:rPr>
          <w:rFonts w:eastAsia="Calibri" w:cs="Arial"/>
          <w:szCs w:val="22"/>
          <w:lang w:eastAsia="en-US"/>
        </w:rPr>
        <w:t>s</w:t>
      </w:r>
      <w:r w:rsidR="00346198" w:rsidRPr="00170139">
        <w:rPr>
          <w:rFonts w:eastAsia="Calibri" w:cs="Arial"/>
          <w:szCs w:val="22"/>
          <w:lang w:eastAsia="en-US"/>
        </w:rPr>
        <w:t xml:space="preserve"> in developing </w:t>
      </w:r>
      <w:r w:rsidR="0042365A" w:rsidRPr="00170139">
        <w:rPr>
          <w:rFonts w:eastAsia="Calibri" w:cs="Arial"/>
          <w:szCs w:val="22"/>
          <w:lang w:eastAsia="en-US"/>
        </w:rPr>
        <w:t>community service obligations (</w:t>
      </w:r>
      <w:r w:rsidR="00346198" w:rsidRPr="00170139">
        <w:rPr>
          <w:rFonts w:eastAsia="Calibri" w:cs="Arial"/>
          <w:szCs w:val="22"/>
          <w:lang w:eastAsia="en-US"/>
        </w:rPr>
        <w:t>CSOs</w:t>
      </w:r>
      <w:r w:rsidR="0042365A" w:rsidRPr="00170139">
        <w:rPr>
          <w:rFonts w:eastAsia="Calibri" w:cs="Arial"/>
          <w:szCs w:val="22"/>
          <w:lang w:eastAsia="en-US"/>
        </w:rPr>
        <w:t>)</w:t>
      </w:r>
      <w:r w:rsidR="00346198" w:rsidRPr="00170139">
        <w:rPr>
          <w:rFonts w:eastAsia="Calibri" w:cs="Arial"/>
          <w:szCs w:val="22"/>
          <w:lang w:eastAsia="en-US"/>
        </w:rPr>
        <w:t xml:space="preserve"> for </w:t>
      </w:r>
      <w:r w:rsidRPr="00170139">
        <w:rPr>
          <w:rFonts w:eastAsia="Calibri" w:cs="Arial"/>
          <w:szCs w:val="22"/>
          <w:lang w:eastAsia="en-US"/>
        </w:rPr>
        <w:t xml:space="preserve">each </w:t>
      </w:r>
      <w:r w:rsidR="00346198" w:rsidRPr="00170139">
        <w:rPr>
          <w:rFonts w:eastAsia="Calibri" w:cs="Arial"/>
          <w:szCs w:val="22"/>
          <w:lang w:eastAsia="en-US"/>
        </w:rPr>
        <w:t xml:space="preserve">SOE. </w:t>
      </w:r>
      <w:r w:rsidRPr="00170139">
        <w:rPr>
          <w:rFonts w:eastAsia="Calibri" w:cs="Arial"/>
          <w:szCs w:val="22"/>
          <w:lang w:eastAsia="en-US"/>
        </w:rPr>
        <w:t>PSDI contributed to the</w:t>
      </w:r>
      <w:r w:rsidR="00346198" w:rsidRPr="00170139">
        <w:rPr>
          <w:rFonts w:eastAsia="Calibri" w:cs="Arial"/>
          <w:szCs w:val="22"/>
          <w:lang w:eastAsia="en-US"/>
        </w:rPr>
        <w:t xml:space="preserve"> restructuring </w:t>
      </w:r>
      <w:r w:rsidRPr="00170139">
        <w:rPr>
          <w:rFonts w:eastAsia="Calibri" w:cs="Arial"/>
          <w:szCs w:val="22"/>
          <w:lang w:eastAsia="en-US"/>
        </w:rPr>
        <w:t xml:space="preserve">of </w:t>
      </w:r>
      <w:r w:rsidR="00346198" w:rsidRPr="00170139">
        <w:rPr>
          <w:rFonts w:eastAsia="Calibri" w:cs="Arial"/>
          <w:szCs w:val="22"/>
          <w:lang w:eastAsia="en-US"/>
        </w:rPr>
        <w:t>larger SOEs</w:t>
      </w:r>
      <w:r w:rsidRPr="00170139">
        <w:rPr>
          <w:rFonts w:eastAsia="Calibri" w:cs="Arial"/>
          <w:szCs w:val="22"/>
          <w:lang w:eastAsia="en-US"/>
        </w:rPr>
        <w:t>,</w:t>
      </w:r>
      <w:r w:rsidR="00346198" w:rsidRPr="00170139">
        <w:rPr>
          <w:rFonts w:eastAsia="Calibri" w:cs="Arial"/>
          <w:szCs w:val="22"/>
          <w:lang w:eastAsia="en-US"/>
        </w:rPr>
        <w:t xml:space="preserve"> while assisting the government</w:t>
      </w:r>
      <w:r w:rsidRPr="00170139">
        <w:rPr>
          <w:rFonts w:eastAsia="Calibri" w:cs="Arial"/>
          <w:szCs w:val="22"/>
          <w:lang w:eastAsia="en-US"/>
        </w:rPr>
        <w:t xml:space="preserve"> with the</w:t>
      </w:r>
      <w:r w:rsidR="00346198" w:rsidRPr="00170139">
        <w:rPr>
          <w:rFonts w:eastAsia="Calibri" w:cs="Arial"/>
          <w:szCs w:val="22"/>
          <w:lang w:eastAsia="en-US"/>
        </w:rPr>
        <w:t xml:space="preserve"> privatization</w:t>
      </w:r>
      <w:r w:rsidRPr="00170139">
        <w:rPr>
          <w:rFonts w:eastAsia="Calibri" w:cs="Arial"/>
          <w:szCs w:val="22"/>
          <w:lang w:eastAsia="en-US"/>
        </w:rPr>
        <w:t xml:space="preserve"> of</w:t>
      </w:r>
      <w:r w:rsidR="00346198" w:rsidRPr="00170139">
        <w:rPr>
          <w:rFonts w:eastAsia="Calibri" w:cs="Arial"/>
          <w:szCs w:val="22"/>
          <w:lang w:eastAsia="en-US"/>
        </w:rPr>
        <w:t xml:space="preserve"> </w:t>
      </w:r>
      <w:r w:rsidRPr="00170139">
        <w:rPr>
          <w:rFonts w:eastAsia="Calibri" w:cs="Arial"/>
          <w:szCs w:val="22"/>
          <w:lang w:eastAsia="en-US"/>
        </w:rPr>
        <w:t xml:space="preserve">numerous </w:t>
      </w:r>
      <w:r w:rsidR="00346198" w:rsidRPr="00170139">
        <w:rPr>
          <w:rFonts w:eastAsia="Calibri" w:cs="Arial"/>
          <w:szCs w:val="22"/>
          <w:lang w:eastAsia="en-US"/>
        </w:rPr>
        <w:t xml:space="preserve">smaller SOEs. PSDI continues to provide assistance to the </w:t>
      </w:r>
      <w:r w:rsidRPr="00170139">
        <w:rPr>
          <w:rFonts w:eastAsia="Calibri" w:cs="Arial"/>
          <w:szCs w:val="22"/>
          <w:lang w:eastAsia="en-US"/>
        </w:rPr>
        <w:t>g</w:t>
      </w:r>
      <w:r w:rsidR="00346198" w:rsidRPr="00170139">
        <w:rPr>
          <w:rFonts w:eastAsia="Calibri" w:cs="Arial"/>
          <w:szCs w:val="22"/>
          <w:lang w:eastAsia="en-US"/>
        </w:rPr>
        <w:t>overnment on the implementation of the S</w:t>
      </w:r>
      <w:r w:rsidR="00DA63D6" w:rsidRPr="00170139">
        <w:rPr>
          <w:rFonts w:eastAsia="Calibri" w:cs="Arial"/>
          <w:szCs w:val="22"/>
          <w:lang w:eastAsia="en-US"/>
        </w:rPr>
        <w:t xml:space="preserve">tate </w:t>
      </w:r>
      <w:r w:rsidR="00346198" w:rsidRPr="00170139">
        <w:rPr>
          <w:rFonts w:eastAsia="Calibri" w:cs="Arial"/>
          <w:szCs w:val="22"/>
          <w:lang w:eastAsia="en-US"/>
        </w:rPr>
        <w:t>O</w:t>
      </w:r>
      <w:r w:rsidR="00DA63D6" w:rsidRPr="00170139">
        <w:rPr>
          <w:rFonts w:eastAsia="Calibri" w:cs="Arial"/>
          <w:szCs w:val="22"/>
          <w:lang w:eastAsia="en-US"/>
        </w:rPr>
        <w:t xml:space="preserve">wned </w:t>
      </w:r>
      <w:r w:rsidR="00346198" w:rsidRPr="00170139">
        <w:rPr>
          <w:rFonts w:eastAsia="Calibri" w:cs="Arial"/>
          <w:szCs w:val="22"/>
          <w:lang w:eastAsia="en-US"/>
        </w:rPr>
        <w:t>E</w:t>
      </w:r>
      <w:r w:rsidR="00DA63D6" w:rsidRPr="00170139">
        <w:rPr>
          <w:rFonts w:eastAsia="Calibri" w:cs="Arial"/>
          <w:szCs w:val="22"/>
          <w:lang w:eastAsia="en-US"/>
        </w:rPr>
        <w:t>nterprises</w:t>
      </w:r>
      <w:r w:rsidR="00346198" w:rsidRPr="00170139">
        <w:rPr>
          <w:rFonts w:eastAsia="Calibri" w:cs="Arial"/>
          <w:szCs w:val="22"/>
          <w:lang w:eastAsia="en-US"/>
        </w:rPr>
        <w:t xml:space="preserve"> Act</w:t>
      </w:r>
      <w:r w:rsidR="00DA63D6" w:rsidRPr="00170139">
        <w:rPr>
          <w:rFonts w:eastAsia="Calibri" w:cs="Arial"/>
          <w:szCs w:val="22"/>
          <w:lang w:eastAsia="en-US"/>
        </w:rPr>
        <w:t xml:space="preserve"> 2007,</w:t>
      </w:r>
      <w:r w:rsidR="00346198" w:rsidRPr="00170139">
        <w:rPr>
          <w:rFonts w:eastAsia="Calibri" w:cs="Arial"/>
          <w:szCs w:val="22"/>
          <w:lang w:eastAsia="en-US"/>
        </w:rPr>
        <w:t xml:space="preserve"> and </w:t>
      </w:r>
      <w:r w:rsidR="00DA63D6" w:rsidRPr="00170139">
        <w:rPr>
          <w:rFonts w:eastAsia="Calibri" w:cs="Arial"/>
          <w:szCs w:val="22"/>
          <w:lang w:eastAsia="en-US"/>
        </w:rPr>
        <w:t xml:space="preserve">assists </w:t>
      </w:r>
      <w:r w:rsidR="00346198" w:rsidRPr="00170139">
        <w:rPr>
          <w:rFonts w:eastAsia="Calibri" w:cs="Arial"/>
          <w:szCs w:val="22"/>
          <w:lang w:eastAsia="en-US"/>
        </w:rPr>
        <w:t xml:space="preserve">in SOE restructuring programs. While SOE reforms have not received continuing political support, </w:t>
      </w:r>
      <w:r w:rsidR="00DA63D6" w:rsidRPr="00170139">
        <w:rPr>
          <w:rFonts w:eastAsia="Calibri" w:cs="Arial"/>
          <w:szCs w:val="22"/>
          <w:lang w:eastAsia="en-US"/>
        </w:rPr>
        <w:t xml:space="preserve">neither have </w:t>
      </w:r>
      <w:r w:rsidR="00346198" w:rsidRPr="00170139">
        <w:rPr>
          <w:rFonts w:eastAsia="Calibri" w:cs="Arial"/>
          <w:szCs w:val="22"/>
          <w:lang w:eastAsia="en-US"/>
        </w:rPr>
        <w:t xml:space="preserve">the reforms </w:t>
      </w:r>
      <w:r w:rsidR="00DA63D6" w:rsidRPr="00170139">
        <w:rPr>
          <w:rFonts w:eastAsia="Calibri" w:cs="Arial"/>
          <w:szCs w:val="22"/>
          <w:lang w:eastAsia="en-US"/>
        </w:rPr>
        <w:t xml:space="preserve">achieved </w:t>
      </w:r>
      <w:r w:rsidR="00346198" w:rsidRPr="00170139">
        <w:rPr>
          <w:rFonts w:eastAsia="Calibri" w:cs="Arial"/>
          <w:szCs w:val="22"/>
          <w:lang w:eastAsia="en-US"/>
        </w:rPr>
        <w:t>been reversed</w:t>
      </w:r>
      <w:r w:rsidR="00156B5A">
        <w:rPr>
          <w:rFonts w:eastAsia="Calibri" w:cs="Arial"/>
          <w:szCs w:val="22"/>
          <w:lang w:eastAsia="en-US"/>
        </w:rPr>
        <w:t xml:space="preserve">, although in Solomon Islands the implementation of the CSO framework has stalled since 2016. </w:t>
      </w:r>
      <w:r w:rsidR="00346198" w:rsidRPr="00170139">
        <w:rPr>
          <w:rFonts w:eastAsia="Calibri" w:cs="Arial"/>
          <w:szCs w:val="22"/>
          <w:lang w:eastAsia="en-US"/>
        </w:rPr>
        <w:t xml:space="preserve">Tonga </w:t>
      </w:r>
      <w:r w:rsidR="00156B5A">
        <w:rPr>
          <w:rFonts w:eastAsia="Calibri" w:cs="Arial"/>
          <w:szCs w:val="22"/>
          <w:lang w:eastAsia="en-US"/>
        </w:rPr>
        <w:t xml:space="preserve">presently </w:t>
      </w:r>
      <w:r w:rsidR="00346198" w:rsidRPr="00170139">
        <w:rPr>
          <w:rFonts w:eastAsia="Calibri" w:cs="Arial"/>
          <w:szCs w:val="22"/>
          <w:lang w:eastAsia="en-US"/>
        </w:rPr>
        <w:t>constitute</w:t>
      </w:r>
      <w:r w:rsidR="00156B5A">
        <w:rPr>
          <w:rFonts w:eastAsia="Calibri" w:cs="Arial"/>
          <w:szCs w:val="22"/>
          <w:lang w:eastAsia="en-US"/>
        </w:rPr>
        <w:t>s</w:t>
      </w:r>
      <w:r w:rsidR="00346198" w:rsidRPr="00170139">
        <w:rPr>
          <w:rFonts w:eastAsia="Calibri" w:cs="Arial"/>
          <w:szCs w:val="22"/>
          <w:lang w:eastAsia="en-US"/>
        </w:rPr>
        <w:t xml:space="preserve"> the best model for SOE reform in the Pacific DMCs.</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The Pacific </w:t>
      </w:r>
      <w:r w:rsidR="00DA63D6" w:rsidRPr="00170139">
        <w:rPr>
          <w:rFonts w:eastAsia="Calibri" w:cs="Arial"/>
          <w:szCs w:val="22"/>
          <w:lang w:eastAsia="en-US"/>
        </w:rPr>
        <w:t>DMCs</w:t>
      </w:r>
      <w:r w:rsidRPr="00170139">
        <w:rPr>
          <w:rFonts w:eastAsia="Calibri" w:cs="Arial"/>
          <w:szCs w:val="22"/>
          <w:lang w:eastAsia="en-US"/>
        </w:rPr>
        <w:t xml:space="preserve"> recognize the inefficiencies created by their SOEs and</w:t>
      </w:r>
      <w:r w:rsidR="00DA63D6" w:rsidRPr="00170139">
        <w:rPr>
          <w:rFonts w:eastAsia="Calibri" w:cs="Arial"/>
          <w:szCs w:val="22"/>
          <w:lang w:eastAsia="en-US"/>
        </w:rPr>
        <w:t>, with the assistance of PSDI,</w:t>
      </w:r>
      <w:r w:rsidRPr="00170139">
        <w:rPr>
          <w:rFonts w:eastAsia="Calibri" w:cs="Arial"/>
          <w:szCs w:val="22"/>
          <w:lang w:eastAsia="en-US"/>
        </w:rPr>
        <w:t xml:space="preserve"> have been pursuing economic reforms to reduce their negative </w:t>
      </w:r>
      <w:r w:rsidR="00DA63D6" w:rsidRPr="00170139">
        <w:rPr>
          <w:rFonts w:eastAsia="Calibri" w:cs="Arial"/>
          <w:szCs w:val="22"/>
          <w:lang w:eastAsia="en-US"/>
        </w:rPr>
        <w:t>impacts</w:t>
      </w:r>
      <w:r w:rsidRPr="00170139">
        <w:rPr>
          <w:rFonts w:eastAsia="Calibri" w:cs="Arial"/>
          <w:szCs w:val="22"/>
          <w:lang w:eastAsia="en-US"/>
        </w:rPr>
        <w:t xml:space="preserve">. Tonga has led the way in creating the </w:t>
      </w:r>
      <w:r w:rsidR="00DA63D6" w:rsidRPr="00170139">
        <w:rPr>
          <w:rFonts w:eastAsia="Calibri" w:cs="Arial"/>
          <w:szCs w:val="22"/>
          <w:lang w:eastAsia="en-US"/>
        </w:rPr>
        <w:t xml:space="preserve">necessary </w:t>
      </w:r>
      <w:r w:rsidRPr="00170139">
        <w:rPr>
          <w:rFonts w:eastAsia="Calibri" w:cs="Arial"/>
          <w:szCs w:val="22"/>
          <w:lang w:eastAsia="en-US"/>
        </w:rPr>
        <w:t xml:space="preserve">first step </w:t>
      </w:r>
      <w:r w:rsidR="00DA63D6" w:rsidRPr="00170139">
        <w:rPr>
          <w:rFonts w:eastAsia="Calibri" w:cs="Arial"/>
          <w:szCs w:val="22"/>
          <w:lang w:eastAsia="en-US"/>
        </w:rPr>
        <w:t xml:space="preserve">toward </w:t>
      </w:r>
      <w:r w:rsidRPr="00170139">
        <w:rPr>
          <w:rFonts w:eastAsia="Calibri" w:cs="Arial"/>
          <w:szCs w:val="22"/>
          <w:lang w:eastAsia="en-US"/>
        </w:rPr>
        <w:t xml:space="preserve">transparency </w:t>
      </w:r>
      <w:r w:rsidR="00DA63D6" w:rsidRPr="00170139">
        <w:rPr>
          <w:rFonts w:eastAsia="Calibri" w:cs="Arial"/>
          <w:szCs w:val="22"/>
          <w:lang w:eastAsia="en-US"/>
        </w:rPr>
        <w:t>of</w:t>
      </w:r>
      <w:r w:rsidRPr="00170139">
        <w:rPr>
          <w:rFonts w:eastAsia="Calibri" w:cs="Arial"/>
          <w:szCs w:val="22"/>
          <w:lang w:eastAsia="en-US"/>
        </w:rPr>
        <w:t xml:space="preserve"> SOE performance. </w:t>
      </w:r>
      <w:r w:rsidR="00DA63D6" w:rsidRPr="00170139">
        <w:rPr>
          <w:rFonts w:eastAsia="Calibri" w:cs="Arial"/>
          <w:szCs w:val="22"/>
          <w:lang w:eastAsia="en-US"/>
        </w:rPr>
        <w:t>The country has</w:t>
      </w:r>
      <w:r w:rsidRPr="00170139">
        <w:rPr>
          <w:rFonts w:eastAsia="Calibri" w:cs="Arial"/>
          <w:szCs w:val="22"/>
          <w:lang w:eastAsia="en-US"/>
        </w:rPr>
        <w:t xml:space="preserve"> </w:t>
      </w:r>
      <w:r w:rsidR="00DA63D6" w:rsidRPr="00170139">
        <w:rPr>
          <w:rFonts w:eastAsia="Calibri" w:cs="Arial"/>
          <w:szCs w:val="22"/>
          <w:lang w:eastAsia="en-US"/>
        </w:rPr>
        <w:t xml:space="preserve">also </w:t>
      </w:r>
      <w:r w:rsidRPr="00170139">
        <w:rPr>
          <w:rFonts w:eastAsia="Calibri" w:cs="Arial"/>
          <w:szCs w:val="22"/>
          <w:lang w:eastAsia="en-US"/>
        </w:rPr>
        <w:t xml:space="preserve">adopted a broad-based SOE reform package in an attempt to </w:t>
      </w:r>
      <w:r w:rsidR="00DA63D6" w:rsidRPr="00170139">
        <w:rPr>
          <w:rFonts w:eastAsia="Calibri" w:cs="Arial"/>
          <w:szCs w:val="22"/>
          <w:lang w:eastAsia="en-US"/>
        </w:rPr>
        <w:t>improve</w:t>
      </w:r>
      <w:r w:rsidRPr="00170139">
        <w:rPr>
          <w:rFonts w:eastAsia="Calibri" w:cs="Arial"/>
          <w:szCs w:val="22"/>
          <w:lang w:eastAsia="en-US"/>
        </w:rPr>
        <w:t xml:space="preserve"> SOE governance, staffing</w:t>
      </w:r>
      <w:r w:rsidR="006E6EC0" w:rsidRPr="00170139">
        <w:rPr>
          <w:rFonts w:eastAsia="Calibri" w:cs="Arial"/>
          <w:szCs w:val="22"/>
          <w:lang w:eastAsia="en-US"/>
        </w:rPr>
        <w:t xml:space="preserve"> protocols</w:t>
      </w:r>
      <w:r w:rsidR="00DA63D6" w:rsidRPr="00170139">
        <w:rPr>
          <w:rFonts w:eastAsia="Calibri" w:cs="Arial"/>
          <w:szCs w:val="22"/>
          <w:lang w:eastAsia="en-US"/>
        </w:rPr>
        <w:t>,</w:t>
      </w:r>
      <w:r w:rsidRPr="00170139">
        <w:rPr>
          <w:rFonts w:eastAsia="Calibri" w:cs="Arial"/>
          <w:szCs w:val="22"/>
          <w:lang w:eastAsia="en-US"/>
        </w:rPr>
        <w:t xml:space="preserve"> and the implementation of CSOs. Similar reforms were implemented in </w:t>
      </w:r>
      <w:r w:rsidR="00156B5A">
        <w:rPr>
          <w:rFonts w:eastAsia="Calibri" w:cs="Arial"/>
          <w:szCs w:val="22"/>
          <w:lang w:eastAsia="en-US"/>
        </w:rPr>
        <w:t>the Republic of the Marshall Islands</w:t>
      </w:r>
      <w:r w:rsidRPr="00170139">
        <w:rPr>
          <w:rFonts w:eastAsia="Calibri" w:cs="Arial"/>
          <w:szCs w:val="22"/>
          <w:lang w:eastAsia="en-US"/>
        </w:rPr>
        <w:t xml:space="preserve"> and </w:t>
      </w:r>
      <w:r w:rsidR="00156B5A">
        <w:rPr>
          <w:rFonts w:eastAsia="Calibri" w:cs="Arial"/>
          <w:szCs w:val="22"/>
          <w:lang w:eastAsia="en-US"/>
        </w:rPr>
        <w:t xml:space="preserve">an SOE policy adopted in </w:t>
      </w:r>
      <w:r w:rsidRPr="00170139">
        <w:rPr>
          <w:rFonts w:eastAsia="Calibri" w:cs="Arial"/>
          <w:szCs w:val="22"/>
          <w:lang w:eastAsia="en-US"/>
        </w:rPr>
        <w:t xml:space="preserve">Palau. Fiji </w:t>
      </w:r>
      <w:r w:rsidR="006E6EC0" w:rsidRPr="00170139">
        <w:rPr>
          <w:rFonts w:eastAsia="Calibri" w:cs="Arial"/>
          <w:szCs w:val="22"/>
          <w:lang w:eastAsia="en-US"/>
        </w:rPr>
        <w:t>introduced</w:t>
      </w:r>
      <w:r w:rsidRPr="00170139">
        <w:rPr>
          <w:rFonts w:eastAsia="Calibri" w:cs="Arial"/>
          <w:szCs w:val="22"/>
          <w:lang w:eastAsia="en-US"/>
        </w:rPr>
        <w:t xml:space="preserve"> even more far</w:t>
      </w:r>
      <w:r w:rsidR="006E6EC0" w:rsidRPr="00170139">
        <w:rPr>
          <w:rFonts w:eastAsia="Calibri" w:cs="Arial"/>
          <w:szCs w:val="22"/>
          <w:lang w:eastAsia="en-US"/>
        </w:rPr>
        <w:t>-</w:t>
      </w:r>
      <w:r w:rsidRPr="00170139">
        <w:rPr>
          <w:rFonts w:eastAsia="Calibri" w:cs="Arial"/>
          <w:szCs w:val="22"/>
          <w:lang w:eastAsia="en-US"/>
        </w:rPr>
        <w:t>reaching reforms</w:t>
      </w:r>
      <w:r w:rsidR="006E6EC0" w:rsidRPr="00170139">
        <w:rPr>
          <w:rFonts w:eastAsia="Calibri" w:cs="Arial"/>
          <w:szCs w:val="22"/>
          <w:lang w:eastAsia="en-US"/>
        </w:rPr>
        <w:t>,</w:t>
      </w:r>
      <w:r w:rsidRPr="00170139">
        <w:rPr>
          <w:rFonts w:eastAsia="Calibri" w:cs="Arial"/>
          <w:szCs w:val="22"/>
          <w:lang w:eastAsia="en-US"/>
        </w:rPr>
        <w:t xml:space="preserve"> </w:t>
      </w:r>
      <w:r w:rsidR="006E6EC0" w:rsidRPr="00170139">
        <w:rPr>
          <w:rFonts w:eastAsia="Calibri" w:cs="Arial"/>
          <w:szCs w:val="22"/>
          <w:lang w:eastAsia="en-US"/>
        </w:rPr>
        <w:t xml:space="preserve">including </w:t>
      </w:r>
      <w:r w:rsidRPr="00170139">
        <w:rPr>
          <w:rFonts w:eastAsia="Calibri" w:cs="Arial"/>
          <w:szCs w:val="22"/>
          <w:lang w:eastAsia="en-US"/>
        </w:rPr>
        <w:t xml:space="preserve">the </w:t>
      </w:r>
      <w:r w:rsidR="00156B5A">
        <w:rPr>
          <w:rFonts w:eastAsia="Calibri" w:cs="Arial"/>
          <w:szCs w:val="22"/>
          <w:lang w:eastAsia="en-US"/>
        </w:rPr>
        <w:t xml:space="preserve">proposed </w:t>
      </w:r>
      <w:r w:rsidRPr="00170139">
        <w:rPr>
          <w:rFonts w:eastAsia="Calibri" w:cs="Arial"/>
          <w:szCs w:val="22"/>
          <w:lang w:eastAsia="en-US"/>
        </w:rPr>
        <w:t xml:space="preserve">partial privatization of the Fiji Electricity Authority and Airports Fiji Limited. These </w:t>
      </w:r>
      <w:r w:rsidR="006E6EC0" w:rsidRPr="00170139">
        <w:rPr>
          <w:rFonts w:eastAsia="Calibri" w:cs="Arial"/>
          <w:szCs w:val="22"/>
          <w:lang w:eastAsia="en-US"/>
        </w:rPr>
        <w:t xml:space="preserve">partial privatizations </w:t>
      </w:r>
      <w:r w:rsidRPr="00170139">
        <w:rPr>
          <w:rFonts w:eastAsia="Calibri" w:cs="Arial"/>
          <w:szCs w:val="22"/>
          <w:lang w:eastAsia="en-US"/>
        </w:rPr>
        <w:t xml:space="preserve">are expected to be completed by </w:t>
      </w:r>
      <w:r w:rsidR="00156B5A" w:rsidRPr="00170139">
        <w:rPr>
          <w:rFonts w:eastAsia="Calibri" w:cs="Arial"/>
          <w:szCs w:val="22"/>
          <w:lang w:eastAsia="en-US"/>
        </w:rPr>
        <w:t>201</w:t>
      </w:r>
      <w:r w:rsidR="00156B5A">
        <w:rPr>
          <w:rFonts w:eastAsia="Calibri" w:cs="Arial"/>
          <w:szCs w:val="22"/>
          <w:lang w:eastAsia="en-US"/>
        </w:rPr>
        <w:t>8</w:t>
      </w:r>
      <w:r w:rsidR="00156B5A" w:rsidRPr="00170139">
        <w:rPr>
          <w:rFonts w:eastAsia="Calibri" w:cs="Arial"/>
          <w:szCs w:val="22"/>
          <w:lang w:eastAsia="en-US"/>
        </w:rPr>
        <w:t xml:space="preserve"> </w:t>
      </w:r>
      <w:r w:rsidRPr="00170139">
        <w:rPr>
          <w:rFonts w:eastAsia="Calibri" w:cs="Arial"/>
          <w:szCs w:val="22"/>
          <w:lang w:eastAsia="en-US"/>
        </w:rPr>
        <w:t>and 201</w:t>
      </w:r>
      <w:r w:rsidR="00156B5A">
        <w:rPr>
          <w:rFonts w:eastAsia="Calibri" w:cs="Arial"/>
          <w:szCs w:val="22"/>
          <w:lang w:eastAsia="en-US"/>
        </w:rPr>
        <w:t>9</w:t>
      </w:r>
      <w:r w:rsidRPr="00170139">
        <w:rPr>
          <w:rFonts w:eastAsia="Calibri" w:cs="Arial"/>
          <w:szCs w:val="22"/>
          <w:lang w:eastAsia="en-US"/>
        </w:rPr>
        <w:t>,</w:t>
      </w:r>
      <w:r w:rsidR="006E6EC0" w:rsidRPr="00170139">
        <w:rPr>
          <w:rFonts w:eastAsia="Calibri" w:cs="Arial"/>
          <w:szCs w:val="22"/>
          <w:lang w:eastAsia="en-US"/>
        </w:rPr>
        <w:t xml:space="preserve"> respectively,</w:t>
      </w:r>
      <w:r w:rsidRPr="00170139">
        <w:rPr>
          <w:rFonts w:eastAsia="Calibri" w:cs="Arial"/>
          <w:szCs w:val="22"/>
          <w:lang w:eastAsia="en-US"/>
        </w:rPr>
        <w:t xml:space="preserve"> although countervailing political pressures will no doubt play a role in delaying this schedule.</w:t>
      </w:r>
    </w:p>
    <w:p w:rsidR="00346198" w:rsidRPr="00170139" w:rsidRDefault="00346198" w:rsidP="00C13C20">
      <w:pPr>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Such </w:t>
      </w:r>
      <w:r w:rsidR="006E6EC0" w:rsidRPr="00170139">
        <w:rPr>
          <w:rFonts w:eastAsia="Calibri" w:cs="Arial"/>
          <w:szCs w:val="22"/>
          <w:lang w:eastAsia="en-US"/>
        </w:rPr>
        <w:t xml:space="preserve">political </w:t>
      </w:r>
      <w:r w:rsidRPr="00170139">
        <w:rPr>
          <w:rFonts w:eastAsia="Calibri" w:cs="Arial"/>
          <w:szCs w:val="22"/>
          <w:lang w:eastAsia="en-US"/>
        </w:rPr>
        <w:t xml:space="preserve">pressures were also encountered </w:t>
      </w:r>
      <w:r w:rsidR="006E6EC0" w:rsidRPr="00170139">
        <w:rPr>
          <w:rFonts w:eastAsia="Calibri" w:cs="Arial"/>
          <w:szCs w:val="22"/>
          <w:lang w:eastAsia="en-US"/>
        </w:rPr>
        <w:t xml:space="preserve">in reforms proposed for SOEs in </w:t>
      </w:r>
      <w:r w:rsidRPr="00170139">
        <w:rPr>
          <w:rFonts w:eastAsia="Calibri" w:cs="Arial"/>
          <w:szCs w:val="22"/>
          <w:lang w:eastAsia="en-US"/>
        </w:rPr>
        <w:t>Samoa</w:t>
      </w:r>
      <w:r w:rsidR="006E6EC0" w:rsidRPr="00170139">
        <w:rPr>
          <w:rFonts w:eastAsia="Calibri" w:cs="Arial"/>
          <w:szCs w:val="22"/>
          <w:lang w:eastAsia="en-US"/>
        </w:rPr>
        <w:t>,</w:t>
      </w:r>
      <w:r w:rsidRPr="00170139">
        <w:rPr>
          <w:rFonts w:eastAsia="Calibri" w:cs="Arial"/>
          <w:szCs w:val="22"/>
          <w:lang w:eastAsia="en-US"/>
        </w:rPr>
        <w:t xml:space="preserve"> whe</w:t>
      </w:r>
      <w:r w:rsidR="006E6EC0" w:rsidRPr="00170139">
        <w:rPr>
          <w:rFonts w:eastAsia="Calibri" w:cs="Arial"/>
          <w:szCs w:val="22"/>
          <w:lang w:eastAsia="en-US"/>
        </w:rPr>
        <w:t>re</w:t>
      </w:r>
      <w:r w:rsidRPr="00170139">
        <w:rPr>
          <w:rFonts w:eastAsia="Calibri" w:cs="Arial"/>
          <w:szCs w:val="22"/>
          <w:lang w:eastAsia="en-US"/>
        </w:rPr>
        <w:t xml:space="preserve"> PSDI advised </w:t>
      </w:r>
      <w:r w:rsidR="006E6EC0" w:rsidRPr="00170139">
        <w:rPr>
          <w:rFonts w:eastAsia="Calibri" w:cs="Arial"/>
          <w:szCs w:val="22"/>
          <w:lang w:eastAsia="en-US"/>
        </w:rPr>
        <w:t xml:space="preserve">that </w:t>
      </w:r>
      <w:r w:rsidRPr="00170139">
        <w:rPr>
          <w:rFonts w:eastAsia="Calibri" w:cs="Arial"/>
          <w:szCs w:val="22"/>
          <w:lang w:eastAsia="en-US"/>
        </w:rPr>
        <w:t>the</w:t>
      </w:r>
      <w:r w:rsidR="006E6EC0" w:rsidRPr="00170139">
        <w:rPr>
          <w:rFonts w:eastAsia="Calibri" w:cs="Arial"/>
          <w:szCs w:val="22"/>
          <w:lang w:eastAsia="en-US"/>
        </w:rPr>
        <w:t xml:space="preserve"> country’s</w:t>
      </w:r>
      <w:r w:rsidRPr="00170139">
        <w:rPr>
          <w:rFonts w:eastAsia="Calibri" w:cs="Arial"/>
          <w:szCs w:val="22"/>
          <w:lang w:eastAsia="en-US"/>
        </w:rPr>
        <w:t xml:space="preserve"> privatization program </w:t>
      </w:r>
      <w:r w:rsidR="006E6EC0" w:rsidRPr="00170139">
        <w:rPr>
          <w:rFonts w:eastAsia="Calibri" w:cs="Arial"/>
          <w:szCs w:val="22"/>
          <w:lang w:eastAsia="en-US"/>
        </w:rPr>
        <w:t>should</w:t>
      </w:r>
      <w:r w:rsidRPr="00170139">
        <w:rPr>
          <w:rFonts w:eastAsia="Calibri" w:cs="Arial"/>
          <w:szCs w:val="22"/>
          <w:lang w:eastAsia="en-US"/>
        </w:rPr>
        <w:t xml:space="preserve"> encompass three SOEs: </w:t>
      </w:r>
      <w:r w:rsidR="006E6EC0" w:rsidRPr="00170139">
        <w:rPr>
          <w:rFonts w:eastAsia="Calibri" w:cs="Arial"/>
          <w:szCs w:val="22"/>
          <w:lang w:eastAsia="en-US"/>
        </w:rPr>
        <w:t xml:space="preserve">the </w:t>
      </w:r>
      <w:r w:rsidRPr="00170139">
        <w:rPr>
          <w:rFonts w:eastAsia="Calibri" w:cs="Arial"/>
          <w:szCs w:val="22"/>
          <w:lang w:eastAsia="en-US"/>
        </w:rPr>
        <w:t xml:space="preserve">Agriculture Stores Corporation, Polynesian Airlines, and Samoa Shipping Services. PSDI recommended a sales strategy for </w:t>
      </w:r>
      <w:r w:rsidR="006E6EC0" w:rsidRPr="00170139">
        <w:rPr>
          <w:rFonts w:eastAsia="Calibri" w:cs="Arial"/>
          <w:szCs w:val="22"/>
          <w:lang w:eastAsia="en-US"/>
        </w:rPr>
        <w:t>the Agriculture Stores Corporation,</w:t>
      </w:r>
      <w:r w:rsidRPr="00170139">
        <w:rPr>
          <w:rFonts w:eastAsia="Calibri" w:cs="Arial"/>
          <w:szCs w:val="22"/>
          <w:lang w:eastAsia="en-US"/>
        </w:rPr>
        <w:t xml:space="preserve"> but the Privatization Committee opted for a more complex sales process </w:t>
      </w:r>
      <w:r w:rsidR="006E6EC0" w:rsidRPr="00170139">
        <w:rPr>
          <w:rFonts w:eastAsia="Calibri" w:cs="Arial"/>
          <w:szCs w:val="22"/>
          <w:lang w:eastAsia="en-US"/>
        </w:rPr>
        <w:t xml:space="preserve">that </w:t>
      </w:r>
      <w:r w:rsidRPr="00170139">
        <w:rPr>
          <w:rFonts w:eastAsia="Calibri" w:cs="Arial"/>
          <w:szCs w:val="22"/>
          <w:lang w:eastAsia="en-US"/>
        </w:rPr>
        <w:t xml:space="preserve">took 24 months to complete and resulted in continuing risk exposure for the government. The privatization of </w:t>
      </w:r>
      <w:r w:rsidR="006E6EC0" w:rsidRPr="00170139">
        <w:rPr>
          <w:rFonts w:eastAsia="Calibri" w:cs="Arial"/>
          <w:szCs w:val="22"/>
          <w:lang w:eastAsia="en-US"/>
        </w:rPr>
        <w:t>Polynesian Airlines</w:t>
      </w:r>
      <w:r w:rsidRPr="00170139">
        <w:rPr>
          <w:rFonts w:eastAsia="Calibri" w:cs="Arial"/>
          <w:szCs w:val="22"/>
          <w:lang w:eastAsia="en-US"/>
        </w:rPr>
        <w:t xml:space="preserve"> has not proceeded. In June 2014, PSDI prepared an ownership, performance</w:t>
      </w:r>
      <w:r w:rsidR="00C1388C" w:rsidRPr="00170139">
        <w:rPr>
          <w:rFonts w:eastAsia="Calibri" w:cs="Arial"/>
          <w:szCs w:val="22"/>
          <w:lang w:eastAsia="en-US"/>
        </w:rPr>
        <w:t>,</w:t>
      </w:r>
      <w:r w:rsidRPr="00170139">
        <w:rPr>
          <w:rFonts w:eastAsia="Calibri" w:cs="Arial"/>
          <w:szCs w:val="22"/>
          <w:lang w:eastAsia="en-US"/>
        </w:rPr>
        <w:t xml:space="preserve"> and divestment policy update</w:t>
      </w:r>
      <w:r w:rsidR="00C1388C" w:rsidRPr="00170139">
        <w:rPr>
          <w:rFonts w:eastAsia="Calibri" w:cs="Arial"/>
          <w:szCs w:val="22"/>
          <w:lang w:eastAsia="en-US"/>
        </w:rPr>
        <w:t>,</w:t>
      </w:r>
      <w:r w:rsidRPr="00170139">
        <w:rPr>
          <w:rFonts w:eastAsia="Calibri" w:cs="Arial"/>
          <w:szCs w:val="22"/>
          <w:lang w:eastAsia="en-US"/>
        </w:rPr>
        <w:t xml:space="preserve"> which was endorsed by Samoa</w:t>
      </w:r>
      <w:r w:rsidR="00C1388C" w:rsidRPr="00170139">
        <w:rPr>
          <w:rFonts w:eastAsia="Calibri" w:cs="Arial"/>
          <w:szCs w:val="22"/>
          <w:lang w:eastAsia="en-US"/>
        </w:rPr>
        <w:t>’s</w:t>
      </w:r>
      <w:r w:rsidRPr="00170139">
        <w:rPr>
          <w:rFonts w:eastAsia="Calibri" w:cs="Arial"/>
          <w:szCs w:val="22"/>
          <w:lang w:eastAsia="en-US"/>
        </w:rPr>
        <w:t xml:space="preserve"> </w:t>
      </w:r>
      <w:r w:rsidR="00C1388C" w:rsidRPr="00170139">
        <w:rPr>
          <w:rFonts w:eastAsia="Calibri" w:cs="Arial"/>
          <w:szCs w:val="22"/>
          <w:lang w:eastAsia="en-US"/>
        </w:rPr>
        <w:t>c</w:t>
      </w:r>
      <w:r w:rsidRPr="00170139">
        <w:rPr>
          <w:rFonts w:eastAsia="Calibri" w:cs="Arial"/>
          <w:szCs w:val="22"/>
          <w:lang w:eastAsia="en-US"/>
        </w:rPr>
        <w:t>abinet in January 2015</w:t>
      </w:r>
      <w:r w:rsidR="00C1388C" w:rsidRPr="00170139">
        <w:rPr>
          <w:rFonts w:eastAsia="Calibri" w:cs="Arial"/>
          <w:szCs w:val="22"/>
          <w:lang w:eastAsia="en-US"/>
        </w:rPr>
        <w:t xml:space="preserve">. The update </w:t>
      </w:r>
      <w:r w:rsidRPr="00170139">
        <w:rPr>
          <w:rFonts w:eastAsia="Calibri" w:cs="Arial"/>
          <w:szCs w:val="22"/>
          <w:lang w:eastAsia="en-US"/>
        </w:rPr>
        <w:t>identifi</w:t>
      </w:r>
      <w:r w:rsidR="00C1388C" w:rsidRPr="00170139">
        <w:rPr>
          <w:rFonts w:eastAsia="Calibri" w:cs="Arial"/>
          <w:szCs w:val="22"/>
          <w:lang w:eastAsia="en-US"/>
        </w:rPr>
        <w:t>ed</w:t>
      </w:r>
      <w:r w:rsidRPr="00170139">
        <w:rPr>
          <w:rFonts w:eastAsia="Calibri" w:cs="Arial"/>
          <w:szCs w:val="22"/>
          <w:lang w:eastAsia="en-US"/>
        </w:rPr>
        <w:t xml:space="preserve"> three additional privatization targets</w:t>
      </w:r>
      <w:r w:rsidR="00C1388C" w:rsidRPr="00170139">
        <w:rPr>
          <w:rFonts w:eastAsia="Calibri" w:cs="Arial"/>
          <w:szCs w:val="22"/>
          <w:lang w:eastAsia="en-US"/>
        </w:rPr>
        <w:t>, but, a</w:t>
      </w:r>
      <w:r w:rsidRPr="00170139">
        <w:rPr>
          <w:rFonts w:eastAsia="Calibri" w:cs="Arial"/>
          <w:szCs w:val="22"/>
          <w:lang w:eastAsia="en-US"/>
        </w:rPr>
        <w:t xml:space="preserve">s of August 2017, the </w:t>
      </w:r>
      <w:r w:rsidR="00C1388C" w:rsidRPr="00170139">
        <w:rPr>
          <w:rFonts w:eastAsia="Calibri" w:cs="Arial"/>
          <w:szCs w:val="22"/>
          <w:lang w:eastAsia="en-US"/>
        </w:rPr>
        <w:t>government</w:t>
      </w:r>
      <w:r w:rsidRPr="00170139">
        <w:rPr>
          <w:rFonts w:eastAsia="Calibri" w:cs="Arial"/>
          <w:szCs w:val="22"/>
          <w:lang w:eastAsia="en-US"/>
        </w:rPr>
        <w:t xml:space="preserve"> had yet to agree to </w:t>
      </w:r>
      <w:r w:rsidR="0080506F" w:rsidRPr="00170139">
        <w:rPr>
          <w:rFonts w:eastAsia="Calibri" w:cs="Arial"/>
          <w:szCs w:val="22"/>
          <w:lang w:eastAsia="en-US"/>
        </w:rPr>
        <w:t>proceed with these divestments.</w:t>
      </w:r>
    </w:p>
    <w:p w:rsidR="00346198" w:rsidRPr="00170139" w:rsidRDefault="00346198" w:rsidP="00C13C20">
      <w:pPr>
        <w:rPr>
          <w:rFonts w:eastAsia="Calibri" w:cs="Arial"/>
          <w:szCs w:val="22"/>
          <w:lang w:eastAsia="en-US"/>
        </w:rPr>
      </w:pPr>
    </w:p>
    <w:p w:rsidR="00346198" w:rsidRPr="00170139" w:rsidRDefault="00C1388C"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As has been shown both in developing and developed countries throughout Asia, </w:t>
      </w:r>
      <w:r w:rsidR="00346198" w:rsidRPr="00170139">
        <w:rPr>
          <w:rFonts w:eastAsia="Calibri" w:cs="Arial"/>
          <w:szCs w:val="22"/>
          <w:lang w:eastAsia="en-US"/>
        </w:rPr>
        <w:t xml:space="preserve">PPPs require an extensive array of legal and regulatory reforms to achieve successful and sustainable outcomes. </w:t>
      </w:r>
      <w:r w:rsidRPr="00170139">
        <w:rPr>
          <w:rFonts w:eastAsia="Calibri" w:cs="Arial"/>
          <w:szCs w:val="22"/>
          <w:lang w:eastAsia="en-US"/>
        </w:rPr>
        <w:t>The experience in Samoa demonstrates that s</w:t>
      </w:r>
      <w:r w:rsidR="00346198" w:rsidRPr="00170139">
        <w:rPr>
          <w:rFonts w:eastAsia="Calibri" w:cs="Arial"/>
          <w:szCs w:val="22"/>
          <w:lang w:eastAsia="en-US"/>
        </w:rPr>
        <w:t xml:space="preserve">imple contracting </w:t>
      </w:r>
      <w:r w:rsidRPr="00170139">
        <w:rPr>
          <w:rFonts w:eastAsia="Calibri" w:cs="Arial"/>
          <w:szCs w:val="22"/>
          <w:lang w:eastAsia="en-US"/>
        </w:rPr>
        <w:t xml:space="preserve">arrangements between the governments of </w:t>
      </w:r>
      <w:r w:rsidR="00346198" w:rsidRPr="00170139">
        <w:rPr>
          <w:rFonts w:eastAsia="Calibri" w:cs="Arial"/>
          <w:szCs w:val="22"/>
          <w:lang w:eastAsia="en-US"/>
        </w:rPr>
        <w:t>Pacific DMC</w:t>
      </w:r>
      <w:r w:rsidRPr="00170139">
        <w:rPr>
          <w:rFonts w:eastAsia="Calibri" w:cs="Arial"/>
          <w:szCs w:val="22"/>
          <w:lang w:eastAsia="en-US"/>
        </w:rPr>
        <w:t>s and</w:t>
      </w:r>
      <w:r w:rsidR="00346198" w:rsidRPr="00170139">
        <w:rPr>
          <w:rFonts w:eastAsia="Calibri" w:cs="Arial"/>
          <w:szCs w:val="22"/>
          <w:lang w:eastAsia="en-US"/>
        </w:rPr>
        <w:t xml:space="preserve"> the private sector ha</w:t>
      </w:r>
      <w:r w:rsidRPr="00170139">
        <w:rPr>
          <w:rFonts w:eastAsia="Calibri" w:cs="Arial"/>
          <w:szCs w:val="22"/>
          <w:lang w:eastAsia="en-US"/>
        </w:rPr>
        <w:t>ve</w:t>
      </w:r>
      <w:r w:rsidR="00346198" w:rsidRPr="00170139">
        <w:rPr>
          <w:rFonts w:eastAsia="Calibri" w:cs="Arial"/>
          <w:szCs w:val="22"/>
          <w:lang w:eastAsia="en-US"/>
        </w:rPr>
        <w:t xml:space="preserve"> the potential to provide benefits over </w:t>
      </w:r>
      <w:r w:rsidRPr="00170139">
        <w:rPr>
          <w:rFonts w:eastAsia="Calibri" w:cs="Arial"/>
          <w:szCs w:val="22"/>
          <w:lang w:eastAsia="en-US"/>
        </w:rPr>
        <w:t xml:space="preserve">services provided </w:t>
      </w:r>
      <w:r w:rsidR="00346198" w:rsidRPr="00170139">
        <w:rPr>
          <w:rFonts w:eastAsia="Calibri" w:cs="Arial"/>
          <w:szCs w:val="22"/>
          <w:lang w:eastAsia="en-US"/>
        </w:rPr>
        <w:t>solely</w:t>
      </w:r>
      <w:r w:rsidRPr="00170139">
        <w:rPr>
          <w:rFonts w:eastAsia="Calibri" w:cs="Arial"/>
          <w:szCs w:val="22"/>
          <w:lang w:eastAsia="en-US"/>
        </w:rPr>
        <w:t xml:space="preserve"> by the</w:t>
      </w:r>
      <w:r w:rsidR="00346198" w:rsidRPr="00170139">
        <w:rPr>
          <w:rFonts w:eastAsia="Calibri" w:cs="Arial"/>
          <w:szCs w:val="22"/>
          <w:lang w:eastAsia="en-US"/>
        </w:rPr>
        <w:t xml:space="preserve"> public sector. However,</w:t>
      </w:r>
      <w:r w:rsidRPr="00170139">
        <w:rPr>
          <w:rFonts w:eastAsia="Calibri" w:cs="Arial"/>
          <w:szCs w:val="22"/>
          <w:lang w:eastAsia="en-US"/>
        </w:rPr>
        <w:t xml:space="preserve"> as is the case in Samoa,</w:t>
      </w:r>
      <w:r w:rsidR="00346198" w:rsidRPr="00170139">
        <w:rPr>
          <w:rFonts w:eastAsia="Calibri" w:cs="Arial"/>
          <w:szCs w:val="22"/>
          <w:lang w:eastAsia="en-US"/>
        </w:rPr>
        <w:t xml:space="preserve"> the governance of </w:t>
      </w:r>
      <w:r w:rsidRPr="00170139">
        <w:rPr>
          <w:rFonts w:eastAsia="Calibri" w:cs="Arial"/>
          <w:szCs w:val="22"/>
          <w:lang w:eastAsia="en-US"/>
        </w:rPr>
        <w:t xml:space="preserve">such </w:t>
      </w:r>
      <w:r w:rsidR="00346198" w:rsidRPr="00170139">
        <w:rPr>
          <w:rFonts w:eastAsia="Calibri" w:cs="Arial"/>
          <w:szCs w:val="22"/>
          <w:lang w:eastAsia="en-US"/>
        </w:rPr>
        <w:t>contracts need</w:t>
      </w:r>
      <w:r w:rsidRPr="00170139">
        <w:rPr>
          <w:rFonts w:eastAsia="Calibri" w:cs="Arial"/>
          <w:szCs w:val="22"/>
          <w:lang w:eastAsia="en-US"/>
        </w:rPr>
        <w:t>s</w:t>
      </w:r>
      <w:r w:rsidR="00346198" w:rsidRPr="00170139">
        <w:rPr>
          <w:rFonts w:eastAsia="Calibri" w:cs="Arial"/>
          <w:szCs w:val="22"/>
          <w:lang w:eastAsia="en-US"/>
        </w:rPr>
        <w:t xml:space="preserve"> to be monitored </w:t>
      </w:r>
      <w:r w:rsidRPr="00170139">
        <w:rPr>
          <w:rFonts w:eastAsia="Calibri" w:cs="Arial"/>
          <w:szCs w:val="22"/>
          <w:lang w:eastAsia="en-US"/>
        </w:rPr>
        <w:t xml:space="preserve">carefully </w:t>
      </w:r>
      <w:r w:rsidR="00346198" w:rsidRPr="00170139">
        <w:rPr>
          <w:rFonts w:eastAsia="Calibri" w:cs="Arial"/>
          <w:szCs w:val="22"/>
          <w:lang w:eastAsia="en-US"/>
        </w:rPr>
        <w:t xml:space="preserve">over the full </w:t>
      </w:r>
      <w:r w:rsidRPr="00170139">
        <w:rPr>
          <w:rFonts w:eastAsia="Calibri" w:cs="Arial"/>
          <w:szCs w:val="22"/>
          <w:lang w:eastAsia="en-US"/>
        </w:rPr>
        <w:t xml:space="preserve">term </w:t>
      </w:r>
      <w:r w:rsidR="00346198" w:rsidRPr="00170139">
        <w:rPr>
          <w:rFonts w:eastAsia="Calibri" w:cs="Arial"/>
          <w:szCs w:val="22"/>
          <w:lang w:eastAsia="en-US"/>
        </w:rPr>
        <w:t xml:space="preserve">of </w:t>
      </w:r>
      <w:r w:rsidRPr="00170139">
        <w:rPr>
          <w:rFonts w:eastAsia="Calibri" w:cs="Arial"/>
          <w:szCs w:val="22"/>
          <w:lang w:eastAsia="en-US"/>
        </w:rPr>
        <w:t>each</w:t>
      </w:r>
      <w:r w:rsidR="00346198" w:rsidRPr="00170139">
        <w:rPr>
          <w:rFonts w:eastAsia="Calibri" w:cs="Arial"/>
          <w:szCs w:val="22"/>
          <w:lang w:eastAsia="en-US"/>
        </w:rPr>
        <w:t xml:space="preserve"> contract to ensure successful and sustainable outcomes.</w:t>
      </w:r>
      <w:r w:rsidR="00346198" w:rsidRPr="00170139">
        <w:rPr>
          <w:rFonts w:eastAsia="Calibri" w:cs="Arial"/>
          <w:szCs w:val="22"/>
          <w:vertAlign w:val="superscript"/>
          <w:lang w:eastAsia="en-US"/>
        </w:rPr>
        <w:footnoteReference w:id="6"/>
      </w:r>
    </w:p>
    <w:p w:rsidR="00346198" w:rsidRPr="00170139" w:rsidRDefault="00346198" w:rsidP="00C13C20">
      <w:pPr>
        <w:rPr>
          <w:rFonts w:eastAsia="Calibri" w:cs="Arial"/>
          <w:szCs w:val="22"/>
          <w:lang w:eastAsia="en-US"/>
        </w:rPr>
      </w:pPr>
    </w:p>
    <w:p w:rsidR="00346198" w:rsidRPr="00170139" w:rsidRDefault="008C7B5E" w:rsidP="00170139">
      <w:pPr>
        <w:keepNext/>
        <w:spacing w:after="160"/>
        <w:outlineLvl w:val="1"/>
        <w:rPr>
          <w:rFonts w:eastAsia="Times New Roman" w:cs="Arial"/>
          <w:b/>
          <w:bCs/>
          <w:iCs/>
          <w:sz w:val="24"/>
          <w:lang w:eastAsia="en-US"/>
        </w:rPr>
      </w:pPr>
      <w:bookmarkStart w:id="28" w:name="_Toc494271707"/>
      <w:bookmarkStart w:id="29" w:name="_Toc494367933"/>
      <w:bookmarkStart w:id="30" w:name="_Toc494378777"/>
      <w:bookmarkStart w:id="31" w:name="_Toc494378859"/>
      <w:r w:rsidRPr="00170139">
        <w:rPr>
          <w:rFonts w:eastAsia="Times New Roman" w:cs="Arial"/>
          <w:b/>
          <w:bCs/>
          <w:iCs/>
          <w:sz w:val="24"/>
          <w:lang w:eastAsia="en-US"/>
        </w:rPr>
        <w:t>D.</w:t>
      </w:r>
      <w:r w:rsidR="00386F3B" w:rsidRPr="00170139">
        <w:rPr>
          <w:rFonts w:eastAsia="Times New Roman" w:cs="Arial"/>
          <w:b/>
          <w:bCs/>
          <w:iCs/>
          <w:sz w:val="24"/>
          <w:lang w:eastAsia="en-US"/>
        </w:rPr>
        <w:tab/>
      </w:r>
      <w:r w:rsidR="00346198" w:rsidRPr="00170139">
        <w:rPr>
          <w:rFonts w:eastAsia="Times New Roman" w:cs="Arial"/>
          <w:b/>
          <w:bCs/>
          <w:iCs/>
          <w:sz w:val="24"/>
          <w:lang w:eastAsia="en-US"/>
        </w:rPr>
        <w:t>Economic Empowerment of Women</w:t>
      </w:r>
      <w:bookmarkEnd w:id="28"/>
      <w:bookmarkEnd w:id="29"/>
      <w:bookmarkEnd w:id="30"/>
      <w:bookmarkEnd w:id="31"/>
    </w:p>
    <w:p w:rsidR="00346198" w:rsidRPr="00170139" w:rsidRDefault="00280A69"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During </w:t>
      </w:r>
      <w:r w:rsidR="00346198" w:rsidRPr="00170139">
        <w:rPr>
          <w:rFonts w:eastAsia="Calibri" w:cs="Arial"/>
          <w:szCs w:val="22"/>
          <w:lang w:eastAsia="en-US"/>
        </w:rPr>
        <w:t>PSDI III</w:t>
      </w:r>
      <w:r w:rsidRPr="00170139">
        <w:rPr>
          <w:rFonts w:eastAsia="Calibri" w:cs="Arial"/>
          <w:szCs w:val="22"/>
          <w:lang w:eastAsia="en-US"/>
        </w:rPr>
        <w:t>, there has been</w:t>
      </w:r>
      <w:r w:rsidR="00346198" w:rsidRPr="00170139">
        <w:rPr>
          <w:rFonts w:eastAsia="Calibri" w:cs="Arial"/>
          <w:szCs w:val="22"/>
          <w:lang w:eastAsia="en-US"/>
        </w:rPr>
        <w:t xml:space="preserve"> a new focus on</w:t>
      </w:r>
      <w:r w:rsidRPr="00170139">
        <w:rPr>
          <w:rFonts w:eastAsia="Calibri" w:cs="Arial"/>
          <w:szCs w:val="22"/>
          <w:lang w:eastAsia="en-US"/>
        </w:rPr>
        <w:t xml:space="preserve"> the</w:t>
      </w:r>
      <w:r w:rsidR="00346198" w:rsidRPr="00170139">
        <w:rPr>
          <w:rFonts w:eastAsia="Calibri" w:cs="Arial"/>
          <w:szCs w:val="22"/>
          <w:lang w:eastAsia="en-US"/>
        </w:rPr>
        <w:t xml:space="preserve"> economic empowerment</w:t>
      </w:r>
      <w:r w:rsidRPr="00170139">
        <w:rPr>
          <w:rFonts w:eastAsia="Calibri" w:cs="Arial"/>
          <w:szCs w:val="22"/>
          <w:lang w:eastAsia="en-US"/>
        </w:rPr>
        <w:t xml:space="preserve"> of women</w:t>
      </w:r>
      <w:r w:rsidR="00346198" w:rsidRPr="00170139">
        <w:rPr>
          <w:rFonts w:eastAsia="Calibri" w:cs="Arial"/>
          <w:szCs w:val="22"/>
          <w:lang w:eastAsia="en-US"/>
        </w:rPr>
        <w:t xml:space="preserve"> in the Pacific </w:t>
      </w:r>
      <w:r w:rsidRPr="00170139">
        <w:rPr>
          <w:rFonts w:eastAsia="Calibri" w:cs="Arial"/>
          <w:szCs w:val="22"/>
          <w:lang w:eastAsia="en-US"/>
        </w:rPr>
        <w:t>DMCs</w:t>
      </w:r>
      <w:r w:rsidR="00346198" w:rsidRPr="00170139">
        <w:rPr>
          <w:rFonts w:eastAsia="Calibri" w:cs="Arial"/>
          <w:szCs w:val="22"/>
          <w:lang w:eastAsia="en-US"/>
        </w:rPr>
        <w:t xml:space="preserve">. To enhance the productivity of the private sector, women’s </w:t>
      </w:r>
      <w:r w:rsidRPr="00170139">
        <w:rPr>
          <w:rFonts w:eastAsia="Calibri" w:cs="Arial"/>
          <w:szCs w:val="22"/>
          <w:lang w:eastAsia="en-US"/>
        </w:rPr>
        <w:t xml:space="preserve">commercial </w:t>
      </w:r>
      <w:r w:rsidR="00346198" w:rsidRPr="00170139">
        <w:rPr>
          <w:rFonts w:eastAsia="Calibri" w:cs="Arial"/>
          <w:szCs w:val="22"/>
          <w:lang w:eastAsia="en-US"/>
        </w:rPr>
        <w:t xml:space="preserve">activities must be </w:t>
      </w:r>
      <w:r w:rsidRPr="00170139">
        <w:rPr>
          <w:rFonts w:eastAsia="Calibri" w:cs="Arial"/>
          <w:szCs w:val="22"/>
          <w:lang w:eastAsia="en-US"/>
        </w:rPr>
        <w:t xml:space="preserve">transitioned </w:t>
      </w:r>
      <w:r w:rsidR="00346198" w:rsidRPr="00170139">
        <w:rPr>
          <w:rFonts w:eastAsia="Calibri" w:cs="Arial"/>
          <w:szCs w:val="22"/>
          <w:lang w:eastAsia="en-US"/>
        </w:rPr>
        <w:t xml:space="preserve">from the informal </w:t>
      </w:r>
      <w:r w:rsidRPr="00170139">
        <w:rPr>
          <w:rFonts w:eastAsia="Calibri" w:cs="Arial"/>
          <w:szCs w:val="22"/>
          <w:lang w:eastAsia="en-US"/>
        </w:rPr>
        <w:t>economy (</w:t>
      </w:r>
      <w:r w:rsidR="00346198" w:rsidRPr="00170139">
        <w:rPr>
          <w:rFonts w:eastAsia="Calibri" w:cs="Arial"/>
          <w:szCs w:val="22"/>
          <w:lang w:eastAsia="en-US"/>
        </w:rPr>
        <w:t>where they have predominately remained</w:t>
      </w:r>
      <w:r w:rsidRPr="00170139">
        <w:rPr>
          <w:rFonts w:eastAsia="Calibri" w:cs="Arial"/>
          <w:szCs w:val="22"/>
          <w:lang w:eastAsia="en-US"/>
        </w:rPr>
        <w:t>)</w:t>
      </w:r>
      <w:r w:rsidR="00346198" w:rsidRPr="00170139">
        <w:rPr>
          <w:rFonts w:eastAsia="Calibri" w:cs="Arial"/>
          <w:szCs w:val="22"/>
          <w:lang w:eastAsia="en-US"/>
        </w:rPr>
        <w:t xml:space="preserve"> into the formal </w:t>
      </w:r>
      <w:r w:rsidRPr="00170139">
        <w:rPr>
          <w:rFonts w:eastAsia="Calibri" w:cs="Arial"/>
          <w:szCs w:val="22"/>
          <w:lang w:eastAsia="en-US"/>
        </w:rPr>
        <w:t>economy (</w:t>
      </w:r>
      <w:r w:rsidR="00346198" w:rsidRPr="00170139">
        <w:rPr>
          <w:rFonts w:eastAsia="Calibri" w:cs="Arial"/>
          <w:szCs w:val="22"/>
          <w:lang w:eastAsia="en-US"/>
        </w:rPr>
        <w:t xml:space="preserve">where their </w:t>
      </w:r>
      <w:r w:rsidRPr="00170139">
        <w:rPr>
          <w:rFonts w:eastAsia="Calibri" w:cs="Arial"/>
          <w:szCs w:val="22"/>
          <w:lang w:eastAsia="en-US"/>
        </w:rPr>
        <w:t xml:space="preserve">commercial </w:t>
      </w:r>
      <w:r w:rsidR="00346198" w:rsidRPr="00170139">
        <w:rPr>
          <w:rFonts w:eastAsia="Calibri" w:cs="Arial"/>
          <w:szCs w:val="22"/>
          <w:lang w:eastAsia="en-US"/>
        </w:rPr>
        <w:t>potential can be more fully realized</w:t>
      </w:r>
      <w:r w:rsidRPr="00170139">
        <w:rPr>
          <w:rFonts w:eastAsia="Calibri" w:cs="Arial"/>
          <w:szCs w:val="22"/>
          <w:lang w:eastAsia="en-US"/>
        </w:rPr>
        <w:t>)</w:t>
      </w:r>
      <w:r w:rsidR="00346198" w:rsidRPr="00170139">
        <w:rPr>
          <w:rFonts w:eastAsia="Calibri" w:cs="Arial"/>
          <w:szCs w:val="22"/>
          <w:lang w:eastAsia="en-US"/>
        </w:rPr>
        <w:t>. The size</w:t>
      </w:r>
      <w:r w:rsidRPr="00170139">
        <w:rPr>
          <w:rFonts w:eastAsia="Calibri" w:cs="Arial"/>
          <w:szCs w:val="22"/>
          <w:lang w:eastAsia="en-US"/>
        </w:rPr>
        <w:t xml:space="preserve"> and volume</w:t>
      </w:r>
      <w:r w:rsidR="00346198" w:rsidRPr="00170139">
        <w:rPr>
          <w:rFonts w:eastAsia="Calibri" w:cs="Arial"/>
          <w:szCs w:val="22"/>
          <w:lang w:eastAsia="en-US"/>
        </w:rPr>
        <w:t xml:space="preserve"> of informal </w:t>
      </w:r>
      <w:r w:rsidRPr="00170139">
        <w:rPr>
          <w:rFonts w:eastAsia="Calibri" w:cs="Arial"/>
          <w:szCs w:val="22"/>
          <w:lang w:eastAsia="en-US"/>
        </w:rPr>
        <w:t>economies with</w:t>
      </w:r>
      <w:r w:rsidR="00346198" w:rsidRPr="00170139">
        <w:rPr>
          <w:rFonts w:eastAsia="Calibri" w:cs="Arial"/>
          <w:szCs w:val="22"/>
          <w:lang w:eastAsia="en-US"/>
        </w:rPr>
        <w:t>in Pacific</w:t>
      </w:r>
      <w:r w:rsidRPr="00170139">
        <w:rPr>
          <w:rFonts w:eastAsia="Calibri" w:cs="Arial"/>
          <w:szCs w:val="22"/>
          <w:lang w:eastAsia="en-US"/>
        </w:rPr>
        <w:t xml:space="preserve"> DMCs</w:t>
      </w:r>
      <w:r w:rsidR="00346198" w:rsidRPr="00170139">
        <w:rPr>
          <w:rFonts w:eastAsia="Calibri" w:cs="Arial"/>
          <w:szCs w:val="22"/>
          <w:lang w:eastAsia="en-US"/>
        </w:rPr>
        <w:t xml:space="preserve"> </w:t>
      </w:r>
      <w:r w:rsidRPr="00170139">
        <w:rPr>
          <w:rFonts w:eastAsia="Calibri" w:cs="Arial"/>
          <w:szCs w:val="22"/>
          <w:lang w:eastAsia="en-US"/>
        </w:rPr>
        <w:t xml:space="preserve">have </w:t>
      </w:r>
      <w:r w:rsidR="00346198" w:rsidRPr="00170139">
        <w:rPr>
          <w:rFonts w:eastAsia="Calibri" w:cs="Arial"/>
          <w:szCs w:val="22"/>
          <w:lang w:eastAsia="en-US"/>
        </w:rPr>
        <w:t>not often</w:t>
      </w:r>
      <w:r w:rsidRPr="00170139">
        <w:rPr>
          <w:rFonts w:eastAsia="Calibri" w:cs="Arial"/>
          <w:szCs w:val="22"/>
          <w:lang w:eastAsia="en-US"/>
        </w:rPr>
        <w:t xml:space="preserve"> been</w:t>
      </w:r>
      <w:r w:rsidR="00346198" w:rsidRPr="00170139">
        <w:rPr>
          <w:rFonts w:eastAsia="Calibri" w:cs="Arial"/>
          <w:szCs w:val="22"/>
          <w:lang w:eastAsia="en-US"/>
        </w:rPr>
        <w:t xml:space="preserve"> </w:t>
      </w:r>
      <w:r w:rsidRPr="00170139">
        <w:rPr>
          <w:rFonts w:eastAsia="Calibri" w:cs="Arial"/>
          <w:szCs w:val="22"/>
          <w:lang w:eastAsia="en-US"/>
        </w:rPr>
        <w:t xml:space="preserve">accurately </w:t>
      </w:r>
      <w:r w:rsidR="00346198" w:rsidRPr="00170139">
        <w:rPr>
          <w:rFonts w:eastAsia="Calibri" w:cs="Arial"/>
          <w:szCs w:val="22"/>
          <w:lang w:eastAsia="en-US"/>
        </w:rPr>
        <w:t>measured</w:t>
      </w:r>
      <w:r w:rsidRPr="00170139">
        <w:rPr>
          <w:rFonts w:eastAsia="Calibri" w:cs="Arial"/>
          <w:szCs w:val="22"/>
          <w:lang w:eastAsia="en-US"/>
        </w:rPr>
        <w:t>. However</w:t>
      </w:r>
      <w:r w:rsidR="00346198" w:rsidRPr="00170139">
        <w:rPr>
          <w:rFonts w:eastAsia="Calibri" w:cs="Arial"/>
          <w:szCs w:val="22"/>
          <w:lang w:eastAsia="en-US"/>
        </w:rPr>
        <w:t xml:space="preserve">, the informal </w:t>
      </w:r>
      <w:r w:rsidRPr="00170139">
        <w:rPr>
          <w:rFonts w:eastAsia="Calibri" w:cs="Arial"/>
          <w:szCs w:val="22"/>
          <w:lang w:eastAsia="en-US"/>
        </w:rPr>
        <w:t xml:space="preserve">economy of PNG </w:t>
      </w:r>
      <w:r w:rsidR="00346198" w:rsidRPr="00170139">
        <w:rPr>
          <w:rFonts w:eastAsia="Calibri" w:cs="Arial"/>
          <w:szCs w:val="22"/>
          <w:lang w:eastAsia="en-US"/>
        </w:rPr>
        <w:t xml:space="preserve">has been estimated at 80% of </w:t>
      </w:r>
      <w:r w:rsidRPr="00170139">
        <w:rPr>
          <w:rFonts w:eastAsia="Calibri" w:cs="Arial"/>
          <w:szCs w:val="22"/>
          <w:lang w:eastAsia="en-US"/>
        </w:rPr>
        <w:t>gross domestic product (GDP), while the informal economy of</w:t>
      </w:r>
      <w:r w:rsidR="00346198" w:rsidRPr="00170139">
        <w:rPr>
          <w:rFonts w:eastAsia="Calibri" w:cs="Arial"/>
          <w:szCs w:val="22"/>
          <w:lang w:eastAsia="en-US"/>
        </w:rPr>
        <w:t xml:space="preserve"> Vanuatu</w:t>
      </w:r>
      <w:r w:rsidRPr="00170139">
        <w:rPr>
          <w:rFonts w:eastAsia="Calibri" w:cs="Arial"/>
          <w:szCs w:val="22"/>
          <w:lang w:eastAsia="en-US"/>
        </w:rPr>
        <w:t xml:space="preserve"> is thought to contribute</w:t>
      </w:r>
      <w:r w:rsidR="00346198" w:rsidRPr="00170139">
        <w:rPr>
          <w:rFonts w:eastAsia="Calibri" w:cs="Arial"/>
          <w:szCs w:val="22"/>
          <w:lang w:eastAsia="en-US"/>
        </w:rPr>
        <w:t xml:space="preserve"> 75% of </w:t>
      </w:r>
      <w:r w:rsidRPr="00170139">
        <w:rPr>
          <w:rFonts w:eastAsia="Calibri" w:cs="Arial"/>
          <w:szCs w:val="22"/>
          <w:lang w:eastAsia="en-US"/>
        </w:rPr>
        <w:t xml:space="preserve">the country’s </w:t>
      </w:r>
      <w:r w:rsidR="00346198" w:rsidRPr="00170139">
        <w:rPr>
          <w:rFonts w:eastAsia="Calibri" w:cs="Arial"/>
          <w:szCs w:val="22"/>
          <w:lang w:eastAsia="en-US"/>
        </w:rPr>
        <w:t xml:space="preserve">GDP. </w:t>
      </w:r>
    </w:p>
    <w:p w:rsidR="00346198" w:rsidRPr="00170139" w:rsidRDefault="00346198" w:rsidP="00C13C20">
      <w:pPr>
        <w:tabs>
          <w:tab w:val="left" w:pos="567"/>
        </w:tabs>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Facilitating the transfer of women’s </w:t>
      </w:r>
      <w:r w:rsidR="00280A69" w:rsidRPr="00170139">
        <w:rPr>
          <w:rFonts w:eastAsia="Calibri" w:cs="Arial"/>
          <w:szCs w:val="22"/>
          <w:lang w:eastAsia="en-US"/>
        </w:rPr>
        <w:t xml:space="preserve">commercial </w:t>
      </w:r>
      <w:r w:rsidRPr="00170139">
        <w:rPr>
          <w:rFonts w:eastAsia="Calibri" w:cs="Arial"/>
          <w:szCs w:val="22"/>
          <w:lang w:eastAsia="en-US"/>
        </w:rPr>
        <w:t xml:space="preserve">activities from informal to formal </w:t>
      </w:r>
      <w:r w:rsidR="00280A69" w:rsidRPr="00170139">
        <w:rPr>
          <w:rFonts w:eastAsia="Calibri" w:cs="Arial"/>
          <w:szCs w:val="22"/>
          <w:lang w:eastAsia="en-US"/>
        </w:rPr>
        <w:t xml:space="preserve">economies </w:t>
      </w:r>
      <w:r w:rsidRPr="00170139">
        <w:rPr>
          <w:rFonts w:eastAsia="Calibri" w:cs="Arial"/>
          <w:szCs w:val="22"/>
          <w:lang w:eastAsia="en-US"/>
        </w:rPr>
        <w:t>offer</w:t>
      </w:r>
      <w:r w:rsidR="00A037E7" w:rsidRPr="00170139">
        <w:rPr>
          <w:rFonts w:eastAsia="Calibri" w:cs="Arial"/>
          <w:szCs w:val="22"/>
          <w:lang w:eastAsia="en-US"/>
        </w:rPr>
        <w:t>s</w:t>
      </w:r>
      <w:r w:rsidRPr="00170139">
        <w:rPr>
          <w:rFonts w:eastAsia="Calibri" w:cs="Arial"/>
          <w:szCs w:val="22"/>
          <w:lang w:eastAsia="en-US"/>
        </w:rPr>
        <w:t xml:space="preserve"> </w:t>
      </w:r>
      <w:r w:rsidR="005458D2">
        <w:rPr>
          <w:rFonts w:eastAsia="Calibri" w:cs="Arial"/>
          <w:szCs w:val="22"/>
          <w:lang w:eastAsia="en-US"/>
        </w:rPr>
        <w:t>great</w:t>
      </w:r>
      <w:r w:rsidR="00A037E7" w:rsidRPr="00170139">
        <w:rPr>
          <w:rFonts w:eastAsia="Calibri" w:cs="Arial"/>
          <w:szCs w:val="22"/>
          <w:lang w:eastAsia="en-US"/>
        </w:rPr>
        <w:t xml:space="preserve"> </w:t>
      </w:r>
      <w:r w:rsidRPr="00170139">
        <w:rPr>
          <w:rFonts w:eastAsia="Calibri" w:cs="Arial"/>
          <w:szCs w:val="22"/>
          <w:lang w:eastAsia="en-US"/>
        </w:rPr>
        <w:t>potential</w:t>
      </w:r>
      <w:r w:rsidR="00A037E7" w:rsidRPr="00170139">
        <w:rPr>
          <w:rFonts w:eastAsia="Calibri" w:cs="Arial"/>
          <w:szCs w:val="22"/>
          <w:lang w:eastAsia="en-US"/>
        </w:rPr>
        <w:t xml:space="preserve"> to</w:t>
      </w:r>
      <w:r w:rsidRPr="00170139">
        <w:rPr>
          <w:rFonts w:eastAsia="Calibri" w:cs="Arial"/>
          <w:szCs w:val="22"/>
          <w:lang w:eastAsia="en-US"/>
        </w:rPr>
        <w:t xml:space="preserve"> expand</w:t>
      </w:r>
      <w:r w:rsidR="00A037E7" w:rsidRPr="00170139">
        <w:rPr>
          <w:rFonts w:eastAsia="Calibri" w:cs="Arial"/>
          <w:szCs w:val="22"/>
          <w:lang w:eastAsia="en-US"/>
        </w:rPr>
        <w:t xml:space="preserve"> </w:t>
      </w:r>
      <w:r w:rsidRPr="00170139">
        <w:rPr>
          <w:rFonts w:eastAsia="Calibri" w:cs="Arial"/>
          <w:szCs w:val="22"/>
          <w:lang w:eastAsia="en-US"/>
        </w:rPr>
        <w:t>economic output and</w:t>
      </w:r>
      <w:r w:rsidR="00A037E7" w:rsidRPr="00170139">
        <w:rPr>
          <w:rFonts w:eastAsia="Calibri" w:cs="Arial"/>
          <w:szCs w:val="22"/>
          <w:lang w:eastAsia="en-US"/>
        </w:rPr>
        <w:t xml:space="preserve"> improve </w:t>
      </w:r>
      <w:r w:rsidRPr="00170139">
        <w:rPr>
          <w:rFonts w:eastAsia="Calibri" w:cs="Arial"/>
          <w:szCs w:val="22"/>
          <w:lang w:eastAsia="en-US"/>
        </w:rPr>
        <w:t>living standards</w:t>
      </w:r>
      <w:r w:rsidR="00A037E7" w:rsidRPr="00170139">
        <w:rPr>
          <w:rFonts w:eastAsia="Calibri" w:cs="Arial"/>
          <w:szCs w:val="22"/>
          <w:lang w:eastAsia="en-US"/>
        </w:rPr>
        <w:t xml:space="preserve"> in developing countries</w:t>
      </w:r>
      <w:r w:rsidRPr="00170139">
        <w:rPr>
          <w:rFonts w:eastAsia="Calibri" w:cs="Arial"/>
          <w:szCs w:val="22"/>
          <w:lang w:eastAsia="en-US"/>
        </w:rPr>
        <w:t>.</w:t>
      </w:r>
      <w:r w:rsidRPr="00170139">
        <w:rPr>
          <w:rFonts w:eastAsia="Calibri" w:cs="Arial"/>
          <w:szCs w:val="22"/>
          <w:vertAlign w:val="superscript"/>
          <w:lang w:eastAsia="en-US"/>
        </w:rPr>
        <w:footnoteReference w:id="7"/>
      </w:r>
      <w:r w:rsidRPr="00170139">
        <w:rPr>
          <w:rFonts w:eastAsia="Calibri" w:cs="Arial"/>
          <w:szCs w:val="22"/>
          <w:lang w:eastAsia="en-US"/>
        </w:rPr>
        <w:t xml:space="preserve"> However</w:t>
      </w:r>
      <w:r w:rsidR="00A037E7" w:rsidRPr="00170139">
        <w:rPr>
          <w:rFonts w:eastAsia="Calibri" w:cs="Arial"/>
          <w:szCs w:val="22"/>
          <w:lang w:eastAsia="en-US"/>
        </w:rPr>
        <w:t>,</w:t>
      </w:r>
      <w:r w:rsidRPr="00170139">
        <w:rPr>
          <w:rFonts w:eastAsia="Calibri" w:cs="Arial"/>
          <w:szCs w:val="22"/>
          <w:lang w:eastAsia="en-US"/>
        </w:rPr>
        <w:t xml:space="preserve"> </w:t>
      </w:r>
      <w:r w:rsidR="00A037E7" w:rsidRPr="00170139">
        <w:rPr>
          <w:rFonts w:eastAsia="Calibri" w:cs="Arial"/>
          <w:szCs w:val="22"/>
          <w:lang w:eastAsia="en-US"/>
        </w:rPr>
        <w:t>such an ambitious scale of transition involves</w:t>
      </w:r>
      <w:r w:rsidRPr="00170139">
        <w:rPr>
          <w:rFonts w:eastAsia="Calibri" w:cs="Arial"/>
          <w:szCs w:val="22"/>
          <w:lang w:eastAsia="en-US"/>
        </w:rPr>
        <w:t xml:space="preserve"> a </w:t>
      </w:r>
      <w:r w:rsidR="00A037E7" w:rsidRPr="00170139">
        <w:rPr>
          <w:rFonts w:eastAsia="Calibri" w:cs="Arial"/>
          <w:szCs w:val="22"/>
          <w:lang w:eastAsia="en-US"/>
        </w:rPr>
        <w:t xml:space="preserve">significant </w:t>
      </w:r>
      <w:r w:rsidRPr="00170139">
        <w:rPr>
          <w:rFonts w:eastAsia="Calibri" w:cs="Arial"/>
          <w:szCs w:val="22"/>
          <w:lang w:eastAsia="en-US"/>
        </w:rPr>
        <w:t xml:space="preserve">number of impediments that must be reduced or eliminated. These </w:t>
      </w:r>
      <w:r w:rsidR="00A037E7" w:rsidRPr="00170139">
        <w:rPr>
          <w:rFonts w:eastAsia="Calibri" w:cs="Arial"/>
          <w:szCs w:val="22"/>
          <w:lang w:eastAsia="en-US"/>
        </w:rPr>
        <w:t xml:space="preserve">impediments </w:t>
      </w:r>
      <w:r w:rsidRPr="00170139">
        <w:rPr>
          <w:rFonts w:eastAsia="Calibri" w:cs="Arial"/>
          <w:szCs w:val="22"/>
          <w:lang w:eastAsia="en-US"/>
        </w:rPr>
        <w:t>include</w:t>
      </w:r>
      <w:r w:rsidR="00A037E7" w:rsidRPr="00170139">
        <w:rPr>
          <w:rFonts w:eastAsia="Calibri" w:cs="Arial"/>
          <w:szCs w:val="22"/>
          <w:lang w:eastAsia="en-US"/>
        </w:rPr>
        <w:t>, most importantly,</w:t>
      </w:r>
      <w:r w:rsidRPr="00170139">
        <w:rPr>
          <w:rFonts w:eastAsia="Calibri" w:cs="Arial"/>
          <w:szCs w:val="22"/>
          <w:lang w:eastAsia="en-US"/>
        </w:rPr>
        <w:t xml:space="preserve"> </w:t>
      </w:r>
      <w:r w:rsidR="00A037E7" w:rsidRPr="00170139">
        <w:rPr>
          <w:rFonts w:eastAsia="Calibri" w:cs="Arial"/>
          <w:szCs w:val="22"/>
          <w:lang w:eastAsia="en-US"/>
        </w:rPr>
        <w:t>a lack of access</w:t>
      </w:r>
      <w:r w:rsidRPr="00170139">
        <w:rPr>
          <w:rFonts w:eastAsia="Calibri" w:cs="Arial"/>
          <w:szCs w:val="22"/>
          <w:lang w:eastAsia="en-US"/>
        </w:rPr>
        <w:t xml:space="preserve"> </w:t>
      </w:r>
      <w:r w:rsidR="00A037E7" w:rsidRPr="00170139">
        <w:rPr>
          <w:rFonts w:eastAsia="Calibri" w:cs="Arial"/>
          <w:szCs w:val="22"/>
          <w:lang w:eastAsia="en-US"/>
        </w:rPr>
        <w:t xml:space="preserve">to competitive finance for </w:t>
      </w:r>
      <w:r w:rsidRPr="00170139">
        <w:rPr>
          <w:rFonts w:eastAsia="Calibri" w:cs="Arial"/>
          <w:szCs w:val="22"/>
          <w:lang w:eastAsia="en-US"/>
        </w:rPr>
        <w:t>women</w:t>
      </w:r>
      <w:r w:rsidR="00A037E7" w:rsidRPr="00170139">
        <w:rPr>
          <w:rFonts w:eastAsia="Calibri" w:cs="Arial"/>
          <w:szCs w:val="22"/>
          <w:lang w:eastAsia="en-US"/>
        </w:rPr>
        <w:t xml:space="preserve"> operating in the formal economy and, more generally, a</w:t>
      </w:r>
      <w:r w:rsidRPr="00170139">
        <w:rPr>
          <w:rFonts w:eastAsia="Calibri" w:cs="Arial"/>
          <w:szCs w:val="22"/>
          <w:lang w:eastAsia="en-US"/>
        </w:rPr>
        <w:t xml:space="preserve"> lack of protections in the social or legal spheres </w:t>
      </w:r>
      <w:r w:rsidR="00B01A62" w:rsidRPr="00170139">
        <w:rPr>
          <w:rFonts w:eastAsia="Calibri" w:cs="Arial"/>
          <w:szCs w:val="22"/>
          <w:lang w:eastAsia="en-US"/>
        </w:rPr>
        <w:t>for women compared to</w:t>
      </w:r>
      <w:r w:rsidRPr="00170139">
        <w:rPr>
          <w:rFonts w:eastAsia="Calibri" w:cs="Arial"/>
          <w:szCs w:val="22"/>
          <w:lang w:eastAsia="en-US"/>
        </w:rPr>
        <w:t xml:space="preserve"> men.</w:t>
      </w:r>
      <w:r w:rsidRPr="00170139">
        <w:rPr>
          <w:rFonts w:eastAsia="Calibri" w:cs="Arial"/>
          <w:szCs w:val="22"/>
          <w:vertAlign w:val="superscript"/>
          <w:lang w:eastAsia="en-US"/>
        </w:rPr>
        <w:footnoteReference w:id="8"/>
      </w:r>
    </w:p>
    <w:p w:rsidR="00346198" w:rsidRPr="00170139" w:rsidRDefault="00346198" w:rsidP="00C13C20">
      <w:pPr>
        <w:tabs>
          <w:tab w:val="left" w:pos="567"/>
        </w:tabs>
        <w:rPr>
          <w:rFonts w:eastAsia="Calibri" w:cs="Arial"/>
          <w:szCs w:val="22"/>
          <w:lang w:eastAsia="en-US"/>
        </w:rPr>
      </w:pPr>
    </w:p>
    <w:p w:rsidR="00346198" w:rsidRPr="00170139" w:rsidRDefault="00B01A62"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P</w:t>
      </w:r>
      <w:r w:rsidR="00346198" w:rsidRPr="00170139">
        <w:rPr>
          <w:rFonts w:eastAsia="Calibri" w:cs="Arial"/>
          <w:szCs w:val="22"/>
          <w:lang w:eastAsia="en-US"/>
        </w:rPr>
        <w:t>articipation</w:t>
      </w:r>
      <w:r w:rsidRPr="00170139">
        <w:rPr>
          <w:rFonts w:eastAsia="Calibri" w:cs="Arial"/>
          <w:szCs w:val="22"/>
          <w:lang w:eastAsia="en-US"/>
        </w:rPr>
        <w:t xml:space="preserve"> by women</w:t>
      </w:r>
      <w:r w:rsidR="00346198" w:rsidRPr="00170139">
        <w:rPr>
          <w:rFonts w:eastAsia="Calibri" w:cs="Arial"/>
          <w:szCs w:val="22"/>
          <w:lang w:eastAsia="en-US"/>
        </w:rPr>
        <w:t xml:space="preserve"> in positions</w:t>
      </w:r>
      <w:r w:rsidRPr="00170139">
        <w:rPr>
          <w:rFonts w:eastAsia="Calibri" w:cs="Arial"/>
          <w:szCs w:val="22"/>
          <w:lang w:eastAsia="en-US"/>
        </w:rPr>
        <w:t xml:space="preserve"> of authority—</w:t>
      </w:r>
      <w:r w:rsidR="00346198" w:rsidRPr="00170139">
        <w:rPr>
          <w:rFonts w:eastAsia="Calibri" w:cs="Arial"/>
          <w:szCs w:val="22"/>
          <w:lang w:eastAsia="en-US"/>
        </w:rPr>
        <w:t>as politicians, senior government officials,</w:t>
      </w:r>
      <w:r w:rsidRPr="00170139">
        <w:rPr>
          <w:rFonts w:eastAsia="Calibri" w:cs="Arial"/>
          <w:szCs w:val="22"/>
          <w:lang w:eastAsia="en-US"/>
        </w:rPr>
        <w:t xml:space="preserve"> company directors, chief executive officers, </w:t>
      </w:r>
      <w:r w:rsidR="00346198" w:rsidRPr="00170139">
        <w:rPr>
          <w:rFonts w:eastAsia="Calibri" w:cs="Arial"/>
          <w:szCs w:val="22"/>
          <w:lang w:eastAsia="en-US"/>
        </w:rPr>
        <w:t xml:space="preserve">and </w:t>
      </w:r>
      <w:r w:rsidRPr="00170139">
        <w:rPr>
          <w:rFonts w:eastAsia="Calibri" w:cs="Arial"/>
          <w:szCs w:val="22"/>
          <w:lang w:eastAsia="en-US"/>
        </w:rPr>
        <w:t xml:space="preserve">senior </w:t>
      </w:r>
      <w:r w:rsidR="00346198" w:rsidRPr="00170139">
        <w:rPr>
          <w:rFonts w:eastAsia="Calibri" w:cs="Arial"/>
          <w:szCs w:val="22"/>
          <w:lang w:eastAsia="en-US"/>
        </w:rPr>
        <w:t>managers</w:t>
      </w:r>
      <w:r w:rsidRPr="00170139">
        <w:rPr>
          <w:rFonts w:eastAsia="Calibri" w:cs="Arial"/>
          <w:szCs w:val="22"/>
          <w:lang w:eastAsia="en-US"/>
        </w:rPr>
        <w:t>—</w:t>
      </w:r>
      <w:r w:rsidR="00346198" w:rsidRPr="00170139">
        <w:rPr>
          <w:rFonts w:eastAsia="Calibri" w:cs="Arial"/>
          <w:szCs w:val="22"/>
          <w:lang w:eastAsia="en-US"/>
        </w:rPr>
        <w:t xml:space="preserve">is perhaps the single most important indicator of women’s </w:t>
      </w:r>
      <w:r w:rsidRPr="00170139">
        <w:rPr>
          <w:rFonts w:eastAsia="Calibri" w:cs="Arial"/>
          <w:szCs w:val="22"/>
          <w:lang w:eastAsia="en-US"/>
        </w:rPr>
        <w:t xml:space="preserve">status </w:t>
      </w:r>
      <w:r w:rsidR="00346198" w:rsidRPr="00170139">
        <w:rPr>
          <w:rFonts w:eastAsia="Calibri" w:cs="Arial"/>
          <w:szCs w:val="22"/>
          <w:lang w:eastAsia="en-US"/>
        </w:rPr>
        <w:t xml:space="preserve">in the Pacific. The </w:t>
      </w:r>
      <w:r w:rsidR="00A06CA0" w:rsidRPr="00170139">
        <w:rPr>
          <w:rFonts w:eastAsia="Calibri" w:cs="Arial"/>
          <w:szCs w:val="22"/>
          <w:lang w:eastAsia="en-US"/>
        </w:rPr>
        <w:t xml:space="preserve">region’s </w:t>
      </w:r>
      <w:r w:rsidR="00346198" w:rsidRPr="00170139">
        <w:rPr>
          <w:rFonts w:eastAsia="Calibri" w:cs="Arial"/>
          <w:szCs w:val="22"/>
          <w:lang w:eastAsia="en-US"/>
        </w:rPr>
        <w:t xml:space="preserve">highest </w:t>
      </w:r>
      <w:r w:rsidR="00A06CA0" w:rsidRPr="00170139">
        <w:rPr>
          <w:rFonts w:eastAsia="Calibri" w:cs="Arial"/>
          <w:szCs w:val="22"/>
          <w:lang w:eastAsia="en-US"/>
        </w:rPr>
        <w:t xml:space="preserve">level of </w:t>
      </w:r>
      <w:r w:rsidR="00346198" w:rsidRPr="00170139">
        <w:rPr>
          <w:rFonts w:eastAsia="Calibri" w:cs="Arial"/>
          <w:szCs w:val="22"/>
          <w:lang w:eastAsia="en-US"/>
        </w:rPr>
        <w:t>participation</w:t>
      </w:r>
      <w:r w:rsidR="00A06CA0" w:rsidRPr="00170139">
        <w:rPr>
          <w:rFonts w:eastAsia="Calibri" w:cs="Arial"/>
          <w:szCs w:val="22"/>
          <w:lang w:eastAsia="en-US"/>
        </w:rPr>
        <w:t xml:space="preserve"> by women</w:t>
      </w:r>
      <w:r w:rsidR="00346198" w:rsidRPr="00170139">
        <w:rPr>
          <w:rFonts w:eastAsia="Calibri" w:cs="Arial"/>
          <w:szCs w:val="22"/>
          <w:lang w:eastAsia="en-US"/>
        </w:rPr>
        <w:t xml:space="preserve"> is in Samoa (47%), </w:t>
      </w:r>
      <w:r w:rsidR="00A06CA0" w:rsidRPr="00170139">
        <w:rPr>
          <w:rFonts w:eastAsia="Calibri" w:cs="Arial"/>
          <w:szCs w:val="22"/>
          <w:lang w:eastAsia="en-US"/>
        </w:rPr>
        <w:t xml:space="preserve">followed by </w:t>
      </w:r>
      <w:r w:rsidR="00346198" w:rsidRPr="00170139">
        <w:rPr>
          <w:rFonts w:eastAsia="Calibri" w:cs="Arial"/>
          <w:szCs w:val="22"/>
          <w:lang w:eastAsia="en-US"/>
        </w:rPr>
        <w:t xml:space="preserve">the Cook Islands (40%) and </w:t>
      </w:r>
      <w:r w:rsidR="00A06CA0" w:rsidRPr="00170139">
        <w:rPr>
          <w:rFonts w:eastAsia="Calibri" w:cs="Arial"/>
          <w:szCs w:val="22"/>
          <w:lang w:eastAsia="en-US"/>
        </w:rPr>
        <w:t xml:space="preserve">the </w:t>
      </w:r>
      <w:r w:rsidR="00346198" w:rsidRPr="00170139">
        <w:rPr>
          <w:rFonts w:eastAsia="Calibri" w:cs="Arial"/>
          <w:szCs w:val="22"/>
          <w:lang w:eastAsia="en-US"/>
        </w:rPr>
        <w:t xml:space="preserve">Marshall Islands (25%), </w:t>
      </w:r>
      <w:r w:rsidR="00A06CA0" w:rsidRPr="00170139">
        <w:rPr>
          <w:rFonts w:eastAsia="Calibri" w:cs="Arial"/>
          <w:szCs w:val="22"/>
          <w:lang w:eastAsia="en-US"/>
        </w:rPr>
        <w:t xml:space="preserve">with </w:t>
      </w:r>
      <w:r w:rsidR="00346198" w:rsidRPr="00170139">
        <w:rPr>
          <w:rFonts w:eastAsia="Calibri" w:cs="Arial"/>
          <w:szCs w:val="22"/>
          <w:lang w:eastAsia="en-US"/>
        </w:rPr>
        <w:t>the lowest</w:t>
      </w:r>
      <w:r w:rsidR="00A06CA0" w:rsidRPr="00170139">
        <w:rPr>
          <w:rFonts w:eastAsia="Calibri" w:cs="Arial"/>
          <w:szCs w:val="22"/>
          <w:lang w:eastAsia="en-US"/>
        </w:rPr>
        <w:t xml:space="preserve"> level</w:t>
      </w:r>
      <w:r w:rsidR="00346198" w:rsidRPr="00170139">
        <w:rPr>
          <w:rFonts w:eastAsia="Calibri" w:cs="Arial"/>
          <w:szCs w:val="22"/>
          <w:lang w:eastAsia="en-US"/>
        </w:rPr>
        <w:t xml:space="preserve"> in Solomon Islands (19%). Such indicators give credence to the view that there is </w:t>
      </w:r>
      <w:r w:rsidR="00A06CA0" w:rsidRPr="00170139">
        <w:rPr>
          <w:rFonts w:eastAsia="Calibri" w:cs="Arial"/>
          <w:szCs w:val="22"/>
          <w:lang w:eastAsia="en-US"/>
        </w:rPr>
        <w:t>broad</w:t>
      </w:r>
      <w:r w:rsidR="00346198" w:rsidRPr="00170139">
        <w:rPr>
          <w:rFonts w:eastAsia="Calibri" w:cs="Arial"/>
          <w:szCs w:val="22"/>
          <w:lang w:eastAsia="en-US"/>
        </w:rPr>
        <w:t xml:space="preserve"> scope for improving </w:t>
      </w:r>
      <w:r w:rsidR="00A06CA0" w:rsidRPr="00170139">
        <w:rPr>
          <w:rFonts w:eastAsia="Calibri" w:cs="Arial"/>
          <w:szCs w:val="22"/>
          <w:lang w:eastAsia="en-US"/>
        </w:rPr>
        <w:t xml:space="preserve">the </w:t>
      </w:r>
      <w:r w:rsidR="00346198" w:rsidRPr="00170139">
        <w:rPr>
          <w:rFonts w:eastAsia="Calibri" w:cs="Arial"/>
          <w:szCs w:val="22"/>
          <w:lang w:eastAsia="en-US"/>
        </w:rPr>
        <w:t>econo</w:t>
      </w:r>
      <w:r w:rsidR="009379DF" w:rsidRPr="00170139">
        <w:rPr>
          <w:rFonts w:eastAsia="Calibri" w:cs="Arial"/>
          <w:szCs w:val="22"/>
          <w:lang w:eastAsia="en-US"/>
        </w:rPr>
        <w:t>mic empowerment</w:t>
      </w:r>
      <w:r w:rsidR="00A06CA0" w:rsidRPr="00170139">
        <w:rPr>
          <w:rFonts w:eastAsia="Calibri" w:cs="Arial"/>
          <w:szCs w:val="22"/>
          <w:lang w:eastAsia="en-US"/>
        </w:rPr>
        <w:t xml:space="preserve"> of women</w:t>
      </w:r>
      <w:r w:rsidR="009379DF" w:rsidRPr="00170139">
        <w:rPr>
          <w:rFonts w:eastAsia="Calibri" w:cs="Arial"/>
          <w:szCs w:val="22"/>
          <w:lang w:eastAsia="en-US"/>
        </w:rPr>
        <w:t xml:space="preserve"> in the Pacific.</w:t>
      </w:r>
    </w:p>
    <w:p w:rsidR="00346198" w:rsidRPr="00170139" w:rsidRDefault="00346198" w:rsidP="00C13C20">
      <w:pPr>
        <w:tabs>
          <w:tab w:val="left" w:pos="567"/>
        </w:tabs>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A study done by PSDI and the </w:t>
      </w:r>
      <w:r w:rsidR="00B02D3D" w:rsidRPr="00170139">
        <w:rPr>
          <w:rFonts w:eastAsia="Calibri" w:cs="Arial"/>
          <w:szCs w:val="22"/>
          <w:lang w:eastAsia="en-US"/>
        </w:rPr>
        <w:t xml:space="preserve">Government of </w:t>
      </w:r>
      <w:r w:rsidRPr="00170139">
        <w:rPr>
          <w:rFonts w:eastAsia="Calibri" w:cs="Arial"/>
          <w:szCs w:val="22"/>
          <w:lang w:eastAsia="en-US"/>
        </w:rPr>
        <w:t>Australia highlighted the need for data on women’s engagement across the Pacific</w:t>
      </w:r>
      <w:r w:rsidR="00C6626B" w:rsidRPr="00170139">
        <w:rPr>
          <w:rFonts w:eastAsia="Calibri" w:cs="Arial"/>
          <w:szCs w:val="22"/>
          <w:lang w:eastAsia="en-US"/>
        </w:rPr>
        <w:t>.</w:t>
      </w:r>
      <w:r w:rsidR="0095674C" w:rsidRPr="00170139">
        <w:rPr>
          <w:rFonts w:eastAsia="Calibri" w:cs="Arial"/>
          <w:szCs w:val="22"/>
          <w:vertAlign w:val="superscript"/>
          <w:lang w:eastAsia="en-US"/>
        </w:rPr>
        <w:footnoteReference w:id="9"/>
      </w:r>
      <w:r w:rsidR="0095674C" w:rsidRPr="00170139">
        <w:rPr>
          <w:rFonts w:eastAsia="Calibri" w:cs="Arial"/>
          <w:szCs w:val="22"/>
          <w:lang w:eastAsia="en-US"/>
        </w:rPr>
        <w:t xml:space="preserve"> This information will help</w:t>
      </w:r>
      <w:r w:rsidRPr="00170139">
        <w:rPr>
          <w:rFonts w:eastAsia="Calibri" w:cs="Arial"/>
          <w:szCs w:val="22"/>
          <w:lang w:eastAsia="en-US"/>
        </w:rPr>
        <w:t xml:space="preserve"> ensure </w:t>
      </w:r>
      <w:r w:rsidR="0095674C" w:rsidRPr="00170139">
        <w:rPr>
          <w:rFonts w:eastAsia="Calibri" w:cs="Arial"/>
          <w:szCs w:val="22"/>
          <w:lang w:eastAsia="en-US"/>
        </w:rPr>
        <w:t xml:space="preserve">that </w:t>
      </w:r>
      <w:r w:rsidRPr="00170139">
        <w:rPr>
          <w:rFonts w:eastAsia="Calibri" w:cs="Arial"/>
          <w:szCs w:val="22"/>
          <w:lang w:eastAsia="en-US"/>
        </w:rPr>
        <w:t xml:space="preserve">the need for continued progress in empowering women </w:t>
      </w:r>
      <w:r w:rsidR="0095674C" w:rsidRPr="00170139">
        <w:rPr>
          <w:rFonts w:eastAsia="Calibri" w:cs="Arial"/>
          <w:szCs w:val="22"/>
          <w:lang w:eastAsia="en-US"/>
        </w:rPr>
        <w:t>is being recognized in the Pacific DMCs</w:t>
      </w:r>
      <w:r w:rsidRPr="00170139">
        <w:rPr>
          <w:rFonts w:eastAsia="Calibri" w:cs="Arial"/>
          <w:szCs w:val="22"/>
          <w:lang w:eastAsia="en-US"/>
        </w:rPr>
        <w:t xml:space="preserve">. In an innovative step, aspects of women’s empowerment are to be integrated into all </w:t>
      </w:r>
      <w:r w:rsidR="0095674C" w:rsidRPr="00170139">
        <w:rPr>
          <w:rFonts w:eastAsia="Calibri" w:cs="Arial"/>
          <w:szCs w:val="22"/>
          <w:lang w:eastAsia="en-US"/>
        </w:rPr>
        <w:t xml:space="preserve">facets </w:t>
      </w:r>
      <w:r w:rsidRPr="00170139">
        <w:rPr>
          <w:rFonts w:eastAsia="Calibri" w:cs="Arial"/>
          <w:szCs w:val="22"/>
          <w:lang w:eastAsia="en-US"/>
        </w:rPr>
        <w:t>of PSDI’s programs</w:t>
      </w:r>
      <w:r w:rsidR="0095674C" w:rsidRPr="00170139">
        <w:rPr>
          <w:rFonts w:eastAsia="Calibri" w:cs="Arial"/>
          <w:szCs w:val="22"/>
          <w:lang w:eastAsia="en-US"/>
        </w:rPr>
        <w:t>, recognizing that t</w:t>
      </w:r>
      <w:r w:rsidRPr="00170139">
        <w:rPr>
          <w:rFonts w:eastAsia="Calibri" w:cs="Arial"/>
          <w:szCs w:val="22"/>
          <w:lang w:eastAsia="en-US"/>
        </w:rPr>
        <w:t>here are very large gains</w:t>
      </w:r>
      <w:r w:rsidR="0095674C" w:rsidRPr="00170139">
        <w:rPr>
          <w:rFonts w:eastAsia="Calibri" w:cs="Arial"/>
          <w:szCs w:val="22"/>
          <w:lang w:eastAsia="en-US"/>
        </w:rPr>
        <w:t xml:space="preserve"> to be had</w:t>
      </w:r>
      <w:r w:rsidRPr="00170139">
        <w:rPr>
          <w:rFonts w:eastAsia="Calibri" w:cs="Arial"/>
          <w:szCs w:val="22"/>
          <w:lang w:eastAsia="en-US"/>
        </w:rPr>
        <w:t xml:space="preserve"> in terms of economic development. These measures are fully endorsed for expansion during the remainder of PSDI III. </w:t>
      </w:r>
      <w:r w:rsidR="0095674C" w:rsidRPr="00170139">
        <w:rPr>
          <w:rFonts w:eastAsia="Calibri" w:cs="Arial"/>
          <w:szCs w:val="22"/>
          <w:lang w:eastAsia="en-US"/>
        </w:rPr>
        <w:t xml:space="preserve">However, </w:t>
      </w:r>
      <w:r w:rsidRPr="00170139">
        <w:rPr>
          <w:rFonts w:eastAsia="Calibri" w:cs="Arial"/>
          <w:szCs w:val="22"/>
          <w:lang w:eastAsia="en-US"/>
        </w:rPr>
        <w:t xml:space="preserve">beyond this integration, the </w:t>
      </w:r>
      <w:r w:rsidR="00DA60E1" w:rsidRPr="00170139">
        <w:rPr>
          <w:rFonts w:eastAsia="Calibri" w:cs="Arial"/>
          <w:szCs w:val="22"/>
          <w:lang w:eastAsia="en-US"/>
        </w:rPr>
        <w:t xml:space="preserve">PSDI </w:t>
      </w:r>
      <w:r w:rsidR="0095674C" w:rsidRPr="00170139">
        <w:rPr>
          <w:rFonts w:eastAsia="Calibri" w:cs="Arial"/>
          <w:szCs w:val="22"/>
          <w:lang w:eastAsia="en-US"/>
        </w:rPr>
        <w:t xml:space="preserve">program for the </w:t>
      </w:r>
      <w:r w:rsidRPr="00170139">
        <w:rPr>
          <w:rFonts w:eastAsia="Calibri" w:cs="Arial"/>
          <w:szCs w:val="22"/>
          <w:lang w:eastAsia="en-US"/>
        </w:rPr>
        <w:t>economic empowerment</w:t>
      </w:r>
      <w:r w:rsidR="0095674C" w:rsidRPr="00170139">
        <w:rPr>
          <w:rFonts w:eastAsia="Calibri" w:cs="Arial"/>
          <w:szCs w:val="22"/>
          <w:lang w:eastAsia="en-US"/>
        </w:rPr>
        <w:t xml:space="preserve"> of women</w:t>
      </w:r>
      <w:r w:rsidRPr="00170139">
        <w:rPr>
          <w:rFonts w:eastAsia="Calibri" w:cs="Arial"/>
          <w:szCs w:val="22"/>
          <w:lang w:eastAsia="en-US"/>
        </w:rPr>
        <w:t xml:space="preserve"> </w:t>
      </w:r>
      <w:r w:rsidRPr="00170139">
        <w:rPr>
          <w:rFonts w:eastAsia="Calibri" w:cs="Arial"/>
          <w:szCs w:val="22"/>
          <w:lang w:eastAsia="en-US"/>
        </w:rPr>
        <w:lastRenderedPageBreak/>
        <w:t>appears to have no broadly</w:t>
      </w:r>
      <w:r w:rsidR="0095674C" w:rsidRPr="00170139">
        <w:rPr>
          <w:rFonts w:eastAsia="Calibri" w:cs="Arial"/>
          <w:szCs w:val="22"/>
          <w:lang w:eastAsia="en-US"/>
        </w:rPr>
        <w:t xml:space="preserve"> </w:t>
      </w:r>
      <w:r w:rsidRPr="00170139">
        <w:rPr>
          <w:rFonts w:eastAsia="Calibri" w:cs="Arial"/>
          <w:szCs w:val="22"/>
          <w:lang w:eastAsia="en-US"/>
        </w:rPr>
        <w:t xml:space="preserve">based goals for the remainder of </w:t>
      </w:r>
      <w:r w:rsidR="00DA60E1" w:rsidRPr="00170139">
        <w:rPr>
          <w:rFonts w:eastAsia="Calibri" w:cs="Arial"/>
          <w:szCs w:val="22"/>
          <w:lang w:eastAsia="en-US"/>
        </w:rPr>
        <w:t xml:space="preserve">PSDI </w:t>
      </w:r>
      <w:r w:rsidRPr="00170139">
        <w:rPr>
          <w:rFonts w:eastAsia="Calibri" w:cs="Arial"/>
          <w:szCs w:val="22"/>
          <w:lang w:eastAsia="en-US"/>
        </w:rPr>
        <w:t>III. In fact</w:t>
      </w:r>
      <w:r w:rsidR="0095674C" w:rsidRPr="00170139">
        <w:rPr>
          <w:rFonts w:eastAsia="Calibri" w:cs="Arial"/>
          <w:szCs w:val="22"/>
          <w:lang w:eastAsia="en-US"/>
        </w:rPr>
        <w:t>,</w:t>
      </w:r>
      <w:r w:rsidRPr="00170139">
        <w:rPr>
          <w:rFonts w:eastAsia="Calibri" w:cs="Arial"/>
          <w:szCs w:val="22"/>
          <w:lang w:eastAsia="en-US"/>
        </w:rPr>
        <w:t xml:space="preserve"> </w:t>
      </w:r>
      <w:r w:rsidR="0095674C" w:rsidRPr="00170139">
        <w:rPr>
          <w:rFonts w:eastAsia="Calibri" w:cs="Arial"/>
          <w:szCs w:val="22"/>
          <w:lang w:eastAsia="en-US"/>
        </w:rPr>
        <w:t xml:space="preserve">in economies such as Tonga, </w:t>
      </w:r>
      <w:r w:rsidRPr="00170139">
        <w:rPr>
          <w:rFonts w:eastAsia="Calibri" w:cs="Arial"/>
          <w:szCs w:val="22"/>
          <w:lang w:eastAsia="en-US"/>
        </w:rPr>
        <w:t>the incorporation of data</w:t>
      </w:r>
      <w:r w:rsidR="0095674C" w:rsidRPr="00170139">
        <w:rPr>
          <w:rFonts w:eastAsia="Calibri" w:cs="Arial"/>
          <w:szCs w:val="22"/>
          <w:lang w:eastAsia="en-US"/>
        </w:rPr>
        <w:t xml:space="preserve"> on women</w:t>
      </w:r>
      <w:r w:rsidRPr="00170139">
        <w:rPr>
          <w:rFonts w:eastAsia="Calibri" w:cs="Arial"/>
          <w:szCs w:val="22"/>
          <w:lang w:eastAsia="en-US"/>
        </w:rPr>
        <w:t xml:space="preserve"> in</w:t>
      </w:r>
      <w:r w:rsidR="0095674C" w:rsidRPr="00170139">
        <w:rPr>
          <w:rFonts w:eastAsia="Calibri" w:cs="Arial"/>
          <w:szCs w:val="22"/>
          <w:lang w:eastAsia="en-US"/>
        </w:rPr>
        <w:t>to</w:t>
      </w:r>
      <w:r w:rsidRPr="00170139">
        <w:rPr>
          <w:rFonts w:eastAsia="Calibri" w:cs="Arial"/>
          <w:szCs w:val="22"/>
          <w:lang w:eastAsia="en-US"/>
        </w:rPr>
        <w:t xml:space="preserve"> business registry systems has </w:t>
      </w:r>
      <w:r w:rsidR="0095674C" w:rsidRPr="00170139">
        <w:rPr>
          <w:rFonts w:eastAsia="Calibri" w:cs="Arial"/>
          <w:szCs w:val="22"/>
          <w:lang w:eastAsia="en-US"/>
        </w:rPr>
        <w:t>yet to</w:t>
      </w:r>
      <w:r w:rsidRPr="00170139">
        <w:rPr>
          <w:rFonts w:eastAsia="Calibri" w:cs="Arial"/>
          <w:szCs w:val="22"/>
          <w:lang w:eastAsia="en-US"/>
        </w:rPr>
        <w:t xml:space="preserve"> beg</w:t>
      </w:r>
      <w:r w:rsidR="0095674C" w:rsidRPr="00170139">
        <w:rPr>
          <w:rFonts w:eastAsia="Calibri" w:cs="Arial"/>
          <w:szCs w:val="22"/>
          <w:lang w:eastAsia="en-US"/>
        </w:rPr>
        <w:t>i</w:t>
      </w:r>
      <w:r w:rsidRPr="00170139">
        <w:rPr>
          <w:rFonts w:eastAsia="Calibri" w:cs="Arial"/>
          <w:szCs w:val="22"/>
          <w:lang w:eastAsia="en-US"/>
        </w:rPr>
        <w:t>n and</w:t>
      </w:r>
      <w:r w:rsidR="0095674C" w:rsidRPr="00170139">
        <w:rPr>
          <w:rFonts w:eastAsia="Calibri" w:cs="Arial"/>
          <w:szCs w:val="22"/>
          <w:lang w:eastAsia="en-US"/>
        </w:rPr>
        <w:t>,</w:t>
      </w:r>
      <w:r w:rsidRPr="00170139">
        <w:rPr>
          <w:rFonts w:eastAsia="Calibri" w:cs="Arial"/>
          <w:szCs w:val="22"/>
          <w:lang w:eastAsia="en-US"/>
        </w:rPr>
        <w:t xml:space="preserve"> </w:t>
      </w:r>
      <w:r w:rsidR="0095674C" w:rsidRPr="00170139">
        <w:rPr>
          <w:rFonts w:eastAsia="Calibri" w:cs="Arial"/>
          <w:szCs w:val="22"/>
          <w:lang w:eastAsia="en-US"/>
        </w:rPr>
        <w:t xml:space="preserve">even when these </w:t>
      </w:r>
      <w:r w:rsidRPr="00170139">
        <w:rPr>
          <w:rFonts w:eastAsia="Calibri" w:cs="Arial"/>
          <w:szCs w:val="22"/>
          <w:lang w:eastAsia="en-US"/>
        </w:rPr>
        <w:t>data</w:t>
      </w:r>
      <w:r w:rsidR="0095674C" w:rsidRPr="00170139">
        <w:rPr>
          <w:rFonts w:eastAsia="Calibri" w:cs="Arial"/>
          <w:szCs w:val="22"/>
          <w:lang w:eastAsia="en-US"/>
        </w:rPr>
        <w:t xml:space="preserve"> sets</w:t>
      </w:r>
      <w:r w:rsidRPr="00170139">
        <w:rPr>
          <w:rFonts w:eastAsia="Calibri" w:cs="Arial"/>
          <w:szCs w:val="22"/>
          <w:lang w:eastAsia="en-US"/>
        </w:rPr>
        <w:t xml:space="preserve"> </w:t>
      </w:r>
      <w:r w:rsidR="0095674C" w:rsidRPr="00170139">
        <w:rPr>
          <w:rFonts w:eastAsia="Calibri" w:cs="Arial"/>
          <w:szCs w:val="22"/>
          <w:lang w:eastAsia="en-US"/>
        </w:rPr>
        <w:t xml:space="preserve">are fully </w:t>
      </w:r>
      <w:r w:rsidRPr="00170139">
        <w:rPr>
          <w:rFonts w:eastAsia="Calibri" w:cs="Arial"/>
          <w:szCs w:val="22"/>
          <w:lang w:eastAsia="en-US"/>
        </w:rPr>
        <w:t>collected</w:t>
      </w:r>
      <w:r w:rsidR="0095674C" w:rsidRPr="00170139">
        <w:rPr>
          <w:rFonts w:eastAsia="Calibri" w:cs="Arial"/>
          <w:szCs w:val="22"/>
          <w:lang w:eastAsia="en-US"/>
        </w:rPr>
        <w:t xml:space="preserve"> and collated</w:t>
      </w:r>
      <w:r w:rsidRPr="00170139">
        <w:rPr>
          <w:rFonts w:eastAsia="Calibri" w:cs="Arial"/>
          <w:szCs w:val="22"/>
          <w:lang w:eastAsia="en-US"/>
        </w:rPr>
        <w:t xml:space="preserve">, it will take another 3-5 years for the </w:t>
      </w:r>
      <w:r w:rsidR="0095674C" w:rsidRPr="00170139">
        <w:rPr>
          <w:rFonts w:eastAsia="Calibri" w:cs="Arial"/>
          <w:szCs w:val="22"/>
          <w:lang w:eastAsia="en-US"/>
        </w:rPr>
        <w:t>information</w:t>
      </w:r>
      <w:r w:rsidRPr="00170139">
        <w:rPr>
          <w:rFonts w:eastAsia="Calibri" w:cs="Arial"/>
          <w:szCs w:val="22"/>
          <w:lang w:eastAsia="en-US"/>
        </w:rPr>
        <w:t xml:space="preserve"> to have a measurable effect, even with the </w:t>
      </w:r>
      <w:r w:rsidR="0095674C" w:rsidRPr="00170139">
        <w:rPr>
          <w:rFonts w:eastAsia="Calibri" w:cs="Arial"/>
          <w:szCs w:val="22"/>
          <w:lang w:eastAsia="en-US"/>
        </w:rPr>
        <w:t xml:space="preserve">necessary </w:t>
      </w:r>
      <w:r w:rsidRPr="00170139">
        <w:rPr>
          <w:rFonts w:eastAsia="Calibri" w:cs="Arial"/>
          <w:szCs w:val="22"/>
          <w:lang w:eastAsia="en-US"/>
        </w:rPr>
        <w:t>support programs</w:t>
      </w:r>
      <w:r w:rsidR="00DA60E1" w:rsidRPr="00170139">
        <w:rPr>
          <w:rFonts w:eastAsia="Calibri" w:cs="Arial"/>
          <w:szCs w:val="22"/>
          <w:lang w:eastAsia="en-US"/>
        </w:rPr>
        <w:t xml:space="preserve"> in place</w:t>
      </w:r>
      <w:r w:rsidRPr="00170139">
        <w:rPr>
          <w:rFonts w:eastAsia="Calibri" w:cs="Arial"/>
          <w:szCs w:val="22"/>
          <w:lang w:eastAsia="en-US"/>
        </w:rPr>
        <w:t xml:space="preserve">. It appears that there is a need to </w:t>
      </w:r>
      <w:r w:rsidR="00DA60E1" w:rsidRPr="00170139">
        <w:rPr>
          <w:rFonts w:eastAsia="Calibri" w:cs="Arial"/>
          <w:szCs w:val="22"/>
          <w:lang w:eastAsia="en-US"/>
        </w:rPr>
        <w:t xml:space="preserve">encourage selected women to become </w:t>
      </w:r>
      <w:r w:rsidRPr="00170139">
        <w:rPr>
          <w:rFonts w:eastAsia="Calibri" w:cs="Arial"/>
          <w:szCs w:val="22"/>
          <w:lang w:eastAsia="en-US"/>
        </w:rPr>
        <w:t xml:space="preserve">role models </w:t>
      </w:r>
      <w:r w:rsidR="00DA60E1" w:rsidRPr="00170139">
        <w:rPr>
          <w:rFonts w:eastAsia="Calibri" w:cs="Arial"/>
          <w:szCs w:val="22"/>
          <w:lang w:eastAsia="en-US"/>
        </w:rPr>
        <w:t xml:space="preserve">in </w:t>
      </w:r>
      <w:r w:rsidRPr="00170139">
        <w:rPr>
          <w:rFonts w:eastAsia="Calibri" w:cs="Arial"/>
          <w:szCs w:val="22"/>
          <w:lang w:eastAsia="en-US"/>
        </w:rPr>
        <w:t>lead</w:t>
      </w:r>
      <w:r w:rsidR="00DA60E1" w:rsidRPr="00170139">
        <w:rPr>
          <w:rFonts w:eastAsia="Calibri" w:cs="Arial"/>
          <w:szCs w:val="22"/>
          <w:lang w:eastAsia="en-US"/>
        </w:rPr>
        <w:t>ing</w:t>
      </w:r>
      <w:r w:rsidRPr="00170139">
        <w:rPr>
          <w:rFonts w:eastAsia="Calibri" w:cs="Arial"/>
          <w:szCs w:val="22"/>
          <w:lang w:eastAsia="en-US"/>
        </w:rPr>
        <w:t xml:space="preserve"> the broader reforms </w:t>
      </w:r>
      <w:r w:rsidR="00DA60E1" w:rsidRPr="00170139">
        <w:rPr>
          <w:rFonts w:eastAsia="Calibri" w:cs="Arial"/>
          <w:szCs w:val="22"/>
          <w:lang w:eastAsia="en-US"/>
        </w:rPr>
        <w:t xml:space="preserve">to </w:t>
      </w:r>
      <w:r w:rsidRPr="00170139">
        <w:rPr>
          <w:rFonts w:eastAsia="Calibri" w:cs="Arial"/>
          <w:szCs w:val="22"/>
          <w:lang w:eastAsia="en-US"/>
        </w:rPr>
        <w:t xml:space="preserve">empower women in emerging </w:t>
      </w:r>
      <w:r w:rsidR="00DA60E1" w:rsidRPr="00170139">
        <w:rPr>
          <w:rFonts w:eastAsia="Calibri" w:cs="Arial"/>
          <w:szCs w:val="22"/>
          <w:lang w:eastAsia="en-US"/>
        </w:rPr>
        <w:t>Pacific island</w:t>
      </w:r>
      <w:r w:rsidRPr="00170139">
        <w:rPr>
          <w:rFonts w:eastAsia="Calibri" w:cs="Arial"/>
          <w:szCs w:val="22"/>
          <w:lang w:eastAsia="en-US"/>
        </w:rPr>
        <w:t xml:space="preserve"> economies </w:t>
      </w:r>
      <w:r w:rsidR="00DA60E1" w:rsidRPr="00170139">
        <w:rPr>
          <w:rFonts w:eastAsia="Calibri" w:cs="Arial"/>
          <w:szCs w:val="22"/>
          <w:lang w:eastAsia="en-US"/>
        </w:rPr>
        <w:t xml:space="preserve">for </w:t>
      </w:r>
      <w:r w:rsidRPr="00170139">
        <w:rPr>
          <w:rFonts w:eastAsia="Calibri" w:cs="Arial"/>
          <w:szCs w:val="22"/>
          <w:lang w:eastAsia="en-US"/>
        </w:rPr>
        <w:t xml:space="preserve">the remainder of PSDI III </w:t>
      </w:r>
      <w:r w:rsidR="00DA60E1" w:rsidRPr="00170139">
        <w:rPr>
          <w:rFonts w:eastAsia="Calibri" w:cs="Arial"/>
          <w:szCs w:val="22"/>
          <w:lang w:eastAsia="en-US"/>
        </w:rPr>
        <w:t xml:space="preserve">as well as </w:t>
      </w:r>
      <w:r w:rsidRPr="00170139">
        <w:rPr>
          <w:rFonts w:eastAsia="Calibri" w:cs="Arial"/>
          <w:szCs w:val="22"/>
          <w:lang w:eastAsia="en-US"/>
        </w:rPr>
        <w:t>in the forthcoming PSDI IV program.</w:t>
      </w:r>
    </w:p>
    <w:p w:rsidR="00346198" w:rsidRPr="00170139" w:rsidRDefault="00346198" w:rsidP="00C13C20">
      <w:pPr>
        <w:rPr>
          <w:rFonts w:eastAsia="Calibri" w:cs="Arial"/>
          <w:szCs w:val="22"/>
          <w:lang w:eastAsia="en-US"/>
        </w:rPr>
      </w:pPr>
    </w:p>
    <w:p w:rsidR="00346198" w:rsidRPr="00170139" w:rsidRDefault="008C7B5E" w:rsidP="00170139">
      <w:pPr>
        <w:keepNext/>
        <w:spacing w:after="160"/>
        <w:outlineLvl w:val="1"/>
        <w:rPr>
          <w:rFonts w:eastAsia="Times New Roman" w:cs="Arial"/>
          <w:b/>
          <w:bCs/>
          <w:iCs/>
          <w:sz w:val="24"/>
          <w:lang w:eastAsia="en-US"/>
        </w:rPr>
      </w:pPr>
      <w:bookmarkStart w:id="32" w:name="_Toc492046376"/>
      <w:bookmarkStart w:id="33" w:name="_Toc492046542"/>
      <w:bookmarkStart w:id="34" w:name="_Toc492046633"/>
      <w:bookmarkStart w:id="35" w:name="_Toc492046377"/>
      <w:bookmarkStart w:id="36" w:name="_Toc492046543"/>
      <w:bookmarkStart w:id="37" w:name="_Toc492046634"/>
      <w:bookmarkStart w:id="38" w:name="_Toc492046378"/>
      <w:bookmarkStart w:id="39" w:name="_Toc492046544"/>
      <w:bookmarkStart w:id="40" w:name="_Toc492046635"/>
      <w:bookmarkStart w:id="41" w:name="_Toc492046379"/>
      <w:bookmarkStart w:id="42" w:name="_Toc492046545"/>
      <w:bookmarkStart w:id="43" w:name="_Toc492046636"/>
      <w:bookmarkStart w:id="44" w:name="_Toc492046381"/>
      <w:bookmarkStart w:id="45" w:name="_Toc492046547"/>
      <w:bookmarkStart w:id="46" w:name="_Toc492046638"/>
      <w:bookmarkStart w:id="47" w:name="_Toc492046382"/>
      <w:bookmarkStart w:id="48" w:name="_Toc492046548"/>
      <w:bookmarkStart w:id="49" w:name="_Toc492046639"/>
      <w:bookmarkStart w:id="50" w:name="_Toc492046383"/>
      <w:bookmarkStart w:id="51" w:name="_Toc492046549"/>
      <w:bookmarkStart w:id="52" w:name="_Toc492046640"/>
      <w:bookmarkStart w:id="53" w:name="_Toc492046384"/>
      <w:bookmarkStart w:id="54" w:name="_Toc492046550"/>
      <w:bookmarkStart w:id="55" w:name="_Toc492046641"/>
      <w:bookmarkStart w:id="56" w:name="_Toc492046385"/>
      <w:bookmarkStart w:id="57" w:name="_Toc492046551"/>
      <w:bookmarkStart w:id="58" w:name="_Toc492046642"/>
      <w:bookmarkStart w:id="59" w:name="_Toc492046386"/>
      <w:bookmarkStart w:id="60" w:name="_Toc492046552"/>
      <w:bookmarkStart w:id="61" w:name="_Toc492046643"/>
      <w:bookmarkStart w:id="62" w:name="_Toc492046387"/>
      <w:bookmarkStart w:id="63" w:name="_Toc492046553"/>
      <w:bookmarkStart w:id="64" w:name="_Toc492046644"/>
      <w:bookmarkStart w:id="65" w:name="_Toc492046388"/>
      <w:bookmarkStart w:id="66" w:name="_Toc492046554"/>
      <w:bookmarkStart w:id="67" w:name="_Toc492046645"/>
      <w:bookmarkStart w:id="68" w:name="_Toc492046389"/>
      <w:bookmarkStart w:id="69" w:name="_Toc492046555"/>
      <w:bookmarkStart w:id="70" w:name="_Toc492046646"/>
      <w:bookmarkStart w:id="71" w:name="_Toc492046390"/>
      <w:bookmarkStart w:id="72" w:name="_Toc492046556"/>
      <w:bookmarkStart w:id="73" w:name="_Toc492046647"/>
      <w:bookmarkStart w:id="74" w:name="_Toc492046391"/>
      <w:bookmarkStart w:id="75" w:name="_Toc492046557"/>
      <w:bookmarkStart w:id="76" w:name="_Toc492046648"/>
      <w:bookmarkStart w:id="77" w:name="_Toc492046392"/>
      <w:bookmarkStart w:id="78" w:name="_Toc492046558"/>
      <w:bookmarkStart w:id="79" w:name="_Toc492046649"/>
      <w:bookmarkStart w:id="80" w:name="_Toc492046393"/>
      <w:bookmarkStart w:id="81" w:name="_Toc492046559"/>
      <w:bookmarkStart w:id="82" w:name="_Toc492046650"/>
      <w:bookmarkStart w:id="83" w:name="_Toc492046394"/>
      <w:bookmarkStart w:id="84" w:name="_Toc492046560"/>
      <w:bookmarkStart w:id="85" w:name="_Toc492046651"/>
      <w:bookmarkStart w:id="86" w:name="_Toc492046395"/>
      <w:bookmarkStart w:id="87" w:name="_Toc492046561"/>
      <w:bookmarkStart w:id="88" w:name="_Toc492046652"/>
      <w:bookmarkStart w:id="89" w:name="_Toc492046396"/>
      <w:bookmarkStart w:id="90" w:name="_Toc492046562"/>
      <w:bookmarkStart w:id="91" w:name="_Toc492046653"/>
      <w:bookmarkStart w:id="92" w:name="_Toc492046397"/>
      <w:bookmarkStart w:id="93" w:name="_Toc492046563"/>
      <w:bookmarkStart w:id="94" w:name="_Toc492046654"/>
      <w:bookmarkStart w:id="95" w:name="_Toc492046398"/>
      <w:bookmarkStart w:id="96" w:name="_Toc492046564"/>
      <w:bookmarkStart w:id="97" w:name="_Toc492046655"/>
      <w:bookmarkStart w:id="98" w:name="_Toc492046399"/>
      <w:bookmarkStart w:id="99" w:name="_Toc492046565"/>
      <w:bookmarkStart w:id="100" w:name="_Toc492046656"/>
      <w:bookmarkStart w:id="101" w:name="_Toc492046400"/>
      <w:bookmarkStart w:id="102" w:name="_Toc492046566"/>
      <w:bookmarkStart w:id="103" w:name="_Toc492046657"/>
      <w:bookmarkStart w:id="104" w:name="_Toc492046401"/>
      <w:bookmarkStart w:id="105" w:name="_Toc492046567"/>
      <w:bookmarkStart w:id="106" w:name="_Toc492046658"/>
      <w:bookmarkStart w:id="107" w:name="_Toc492046403"/>
      <w:bookmarkStart w:id="108" w:name="_Toc492046569"/>
      <w:bookmarkStart w:id="109" w:name="_Toc492046660"/>
      <w:bookmarkStart w:id="110" w:name="_Toc494271708"/>
      <w:bookmarkStart w:id="111" w:name="_Toc494367934"/>
      <w:bookmarkStart w:id="112" w:name="_Toc494378778"/>
      <w:bookmarkStart w:id="113" w:name="_Toc49437886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170139">
        <w:rPr>
          <w:rFonts w:eastAsia="Times New Roman" w:cs="Arial"/>
          <w:b/>
          <w:bCs/>
          <w:iCs/>
          <w:sz w:val="24"/>
          <w:lang w:eastAsia="en-US"/>
        </w:rPr>
        <w:t>E.</w:t>
      </w:r>
      <w:r w:rsidRPr="00170139">
        <w:rPr>
          <w:rFonts w:eastAsia="Times New Roman" w:cs="Arial"/>
          <w:b/>
          <w:bCs/>
          <w:iCs/>
          <w:sz w:val="24"/>
          <w:lang w:eastAsia="en-US"/>
        </w:rPr>
        <w:tab/>
      </w:r>
      <w:r w:rsidR="00346198" w:rsidRPr="00170139">
        <w:rPr>
          <w:rFonts w:eastAsia="Times New Roman" w:cs="Arial"/>
          <w:b/>
          <w:bCs/>
          <w:iCs/>
          <w:sz w:val="24"/>
          <w:lang w:eastAsia="en-US"/>
        </w:rPr>
        <w:t>Competition Policy and Consumer Protection</w:t>
      </w:r>
      <w:bookmarkEnd w:id="110"/>
      <w:bookmarkEnd w:id="111"/>
      <w:bookmarkEnd w:id="112"/>
      <w:bookmarkEnd w:id="113"/>
    </w:p>
    <w:p w:rsidR="008E722A" w:rsidRPr="00170139" w:rsidRDefault="00DA60E1" w:rsidP="00170139">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Having open c</w:t>
      </w:r>
      <w:r w:rsidR="00346198" w:rsidRPr="00170139">
        <w:rPr>
          <w:rFonts w:eastAsia="Calibri" w:cs="Arial"/>
          <w:szCs w:val="22"/>
          <w:lang w:eastAsia="en-US"/>
        </w:rPr>
        <w:t xml:space="preserve">ompetition and consumer protection are very desirable objectives that are extraordinarily difficult to achieve in small and isolated economies. The obvious tools are open economic structures </w:t>
      </w:r>
      <w:r w:rsidRPr="00170139">
        <w:rPr>
          <w:rFonts w:eastAsia="Calibri" w:cs="Arial"/>
          <w:szCs w:val="22"/>
          <w:lang w:eastAsia="en-US"/>
        </w:rPr>
        <w:t>along with strong competition in</w:t>
      </w:r>
      <w:r w:rsidR="00346198" w:rsidRPr="00170139">
        <w:rPr>
          <w:rFonts w:eastAsia="Calibri" w:cs="Arial"/>
          <w:szCs w:val="22"/>
          <w:lang w:eastAsia="en-US"/>
        </w:rPr>
        <w:t xml:space="preserve"> shipping and related transport </w:t>
      </w:r>
      <w:r w:rsidRPr="00170139">
        <w:rPr>
          <w:rFonts w:eastAsia="Calibri" w:cs="Arial"/>
          <w:szCs w:val="22"/>
          <w:lang w:eastAsia="en-US"/>
        </w:rPr>
        <w:t xml:space="preserve">industries </w:t>
      </w:r>
      <w:r w:rsidR="00346198" w:rsidRPr="00170139">
        <w:rPr>
          <w:rFonts w:eastAsia="Calibri" w:cs="Arial"/>
          <w:szCs w:val="22"/>
          <w:lang w:eastAsia="en-US"/>
        </w:rPr>
        <w:t>to keep down transport</w:t>
      </w:r>
      <w:r w:rsidRPr="00170139">
        <w:rPr>
          <w:rFonts w:eastAsia="Calibri" w:cs="Arial"/>
          <w:szCs w:val="22"/>
          <w:lang w:eastAsia="en-US"/>
        </w:rPr>
        <w:t xml:space="preserve"> costs,</w:t>
      </w:r>
      <w:r w:rsidR="00346198" w:rsidRPr="00170139">
        <w:rPr>
          <w:rFonts w:eastAsia="Calibri" w:cs="Arial"/>
          <w:szCs w:val="22"/>
          <w:lang w:eastAsia="en-US"/>
        </w:rPr>
        <w:t xml:space="preserve"> which tend to be very high</w:t>
      </w:r>
      <w:r w:rsidRPr="00170139">
        <w:rPr>
          <w:rFonts w:eastAsia="Calibri" w:cs="Arial"/>
          <w:szCs w:val="22"/>
          <w:lang w:eastAsia="en-US"/>
        </w:rPr>
        <w:t xml:space="preserve"> in Pacific DMCs</w:t>
      </w:r>
      <w:r w:rsidR="00346198" w:rsidRPr="00170139">
        <w:rPr>
          <w:rFonts w:eastAsia="Calibri" w:cs="Arial"/>
          <w:szCs w:val="22"/>
          <w:lang w:eastAsia="en-US"/>
        </w:rPr>
        <w:t>.</w:t>
      </w:r>
    </w:p>
    <w:p w:rsidR="00346198" w:rsidRPr="00170139" w:rsidRDefault="00346198" w:rsidP="00170139">
      <w:pPr>
        <w:tabs>
          <w:tab w:val="left" w:pos="567"/>
        </w:tabs>
        <w:rPr>
          <w:rFonts w:eastAsia="Calibri" w:cs="Arial"/>
          <w:szCs w:val="22"/>
          <w:lang w:eastAsia="en-US"/>
        </w:rPr>
      </w:pPr>
    </w:p>
    <w:p w:rsidR="00346198" w:rsidRPr="00170139"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Competition law is intended to prohibit firms from engaging in behavior that reduces or limits competition</w:t>
      </w:r>
      <w:r w:rsidR="008E722A" w:rsidRPr="00170139">
        <w:rPr>
          <w:rFonts w:eastAsia="Calibri" w:cs="Arial"/>
          <w:szCs w:val="22"/>
          <w:lang w:eastAsia="en-US"/>
        </w:rPr>
        <w:t>,</w:t>
      </w:r>
      <w:r w:rsidRPr="00170139">
        <w:rPr>
          <w:rFonts w:eastAsia="Calibri" w:cs="Arial"/>
          <w:szCs w:val="22"/>
          <w:lang w:eastAsia="en-US"/>
        </w:rPr>
        <w:t xml:space="preserve"> such as through price</w:t>
      </w:r>
      <w:r w:rsidR="008E722A" w:rsidRPr="00170139">
        <w:rPr>
          <w:rFonts w:eastAsia="Calibri" w:cs="Arial"/>
          <w:szCs w:val="22"/>
          <w:lang w:eastAsia="en-US"/>
        </w:rPr>
        <w:t>-</w:t>
      </w:r>
      <w:r w:rsidRPr="00170139">
        <w:rPr>
          <w:rFonts w:eastAsia="Calibri" w:cs="Arial"/>
          <w:szCs w:val="22"/>
          <w:lang w:eastAsia="en-US"/>
        </w:rPr>
        <w:t xml:space="preserve">fixing </w:t>
      </w:r>
      <w:r w:rsidR="008E722A" w:rsidRPr="00170139">
        <w:rPr>
          <w:rFonts w:eastAsia="Calibri" w:cs="Arial"/>
          <w:szCs w:val="22"/>
          <w:lang w:eastAsia="en-US"/>
        </w:rPr>
        <w:t xml:space="preserve">or </w:t>
      </w:r>
      <w:r w:rsidRPr="00170139">
        <w:rPr>
          <w:rFonts w:eastAsia="Calibri" w:cs="Arial"/>
          <w:szCs w:val="22"/>
          <w:lang w:eastAsia="en-US"/>
        </w:rPr>
        <w:t xml:space="preserve">exercising of monopoly power. These restraints of trade are extraordinarily difficult to document in legal cases that can be adjudicated within the fragile legal systems of </w:t>
      </w:r>
      <w:r w:rsidR="008E722A" w:rsidRPr="00170139">
        <w:rPr>
          <w:rFonts w:eastAsia="Calibri" w:cs="Arial"/>
          <w:szCs w:val="22"/>
          <w:lang w:eastAsia="en-US"/>
        </w:rPr>
        <w:t xml:space="preserve">Pacific island </w:t>
      </w:r>
      <w:r w:rsidRPr="00170139">
        <w:rPr>
          <w:rFonts w:eastAsia="Calibri" w:cs="Arial"/>
          <w:szCs w:val="22"/>
          <w:lang w:eastAsia="en-US"/>
        </w:rPr>
        <w:t xml:space="preserve">economies. As such, </w:t>
      </w:r>
      <w:r w:rsidR="008E722A" w:rsidRPr="00170139">
        <w:rPr>
          <w:rFonts w:eastAsia="Calibri" w:cs="Arial"/>
          <w:szCs w:val="22"/>
          <w:lang w:eastAsia="en-US"/>
        </w:rPr>
        <w:t xml:space="preserve">strict </w:t>
      </w:r>
      <w:r w:rsidRPr="00170139">
        <w:rPr>
          <w:rFonts w:eastAsia="Calibri" w:cs="Arial"/>
          <w:szCs w:val="22"/>
          <w:lang w:eastAsia="en-US"/>
        </w:rPr>
        <w:t xml:space="preserve">enforcement </w:t>
      </w:r>
      <w:r w:rsidR="008E722A" w:rsidRPr="00170139">
        <w:rPr>
          <w:rFonts w:eastAsia="Calibri" w:cs="Arial"/>
          <w:szCs w:val="22"/>
          <w:lang w:eastAsia="en-US"/>
        </w:rPr>
        <w:t xml:space="preserve">of competition law </w:t>
      </w:r>
      <w:r w:rsidRPr="00170139">
        <w:rPr>
          <w:rFonts w:eastAsia="Calibri" w:cs="Arial"/>
          <w:szCs w:val="22"/>
          <w:lang w:eastAsia="en-US"/>
        </w:rPr>
        <w:t xml:space="preserve">cannot </w:t>
      </w:r>
      <w:r w:rsidR="008E722A" w:rsidRPr="00170139">
        <w:rPr>
          <w:rFonts w:eastAsia="Calibri" w:cs="Arial"/>
          <w:szCs w:val="22"/>
          <w:lang w:eastAsia="en-US"/>
        </w:rPr>
        <w:t xml:space="preserve">be </w:t>
      </w:r>
      <w:r w:rsidRPr="00170139">
        <w:rPr>
          <w:rFonts w:eastAsia="Calibri" w:cs="Arial"/>
          <w:szCs w:val="22"/>
          <w:lang w:eastAsia="en-US"/>
        </w:rPr>
        <w:t xml:space="preserve">reasonably </w:t>
      </w:r>
      <w:r w:rsidR="008E722A" w:rsidRPr="00170139">
        <w:rPr>
          <w:rFonts w:eastAsia="Calibri" w:cs="Arial"/>
          <w:szCs w:val="22"/>
          <w:lang w:eastAsia="en-US"/>
        </w:rPr>
        <w:t xml:space="preserve">expected or </w:t>
      </w:r>
      <w:r w:rsidRPr="00170139">
        <w:rPr>
          <w:rFonts w:eastAsia="Calibri" w:cs="Arial"/>
          <w:szCs w:val="22"/>
          <w:lang w:eastAsia="en-US"/>
        </w:rPr>
        <w:t>envisaged. Nonetheless</w:t>
      </w:r>
      <w:r w:rsidR="008E722A" w:rsidRPr="00170139">
        <w:rPr>
          <w:rFonts w:eastAsia="Calibri" w:cs="Arial"/>
          <w:szCs w:val="22"/>
          <w:lang w:eastAsia="en-US"/>
        </w:rPr>
        <w:t>,</w:t>
      </w:r>
      <w:r w:rsidRPr="00170139">
        <w:rPr>
          <w:rFonts w:eastAsia="Calibri" w:cs="Arial"/>
          <w:szCs w:val="22"/>
          <w:lang w:eastAsia="en-US"/>
        </w:rPr>
        <w:t xml:space="preserve"> there are benefits in setting out such principles in the legal systems</w:t>
      </w:r>
      <w:r w:rsidR="008E722A" w:rsidRPr="00170139">
        <w:rPr>
          <w:rFonts w:eastAsia="Calibri" w:cs="Arial"/>
          <w:szCs w:val="22"/>
          <w:lang w:eastAsia="en-US"/>
        </w:rPr>
        <w:t xml:space="preserve"> of Pacific DMCS,</w:t>
      </w:r>
      <w:r w:rsidRPr="00170139">
        <w:rPr>
          <w:rFonts w:eastAsia="Calibri" w:cs="Arial"/>
          <w:szCs w:val="22"/>
          <w:lang w:eastAsia="en-US"/>
        </w:rPr>
        <w:t xml:space="preserve"> so that they can be held up as the standards for desirable market behavior. In practice, only Fiji, </w:t>
      </w:r>
      <w:r w:rsidR="00742E28" w:rsidRPr="00170139">
        <w:rPr>
          <w:rFonts w:eastAsia="Calibri" w:cs="Arial"/>
          <w:szCs w:val="22"/>
          <w:lang w:eastAsia="en-US"/>
        </w:rPr>
        <w:t>PNG,</w:t>
      </w:r>
      <w:r w:rsidRPr="00170139">
        <w:rPr>
          <w:rFonts w:eastAsia="Calibri" w:cs="Arial"/>
          <w:szCs w:val="22"/>
          <w:lang w:eastAsia="en-US"/>
        </w:rPr>
        <w:t xml:space="preserve"> and Samoa have general competition laws, although several DMCs </w:t>
      </w:r>
      <w:r w:rsidR="008E722A" w:rsidRPr="00170139">
        <w:rPr>
          <w:rFonts w:eastAsia="Calibri" w:cs="Arial"/>
          <w:szCs w:val="22"/>
          <w:lang w:eastAsia="en-US"/>
        </w:rPr>
        <w:t xml:space="preserve">in the South Pacific </w:t>
      </w:r>
      <w:r w:rsidRPr="00170139">
        <w:rPr>
          <w:rFonts w:eastAsia="Calibri" w:cs="Arial"/>
          <w:szCs w:val="22"/>
          <w:lang w:eastAsia="en-US"/>
        </w:rPr>
        <w:t xml:space="preserve">have </w:t>
      </w:r>
      <w:r w:rsidR="008E722A" w:rsidRPr="00170139">
        <w:rPr>
          <w:rFonts w:eastAsia="Calibri" w:cs="Arial"/>
          <w:szCs w:val="22"/>
          <w:lang w:eastAsia="en-US"/>
        </w:rPr>
        <w:t xml:space="preserve">fundamental </w:t>
      </w:r>
      <w:r w:rsidRPr="00170139">
        <w:rPr>
          <w:rFonts w:eastAsia="Calibri" w:cs="Arial"/>
          <w:szCs w:val="22"/>
          <w:lang w:eastAsia="en-US"/>
        </w:rPr>
        <w:t>competition safeguards.</w:t>
      </w:r>
    </w:p>
    <w:p w:rsidR="00346198" w:rsidRPr="00170139" w:rsidRDefault="00346198" w:rsidP="00C13C20">
      <w:pPr>
        <w:rPr>
          <w:rFonts w:eastAsia="Calibri" w:cs="Arial"/>
          <w:szCs w:val="22"/>
          <w:lang w:eastAsia="en-US"/>
        </w:rPr>
      </w:pPr>
    </w:p>
    <w:p w:rsidR="00E201D1" w:rsidRDefault="00346198" w:rsidP="00C13C20">
      <w:pPr>
        <w:numPr>
          <w:ilvl w:val="0"/>
          <w:numId w:val="10"/>
        </w:numPr>
        <w:tabs>
          <w:tab w:val="left" w:pos="567"/>
        </w:tabs>
        <w:ind w:left="0" w:firstLine="0"/>
        <w:rPr>
          <w:rFonts w:eastAsia="Calibri" w:cs="Arial"/>
          <w:szCs w:val="22"/>
          <w:lang w:eastAsia="en-US"/>
        </w:rPr>
      </w:pPr>
      <w:r w:rsidRPr="00170139">
        <w:rPr>
          <w:rFonts w:eastAsia="Calibri" w:cs="Arial"/>
          <w:szCs w:val="22"/>
          <w:lang w:eastAsia="en-US"/>
        </w:rPr>
        <w:t xml:space="preserve">PSDI </w:t>
      </w:r>
      <w:r w:rsidR="008E722A" w:rsidRPr="00170139">
        <w:rPr>
          <w:rFonts w:eastAsia="Calibri" w:cs="Arial"/>
          <w:szCs w:val="22"/>
          <w:lang w:eastAsia="en-US"/>
        </w:rPr>
        <w:t xml:space="preserve">assisted the Government of Samoa </w:t>
      </w:r>
      <w:r w:rsidRPr="00170139">
        <w:rPr>
          <w:rFonts w:eastAsia="Calibri" w:cs="Arial"/>
          <w:szCs w:val="22"/>
          <w:lang w:eastAsia="en-US"/>
        </w:rPr>
        <w:t>in the adoption of a national competition policy</w:t>
      </w:r>
      <w:r w:rsidR="008E722A" w:rsidRPr="00170139">
        <w:rPr>
          <w:rFonts w:eastAsia="Calibri" w:cs="Arial"/>
          <w:szCs w:val="22"/>
          <w:lang w:eastAsia="en-US"/>
        </w:rPr>
        <w:t>,</w:t>
      </w:r>
      <w:r w:rsidRPr="00170139">
        <w:rPr>
          <w:rFonts w:eastAsia="Calibri" w:cs="Arial"/>
          <w:szCs w:val="22"/>
          <w:lang w:eastAsia="en-US"/>
        </w:rPr>
        <w:t xml:space="preserve"> and supported the drafting of a </w:t>
      </w:r>
      <w:r w:rsidR="008E722A" w:rsidRPr="00170139">
        <w:rPr>
          <w:rFonts w:eastAsia="Calibri" w:cs="Arial"/>
          <w:szCs w:val="22"/>
          <w:lang w:eastAsia="en-US"/>
        </w:rPr>
        <w:t>c</w:t>
      </w:r>
      <w:r w:rsidRPr="00170139">
        <w:rPr>
          <w:rFonts w:eastAsia="Calibri" w:cs="Arial"/>
          <w:szCs w:val="22"/>
          <w:lang w:eastAsia="en-US"/>
        </w:rPr>
        <w:t xml:space="preserve">ompetition and </w:t>
      </w:r>
      <w:r w:rsidR="008E722A" w:rsidRPr="00170139">
        <w:rPr>
          <w:rFonts w:eastAsia="Calibri" w:cs="Arial"/>
          <w:szCs w:val="22"/>
          <w:lang w:eastAsia="en-US"/>
        </w:rPr>
        <w:t>c</w:t>
      </w:r>
      <w:r w:rsidRPr="00170139">
        <w:rPr>
          <w:rFonts w:eastAsia="Calibri" w:cs="Arial"/>
          <w:szCs w:val="22"/>
          <w:lang w:eastAsia="en-US"/>
        </w:rPr>
        <w:t xml:space="preserve">onsumer </w:t>
      </w:r>
      <w:r w:rsidR="008E722A" w:rsidRPr="00170139">
        <w:rPr>
          <w:rFonts w:eastAsia="Calibri" w:cs="Arial"/>
          <w:szCs w:val="22"/>
          <w:lang w:eastAsia="en-US"/>
        </w:rPr>
        <w:t>p</w:t>
      </w:r>
      <w:r w:rsidRPr="00170139">
        <w:rPr>
          <w:rFonts w:eastAsia="Calibri" w:cs="Arial"/>
          <w:szCs w:val="22"/>
          <w:lang w:eastAsia="en-US"/>
        </w:rPr>
        <w:t xml:space="preserve">rotection </w:t>
      </w:r>
      <w:r w:rsidR="008E722A" w:rsidRPr="00170139">
        <w:rPr>
          <w:rFonts w:eastAsia="Calibri" w:cs="Arial"/>
          <w:szCs w:val="22"/>
          <w:lang w:eastAsia="en-US"/>
        </w:rPr>
        <w:t>b</w:t>
      </w:r>
      <w:r w:rsidRPr="00170139">
        <w:rPr>
          <w:rFonts w:eastAsia="Calibri" w:cs="Arial"/>
          <w:szCs w:val="22"/>
          <w:lang w:eastAsia="en-US"/>
        </w:rPr>
        <w:t>ill</w:t>
      </w:r>
      <w:r w:rsidR="008E722A" w:rsidRPr="00170139">
        <w:rPr>
          <w:rFonts w:eastAsia="Calibri" w:cs="Arial"/>
          <w:szCs w:val="22"/>
          <w:lang w:eastAsia="en-US"/>
        </w:rPr>
        <w:t>,</w:t>
      </w:r>
      <w:r w:rsidRPr="00170139">
        <w:rPr>
          <w:rFonts w:eastAsia="Calibri" w:cs="Arial"/>
          <w:szCs w:val="22"/>
          <w:lang w:eastAsia="en-US"/>
        </w:rPr>
        <w:t xml:space="preserve"> which was passed in </w:t>
      </w:r>
      <w:r w:rsidR="004176DE" w:rsidRPr="00170139">
        <w:rPr>
          <w:rFonts w:eastAsia="Calibri" w:cs="Arial"/>
          <w:szCs w:val="22"/>
          <w:lang w:eastAsia="en-US"/>
        </w:rPr>
        <w:t xml:space="preserve">February </w:t>
      </w:r>
      <w:r w:rsidRPr="00170139">
        <w:rPr>
          <w:rFonts w:eastAsia="Calibri" w:cs="Arial"/>
          <w:szCs w:val="22"/>
          <w:lang w:eastAsia="en-US"/>
        </w:rPr>
        <w:t xml:space="preserve">2016 and commenced in July 2017. Samoa became the first Pacific </w:t>
      </w:r>
      <w:r w:rsidR="008E722A" w:rsidRPr="00170139">
        <w:rPr>
          <w:rFonts w:eastAsia="Calibri" w:cs="Arial"/>
          <w:szCs w:val="22"/>
          <w:lang w:eastAsia="en-US"/>
        </w:rPr>
        <w:t xml:space="preserve">island </w:t>
      </w:r>
      <w:r w:rsidRPr="00170139">
        <w:rPr>
          <w:rFonts w:eastAsia="Calibri" w:cs="Arial"/>
          <w:szCs w:val="22"/>
          <w:lang w:eastAsia="en-US"/>
        </w:rPr>
        <w:t>country in which PSDI completed policy, legal</w:t>
      </w:r>
      <w:r w:rsidR="008E722A" w:rsidRPr="00170139">
        <w:rPr>
          <w:rFonts w:eastAsia="Calibri" w:cs="Arial"/>
          <w:szCs w:val="22"/>
          <w:lang w:eastAsia="en-US"/>
        </w:rPr>
        <w:t>,</w:t>
      </w:r>
      <w:r w:rsidRPr="00170139">
        <w:rPr>
          <w:rFonts w:eastAsia="Calibri" w:cs="Arial"/>
          <w:szCs w:val="22"/>
          <w:lang w:eastAsia="en-US"/>
        </w:rPr>
        <w:t xml:space="preserve"> and regulatory reform in the area of competition and consumer protection. </w:t>
      </w:r>
      <w:r w:rsidR="00AB770C" w:rsidRPr="00170139">
        <w:rPr>
          <w:rFonts w:eastAsia="Calibri" w:cs="Arial"/>
          <w:szCs w:val="22"/>
          <w:lang w:eastAsia="en-US"/>
        </w:rPr>
        <w:t>PSDI undertook a</w:t>
      </w:r>
      <w:r w:rsidRPr="00170139">
        <w:rPr>
          <w:rFonts w:eastAsia="Calibri" w:cs="Arial"/>
          <w:szCs w:val="22"/>
          <w:lang w:eastAsia="en-US"/>
        </w:rPr>
        <w:t xml:space="preserve"> review of Timor-Leste’s </w:t>
      </w:r>
      <w:r w:rsidR="00AB770C" w:rsidRPr="00170139">
        <w:rPr>
          <w:rFonts w:eastAsia="Calibri" w:cs="Arial"/>
          <w:szCs w:val="22"/>
          <w:lang w:eastAsia="en-US"/>
        </w:rPr>
        <w:t xml:space="preserve">competition and consumer </w:t>
      </w:r>
      <w:r w:rsidRPr="00170139">
        <w:rPr>
          <w:rFonts w:eastAsia="Calibri" w:cs="Arial"/>
          <w:szCs w:val="22"/>
          <w:lang w:eastAsia="en-US"/>
        </w:rPr>
        <w:t xml:space="preserve">policies in 2016 and </w:t>
      </w:r>
      <w:r w:rsidR="00AB770C" w:rsidRPr="00170139">
        <w:rPr>
          <w:rFonts w:eastAsia="Calibri" w:cs="Arial"/>
          <w:szCs w:val="22"/>
          <w:lang w:eastAsia="en-US"/>
        </w:rPr>
        <w:t xml:space="preserve">this work </w:t>
      </w:r>
      <w:r w:rsidRPr="00170139">
        <w:rPr>
          <w:rFonts w:eastAsia="Calibri" w:cs="Arial"/>
          <w:szCs w:val="22"/>
          <w:lang w:eastAsia="en-US"/>
        </w:rPr>
        <w:t xml:space="preserve">may be progressed </w:t>
      </w:r>
      <w:r w:rsidR="008E722A" w:rsidRPr="00170139">
        <w:rPr>
          <w:rFonts w:eastAsia="Calibri" w:cs="Arial"/>
          <w:szCs w:val="22"/>
          <w:lang w:eastAsia="en-US"/>
        </w:rPr>
        <w:t xml:space="preserve">during the remainder of </w:t>
      </w:r>
      <w:r w:rsidRPr="00170139">
        <w:rPr>
          <w:rFonts w:eastAsia="Calibri" w:cs="Arial"/>
          <w:szCs w:val="22"/>
          <w:lang w:eastAsia="en-US"/>
        </w:rPr>
        <w:t xml:space="preserve">PSDI III. In Fiji, the </w:t>
      </w:r>
      <w:r w:rsidR="008E722A" w:rsidRPr="00170139">
        <w:rPr>
          <w:rFonts w:eastAsia="Calibri" w:cs="Arial"/>
          <w:szCs w:val="22"/>
          <w:lang w:eastAsia="en-US"/>
        </w:rPr>
        <w:t>g</w:t>
      </w:r>
      <w:r w:rsidRPr="00170139">
        <w:rPr>
          <w:rFonts w:eastAsia="Calibri" w:cs="Arial"/>
          <w:szCs w:val="22"/>
          <w:lang w:eastAsia="en-US"/>
        </w:rPr>
        <w:t xml:space="preserve">overnment has requested </w:t>
      </w:r>
      <w:r w:rsidR="00AB770C" w:rsidRPr="00170139">
        <w:rPr>
          <w:rFonts w:eastAsia="Calibri" w:cs="Arial"/>
          <w:szCs w:val="22"/>
          <w:lang w:eastAsia="en-US"/>
        </w:rPr>
        <w:t xml:space="preserve">ongoing </w:t>
      </w:r>
      <w:r w:rsidRPr="00170139">
        <w:rPr>
          <w:rFonts w:eastAsia="Calibri" w:cs="Arial"/>
          <w:szCs w:val="22"/>
          <w:lang w:eastAsia="en-US"/>
        </w:rPr>
        <w:t xml:space="preserve">assistance </w:t>
      </w:r>
      <w:r w:rsidR="008E722A" w:rsidRPr="00170139">
        <w:rPr>
          <w:rFonts w:eastAsia="Calibri" w:cs="Arial"/>
          <w:szCs w:val="22"/>
          <w:lang w:eastAsia="en-US"/>
        </w:rPr>
        <w:t xml:space="preserve">with </w:t>
      </w:r>
      <w:r w:rsidRPr="00170139">
        <w:rPr>
          <w:rFonts w:eastAsia="Calibri" w:cs="Arial"/>
          <w:szCs w:val="22"/>
          <w:lang w:eastAsia="en-US"/>
        </w:rPr>
        <w:t xml:space="preserve">the strengthening of the </w:t>
      </w:r>
      <w:r w:rsidR="00AB770C" w:rsidRPr="00170139">
        <w:rPr>
          <w:rFonts w:eastAsia="Calibri" w:cs="Arial"/>
          <w:szCs w:val="22"/>
          <w:lang w:eastAsia="en-US"/>
        </w:rPr>
        <w:t xml:space="preserve">Fiji </w:t>
      </w:r>
      <w:r w:rsidRPr="00170139">
        <w:rPr>
          <w:rFonts w:eastAsia="Calibri" w:cs="Arial"/>
          <w:szCs w:val="22"/>
          <w:lang w:eastAsia="en-US"/>
        </w:rPr>
        <w:t xml:space="preserve">Commerce Commission (FCC). </w:t>
      </w:r>
      <w:r w:rsidR="00AB770C" w:rsidRPr="00170139">
        <w:rPr>
          <w:rFonts w:eastAsia="Calibri" w:cs="Arial"/>
          <w:szCs w:val="22"/>
          <w:lang w:eastAsia="en-US"/>
        </w:rPr>
        <w:t>PSDI provided c</w:t>
      </w:r>
      <w:r w:rsidRPr="00170139">
        <w:rPr>
          <w:rFonts w:eastAsia="Calibri" w:cs="Arial"/>
          <w:szCs w:val="22"/>
          <w:lang w:eastAsia="en-US"/>
        </w:rPr>
        <w:t>ompetition policy assistance to Vanuatu in 2016</w:t>
      </w:r>
      <w:r w:rsidR="00AB770C" w:rsidRPr="00170139">
        <w:rPr>
          <w:rFonts w:eastAsia="Calibri" w:cs="Arial"/>
          <w:szCs w:val="22"/>
          <w:lang w:eastAsia="en-US"/>
        </w:rPr>
        <w:t>,</w:t>
      </w:r>
      <w:r w:rsidRPr="00170139">
        <w:rPr>
          <w:rFonts w:eastAsia="Calibri" w:cs="Arial"/>
          <w:szCs w:val="22"/>
          <w:lang w:eastAsia="en-US"/>
        </w:rPr>
        <w:t xml:space="preserve"> with limited impact.</w:t>
      </w:r>
    </w:p>
    <w:p w:rsidR="00E201D1" w:rsidRDefault="00E201D1" w:rsidP="00E201D1">
      <w:pPr>
        <w:tabs>
          <w:tab w:val="left" w:pos="567"/>
        </w:tabs>
        <w:rPr>
          <w:rFonts w:eastAsia="Calibri" w:cs="Arial"/>
          <w:szCs w:val="22"/>
          <w:lang w:eastAsia="en-US"/>
        </w:rPr>
      </w:pPr>
    </w:p>
    <w:p w:rsidR="00E201D1" w:rsidRDefault="00E201D1" w:rsidP="00E201D1">
      <w:pPr>
        <w:tabs>
          <w:tab w:val="left" w:pos="567"/>
        </w:tabs>
        <w:rPr>
          <w:rFonts w:eastAsia="Calibri" w:cs="Arial"/>
          <w:szCs w:val="22"/>
          <w:lang w:eastAsia="en-US"/>
        </w:rPr>
      </w:pPr>
    </w:p>
    <w:p w:rsidR="00E201D1" w:rsidRDefault="00E201D1">
      <w:pPr>
        <w:jc w:val="left"/>
        <w:rPr>
          <w:rFonts w:eastAsia="Calibri" w:cs="Arial"/>
          <w:szCs w:val="22"/>
          <w:lang w:eastAsia="en-US"/>
        </w:rPr>
      </w:pPr>
      <w:r>
        <w:rPr>
          <w:rFonts w:eastAsia="Calibri" w:cs="Arial"/>
          <w:szCs w:val="22"/>
          <w:lang w:eastAsia="en-US"/>
        </w:rPr>
        <w:br w:type="page"/>
      </w:r>
    </w:p>
    <w:p w:rsidR="00CA4CD7" w:rsidRPr="00C951B3" w:rsidRDefault="00346198" w:rsidP="00170139">
      <w:pPr>
        <w:keepNext/>
        <w:keepLines/>
        <w:tabs>
          <w:tab w:val="left" w:pos="567"/>
        </w:tabs>
        <w:spacing w:after="100" w:afterAutospacing="1" w:line="259" w:lineRule="auto"/>
        <w:jc w:val="center"/>
        <w:outlineLvl w:val="0"/>
        <w:rPr>
          <w:rFonts w:ascii="Arial Bold" w:eastAsia="Times New Roman" w:hAnsi="Arial Bold"/>
          <w:b/>
          <w:bCs/>
          <w:caps/>
          <w:sz w:val="24"/>
          <w:lang w:val="x-none" w:eastAsia="x-none"/>
        </w:rPr>
      </w:pPr>
      <w:bookmarkStart w:id="114" w:name="_Toc494378861"/>
      <w:r w:rsidRPr="00C951B3">
        <w:rPr>
          <w:rFonts w:ascii="Arial Bold" w:eastAsia="Times New Roman" w:hAnsi="Arial Bold"/>
          <w:b/>
          <w:bCs/>
          <w:caps/>
          <w:sz w:val="24"/>
          <w:lang w:val="x-none" w:eastAsia="x-none"/>
        </w:rPr>
        <w:lastRenderedPageBreak/>
        <w:t>IV.</w:t>
      </w:r>
      <w:r w:rsidR="00C951B3" w:rsidRPr="00C951B3">
        <w:rPr>
          <w:rFonts w:ascii="Arial Bold" w:eastAsia="Times New Roman" w:hAnsi="Arial Bold"/>
          <w:b/>
          <w:bCs/>
          <w:caps/>
          <w:sz w:val="24"/>
          <w:lang w:val="x-none" w:eastAsia="x-none"/>
        </w:rPr>
        <w:tab/>
      </w:r>
      <w:r w:rsidRPr="00170139">
        <w:rPr>
          <w:rFonts w:ascii="Arial Bold" w:eastAsia="Times New Roman" w:hAnsi="Arial Bold"/>
          <w:b/>
          <w:bCs/>
          <w:caps/>
          <w:sz w:val="24"/>
          <w:lang w:val="x-none" w:eastAsia="x-none"/>
        </w:rPr>
        <w:t>Assessment of Progress to Date</w:t>
      </w:r>
      <w:bookmarkEnd w:id="114"/>
    </w:p>
    <w:p w:rsidR="00B440D5" w:rsidRPr="009500F4" w:rsidRDefault="00CA4CD7"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This part of the </w:t>
      </w:r>
      <w:r w:rsidR="00676E0F" w:rsidRPr="009500F4">
        <w:rPr>
          <w:rFonts w:eastAsia="Calibri" w:cs="Arial"/>
          <w:szCs w:val="22"/>
          <w:lang w:eastAsia="en-US"/>
        </w:rPr>
        <w:t>m</w:t>
      </w:r>
      <w:r w:rsidRPr="009500F4">
        <w:rPr>
          <w:rFonts w:eastAsia="Calibri" w:cs="Arial"/>
          <w:szCs w:val="22"/>
          <w:lang w:eastAsia="en-US"/>
        </w:rPr>
        <w:t>id</w:t>
      </w:r>
      <w:r w:rsidR="00676E0F" w:rsidRPr="009500F4">
        <w:rPr>
          <w:rFonts w:eastAsia="Calibri" w:cs="Arial"/>
          <w:szCs w:val="22"/>
          <w:lang w:eastAsia="en-US"/>
        </w:rPr>
        <w:t>t</w:t>
      </w:r>
      <w:r w:rsidRPr="009500F4">
        <w:rPr>
          <w:rFonts w:eastAsia="Calibri" w:cs="Arial"/>
          <w:szCs w:val="22"/>
          <w:lang w:eastAsia="en-US"/>
        </w:rPr>
        <w:t xml:space="preserve">erm </w:t>
      </w:r>
      <w:r w:rsidR="00676E0F" w:rsidRPr="009500F4">
        <w:rPr>
          <w:rFonts w:eastAsia="Calibri" w:cs="Arial"/>
          <w:szCs w:val="22"/>
          <w:lang w:eastAsia="en-US"/>
        </w:rPr>
        <w:t>r</w:t>
      </w:r>
      <w:r w:rsidRPr="009500F4">
        <w:rPr>
          <w:rFonts w:eastAsia="Calibri" w:cs="Arial"/>
          <w:szCs w:val="22"/>
          <w:lang w:eastAsia="en-US"/>
        </w:rPr>
        <w:t xml:space="preserve">eview assesses the strengths and weaknesses of PSDI in terms of its contributions in </w:t>
      </w:r>
      <w:r w:rsidR="00C56503" w:rsidRPr="009500F4">
        <w:rPr>
          <w:rFonts w:eastAsia="Calibri" w:cs="Arial"/>
          <w:szCs w:val="22"/>
          <w:lang w:eastAsia="en-US"/>
        </w:rPr>
        <w:t xml:space="preserve">its </w:t>
      </w:r>
      <w:r w:rsidRPr="009500F4">
        <w:rPr>
          <w:rFonts w:eastAsia="Calibri" w:cs="Arial"/>
          <w:szCs w:val="22"/>
          <w:lang w:eastAsia="en-US"/>
        </w:rPr>
        <w:t>core thematic areas</w:t>
      </w:r>
      <w:r w:rsidR="00B440D5" w:rsidRPr="009500F4">
        <w:rPr>
          <w:rFonts w:eastAsia="Calibri" w:cs="Arial"/>
          <w:szCs w:val="22"/>
          <w:lang w:eastAsia="en-US"/>
        </w:rPr>
        <w:t>.</w:t>
      </w:r>
    </w:p>
    <w:p w:rsidR="00FB3CC9" w:rsidRPr="009500F4" w:rsidRDefault="00FB3CC9" w:rsidP="00CA4CD7">
      <w:pPr>
        <w:rPr>
          <w:rFonts w:cstheme="minorHAnsi"/>
        </w:rPr>
      </w:pPr>
    </w:p>
    <w:p w:rsidR="00CA4CD7" w:rsidRPr="009500F4" w:rsidRDefault="00CA4CD7" w:rsidP="005A4895">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ADB briefly describes, in two </w:t>
      </w:r>
      <w:r w:rsidR="00164541" w:rsidRPr="009500F4">
        <w:rPr>
          <w:rFonts w:eastAsia="Calibri" w:cs="Arial"/>
          <w:szCs w:val="22"/>
          <w:lang w:eastAsia="en-US"/>
        </w:rPr>
        <w:t>TA</w:t>
      </w:r>
      <w:r w:rsidRPr="009500F4">
        <w:rPr>
          <w:rFonts w:eastAsia="Calibri" w:cs="Arial"/>
          <w:szCs w:val="22"/>
          <w:lang w:eastAsia="en-US"/>
        </w:rPr>
        <w:t xml:space="preserve"> </w:t>
      </w:r>
      <w:r w:rsidR="00B440D5" w:rsidRPr="009500F4">
        <w:rPr>
          <w:rFonts w:eastAsia="Calibri" w:cs="Arial"/>
          <w:szCs w:val="22"/>
          <w:lang w:eastAsia="en-US"/>
        </w:rPr>
        <w:t>p</w:t>
      </w:r>
      <w:r w:rsidRPr="009500F4">
        <w:rPr>
          <w:rFonts w:eastAsia="Calibri" w:cs="Arial"/>
          <w:szCs w:val="22"/>
          <w:lang w:eastAsia="en-US"/>
        </w:rPr>
        <w:t>apers</w:t>
      </w:r>
      <w:r w:rsidR="002A6FC0" w:rsidRPr="009500F4">
        <w:rPr>
          <w:rFonts w:eastAsia="Calibri" w:cs="Arial"/>
          <w:szCs w:val="22"/>
          <w:lang w:eastAsia="en-US"/>
        </w:rPr>
        <w:t xml:space="preserve"> from 2013 and 2015, respectively</w:t>
      </w:r>
      <w:r w:rsidRPr="009500F4">
        <w:rPr>
          <w:rFonts w:eastAsia="Calibri" w:cs="Arial"/>
          <w:szCs w:val="22"/>
          <w:lang w:eastAsia="en-US"/>
        </w:rPr>
        <w:t>,</w:t>
      </w:r>
      <w:r w:rsidRPr="009500F4">
        <w:rPr>
          <w:rFonts w:eastAsia="Calibri" w:cs="Arial"/>
          <w:szCs w:val="22"/>
          <w:vertAlign w:val="superscript"/>
          <w:lang w:eastAsia="en-US"/>
        </w:rPr>
        <w:footnoteReference w:id="10"/>
      </w:r>
      <w:r w:rsidRPr="009500F4">
        <w:rPr>
          <w:rFonts w:eastAsia="Calibri" w:cs="Arial"/>
          <w:szCs w:val="22"/>
          <w:lang w:eastAsia="en-US"/>
        </w:rPr>
        <w:t xml:space="preserve"> how </w:t>
      </w:r>
      <w:r w:rsidR="00394C12" w:rsidRPr="009500F4">
        <w:rPr>
          <w:rFonts w:eastAsia="Calibri" w:cs="Arial"/>
          <w:szCs w:val="22"/>
          <w:lang w:eastAsia="en-US"/>
        </w:rPr>
        <w:t>the</w:t>
      </w:r>
      <w:r w:rsidR="00B440D5" w:rsidRPr="009500F4">
        <w:rPr>
          <w:rFonts w:eastAsia="Calibri" w:cs="Arial"/>
          <w:szCs w:val="22"/>
          <w:lang w:eastAsia="en-US"/>
        </w:rPr>
        <w:t xml:space="preserve"> </w:t>
      </w:r>
      <w:r w:rsidRPr="009500F4">
        <w:rPr>
          <w:rFonts w:eastAsia="Calibri" w:cs="Arial"/>
          <w:szCs w:val="22"/>
          <w:lang w:eastAsia="en-US"/>
        </w:rPr>
        <w:t>activities</w:t>
      </w:r>
      <w:r w:rsidR="00394C12" w:rsidRPr="009500F4">
        <w:rPr>
          <w:rFonts w:eastAsia="Calibri" w:cs="Arial"/>
          <w:szCs w:val="22"/>
          <w:lang w:eastAsia="en-US"/>
        </w:rPr>
        <w:t xml:space="preserve"> of PSDI III</w:t>
      </w:r>
      <w:r w:rsidRPr="009500F4">
        <w:rPr>
          <w:rFonts w:eastAsia="Calibri" w:cs="Arial"/>
          <w:szCs w:val="22"/>
          <w:lang w:eastAsia="en-US"/>
        </w:rPr>
        <w:t xml:space="preserve"> should lead to achievement of the overall objective, and provides metrics to assess progress in the Design and Monitoring Framework. That description posits a plausible relationship of activities to indicators, thence to outcomes, but does not offer a full</w:t>
      </w:r>
      <w:r w:rsidR="00C56503" w:rsidRPr="009500F4">
        <w:rPr>
          <w:rFonts w:eastAsia="Calibri" w:cs="Arial"/>
          <w:szCs w:val="22"/>
          <w:lang w:eastAsia="en-US"/>
        </w:rPr>
        <w:t xml:space="preserve">y </w:t>
      </w:r>
      <w:r w:rsidRPr="009500F4">
        <w:rPr>
          <w:rFonts w:eastAsia="Calibri" w:cs="Arial"/>
          <w:szCs w:val="22"/>
          <w:lang w:eastAsia="en-US"/>
        </w:rPr>
        <w:t xml:space="preserve">fledged “Logframe” or “Theory of Change.” The discussion </w:t>
      </w:r>
      <w:r w:rsidR="00422F5E" w:rsidRPr="009500F4">
        <w:rPr>
          <w:rFonts w:eastAsia="Calibri" w:cs="Arial"/>
          <w:szCs w:val="22"/>
          <w:lang w:eastAsia="en-US"/>
        </w:rPr>
        <w:t xml:space="preserve">in this section </w:t>
      </w:r>
      <w:r w:rsidRPr="009500F4">
        <w:rPr>
          <w:rFonts w:eastAsia="Calibri" w:cs="Arial"/>
          <w:szCs w:val="22"/>
          <w:lang w:eastAsia="en-US"/>
        </w:rPr>
        <w:t>will take the PSDI M&amp;E metrics into account, but</w:t>
      </w:r>
      <w:r w:rsidR="0080506F" w:rsidRPr="009500F4">
        <w:rPr>
          <w:rFonts w:eastAsia="Calibri" w:cs="Arial"/>
          <w:szCs w:val="22"/>
          <w:lang w:eastAsia="en-US"/>
        </w:rPr>
        <w:t xml:space="preserve"> will not rely heavily on them.</w:t>
      </w:r>
    </w:p>
    <w:p w:rsidR="00FB3CC9" w:rsidRPr="009500F4" w:rsidRDefault="00FB3CC9" w:rsidP="00CA4CD7">
      <w:pPr>
        <w:rPr>
          <w:rFonts w:cstheme="minorHAnsi"/>
        </w:rPr>
      </w:pPr>
    </w:p>
    <w:p w:rsidR="00CA4CD7" w:rsidRPr="009500F4" w:rsidRDefault="00CA4CD7" w:rsidP="005A4895">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Here, the focus is on </w:t>
      </w:r>
      <w:r w:rsidR="009248D3" w:rsidRPr="009500F4">
        <w:rPr>
          <w:rFonts w:eastAsia="Calibri" w:cs="Arial"/>
          <w:szCs w:val="22"/>
          <w:lang w:eastAsia="en-US"/>
        </w:rPr>
        <w:t>the</w:t>
      </w:r>
      <w:r w:rsidRPr="009500F4">
        <w:rPr>
          <w:rFonts w:eastAsia="Calibri" w:cs="Arial"/>
          <w:szCs w:val="22"/>
          <w:lang w:eastAsia="en-US"/>
        </w:rPr>
        <w:t xml:space="preserve"> substantive performance</w:t>
      </w:r>
      <w:r w:rsidR="009248D3" w:rsidRPr="009500F4">
        <w:rPr>
          <w:rFonts w:eastAsia="Calibri" w:cs="Arial"/>
          <w:szCs w:val="22"/>
          <w:lang w:eastAsia="en-US"/>
        </w:rPr>
        <w:t xml:space="preserve"> of PSDI III</w:t>
      </w:r>
      <w:r w:rsidRPr="009500F4">
        <w:rPr>
          <w:rFonts w:eastAsia="Calibri" w:cs="Arial"/>
          <w:szCs w:val="22"/>
          <w:lang w:eastAsia="en-US"/>
        </w:rPr>
        <w:t xml:space="preserve"> according to OECD-DAC criteria, in particular</w:t>
      </w:r>
      <w:r w:rsidR="00C56503" w:rsidRPr="009500F4">
        <w:rPr>
          <w:rFonts w:eastAsia="Calibri" w:cs="Arial"/>
          <w:szCs w:val="22"/>
          <w:lang w:eastAsia="en-US"/>
        </w:rPr>
        <w:t>,</w:t>
      </w:r>
      <w:r w:rsidRPr="009500F4">
        <w:rPr>
          <w:rFonts w:eastAsia="Calibri" w:cs="Arial"/>
          <w:szCs w:val="22"/>
          <w:lang w:eastAsia="en-US"/>
        </w:rPr>
        <w:t xml:space="preserve"> effectiveness, relevance, and sustainability.</w:t>
      </w:r>
      <w:r w:rsidRPr="009500F4">
        <w:rPr>
          <w:rFonts w:eastAsia="Calibri" w:cs="Arial"/>
          <w:szCs w:val="22"/>
          <w:vertAlign w:val="superscript"/>
          <w:lang w:eastAsia="en-US"/>
        </w:rPr>
        <w:footnoteReference w:id="11"/>
      </w:r>
    </w:p>
    <w:p w:rsidR="00205AD1" w:rsidRPr="009500F4" w:rsidRDefault="00205AD1" w:rsidP="00205AD1">
      <w:pPr>
        <w:tabs>
          <w:tab w:val="left" w:pos="567"/>
        </w:tabs>
        <w:rPr>
          <w:rFonts w:eastAsia="Calibri" w:cs="Arial"/>
          <w:szCs w:val="22"/>
          <w:lang w:eastAsia="en-US"/>
        </w:rPr>
      </w:pPr>
    </w:p>
    <w:p w:rsidR="00CA4CD7" w:rsidRPr="009500F4" w:rsidRDefault="008C7B5E" w:rsidP="00170139">
      <w:pPr>
        <w:keepNext/>
        <w:spacing w:after="160"/>
        <w:outlineLvl w:val="1"/>
        <w:rPr>
          <w:rFonts w:eastAsia="Times New Roman" w:cs="Arial"/>
          <w:b/>
          <w:bCs/>
          <w:iCs/>
          <w:sz w:val="24"/>
          <w:lang w:eastAsia="en-US"/>
        </w:rPr>
      </w:pPr>
      <w:bookmarkStart w:id="115" w:name="_Toc494271710"/>
      <w:bookmarkStart w:id="116" w:name="_Toc494367936"/>
      <w:bookmarkStart w:id="117" w:name="_Toc494378780"/>
      <w:bookmarkStart w:id="118" w:name="_Toc494378862"/>
      <w:r w:rsidRPr="009500F4">
        <w:rPr>
          <w:rFonts w:eastAsia="Times New Roman" w:cs="Arial"/>
          <w:b/>
          <w:bCs/>
          <w:iCs/>
          <w:sz w:val="24"/>
          <w:lang w:eastAsia="en-US"/>
        </w:rPr>
        <w:t>A.</w:t>
      </w:r>
      <w:r w:rsidRPr="009500F4">
        <w:rPr>
          <w:rFonts w:eastAsia="Times New Roman" w:cs="Arial"/>
          <w:b/>
          <w:bCs/>
          <w:iCs/>
          <w:sz w:val="24"/>
          <w:lang w:eastAsia="en-US"/>
        </w:rPr>
        <w:tab/>
      </w:r>
      <w:r w:rsidR="00205AD1" w:rsidRPr="009500F4">
        <w:rPr>
          <w:rFonts w:eastAsia="Times New Roman" w:cs="Arial"/>
          <w:b/>
          <w:bCs/>
          <w:iCs/>
          <w:sz w:val="24"/>
          <w:lang w:eastAsia="en-US"/>
        </w:rPr>
        <w:t>Effectiveness</w:t>
      </w:r>
      <w:bookmarkEnd w:id="115"/>
      <w:bookmarkEnd w:id="116"/>
      <w:bookmarkEnd w:id="117"/>
      <w:bookmarkEnd w:id="118"/>
    </w:p>
    <w:p w:rsidR="00CA4CD7" w:rsidRPr="009500F4" w:rsidRDefault="00CA4CD7" w:rsidP="005A4895">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Has </w:t>
      </w:r>
      <w:r w:rsidR="001D3BFE" w:rsidRPr="009500F4">
        <w:rPr>
          <w:rFonts w:eastAsia="Calibri" w:cs="Arial"/>
          <w:szCs w:val="22"/>
          <w:lang w:eastAsia="en-US"/>
        </w:rPr>
        <w:t>PSDI</w:t>
      </w:r>
      <w:r w:rsidR="00394C12" w:rsidRPr="009500F4">
        <w:rPr>
          <w:rFonts w:eastAsia="Calibri" w:cs="Arial"/>
          <w:szCs w:val="22"/>
          <w:lang w:eastAsia="en-US"/>
        </w:rPr>
        <w:t xml:space="preserve"> III</w:t>
      </w:r>
      <w:r w:rsidRPr="009500F4">
        <w:rPr>
          <w:rFonts w:eastAsia="Calibri" w:cs="Arial"/>
          <w:szCs w:val="22"/>
          <w:lang w:eastAsia="en-US"/>
        </w:rPr>
        <w:t xml:space="preserve"> achieved its expected outcomes? Has it maximized the impact of its efforts? A project’s productivity arises from such factors as sound analysis, expertise, consultation and coordination, careful targeting of resources, evaluation</w:t>
      </w:r>
      <w:r w:rsidR="001D3BFE" w:rsidRPr="009500F4">
        <w:rPr>
          <w:rFonts w:eastAsia="Calibri" w:cs="Arial"/>
          <w:szCs w:val="22"/>
          <w:lang w:eastAsia="en-US"/>
        </w:rPr>
        <w:t>,</w:t>
      </w:r>
      <w:r w:rsidRPr="009500F4">
        <w:rPr>
          <w:rFonts w:eastAsia="Calibri" w:cs="Arial"/>
          <w:szCs w:val="22"/>
          <w:lang w:eastAsia="en-US"/>
        </w:rPr>
        <w:t xml:space="preserve"> and learning. PSDI assesses the results of its work by means of both numerical targets an</w:t>
      </w:r>
      <w:r w:rsidR="00205AD1" w:rsidRPr="009500F4">
        <w:rPr>
          <w:rFonts w:eastAsia="Calibri" w:cs="Arial"/>
          <w:szCs w:val="22"/>
          <w:lang w:eastAsia="en-US"/>
        </w:rPr>
        <w:t>d qualitative progress reports.</w:t>
      </w:r>
    </w:p>
    <w:p w:rsidR="00205AD1" w:rsidRPr="009500F4" w:rsidRDefault="00205AD1" w:rsidP="00205AD1">
      <w:pPr>
        <w:tabs>
          <w:tab w:val="left" w:pos="567"/>
        </w:tabs>
        <w:rPr>
          <w:rFonts w:eastAsia="Calibri" w:cs="Arial"/>
          <w:szCs w:val="22"/>
          <w:lang w:eastAsia="en-US"/>
        </w:rPr>
      </w:pPr>
    </w:p>
    <w:p w:rsidR="00CA4CD7" w:rsidRPr="009500F4" w:rsidRDefault="008C7B5E" w:rsidP="00170139">
      <w:pPr>
        <w:keepNext/>
        <w:spacing w:after="160"/>
        <w:ind w:left="1080"/>
        <w:outlineLvl w:val="1"/>
        <w:rPr>
          <w:rFonts w:eastAsia="Times New Roman" w:cs="Arial"/>
          <w:b/>
          <w:bCs/>
          <w:iCs/>
          <w:szCs w:val="22"/>
          <w:lang w:eastAsia="en-US"/>
        </w:rPr>
      </w:pPr>
      <w:bookmarkStart w:id="119" w:name="_Toc494271711"/>
      <w:bookmarkStart w:id="120" w:name="_Toc494367937"/>
      <w:bookmarkStart w:id="121" w:name="_Toc494378781"/>
      <w:bookmarkStart w:id="122" w:name="_Toc494378863"/>
      <w:r w:rsidRPr="009500F4">
        <w:rPr>
          <w:rFonts w:eastAsia="Times New Roman" w:cs="Arial"/>
          <w:b/>
          <w:bCs/>
          <w:iCs/>
          <w:szCs w:val="22"/>
          <w:lang w:eastAsia="en-US"/>
        </w:rPr>
        <w:t>1.</w:t>
      </w:r>
      <w:r w:rsidR="00386F3B" w:rsidRPr="009500F4">
        <w:rPr>
          <w:rFonts w:eastAsia="Times New Roman" w:cs="Arial"/>
          <w:b/>
          <w:bCs/>
          <w:iCs/>
          <w:szCs w:val="22"/>
          <w:lang w:eastAsia="en-US"/>
        </w:rPr>
        <w:tab/>
      </w:r>
      <w:r w:rsidR="00CA4CD7" w:rsidRPr="009500F4">
        <w:rPr>
          <w:rFonts w:eastAsia="Times New Roman" w:cs="Arial"/>
          <w:b/>
          <w:bCs/>
          <w:iCs/>
          <w:szCs w:val="22"/>
          <w:lang w:eastAsia="en-US"/>
        </w:rPr>
        <w:t>Financing Growth</w:t>
      </w:r>
      <w:bookmarkEnd w:id="119"/>
      <w:bookmarkEnd w:id="120"/>
      <w:bookmarkEnd w:id="121"/>
      <w:bookmarkEnd w:id="122"/>
    </w:p>
    <w:p w:rsidR="00CA4CD7" w:rsidRPr="009500F4" w:rsidRDefault="00CA4CD7" w:rsidP="005A4895">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PSDI’s overall goal for this component is to help ensure that “[b]usinesses and households in selected Pacific developing member countries have improved access to financial services.” Activities focus on </w:t>
      </w:r>
      <w:r w:rsidR="00F34704" w:rsidRPr="009500F4">
        <w:rPr>
          <w:rFonts w:eastAsia="Calibri" w:cs="Arial"/>
          <w:szCs w:val="22"/>
          <w:lang w:eastAsia="en-US"/>
        </w:rPr>
        <w:t xml:space="preserve">(i) </w:t>
      </w:r>
      <w:r w:rsidRPr="009500F4">
        <w:rPr>
          <w:rFonts w:eastAsia="Calibri" w:cs="Arial"/>
          <w:szCs w:val="22"/>
          <w:lang w:eastAsia="en-US"/>
        </w:rPr>
        <w:t xml:space="preserve">secured transactions reforms and advising on policies, laws, and regulations that are barriers to financial sector development; </w:t>
      </w:r>
      <w:r w:rsidR="00F34704" w:rsidRPr="009500F4">
        <w:rPr>
          <w:rFonts w:eastAsia="Calibri" w:cs="Arial"/>
          <w:szCs w:val="22"/>
          <w:lang w:eastAsia="en-US"/>
        </w:rPr>
        <w:t xml:space="preserve">(ii) </w:t>
      </w:r>
      <w:r w:rsidRPr="009500F4">
        <w:rPr>
          <w:rFonts w:eastAsia="Calibri" w:cs="Arial"/>
          <w:szCs w:val="22"/>
          <w:lang w:eastAsia="en-US"/>
        </w:rPr>
        <w:t xml:space="preserve">strengthening financial service providers and central banks through capacity building; and </w:t>
      </w:r>
      <w:r w:rsidR="00F34704" w:rsidRPr="009500F4">
        <w:rPr>
          <w:rFonts w:eastAsia="Calibri" w:cs="Arial"/>
          <w:szCs w:val="22"/>
          <w:lang w:eastAsia="en-US"/>
        </w:rPr>
        <w:t xml:space="preserve">(iii) </w:t>
      </w:r>
      <w:r w:rsidRPr="009500F4">
        <w:rPr>
          <w:rFonts w:eastAsia="Calibri" w:cs="Arial"/>
          <w:szCs w:val="22"/>
          <w:lang w:eastAsia="en-US"/>
        </w:rPr>
        <w:t>piloting of new financial products and delivery channels. PSDI reports such project-supported achievements as those listed in Table 1</w:t>
      </w:r>
      <w:r w:rsidR="005A4895" w:rsidRPr="009500F4">
        <w:rPr>
          <w:rFonts w:eastAsia="Calibri" w:cs="Arial"/>
          <w:szCs w:val="22"/>
          <w:lang w:eastAsia="en-US"/>
        </w:rPr>
        <w:t>.</w:t>
      </w:r>
    </w:p>
    <w:p w:rsidR="005A4895" w:rsidRPr="009500F4" w:rsidRDefault="005A4895" w:rsidP="00CA4CD7"/>
    <w:p w:rsidR="00CA4CD7" w:rsidRPr="009500F4" w:rsidRDefault="00CA4CD7" w:rsidP="005A4895">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w:t>
      </w:r>
      <w:r w:rsidR="00F8214A" w:rsidRPr="009500F4">
        <w:rPr>
          <w:rFonts w:eastAsia="Calibri" w:cs="Arial"/>
          <w:szCs w:val="22"/>
          <w:lang w:eastAsia="en-US"/>
        </w:rPr>
        <w:t>f</w:t>
      </w:r>
      <w:r w:rsidRPr="009500F4">
        <w:rPr>
          <w:rFonts w:eastAsia="Calibri" w:cs="Arial"/>
          <w:szCs w:val="22"/>
          <w:lang w:eastAsia="en-US"/>
        </w:rPr>
        <w:t xml:space="preserve">inancing </w:t>
      </w:r>
      <w:r w:rsidR="00F8214A" w:rsidRPr="009500F4">
        <w:rPr>
          <w:rFonts w:eastAsia="Calibri" w:cs="Arial"/>
          <w:szCs w:val="22"/>
          <w:lang w:eastAsia="en-US"/>
        </w:rPr>
        <w:t>g</w:t>
      </w:r>
      <w:r w:rsidRPr="009500F4">
        <w:rPr>
          <w:rFonts w:eastAsia="Calibri" w:cs="Arial"/>
          <w:szCs w:val="22"/>
          <w:lang w:eastAsia="en-US"/>
        </w:rPr>
        <w:t xml:space="preserve">rowth component has long emphasized the development of secured transactions frameworks that enable safe and efficient financing on the basis of collateral in moveable assets. This reform has proven critical to SME finance across much of the globe. In the Pacific DMCs, most borrowers cannot access real estate mortgages, and women in particular have little control over customary land. </w:t>
      </w:r>
      <w:r w:rsidR="00F34704" w:rsidRPr="009500F4">
        <w:rPr>
          <w:rFonts w:eastAsia="Calibri" w:cs="Arial"/>
          <w:szCs w:val="22"/>
          <w:lang w:eastAsia="en-US"/>
        </w:rPr>
        <w:t xml:space="preserve">Under the reformed legal frameworks, </w:t>
      </w:r>
      <w:r w:rsidRPr="009500F4">
        <w:rPr>
          <w:rFonts w:eastAsia="Calibri" w:cs="Arial"/>
          <w:szCs w:val="22"/>
          <w:lang w:eastAsia="en-US"/>
        </w:rPr>
        <w:t xml:space="preserve">PSDI’s work with lenders has concentrated on experiments </w:t>
      </w:r>
      <w:r w:rsidR="00F34704" w:rsidRPr="009500F4">
        <w:rPr>
          <w:rFonts w:eastAsia="Calibri" w:cs="Arial"/>
          <w:szCs w:val="22"/>
          <w:lang w:eastAsia="en-US"/>
        </w:rPr>
        <w:t xml:space="preserve">in </w:t>
      </w:r>
      <w:r w:rsidRPr="009500F4">
        <w:rPr>
          <w:rFonts w:eastAsia="Calibri" w:cs="Arial"/>
          <w:szCs w:val="22"/>
          <w:lang w:eastAsia="en-US"/>
        </w:rPr>
        <w:t xml:space="preserve">supply chain </w:t>
      </w:r>
      <w:r w:rsidR="00394C12" w:rsidRPr="009500F4">
        <w:rPr>
          <w:rFonts w:eastAsia="Calibri" w:cs="Arial"/>
          <w:szCs w:val="22"/>
          <w:lang w:eastAsia="en-US"/>
        </w:rPr>
        <w:t xml:space="preserve">financing </w:t>
      </w:r>
      <w:r w:rsidRPr="009500F4">
        <w:rPr>
          <w:rFonts w:eastAsia="Calibri" w:cs="Arial"/>
          <w:szCs w:val="22"/>
          <w:lang w:eastAsia="en-US"/>
        </w:rPr>
        <w:t>for agriculture (using crops as collateral) and road construction financing (using contractors’ accounts receivable as collateral). Under the value chain financing facility, for example, the Tonga Development Bank advances loans to proven vanilla growers so that they can increase their planting</w:t>
      </w:r>
      <w:r w:rsidR="00F34704" w:rsidRPr="009500F4">
        <w:rPr>
          <w:rFonts w:eastAsia="Calibri" w:cs="Arial"/>
          <w:szCs w:val="22"/>
          <w:lang w:eastAsia="en-US"/>
        </w:rPr>
        <w:t>s</w:t>
      </w:r>
      <w:r w:rsidRPr="009500F4">
        <w:rPr>
          <w:rFonts w:eastAsia="Calibri" w:cs="Arial"/>
          <w:szCs w:val="22"/>
          <w:lang w:eastAsia="en-US"/>
        </w:rPr>
        <w:t xml:space="preserve">. This credit is secured against an individual grower’s vanilla bean crop and contract with the buyer. This is an economic advance, since growers previously could obtain bank finance only by means </w:t>
      </w:r>
      <w:r w:rsidR="000C15E8">
        <w:rPr>
          <w:rFonts w:eastAsia="Calibri" w:cs="Arial"/>
          <w:szCs w:val="22"/>
          <w:lang w:eastAsia="en-US"/>
        </w:rPr>
        <w:t>of land mortgage in most cases.</w:t>
      </w:r>
    </w:p>
    <w:p w:rsidR="00CA4CD7" w:rsidRPr="009500F4" w:rsidRDefault="00CA4CD7" w:rsidP="00CA4CD7"/>
    <w:p w:rsidR="00E201D1" w:rsidRDefault="00E201D1">
      <w:pPr>
        <w:jc w:val="left"/>
      </w:pPr>
      <w:r>
        <w:br w:type="page"/>
      </w:r>
    </w:p>
    <w:p w:rsidR="007A5780" w:rsidRPr="00D6162F" w:rsidRDefault="00CA4CD7" w:rsidP="00170139">
      <w:pPr>
        <w:jc w:val="center"/>
        <w:rPr>
          <w:rFonts w:cstheme="minorHAnsi"/>
          <w:b/>
          <w:sz w:val="20"/>
          <w:szCs w:val="20"/>
        </w:rPr>
      </w:pPr>
      <w:r w:rsidRPr="00D6162F">
        <w:rPr>
          <w:rFonts w:cstheme="minorHAnsi"/>
          <w:b/>
          <w:sz w:val="20"/>
          <w:szCs w:val="20"/>
        </w:rPr>
        <w:lastRenderedPageBreak/>
        <w:t>Table 1</w:t>
      </w:r>
      <w:r w:rsidR="00323096" w:rsidRPr="00D6162F">
        <w:rPr>
          <w:rFonts w:cstheme="minorHAnsi"/>
          <w:b/>
          <w:sz w:val="20"/>
          <w:szCs w:val="20"/>
        </w:rPr>
        <w:t>:</w:t>
      </w:r>
      <w:r w:rsidRPr="00D6162F">
        <w:rPr>
          <w:rFonts w:cstheme="minorHAnsi"/>
          <w:b/>
          <w:sz w:val="20"/>
          <w:szCs w:val="20"/>
        </w:rPr>
        <w:t xml:space="preserve"> Financing Growth</w:t>
      </w:r>
      <w:r w:rsidR="00CA2AB0" w:rsidRPr="00D6162F">
        <w:rPr>
          <w:rFonts w:cstheme="minorHAnsi"/>
          <w:b/>
          <w:sz w:val="20"/>
          <w:szCs w:val="20"/>
        </w:rPr>
        <w:t xml:space="preserve"> – </w:t>
      </w:r>
      <w:r w:rsidRPr="00D6162F">
        <w:rPr>
          <w:rFonts w:cstheme="minorHAnsi"/>
          <w:b/>
          <w:sz w:val="20"/>
          <w:szCs w:val="20"/>
        </w:rPr>
        <w:t xml:space="preserve">Illustrative </w:t>
      </w:r>
      <w:r w:rsidR="00B662C0" w:rsidRPr="00D6162F">
        <w:rPr>
          <w:rFonts w:cstheme="minorHAnsi"/>
          <w:b/>
          <w:sz w:val="20"/>
          <w:szCs w:val="20"/>
        </w:rPr>
        <w:t>A</w:t>
      </w:r>
      <w:r w:rsidRPr="00D6162F">
        <w:rPr>
          <w:rFonts w:cstheme="minorHAnsi"/>
          <w:b/>
          <w:sz w:val="20"/>
          <w:szCs w:val="20"/>
        </w:rPr>
        <w:t xml:space="preserve">ctivities and </w:t>
      </w:r>
      <w:r w:rsidR="00B662C0" w:rsidRPr="00D6162F">
        <w:rPr>
          <w:rFonts w:cstheme="minorHAnsi"/>
          <w:b/>
          <w:sz w:val="20"/>
          <w:szCs w:val="20"/>
        </w:rPr>
        <w:t>R</w:t>
      </w:r>
      <w:r w:rsidRPr="00D6162F">
        <w:rPr>
          <w:rFonts w:cstheme="minorHAnsi"/>
          <w:b/>
          <w:sz w:val="20"/>
          <w:szCs w:val="20"/>
        </w:rPr>
        <w:t>esults</w:t>
      </w:r>
    </w:p>
    <w:p w:rsidR="00CA4CD7" w:rsidRPr="000C15E8" w:rsidRDefault="00CA4CD7" w:rsidP="00C930F2">
      <w:pPr>
        <w:rPr>
          <w:rFonts w:cstheme="minorHAnsi"/>
          <w:sz w:val="10"/>
          <w:szCs w:val="10"/>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360"/>
      </w:tblGrid>
      <w:tr w:rsidR="00813EB8" w:rsidRPr="009500F4" w:rsidTr="00170139">
        <w:tc>
          <w:tcPr>
            <w:tcW w:w="5000" w:type="pct"/>
            <w:shd w:val="clear" w:color="auto" w:fill="auto"/>
          </w:tcPr>
          <w:p w:rsidR="00CA4CD7" w:rsidRPr="009500F4" w:rsidRDefault="00CA4CD7" w:rsidP="00CA4CD7">
            <w:pPr>
              <w:rPr>
                <w:b/>
                <w:sz w:val="18"/>
                <w:szCs w:val="18"/>
              </w:rPr>
            </w:pPr>
            <w:r w:rsidRPr="009500F4">
              <w:rPr>
                <w:b/>
                <w:sz w:val="18"/>
                <w:szCs w:val="18"/>
              </w:rPr>
              <w:t>FY2016</w:t>
            </w:r>
          </w:p>
        </w:tc>
      </w:tr>
      <w:tr w:rsidR="00813EB8" w:rsidRPr="009500F4" w:rsidTr="00170139">
        <w:tc>
          <w:tcPr>
            <w:tcW w:w="5000" w:type="pct"/>
          </w:tcPr>
          <w:p w:rsidR="00CA4CD7" w:rsidRPr="009500F4" w:rsidRDefault="00CA4CD7" w:rsidP="00CA4CD7">
            <w:pPr>
              <w:numPr>
                <w:ilvl w:val="0"/>
                <w:numId w:val="36"/>
              </w:numPr>
              <w:spacing w:after="60"/>
              <w:jc w:val="left"/>
              <w:rPr>
                <w:sz w:val="18"/>
                <w:szCs w:val="18"/>
              </w:rPr>
            </w:pPr>
            <w:r w:rsidRPr="009500F4">
              <w:rPr>
                <w:sz w:val="18"/>
                <w:szCs w:val="18"/>
              </w:rPr>
              <w:t>Secured transactions implementation was launched in Samoa and Papua New Guinea.</w:t>
            </w:r>
          </w:p>
          <w:p w:rsidR="00CA4CD7" w:rsidRPr="009500F4" w:rsidRDefault="00CA4CD7" w:rsidP="00CA4CD7">
            <w:pPr>
              <w:numPr>
                <w:ilvl w:val="0"/>
                <w:numId w:val="36"/>
              </w:numPr>
              <w:spacing w:after="60"/>
              <w:jc w:val="left"/>
              <w:rPr>
                <w:sz w:val="18"/>
                <w:szCs w:val="18"/>
              </w:rPr>
            </w:pPr>
            <w:r w:rsidRPr="009500F4">
              <w:rPr>
                <w:sz w:val="18"/>
                <w:szCs w:val="18"/>
              </w:rPr>
              <w:t>Report on interconnectedness (risk concentration) in Papua New Guinea’s financial system accepted by the Bank of P</w:t>
            </w:r>
            <w:r w:rsidR="00323096" w:rsidRPr="009500F4">
              <w:rPr>
                <w:sz w:val="18"/>
                <w:szCs w:val="18"/>
              </w:rPr>
              <w:t xml:space="preserve">apua </w:t>
            </w:r>
            <w:r w:rsidRPr="009500F4">
              <w:rPr>
                <w:sz w:val="18"/>
                <w:szCs w:val="18"/>
              </w:rPr>
              <w:t>N</w:t>
            </w:r>
            <w:r w:rsidR="00323096" w:rsidRPr="009500F4">
              <w:rPr>
                <w:sz w:val="18"/>
                <w:szCs w:val="18"/>
              </w:rPr>
              <w:t xml:space="preserve">ew </w:t>
            </w:r>
            <w:r w:rsidRPr="009500F4">
              <w:rPr>
                <w:sz w:val="18"/>
                <w:szCs w:val="18"/>
              </w:rPr>
              <w:t>G</w:t>
            </w:r>
            <w:r w:rsidR="00F249C6" w:rsidRPr="009500F4">
              <w:rPr>
                <w:sz w:val="18"/>
                <w:szCs w:val="18"/>
              </w:rPr>
              <w:t>u</w:t>
            </w:r>
            <w:r w:rsidR="00323096" w:rsidRPr="009500F4">
              <w:rPr>
                <w:sz w:val="18"/>
                <w:szCs w:val="18"/>
              </w:rPr>
              <w:t>i</w:t>
            </w:r>
            <w:r w:rsidR="00F249C6" w:rsidRPr="009500F4">
              <w:rPr>
                <w:sz w:val="18"/>
                <w:szCs w:val="18"/>
              </w:rPr>
              <w:t>n</w:t>
            </w:r>
            <w:r w:rsidR="00323096" w:rsidRPr="009500F4">
              <w:rPr>
                <w:sz w:val="18"/>
                <w:szCs w:val="18"/>
              </w:rPr>
              <w:t>ea</w:t>
            </w:r>
            <w:r w:rsidRPr="009500F4">
              <w:rPr>
                <w:sz w:val="18"/>
                <w:szCs w:val="18"/>
              </w:rPr>
              <w:t>.</w:t>
            </w:r>
          </w:p>
          <w:p w:rsidR="00CA4CD7" w:rsidRPr="009500F4" w:rsidRDefault="00CA4CD7" w:rsidP="00CA4CD7">
            <w:pPr>
              <w:numPr>
                <w:ilvl w:val="0"/>
                <w:numId w:val="36"/>
              </w:numPr>
              <w:spacing w:after="60"/>
              <w:jc w:val="left"/>
              <w:rPr>
                <w:sz w:val="18"/>
                <w:szCs w:val="18"/>
              </w:rPr>
            </w:pPr>
            <w:r w:rsidRPr="009500F4">
              <w:rPr>
                <w:sz w:val="18"/>
                <w:szCs w:val="18"/>
              </w:rPr>
              <w:t>National risk assessment and national strategic plan for combating anti-money laundering and the financing of terrorism endorsed by Timor-Leste’s Council of Ministers.</w:t>
            </w:r>
          </w:p>
          <w:p w:rsidR="00CA4CD7" w:rsidRPr="009500F4" w:rsidRDefault="00CA4CD7" w:rsidP="00CA4CD7">
            <w:pPr>
              <w:numPr>
                <w:ilvl w:val="0"/>
                <w:numId w:val="36"/>
              </w:numPr>
              <w:spacing w:after="60"/>
              <w:jc w:val="left"/>
              <w:rPr>
                <w:sz w:val="18"/>
                <w:szCs w:val="18"/>
              </w:rPr>
            </w:pPr>
            <w:r w:rsidRPr="009500F4">
              <w:rPr>
                <w:sz w:val="18"/>
                <w:szCs w:val="18"/>
              </w:rPr>
              <w:t xml:space="preserve">Publication of </w:t>
            </w:r>
            <w:r w:rsidRPr="009500F4">
              <w:rPr>
                <w:i/>
                <w:sz w:val="18"/>
                <w:szCs w:val="18"/>
              </w:rPr>
              <w:t>Digital Financial Services in the Pacific</w:t>
            </w:r>
            <w:r w:rsidRPr="009500F4">
              <w:rPr>
                <w:sz w:val="18"/>
                <w:szCs w:val="18"/>
              </w:rPr>
              <w:t xml:space="preserve"> and production of study on </w:t>
            </w:r>
            <w:r w:rsidR="00394C12" w:rsidRPr="009500F4">
              <w:rPr>
                <w:sz w:val="18"/>
                <w:szCs w:val="18"/>
              </w:rPr>
              <w:t>c</w:t>
            </w:r>
            <w:r w:rsidRPr="009500F4">
              <w:rPr>
                <w:sz w:val="18"/>
                <w:szCs w:val="18"/>
              </w:rPr>
              <w:t xml:space="preserve">redit </w:t>
            </w:r>
            <w:r w:rsidR="00394C12" w:rsidRPr="009500F4">
              <w:rPr>
                <w:sz w:val="18"/>
                <w:szCs w:val="18"/>
              </w:rPr>
              <w:t>g</w:t>
            </w:r>
            <w:r w:rsidRPr="009500F4">
              <w:rPr>
                <w:sz w:val="18"/>
                <w:szCs w:val="18"/>
              </w:rPr>
              <w:t>uarantees</w:t>
            </w:r>
            <w:r w:rsidR="008A370C" w:rsidRPr="009500F4">
              <w:rPr>
                <w:sz w:val="18"/>
                <w:szCs w:val="18"/>
              </w:rPr>
              <w:t>.</w:t>
            </w:r>
          </w:p>
        </w:tc>
      </w:tr>
      <w:tr w:rsidR="00813EB8" w:rsidRPr="009500F4" w:rsidTr="00170139">
        <w:tc>
          <w:tcPr>
            <w:tcW w:w="5000" w:type="pct"/>
            <w:shd w:val="clear" w:color="auto" w:fill="auto"/>
          </w:tcPr>
          <w:p w:rsidR="00CA4CD7" w:rsidRPr="009500F4" w:rsidRDefault="00CA4CD7" w:rsidP="00CA4CD7">
            <w:pPr>
              <w:rPr>
                <w:b/>
                <w:sz w:val="18"/>
                <w:szCs w:val="18"/>
              </w:rPr>
            </w:pPr>
            <w:r w:rsidRPr="009500F4">
              <w:rPr>
                <w:b/>
                <w:sz w:val="18"/>
                <w:szCs w:val="18"/>
              </w:rPr>
              <w:t>FY2015</w:t>
            </w:r>
          </w:p>
        </w:tc>
      </w:tr>
      <w:tr w:rsidR="00813EB8" w:rsidRPr="009500F4" w:rsidTr="00170139">
        <w:tc>
          <w:tcPr>
            <w:tcW w:w="5000" w:type="pct"/>
          </w:tcPr>
          <w:p w:rsidR="00CA4CD7" w:rsidRPr="009500F4" w:rsidRDefault="00CA4CD7" w:rsidP="00CA4CD7">
            <w:pPr>
              <w:numPr>
                <w:ilvl w:val="0"/>
                <w:numId w:val="35"/>
              </w:numPr>
              <w:spacing w:after="60"/>
              <w:jc w:val="left"/>
              <w:rPr>
                <w:sz w:val="18"/>
                <w:szCs w:val="18"/>
              </w:rPr>
            </w:pPr>
            <w:r w:rsidRPr="009500F4">
              <w:rPr>
                <w:sz w:val="18"/>
                <w:szCs w:val="18"/>
              </w:rPr>
              <w:t>Completed: Nauru banking legislation; Solomon Islands credit union policy; Solomon Islands N</w:t>
            </w:r>
            <w:r w:rsidR="00323096" w:rsidRPr="009500F4">
              <w:rPr>
                <w:sz w:val="18"/>
                <w:szCs w:val="18"/>
              </w:rPr>
              <w:t xml:space="preserve">ational </w:t>
            </w:r>
            <w:r w:rsidRPr="009500F4">
              <w:rPr>
                <w:sz w:val="18"/>
                <w:szCs w:val="18"/>
              </w:rPr>
              <w:t>P</w:t>
            </w:r>
            <w:r w:rsidR="00323096" w:rsidRPr="009500F4">
              <w:rPr>
                <w:sz w:val="18"/>
                <w:szCs w:val="18"/>
              </w:rPr>
              <w:t xml:space="preserve">rovident </w:t>
            </w:r>
            <w:r w:rsidRPr="009500F4">
              <w:rPr>
                <w:sz w:val="18"/>
                <w:szCs w:val="18"/>
              </w:rPr>
              <w:t>F</w:t>
            </w:r>
            <w:r w:rsidR="00323096" w:rsidRPr="009500F4">
              <w:rPr>
                <w:sz w:val="18"/>
                <w:szCs w:val="18"/>
              </w:rPr>
              <w:t>und</w:t>
            </w:r>
            <w:r w:rsidRPr="009500F4">
              <w:rPr>
                <w:sz w:val="18"/>
                <w:szCs w:val="18"/>
              </w:rPr>
              <w:t xml:space="preserve"> Bill drafting instructions.</w:t>
            </w:r>
          </w:p>
          <w:p w:rsidR="00CA4CD7" w:rsidRPr="009500F4" w:rsidRDefault="00CA4CD7" w:rsidP="00CA4CD7">
            <w:pPr>
              <w:numPr>
                <w:ilvl w:val="0"/>
                <w:numId w:val="35"/>
              </w:numPr>
              <w:spacing w:after="60"/>
              <w:jc w:val="left"/>
              <w:rPr>
                <w:sz w:val="18"/>
                <w:szCs w:val="18"/>
              </w:rPr>
            </w:pPr>
            <w:r w:rsidRPr="009500F4">
              <w:rPr>
                <w:sz w:val="18"/>
                <w:szCs w:val="18"/>
              </w:rPr>
              <w:t>Initiated five pilot initiatives for new financial products or service delivery channels.</w:t>
            </w:r>
          </w:p>
          <w:p w:rsidR="00CA4CD7" w:rsidRPr="009500F4" w:rsidRDefault="00CA4CD7" w:rsidP="00CA4CD7">
            <w:pPr>
              <w:numPr>
                <w:ilvl w:val="0"/>
                <w:numId w:val="35"/>
              </w:numPr>
              <w:spacing w:after="60"/>
              <w:jc w:val="left"/>
              <w:rPr>
                <w:sz w:val="18"/>
                <w:szCs w:val="18"/>
              </w:rPr>
            </w:pPr>
            <w:r w:rsidRPr="009500F4">
              <w:rPr>
                <w:sz w:val="18"/>
                <w:szCs w:val="18"/>
              </w:rPr>
              <w:t>Completed: Vanilla supply chain lending finance facility with the Tonga Development Bank.</w:t>
            </w:r>
          </w:p>
        </w:tc>
      </w:tr>
    </w:tbl>
    <w:p w:rsidR="00394C12" w:rsidRPr="009500F4" w:rsidRDefault="00323096" w:rsidP="00394C12">
      <w:pPr>
        <w:widowControl w:val="0"/>
        <w:spacing w:line="246" w:lineRule="auto"/>
        <w:ind w:right="1197"/>
        <w:jc w:val="left"/>
        <w:rPr>
          <w:rFonts w:eastAsia="Ideal Sans Light" w:cs="Arial"/>
          <w:sz w:val="16"/>
          <w:szCs w:val="16"/>
          <w:lang w:val="en-AU" w:eastAsia="en-US"/>
        </w:rPr>
      </w:pPr>
      <w:r w:rsidRPr="009500F4">
        <w:rPr>
          <w:rFonts w:cs="Arial"/>
          <w:sz w:val="16"/>
          <w:szCs w:val="16"/>
        </w:rPr>
        <w:t>FY = fiscal year</w:t>
      </w:r>
      <w:r w:rsidR="00685572" w:rsidRPr="009500F4">
        <w:rPr>
          <w:rFonts w:cs="Arial"/>
          <w:sz w:val="16"/>
          <w:szCs w:val="16"/>
        </w:rPr>
        <w:t xml:space="preserve"> (</w:t>
      </w:r>
      <w:r w:rsidR="00394C12" w:rsidRPr="009500F4">
        <w:rPr>
          <w:rFonts w:eastAsia="Ideal Sans Light" w:cs="Arial"/>
          <w:sz w:val="16"/>
          <w:szCs w:val="16"/>
          <w:lang w:val="en-AU" w:eastAsia="en-US"/>
        </w:rPr>
        <w:t>FY before a calendar year denotes the year in which the fiscal year ends</w:t>
      </w:r>
      <w:r w:rsidR="00685572" w:rsidRPr="009500F4">
        <w:rPr>
          <w:rFonts w:eastAsia="Ideal Sans Light" w:cs="Arial"/>
          <w:sz w:val="16"/>
          <w:szCs w:val="16"/>
          <w:lang w:val="en-AU" w:eastAsia="en-US"/>
        </w:rPr>
        <w:t>)</w:t>
      </w:r>
      <w:r w:rsidR="00394C12" w:rsidRPr="009500F4">
        <w:rPr>
          <w:rFonts w:eastAsia="Ideal Sans Light" w:cs="Arial"/>
          <w:sz w:val="16"/>
          <w:szCs w:val="16"/>
          <w:lang w:val="en-AU" w:eastAsia="en-US"/>
        </w:rPr>
        <w:t>.</w:t>
      </w:r>
    </w:p>
    <w:p w:rsidR="00553DF3" w:rsidRPr="009500F4" w:rsidRDefault="00323096" w:rsidP="00CA4CD7">
      <w:pPr>
        <w:rPr>
          <w:sz w:val="18"/>
          <w:szCs w:val="18"/>
        </w:rPr>
      </w:pPr>
      <w:r w:rsidRPr="009500F4">
        <w:rPr>
          <w:rFonts w:cs="Arial"/>
          <w:sz w:val="16"/>
          <w:szCs w:val="16"/>
        </w:rPr>
        <w:t>Source: Private Sector Development Initiative annual progress reports.</w:t>
      </w:r>
    </w:p>
    <w:p w:rsidR="00553DF3" w:rsidRPr="009500F4" w:rsidRDefault="00553DF3" w:rsidP="00CA4CD7"/>
    <w:p w:rsidR="00CA4CD7" w:rsidRPr="009500F4" w:rsidRDefault="00CA4CD7" w:rsidP="005A4895">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In terms of objective metrics, the TA </w:t>
      </w:r>
      <w:r w:rsidR="002A6FC0" w:rsidRPr="009500F4">
        <w:rPr>
          <w:rFonts w:eastAsia="Calibri" w:cs="Arial"/>
          <w:szCs w:val="22"/>
          <w:lang w:eastAsia="en-US"/>
        </w:rPr>
        <w:t>p</w:t>
      </w:r>
      <w:r w:rsidRPr="009500F4">
        <w:rPr>
          <w:rFonts w:eastAsia="Calibri" w:cs="Arial"/>
          <w:szCs w:val="22"/>
          <w:lang w:eastAsia="en-US"/>
        </w:rPr>
        <w:t>aper</w:t>
      </w:r>
      <w:r w:rsidR="002A6FC0" w:rsidRPr="009500F4">
        <w:rPr>
          <w:rFonts w:eastAsia="Calibri" w:cs="Arial"/>
          <w:szCs w:val="22"/>
          <w:lang w:eastAsia="en-US"/>
        </w:rPr>
        <w:t xml:space="preserve"> from 2015</w:t>
      </w:r>
      <w:r w:rsidRPr="009500F4">
        <w:rPr>
          <w:rFonts w:eastAsia="Calibri" w:cs="Arial"/>
          <w:szCs w:val="22"/>
          <w:lang w:eastAsia="en-US"/>
        </w:rPr>
        <w:t xml:space="preserve"> sets forth indicators on secured transactions reform, financial sector strengthening, financial product innovation pilots, and related work with pension funds and securities regulators. Table 2 summarizes PSDI reporting on three key indicators. This shows that, as of mid-2016, targets in the first two areas covered in the table were either achieved or likely to be met by the end of PSDI III, while t</w:t>
      </w:r>
      <w:r w:rsidR="000C15E8">
        <w:rPr>
          <w:rFonts w:eastAsia="Calibri" w:cs="Arial"/>
          <w:szCs w:val="22"/>
          <w:lang w:eastAsia="en-US"/>
        </w:rPr>
        <w:t>he last was unlikely to be met.</w:t>
      </w:r>
    </w:p>
    <w:p w:rsidR="00CA4CD7" w:rsidRPr="009500F4" w:rsidRDefault="00CA4CD7" w:rsidP="00C951B3"/>
    <w:p w:rsidR="007A5780" w:rsidRPr="00D6162F" w:rsidRDefault="00CA4CD7" w:rsidP="00170139">
      <w:pPr>
        <w:jc w:val="center"/>
        <w:rPr>
          <w:bCs/>
          <w:sz w:val="20"/>
          <w:szCs w:val="20"/>
        </w:rPr>
      </w:pPr>
      <w:r w:rsidRPr="00D6162F">
        <w:rPr>
          <w:b/>
          <w:bCs/>
          <w:sz w:val="20"/>
          <w:szCs w:val="20"/>
        </w:rPr>
        <w:t>Table 2</w:t>
      </w:r>
      <w:r w:rsidR="00CA2AB0" w:rsidRPr="00D6162F">
        <w:rPr>
          <w:b/>
          <w:bCs/>
          <w:sz w:val="20"/>
          <w:szCs w:val="20"/>
        </w:rPr>
        <w:t xml:space="preserve">: </w:t>
      </w:r>
      <w:r w:rsidRPr="00D6162F">
        <w:rPr>
          <w:b/>
          <w:bCs/>
          <w:sz w:val="20"/>
          <w:szCs w:val="20"/>
        </w:rPr>
        <w:t>Financing Growth</w:t>
      </w:r>
      <w:r w:rsidR="00CA2AB0" w:rsidRPr="00D6162F">
        <w:rPr>
          <w:b/>
          <w:bCs/>
          <w:sz w:val="20"/>
          <w:szCs w:val="20"/>
        </w:rPr>
        <w:t xml:space="preserve"> – </w:t>
      </w:r>
      <w:r w:rsidRPr="00D6162F">
        <w:rPr>
          <w:b/>
          <w:bCs/>
          <w:sz w:val="20"/>
          <w:szCs w:val="20"/>
        </w:rPr>
        <w:t xml:space="preserve">Outcomes by </w:t>
      </w:r>
      <w:r w:rsidR="00B662C0" w:rsidRPr="00D6162F">
        <w:rPr>
          <w:b/>
          <w:bCs/>
          <w:sz w:val="20"/>
          <w:szCs w:val="20"/>
        </w:rPr>
        <w:t>K</w:t>
      </w:r>
      <w:r w:rsidRPr="00D6162F">
        <w:rPr>
          <w:b/>
          <w:bCs/>
          <w:sz w:val="20"/>
          <w:szCs w:val="20"/>
        </w:rPr>
        <w:t xml:space="preserve">ey </w:t>
      </w:r>
      <w:r w:rsidR="00B662C0" w:rsidRPr="00D6162F">
        <w:rPr>
          <w:b/>
          <w:bCs/>
          <w:sz w:val="20"/>
          <w:szCs w:val="20"/>
        </w:rPr>
        <w:t>I</w:t>
      </w:r>
      <w:r w:rsidRPr="00D6162F">
        <w:rPr>
          <w:b/>
          <w:bCs/>
          <w:sz w:val="20"/>
          <w:szCs w:val="20"/>
        </w:rPr>
        <w:t>ndicators</w:t>
      </w:r>
    </w:p>
    <w:p w:rsidR="00CA4CD7" w:rsidRPr="000C15E8" w:rsidRDefault="00CA4CD7" w:rsidP="00C930F2">
      <w:pPr>
        <w:rPr>
          <w:sz w:val="10"/>
          <w:szCs w:val="10"/>
        </w:rPr>
      </w:pPr>
    </w:p>
    <w:tbl>
      <w:tblPr>
        <w:tblStyle w:val="TableGrid"/>
        <w:tblW w:w="9355" w:type="dxa"/>
        <w:tblBorders>
          <w:left w:val="none" w:sz="0" w:space="0" w:color="auto"/>
          <w:right w:val="none" w:sz="0" w:space="0" w:color="auto"/>
        </w:tblBorders>
        <w:tblLayout w:type="fixed"/>
        <w:tblLook w:val="04A0" w:firstRow="1" w:lastRow="0" w:firstColumn="1" w:lastColumn="0" w:noHBand="0" w:noVBand="1"/>
      </w:tblPr>
      <w:tblGrid>
        <w:gridCol w:w="2338"/>
        <w:gridCol w:w="2339"/>
        <w:gridCol w:w="2339"/>
        <w:gridCol w:w="2339"/>
      </w:tblGrid>
      <w:tr w:rsidR="00F90B13" w:rsidRPr="009500F4" w:rsidTr="00170139">
        <w:trPr>
          <w:trHeight w:val="323"/>
        </w:trPr>
        <w:tc>
          <w:tcPr>
            <w:tcW w:w="2338" w:type="dxa"/>
            <w:tcBorders>
              <w:right w:val="nil"/>
            </w:tcBorders>
            <w:shd w:val="clear" w:color="auto" w:fill="auto"/>
            <w:noWrap/>
            <w:hideMark/>
          </w:tcPr>
          <w:p w:rsidR="00F90B13" w:rsidRPr="009500F4" w:rsidRDefault="00F90B13" w:rsidP="00F90B13">
            <w:pPr>
              <w:jc w:val="left"/>
              <w:rPr>
                <w:b/>
                <w:bCs/>
                <w:sz w:val="18"/>
                <w:szCs w:val="18"/>
              </w:rPr>
            </w:pPr>
            <w:r w:rsidRPr="009500F4">
              <w:rPr>
                <w:b/>
                <w:bCs/>
                <w:sz w:val="18"/>
                <w:szCs w:val="18"/>
              </w:rPr>
              <w:t>Key Indicators</w:t>
            </w:r>
          </w:p>
        </w:tc>
        <w:tc>
          <w:tcPr>
            <w:tcW w:w="2339" w:type="dxa"/>
            <w:tcBorders>
              <w:left w:val="nil"/>
              <w:right w:val="nil"/>
            </w:tcBorders>
            <w:shd w:val="clear" w:color="auto" w:fill="auto"/>
            <w:noWrap/>
            <w:hideMark/>
          </w:tcPr>
          <w:p w:rsidR="00F90B13" w:rsidRPr="009500F4" w:rsidRDefault="00F90B13" w:rsidP="00170139">
            <w:pPr>
              <w:jc w:val="center"/>
              <w:rPr>
                <w:b/>
                <w:bCs/>
                <w:sz w:val="18"/>
                <w:szCs w:val="18"/>
              </w:rPr>
            </w:pPr>
            <w:r w:rsidRPr="009500F4">
              <w:rPr>
                <w:b/>
                <w:bCs/>
                <w:sz w:val="18"/>
                <w:szCs w:val="18"/>
              </w:rPr>
              <w:t>FY2015 Results</w:t>
            </w:r>
          </w:p>
        </w:tc>
        <w:tc>
          <w:tcPr>
            <w:tcW w:w="2339" w:type="dxa"/>
            <w:tcBorders>
              <w:left w:val="nil"/>
              <w:right w:val="nil"/>
            </w:tcBorders>
            <w:shd w:val="clear" w:color="auto" w:fill="auto"/>
            <w:noWrap/>
            <w:hideMark/>
          </w:tcPr>
          <w:p w:rsidR="00F90B13" w:rsidRPr="009500F4" w:rsidRDefault="00F90B13" w:rsidP="00170139">
            <w:pPr>
              <w:jc w:val="center"/>
              <w:rPr>
                <w:b/>
                <w:bCs/>
                <w:sz w:val="18"/>
                <w:szCs w:val="18"/>
              </w:rPr>
            </w:pPr>
            <w:r w:rsidRPr="009500F4">
              <w:rPr>
                <w:b/>
                <w:bCs/>
                <w:sz w:val="18"/>
                <w:szCs w:val="18"/>
              </w:rPr>
              <w:t>FY2016 Results</w:t>
            </w:r>
          </w:p>
        </w:tc>
        <w:tc>
          <w:tcPr>
            <w:tcW w:w="2339" w:type="dxa"/>
            <w:tcBorders>
              <w:left w:val="nil"/>
            </w:tcBorders>
            <w:shd w:val="clear" w:color="auto" w:fill="auto"/>
          </w:tcPr>
          <w:p w:rsidR="00F90B13" w:rsidRPr="009500F4" w:rsidRDefault="0042365A" w:rsidP="00170139">
            <w:pPr>
              <w:jc w:val="center"/>
              <w:rPr>
                <w:b/>
                <w:bCs/>
                <w:sz w:val="18"/>
                <w:szCs w:val="18"/>
              </w:rPr>
            </w:pPr>
            <w:r w:rsidRPr="009500F4">
              <w:rPr>
                <w:b/>
                <w:bCs/>
                <w:sz w:val="18"/>
                <w:szCs w:val="18"/>
              </w:rPr>
              <w:t>FY2017 Results</w:t>
            </w:r>
          </w:p>
        </w:tc>
      </w:tr>
      <w:tr w:rsidR="00F90B13" w:rsidRPr="009500F4" w:rsidTr="00170139">
        <w:trPr>
          <w:trHeight w:val="1790"/>
        </w:trPr>
        <w:tc>
          <w:tcPr>
            <w:tcW w:w="2338" w:type="dxa"/>
            <w:tcBorders>
              <w:right w:val="nil"/>
            </w:tcBorders>
            <w:hideMark/>
          </w:tcPr>
          <w:p w:rsidR="00F90B13" w:rsidRPr="009500F4" w:rsidRDefault="00F90B13" w:rsidP="00F90B13">
            <w:pPr>
              <w:jc w:val="left"/>
              <w:rPr>
                <w:sz w:val="18"/>
                <w:szCs w:val="18"/>
              </w:rPr>
            </w:pPr>
            <w:r w:rsidRPr="009500F4">
              <w:rPr>
                <w:sz w:val="18"/>
                <w:szCs w:val="18"/>
              </w:rPr>
              <w:t xml:space="preserve">Number of secured loans by financial institutions increases by 30% over 4 years and percentage of secured loans rises by 10 points in at least </w:t>
            </w:r>
            <w:r w:rsidR="00685572" w:rsidRPr="009500F4">
              <w:rPr>
                <w:sz w:val="18"/>
                <w:szCs w:val="18"/>
              </w:rPr>
              <w:t xml:space="preserve">4 </w:t>
            </w:r>
            <w:r w:rsidRPr="009500F4">
              <w:rPr>
                <w:sz w:val="18"/>
                <w:szCs w:val="18"/>
              </w:rPr>
              <w:t>countries</w:t>
            </w:r>
          </w:p>
        </w:tc>
        <w:tc>
          <w:tcPr>
            <w:tcW w:w="2339" w:type="dxa"/>
            <w:tcBorders>
              <w:left w:val="nil"/>
              <w:right w:val="nil"/>
            </w:tcBorders>
            <w:hideMark/>
          </w:tcPr>
          <w:p w:rsidR="00F90B13" w:rsidRPr="009500F4" w:rsidRDefault="00F90B13" w:rsidP="00F90B13">
            <w:pPr>
              <w:jc w:val="left"/>
              <w:rPr>
                <w:sz w:val="18"/>
                <w:szCs w:val="18"/>
              </w:rPr>
            </w:pPr>
            <w:r w:rsidRPr="009500F4">
              <w:rPr>
                <w:sz w:val="18"/>
                <w:szCs w:val="18"/>
              </w:rPr>
              <w:t xml:space="preserve">Average increase of 175% in 6 countries (FSM, RMI, </w:t>
            </w:r>
            <w:r w:rsidR="00422F5E" w:rsidRPr="009500F4">
              <w:rPr>
                <w:sz w:val="18"/>
                <w:szCs w:val="18"/>
              </w:rPr>
              <w:t>Palau</w:t>
            </w:r>
            <w:r w:rsidRPr="009500F4">
              <w:rPr>
                <w:sz w:val="18"/>
                <w:szCs w:val="18"/>
              </w:rPr>
              <w:t xml:space="preserve">, </w:t>
            </w:r>
            <w:r w:rsidR="00685572" w:rsidRPr="009500F4">
              <w:rPr>
                <w:sz w:val="18"/>
                <w:szCs w:val="18"/>
              </w:rPr>
              <w:t>Solomon Islands</w:t>
            </w:r>
            <w:r w:rsidRPr="009500F4">
              <w:rPr>
                <w:sz w:val="18"/>
                <w:szCs w:val="18"/>
              </w:rPr>
              <w:t xml:space="preserve">, </w:t>
            </w:r>
            <w:r w:rsidR="00685572" w:rsidRPr="009500F4">
              <w:rPr>
                <w:sz w:val="18"/>
                <w:szCs w:val="18"/>
              </w:rPr>
              <w:t>Vanuatu</w:t>
            </w:r>
            <w:r w:rsidRPr="009500F4">
              <w:rPr>
                <w:sz w:val="18"/>
                <w:szCs w:val="18"/>
              </w:rPr>
              <w:t xml:space="preserve">, </w:t>
            </w:r>
            <w:r w:rsidR="00685572" w:rsidRPr="009500F4">
              <w:rPr>
                <w:sz w:val="18"/>
                <w:szCs w:val="18"/>
              </w:rPr>
              <w:t>Tonga</w:t>
            </w:r>
            <w:r w:rsidRPr="009500F4">
              <w:rPr>
                <w:sz w:val="18"/>
                <w:szCs w:val="18"/>
              </w:rPr>
              <w:t>) from 135% in 5 countries</w:t>
            </w:r>
            <w:r w:rsidR="00685572" w:rsidRPr="009500F4">
              <w:rPr>
                <w:sz w:val="18"/>
                <w:szCs w:val="18"/>
              </w:rPr>
              <w:t xml:space="preserve"> in the</w:t>
            </w:r>
            <w:r w:rsidRPr="009500F4">
              <w:rPr>
                <w:sz w:val="18"/>
                <w:szCs w:val="18"/>
              </w:rPr>
              <w:t xml:space="preserve"> previous year.</w:t>
            </w:r>
          </w:p>
          <w:p w:rsidR="00F90B13" w:rsidRPr="009500F4" w:rsidRDefault="00F90B13" w:rsidP="00F90B13">
            <w:pPr>
              <w:jc w:val="left"/>
              <w:rPr>
                <w:sz w:val="18"/>
                <w:szCs w:val="18"/>
              </w:rPr>
            </w:pPr>
          </w:p>
        </w:tc>
        <w:tc>
          <w:tcPr>
            <w:tcW w:w="2339" w:type="dxa"/>
            <w:tcBorders>
              <w:left w:val="nil"/>
              <w:right w:val="nil"/>
            </w:tcBorders>
            <w:hideMark/>
          </w:tcPr>
          <w:p w:rsidR="00F90B13" w:rsidRPr="009500F4" w:rsidRDefault="00F90B13" w:rsidP="00F90B13">
            <w:pPr>
              <w:jc w:val="left"/>
              <w:rPr>
                <w:sz w:val="18"/>
                <w:szCs w:val="18"/>
              </w:rPr>
            </w:pPr>
            <w:r w:rsidRPr="009500F4">
              <w:rPr>
                <w:sz w:val="18"/>
                <w:szCs w:val="18"/>
              </w:rPr>
              <w:t xml:space="preserve">Average increase of 179% in 6 countries from 175% </w:t>
            </w:r>
            <w:r w:rsidR="00685572" w:rsidRPr="009500F4">
              <w:rPr>
                <w:sz w:val="18"/>
                <w:szCs w:val="18"/>
              </w:rPr>
              <w:t>in the previous year</w:t>
            </w:r>
            <w:r w:rsidRPr="009500F4">
              <w:rPr>
                <w:sz w:val="18"/>
                <w:szCs w:val="18"/>
              </w:rPr>
              <w:t>.</w:t>
            </w:r>
          </w:p>
          <w:p w:rsidR="00CA2AB0" w:rsidRPr="009500F4" w:rsidRDefault="00CA2AB0" w:rsidP="00F90B13">
            <w:pPr>
              <w:jc w:val="left"/>
              <w:rPr>
                <w:sz w:val="18"/>
                <w:szCs w:val="18"/>
              </w:rPr>
            </w:pPr>
          </w:p>
          <w:p w:rsidR="00F90B13" w:rsidRPr="009500F4" w:rsidRDefault="00F90B13" w:rsidP="00F90B13">
            <w:pPr>
              <w:jc w:val="left"/>
              <w:rPr>
                <w:sz w:val="18"/>
                <w:szCs w:val="18"/>
              </w:rPr>
            </w:pPr>
            <w:r w:rsidRPr="009500F4">
              <w:rPr>
                <w:sz w:val="18"/>
                <w:szCs w:val="18"/>
              </w:rPr>
              <w:t xml:space="preserve">Secured transactions launched in </w:t>
            </w:r>
            <w:r w:rsidR="00685572" w:rsidRPr="009500F4">
              <w:rPr>
                <w:sz w:val="18"/>
                <w:szCs w:val="18"/>
              </w:rPr>
              <w:t xml:space="preserve">Samoa </w:t>
            </w:r>
            <w:r w:rsidRPr="009500F4">
              <w:rPr>
                <w:sz w:val="18"/>
                <w:szCs w:val="18"/>
              </w:rPr>
              <w:t>&amp; PNG; information to lenders and borrowers on the reform extended to 3 more countries (</w:t>
            </w:r>
            <w:r w:rsidR="00685572" w:rsidRPr="009500F4">
              <w:rPr>
                <w:sz w:val="18"/>
                <w:szCs w:val="18"/>
              </w:rPr>
              <w:t>Fiji</w:t>
            </w:r>
            <w:r w:rsidRPr="009500F4">
              <w:rPr>
                <w:sz w:val="18"/>
                <w:szCs w:val="18"/>
              </w:rPr>
              <w:t xml:space="preserve">, PNG, </w:t>
            </w:r>
            <w:r w:rsidR="00685572" w:rsidRPr="009500F4">
              <w:rPr>
                <w:sz w:val="18"/>
                <w:szCs w:val="18"/>
              </w:rPr>
              <w:t>Tonga</w:t>
            </w:r>
            <w:r w:rsidRPr="009500F4">
              <w:rPr>
                <w:sz w:val="18"/>
                <w:szCs w:val="18"/>
              </w:rPr>
              <w:t>)</w:t>
            </w:r>
          </w:p>
        </w:tc>
        <w:tc>
          <w:tcPr>
            <w:tcW w:w="2339" w:type="dxa"/>
            <w:tcBorders>
              <w:left w:val="nil"/>
            </w:tcBorders>
          </w:tcPr>
          <w:p w:rsidR="00CC48D2" w:rsidRDefault="00CC48D2" w:rsidP="00F90B13">
            <w:pPr>
              <w:jc w:val="left"/>
              <w:rPr>
                <w:sz w:val="18"/>
                <w:szCs w:val="18"/>
              </w:rPr>
            </w:pPr>
            <w:r w:rsidRPr="00CC48D2">
              <w:rPr>
                <w:sz w:val="18"/>
                <w:szCs w:val="18"/>
              </w:rPr>
              <w:t xml:space="preserve">Average increase of 191% in 7 countries from </w:t>
            </w:r>
            <w:r>
              <w:rPr>
                <w:sz w:val="18"/>
                <w:szCs w:val="18"/>
              </w:rPr>
              <w:t>175% (and 6 countries) last year.</w:t>
            </w:r>
          </w:p>
          <w:p w:rsidR="00CC48D2" w:rsidRDefault="00CC48D2" w:rsidP="00F90B13">
            <w:pPr>
              <w:jc w:val="left"/>
              <w:rPr>
                <w:sz w:val="18"/>
                <w:szCs w:val="18"/>
              </w:rPr>
            </w:pPr>
          </w:p>
          <w:p w:rsidR="00F90B13" w:rsidRPr="009500F4" w:rsidRDefault="00CC48D2" w:rsidP="00F90B13">
            <w:pPr>
              <w:jc w:val="left"/>
              <w:rPr>
                <w:sz w:val="18"/>
                <w:szCs w:val="18"/>
              </w:rPr>
            </w:pPr>
            <w:r w:rsidRPr="00CC48D2">
              <w:rPr>
                <w:sz w:val="18"/>
                <w:szCs w:val="18"/>
              </w:rPr>
              <w:t>Gender disaggregated data collected in 7 countries.</w:t>
            </w:r>
          </w:p>
        </w:tc>
      </w:tr>
      <w:tr w:rsidR="00F90B13" w:rsidRPr="009500F4" w:rsidTr="00170139">
        <w:trPr>
          <w:trHeight w:val="980"/>
        </w:trPr>
        <w:tc>
          <w:tcPr>
            <w:tcW w:w="2338" w:type="dxa"/>
            <w:tcBorders>
              <w:right w:val="nil"/>
            </w:tcBorders>
            <w:hideMark/>
          </w:tcPr>
          <w:p w:rsidR="00F90B13" w:rsidRPr="009500F4" w:rsidRDefault="00F90B13" w:rsidP="00F90B13">
            <w:pPr>
              <w:jc w:val="left"/>
              <w:rPr>
                <w:sz w:val="18"/>
                <w:szCs w:val="18"/>
              </w:rPr>
            </w:pPr>
            <w:r w:rsidRPr="009500F4">
              <w:rPr>
                <w:sz w:val="18"/>
                <w:szCs w:val="18"/>
              </w:rPr>
              <w:t xml:space="preserve">Number of people with access to financial services (disaggregated by gender) through partner institutions rises by 30% in at least </w:t>
            </w:r>
            <w:r w:rsidR="00685572" w:rsidRPr="009500F4">
              <w:rPr>
                <w:sz w:val="18"/>
                <w:szCs w:val="18"/>
              </w:rPr>
              <w:t xml:space="preserve">4 </w:t>
            </w:r>
            <w:r w:rsidRPr="009500F4">
              <w:rPr>
                <w:sz w:val="18"/>
                <w:szCs w:val="18"/>
              </w:rPr>
              <w:t>countries</w:t>
            </w:r>
          </w:p>
        </w:tc>
        <w:tc>
          <w:tcPr>
            <w:tcW w:w="2339" w:type="dxa"/>
            <w:tcBorders>
              <w:left w:val="nil"/>
              <w:right w:val="nil"/>
            </w:tcBorders>
            <w:hideMark/>
          </w:tcPr>
          <w:p w:rsidR="00F90B13" w:rsidRPr="009500F4" w:rsidRDefault="00F90B13" w:rsidP="00F90B13">
            <w:pPr>
              <w:jc w:val="left"/>
              <w:rPr>
                <w:sz w:val="18"/>
                <w:szCs w:val="18"/>
              </w:rPr>
            </w:pPr>
            <w:r w:rsidRPr="009500F4">
              <w:rPr>
                <w:sz w:val="18"/>
                <w:szCs w:val="18"/>
              </w:rPr>
              <w:t>Number of MiCash users in PNG increased from 24,000 to 30,500 (Male: 30% increase; Female: 22% increase).</w:t>
            </w:r>
          </w:p>
          <w:p w:rsidR="00323096" w:rsidRPr="009500F4" w:rsidRDefault="00323096" w:rsidP="00F90B13">
            <w:pPr>
              <w:jc w:val="left"/>
              <w:rPr>
                <w:sz w:val="18"/>
                <w:szCs w:val="18"/>
              </w:rPr>
            </w:pPr>
          </w:p>
          <w:p w:rsidR="00F90B13" w:rsidRPr="009500F4" w:rsidRDefault="00F90B13" w:rsidP="00F90B13">
            <w:pPr>
              <w:jc w:val="left"/>
              <w:rPr>
                <w:sz w:val="18"/>
                <w:szCs w:val="18"/>
              </w:rPr>
            </w:pPr>
            <w:r w:rsidRPr="009500F4">
              <w:rPr>
                <w:sz w:val="18"/>
                <w:szCs w:val="18"/>
              </w:rPr>
              <w:t>BNCTL: number of borrowers only increased by 1.67% in 2014 compared to a 20% increase in 2013; depositors increased by 16% in 2014 from a 13% increase in 2013.</w:t>
            </w:r>
          </w:p>
        </w:tc>
        <w:tc>
          <w:tcPr>
            <w:tcW w:w="2339" w:type="dxa"/>
            <w:tcBorders>
              <w:left w:val="nil"/>
              <w:right w:val="nil"/>
            </w:tcBorders>
            <w:hideMark/>
          </w:tcPr>
          <w:p w:rsidR="00F90B13" w:rsidRPr="009500F4" w:rsidRDefault="00F90B13" w:rsidP="00F90B13">
            <w:pPr>
              <w:jc w:val="left"/>
              <w:rPr>
                <w:sz w:val="18"/>
                <w:szCs w:val="18"/>
              </w:rPr>
            </w:pPr>
            <w:r w:rsidRPr="009500F4">
              <w:rPr>
                <w:sz w:val="18"/>
                <w:szCs w:val="18"/>
              </w:rPr>
              <w:t>Number of MiCash users in PNG increased by 31% to 40,032 (Male: 33% increase; Female: 28% increase).</w:t>
            </w:r>
          </w:p>
          <w:p w:rsidR="00CA2AB0" w:rsidRPr="009500F4" w:rsidRDefault="00CA2AB0" w:rsidP="00F90B13">
            <w:pPr>
              <w:jc w:val="left"/>
              <w:rPr>
                <w:sz w:val="18"/>
                <w:szCs w:val="18"/>
              </w:rPr>
            </w:pPr>
          </w:p>
          <w:p w:rsidR="00F90B13" w:rsidRPr="009500F4" w:rsidRDefault="00F90B13" w:rsidP="00F90B13">
            <w:pPr>
              <w:jc w:val="left"/>
              <w:rPr>
                <w:sz w:val="18"/>
                <w:szCs w:val="18"/>
              </w:rPr>
            </w:pPr>
            <w:r w:rsidRPr="009500F4">
              <w:rPr>
                <w:sz w:val="18"/>
                <w:szCs w:val="18"/>
              </w:rPr>
              <w:t xml:space="preserve">Implemented Vanilla Supply Chain Lending Finance Facility Pilot </w:t>
            </w:r>
            <w:r w:rsidR="00CA2AB0" w:rsidRPr="009500F4">
              <w:rPr>
                <w:sz w:val="18"/>
                <w:szCs w:val="18"/>
              </w:rPr>
              <w:t xml:space="preserve">with </w:t>
            </w:r>
            <w:r w:rsidRPr="009500F4">
              <w:rPr>
                <w:sz w:val="18"/>
                <w:szCs w:val="18"/>
              </w:rPr>
              <w:t>Tonga Dev</w:t>
            </w:r>
            <w:r w:rsidR="00CA2AB0" w:rsidRPr="009500F4">
              <w:rPr>
                <w:sz w:val="18"/>
                <w:szCs w:val="18"/>
              </w:rPr>
              <w:t>elopmen</w:t>
            </w:r>
            <w:r w:rsidRPr="009500F4">
              <w:rPr>
                <w:sz w:val="18"/>
                <w:szCs w:val="18"/>
              </w:rPr>
              <w:t>t Bank: 15 new loans, using vanilla bean crop as equity.</w:t>
            </w:r>
          </w:p>
          <w:p w:rsidR="00CA2AB0" w:rsidRPr="009500F4" w:rsidRDefault="00CA2AB0" w:rsidP="00F90B13">
            <w:pPr>
              <w:jc w:val="left"/>
              <w:rPr>
                <w:sz w:val="18"/>
                <w:szCs w:val="18"/>
              </w:rPr>
            </w:pPr>
          </w:p>
          <w:p w:rsidR="00F90B13" w:rsidRPr="009500F4" w:rsidRDefault="00532496" w:rsidP="00F90B13">
            <w:pPr>
              <w:jc w:val="left"/>
              <w:rPr>
                <w:sz w:val="18"/>
                <w:szCs w:val="18"/>
              </w:rPr>
            </w:pPr>
            <w:r w:rsidRPr="009500F4">
              <w:rPr>
                <w:sz w:val="18"/>
                <w:szCs w:val="18"/>
              </w:rPr>
              <w:t xml:space="preserve">BNCTL: </w:t>
            </w:r>
            <w:r w:rsidR="00F90B13" w:rsidRPr="009500F4">
              <w:rPr>
                <w:sz w:val="18"/>
                <w:szCs w:val="18"/>
              </w:rPr>
              <w:t>number of depo</w:t>
            </w:r>
            <w:r w:rsidRPr="009500F4">
              <w:rPr>
                <w:sz w:val="18"/>
                <w:szCs w:val="18"/>
              </w:rPr>
              <w:t xml:space="preserve">sitors increased by 70% </w:t>
            </w:r>
            <w:r w:rsidR="00F90B13" w:rsidRPr="009500F4">
              <w:rPr>
                <w:sz w:val="18"/>
                <w:szCs w:val="18"/>
              </w:rPr>
              <w:t>but number of borrowers decreased by 1.35% in 2015.</w:t>
            </w:r>
          </w:p>
        </w:tc>
        <w:tc>
          <w:tcPr>
            <w:tcW w:w="2339" w:type="dxa"/>
            <w:tcBorders>
              <w:left w:val="nil"/>
            </w:tcBorders>
          </w:tcPr>
          <w:p w:rsidR="00CC48D2" w:rsidRDefault="00CC48D2" w:rsidP="00F90B13">
            <w:pPr>
              <w:jc w:val="left"/>
              <w:rPr>
                <w:sz w:val="18"/>
                <w:szCs w:val="18"/>
              </w:rPr>
            </w:pPr>
            <w:r w:rsidRPr="00CC48D2">
              <w:rPr>
                <w:sz w:val="18"/>
                <w:szCs w:val="18"/>
              </w:rPr>
              <w:t>Number of Mi-Cash users in PNG increased to</w:t>
            </w:r>
            <w:r>
              <w:rPr>
                <w:sz w:val="18"/>
                <w:szCs w:val="18"/>
              </w:rPr>
              <w:t xml:space="preserve"> 48,173 (Male: 31,084; Female: 17,089).</w:t>
            </w:r>
          </w:p>
          <w:p w:rsidR="00CC48D2" w:rsidRDefault="00CC48D2" w:rsidP="00F90B13">
            <w:pPr>
              <w:jc w:val="left"/>
              <w:rPr>
                <w:sz w:val="18"/>
                <w:szCs w:val="18"/>
              </w:rPr>
            </w:pPr>
          </w:p>
          <w:p w:rsidR="00CC48D2" w:rsidRDefault="00CC48D2" w:rsidP="00F90B13">
            <w:pPr>
              <w:jc w:val="left"/>
              <w:rPr>
                <w:sz w:val="18"/>
                <w:szCs w:val="18"/>
              </w:rPr>
            </w:pPr>
            <w:r w:rsidRPr="00CC48D2">
              <w:rPr>
                <w:sz w:val="18"/>
                <w:szCs w:val="18"/>
              </w:rPr>
              <w:t>Implemented Vanilla Supply Chain L</w:t>
            </w:r>
            <w:r>
              <w:rPr>
                <w:sz w:val="18"/>
                <w:szCs w:val="18"/>
              </w:rPr>
              <w:t xml:space="preserve">ending Finance Facility Pilot with </w:t>
            </w:r>
            <w:r w:rsidRPr="00CC48D2">
              <w:rPr>
                <w:sz w:val="18"/>
                <w:szCs w:val="18"/>
              </w:rPr>
              <w:t>Tonga Dev</w:t>
            </w:r>
            <w:r>
              <w:rPr>
                <w:sz w:val="18"/>
                <w:szCs w:val="18"/>
              </w:rPr>
              <w:t>elopmen</w:t>
            </w:r>
            <w:r w:rsidRPr="00CC48D2">
              <w:rPr>
                <w:sz w:val="18"/>
                <w:szCs w:val="18"/>
              </w:rPr>
              <w:t>t Bank where 29 new loans were obtained, all by men, using vanilla bean crop as equity.</w:t>
            </w:r>
          </w:p>
          <w:p w:rsidR="00CC48D2" w:rsidRDefault="00CC48D2" w:rsidP="00F90B13">
            <w:pPr>
              <w:jc w:val="left"/>
              <w:rPr>
                <w:sz w:val="18"/>
                <w:szCs w:val="18"/>
              </w:rPr>
            </w:pPr>
          </w:p>
          <w:p w:rsidR="00F90B13" w:rsidRPr="009500F4" w:rsidRDefault="00CC48D2" w:rsidP="00F90B13">
            <w:pPr>
              <w:jc w:val="left"/>
              <w:rPr>
                <w:sz w:val="18"/>
                <w:szCs w:val="18"/>
              </w:rPr>
            </w:pPr>
            <w:r w:rsidRPr="00CC48D2">
              <w:rPr>
                <w:sz w:val="18"/>
                <w:szCs w:val="18"/>
              </w:rPr>
              <w:t>B</w:t>
            </w:r>
            <w:r>
              <w:rPr>
                <w:sz w:val="18"/>
                <w:szCs w:val="18"/>
              </w:rPr>
              <w:t>NC</w:t>
            </w:r>
            <w:r w:rsidRPr="00CC48D2">
              <w:rPr>
                <w:sz w:val="18"/>
                <w:szCs w:val="18"/>
              </w:rPr>
              <w:t xml:space="preserve">TL: </w:t>
            </w:r>
            <w:r>
              <w:rPr>
                <w:sz w:val="18"/>
                <w:szCs w:val="18"/>
              </w:rPr>
              <w:t>data not available</w:t>
            </w:r>
            <w:r w:rsidRPr="00CC48D2">
              <w:rPr>
                <w:sz w:val="18"/>
                <w:szCs w:val="18"/>
              </w:rPr>
              <w:t>.</w:t>
            </w:r>
          </w:p>
        </w:tc>
      </w:tr>
      <w:tr w:rsidR="00F90B13" w:rsidRPr="009500F4" w:rsidTr="00170139">
        <w:trPr>
          <w:trHeight w:val="800"/>
        </w:trPr>
        <w:tc>
          <w:tcPr>
            <w:tcW w:w="2338" w:type="dxa"/>
            <w:tcBorders>
              <w:right w:val="nil"/>
            </w:tcBorders>
            <w:hideMark/>
          </w:tcPr>
          <w:p w:rsidR="00F90B13" w:rsidRPr="009500F4" w:rsidRDefault="00F90B13" w:rsidP="00F90B13">
            <w:pPr>
              <w:jc w:val="left"/>
              <w:rPr>
                <w:sz w:val="18"/>
                <w:szCs w:val="18"/>
              </w:rPr>
            </w:pPr>
            <w:r w:rsidRPr="009500F4">
              <w:rPr>
                <w:sz w:val="18"/>
                <w:szCs w:val="18"/>
              </w:rPr>
              <w:lastRenderedPageBreak/>
              <w:t>The ratio of total domestic credit to GDP in PNG increases to 40% or more</w:t>
            </w:r>
          </w:p>
        </w:tc>
        <w:tc>
          <w:tcPr>
            <w:tcW w:w="2339" w:type="dxa"/>
            <w:tcBorders>
              <w:left w:val="nil"/>
              <w:right w:val="nil"/>
            </w:tcBorders>
            <w:hideMark/>
          </w:tcPr>
          <w:p w:rsidR="00F90B13" w:rsidRPr="009500F4" w:rsidRDefault="00F90B13" w:rsidP="00F90B13">
            <w:pPr>
              <w:jc w:val="left"/>
              <w:rPr>
                <w:sz w:val="18"/>
                <w:szCs w:val="18"/>
              </w:rPr>
            </w:pPr>
            <w:r w:rsidRPr="009500F4">
              <w:rPr>
                <w:sz w:val="18"/>
                <w:szCs w:val="18"/>
              </w:rPr>
              <w:t>Domestic credit to the private sector in PNG is 34.6% of GDP in 2013 and 31% in 2014.</w:t>
            </w:r>
          </w:p>
        </w:tc>
        <w:tc>
          <w:tcPr>
            <w:tcW w:w="2339" w:type="dxa"/>
            <w:tcBorders>
              <w:left w:val="nil"/>
              <w:right w:val="nil"/>
            </w:tcBorders>
            <w:hideMark/>
          </w:tcPr>
          <w:p w:rsidR="00F90B13" w:rsidRPr="009500F4" w:rsidRDefault="00F90B13" w:rsidP="00F90B13">
            <w:pPr>
              <w:jc w:val="left"/>
              <w:rPr>
                <w:sz w:val="18"/>
                <w:szCs w:val="18"/>
              </w:rPr>
            </w:pPr>
            <w:r w:rsidRPr="009500F4">
              <w:rPr>
                <w:sz w:val="18"/>
                <w:szCs w:val="18"/>
              </w:rPr>
              <w:t xml:space="preserve">Based on current trend, target </w:t>
            </w:r>
            <w:r w:rsidRPr="009500F4">
              <w:rPr>
                <w:bCs/>
                <w:sz w:val="18"/>
                <w:szCs w:val="18"/>
              </w:rPr>
              <w:t>unlikely to be achieved</w:t>
            </w:r>
            <w:r w:rsidRPr="009500F4">
              <w:rPr>
                <w:sz w:val="18"/>
                <w:szCs w:val="18"/>
              </w:rPr>
              <w:t xml:space="preserve"> by 31 May 2019 (31% in 2014).</w:t>
            </w:r>
          </w:p>
        </w:tc>
        <w:tc>
          <w:tcPr>
            <w:tcW w:w="2339" w:type="dxa"/>
            <w:tcBorders>
              <w:left w:val="nil"/>
            </w:tcBorders>
          </w:tcPr>
          <w:p w:rsidR="00F90B13" w:rsidRPr="009500F4" w:rsidRDefault="00CC48D2" w:rsidP="00F90B13">
            <w:pPr>
              <w:jc w:val="left"/>
              <w:rPr>
                <w:sz w:val="18"/>
                <w:szCs w:val="18"/>
              </w:rPr>
            </w:pPr>
            <w:r w:rsidRPr="00CC48D2">
              <w:rPr>
                <w:sz w:val="18"/>
                <w:szCs w:val="18"/>
              </w:rPr>
              <w:t>Based on current trend, target unlikely to be achieved by 31 May 2019 (31% in 2014).</w:t>
            </w:r>
          </w:p>
        </w:tc>
      </w:tr>
    </w:tbl>
    <w:p w:rsidR="00323096" w:rsidRPr="009500F4" w:rsidRDefault="00CA2AB0" w:rsidP="00BA7C5E">
      <w:pPr>
        <w:rPr>
          <w:rFonts w:eastAsia="Times New Roman" w:cs="Arial"/>
          <w:sz w:val="16"/>
          <w:szCs w:val="16"/>
          <w:lang w:val="en-AU" w:eastAsia="en-US"/>
        </w:rPr>
      </w:pPr>
      <w:r w:rsidRPr="009500F4">
        <w:rPr>
          <w:sz w:val="16"/>
          <w:szCs w:val="16"/>
        </w:rPr>
        <w:t xml:space="preserve">BNCTL = </w:t>
      </w:r>
      <w:r w:rsidRPr="009500F4">
        <w:rPr>
          <w:rFonts w:eastAsia="Times New Roman" w:cs="Arial"/>
          <w:sz w:val="16"/>
          <w:szCs w:val="16"/>
          <w:lang w:val="en-AU" w:eastAsia="en-US"/>
        </w:rPr>
        <w:t xml:space="preserve">Banco Nacional de Comércio de Timor-Leste, </w:t>
      </w:r>
      <w:r w:rsidR="00323096" w:rsidRPr="009500F4">
        <w:rPr>
          <w:sz w:val="16"/>
          <w:szCs w:val="16"/>
        </w:rPr>
        <w:t xml:space="preserve">FSM = Federated States of Micronesia, </w:t>
      </w:r>
      <w:r w:rsidR="00685572" w:rsidRPr="009500F4">
        <w:rPr>
          <w:rFonts w:cs="Arial"/>
          <w:sz w:val="16"/>
          <w:szCs w:val="16"/>
        </w:rPr>
        <w:t>FY = fiscal year</w:t>
      </w:r>
      <w:r w:rsidR="00657E98" w:rsidRPr="009500F4">
        <w:rPr>
          <w:rFonts w:cs="Arial"/>
          <w:sz w:val="16"/>
          <w:szCs w:val="16"/>
        </w:rPr>
        <w:t xml:space="preserve"> (</w:t>
      </w:r>
      <w:r w:rsidR="00685572" w:rsidRPr="009500F4">
        <w:rPr>
          <w:rFonts w:eastAsia="Ideal Sans Light" w:cs="Arial"/>
          <w:sz w:val="16"/>
          <w:szCs w:val="16"/>
          <w:lang w:val="en-AU" w:eastAsia="en-US"/>
        </w:rPr>
        <w:t>FY before a calendar year denotes the year in which the fiscal year ends</w:t>
      </w:r>
      <w:r w:rsidR="00657E98" w:rsidRPr="009500F4">
        <w:rPr>
          <w:rFonts w:eastAsia="Ideal Sans Light" w:cs="Arial"/>
          <w:sz w:val="16"/>
          <w:szCs w:val="16"/>
          <w:lang w:val="en-AU" w:eastAsia="en-US"/>
        </w:rPr>
        <w:t>)</w:t>
      </w:r>
      <w:r w:rsidR="00323096" w:rsidRPr="009500F4">
        <w:rPr>
          <w:sz w:val="16"/>
          <w:szCs w:val="16"/>
        </w:rPr>
        <w:t xml:space="preserve">, </w:t>
      </w:r>
      <w:r w:rsidR="00657E98" w:rsidRPr="009500F4">
        <w:rPr>
          <w:sz w:val="16"/>
          <w:szCs w:val="16"/>
        </w:rPr>
        <w:t xml:space="preserve">GDP = gross domestic product, </w:t>
      </w:r>
      <w:r w:rsidR="00323096" w:rsidRPr="009500F4">
        <w:rPr>
          <w:sz w:val="16"/>
          <w:szCs w:val="16"/>
        </w:rPr>
        <w:t xml:space="preserve">RMI = Republic of the Marshall Islands, </w:t>
      </w:r>
      <w:r w:rsidRPr="009500F4">
        <w:rPr>
          <w:sz w:val="16"/>
          <w:szCs w:val="16"/>
        </w:rPr>
        <w:t xml:space="preserve">PNG = Papua </w:t>
      </w:r>
      <w:r w:rsidR="000C15E8">
        <w:rPr>
          <w:sz w:val="16"/>
          <w:szCs w:val="16"/>
        </w:rPr>
        <w:t>New Guinea.</w:t>
      </w:r>
    </w:p>
    <w:p w:rsidR="00323096" w:rsidRPr="009500F4" w:rsidRDefault="00323096" w:rsidP="00BA7C5E">
      <w:pPr>
        <w:rPr>
          <w:sz w:val="16"/>
          <w:szCs w:val="16"/>
        </w:rPr>
      </w:pPr>
      <w:r w:rsidRPr="009500F4">
        <w:rPr>
          <w:sz w:val="16"/>
          <w:szCs w:val="16"/>
        </w:rPr>
        <w:t>Source: Private Sector Development Initiative.</w:t>
      </w:r>
    </w:p>
    <w:p w:rsidR="00323096" w:rsidRPr="009500F4" w:rsidRDefault="00323096" w:rsidP="00CA4CD7"/>
    <w:p w:rsidR="00CA4CD7" w:rsidRPr="009500F4" w:rsidRDefault="00CA4CD7" w:rsidP="005F4190">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 supports financial institutions that serve households and small-scale entrepreneurs. This includes MiBank (formerly Nationwide Microbank) in PNG, which offers such products as MiCash, an innovative bank account </w:t>
      </w:r>
      <w:r w:rsidR="00657E98" w:rsidRPr="009500F4">
        <w:rPr>
          <w:rFonts w:eastAsia="Calibri" w:cs="Arial"/>
          <w:szCs w:val="22"/>
          <w:lang w:eastAsia="en-US"/>
        </w:rPr>
        <w:t xml:space="preserve">accessible via mobile phone </w:t>
      </w:r>
      <w:r w:rsidRPr="009500F4">
        <w:rPr>
          <w:rFonts w:eastAsia="Calibri" w:cs="Arial"/>
          <w:szCs w:val="22"/>
          <w:lang w:eastAsia="en-US"/>
        </w:rPr>
        <w:t xml:space="preserve">(developed with the help of PSDI and launched in 2011). PSDI also works with </w:t>
      </w:r>
      <w:r w:rsidR="005F4190" w:rsidRPr="009500F4">
        <w:rPr>
          <w:rFonts w:eastAsia="Calibri" w:cs="Arial"/>
          <w:szCs w:val="22"/>
          <w:lang w:eastAsia="en-US"/>
        </w:rPr>
        <w:t>Banco Nacional de Comércio de Timor-Leste (</w:t>
      </w:r>
      <w:r w:rsidRPr="009500F4">
        <w:rPr>
          <w:rFonts w:eastAsia="Calibri" w:cs="Arial"/>
          <w:szCs w:val="22"/>
          <w:lang w:eastAsia="en-US"/>
        </w:rPr>
        <w:t>BNCTL</w:t>
      </w:r>
      <w:r w:rsidR="005F4190" w:rsidRPr="009500F4">
        <w:rPr>
          <w:rFonts w:eastAsia="Calibri" w:cs="Arial"/>
          <w:szCs w:val="22"/>
          <w:lang w:eastAsia="en-US"/>
        </w:rPr>
        <w:t>)</w:t>
      </w:r>
      <w:r w:rsidRPr="009500F4">
        <w:rPr>
          <w:rFonts w:eastAsia="Calibri" w:cs="Arial"/>
          <w:szCs w:val="22"/>
          <w:lang w:eastAsia="en-US"/>
        </w:rPr>
        <w:t xml:space="preserve"> to strengthen </w:t>
      </w:r>
      <w:r w:rsidR="00657E98" w:rsidRPr="009500F4">
        <w:rPr>
          <w:rFonts w:eastAsia="Calibri" w:cs="Arial"/>
          <w:szCs w:val="22"/>
          <w:lang w:eastAsia="en-US"/>
        </w:rPr>
        <w:t xml:space="preserve">the institution’s </w:t>
      </w:r>
      <w:r w:rsidRPr="009500F4">
        <w:rPr>
          <w:rFonts w:eastAsia="Calibri" w:cs="Arial"/>
          <w:szCs w:val="22"/>
          <w:lang w:eastAsia="en-US"/>
        </w:rPr>
        <w:t>systems and offerings as a commercial bank with roots in microfinance.</w:t>
      </w:r>
    </w:p>
    <w:p w:rsidR="005F4190" w:rsidRPr="009500F4" w:rsidRDefault="005F4190" w:rsidP="00CA4CD7"/>
    <w:p w:rsidR="00CA4CD7" w:rsidRPr="009500F4" w:rsidRDefault="00CA4CD7" w:rsidP="005A4895">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PSDI data on secured </w:t>
      </w:r>
      <w:r w:rsidR="00A92783" w:rsidRPr="009500F4">
        <w:rPr>
          <w:rFonts w:eastAsia="Calibri" w:cs="Arial"/>
          <w:szCs w:val="22"/>
          <w:lang w:eastAsia="en-US"/>
        </w:rPr>
        <w:t xml:space="preserve">transactions </w:t>
      </w:r>
      <w:r w:rsidRPr="009500F4">
        <w:rPr>
          <w:rFonts w:eastAsia="Calibri" w:cs="Arial"/>
          <w:szCs w:val="22"/>
          <w:lang w:eastAsia="en-US"/>
        </w:rPr>
        <w:t>(Table 3) tell a positive story of impact, i.e.</w:t>
      </w:r>
      <w:r w:rsidR="00657E98" w:rsidRPr="009500F4">
        <w:rPr>
          <w:rFonts w:eastAsia="Calibri" w:cs="Arial"/>
          <w:szCs w:val="22"/>
          <w:lang w:eastAsia="en-US"/>
        </w:rPr>
        <w:t>,</w:t>
      </w:r>
      <w:r w:rsidRPr="009500F4">
        <w:rPr>
          <w:rFonts w:eastAsia="Calibri" w:cs="Arial"/>
          <w:szCs w:val="22"/>
          <w:lang w:eastAsia="en-US"/>
        </w:rPr>
        <w:t xml:space="preserve"> transactions that most likely </w:t>
      </w:r>
      <w:r w:rsidR="00657E98" w:rsidRPr="009500F4">
        <w:rPr>
          <w:rFonts w:eastAsia="Calibri" w:cs="Arial"/>
          <w:szCs w:val="22"/>
          <w:lang w:eastAsia="en-US"/>
        </w:rPr>
        <w:t xml:space="preserve">would </w:t>
      </w:r>
      <w:r w:rsidRPr="009500F4">
        <w:rPr>
          <w:rFonts w:eastAsia="Calibri" w:cs="Arial"/>
          <w:szCs w:val="22"/>
          <w:lang w:eastAsia="en-US"/>
        </w:rPr>
        <w:t>not have been formalized without the legislation having been enacted</w:t>
      </w:r>
      <w:r w:rsidR="00657E98" w:rsidRPr="009500F4">
        <w:rPr>
          <w:rFonts w:eastAsia="Calibri" w:cs="Arial"/>
          <w:szCs w:val="22"/>
          <w:lang w:eastAsia="en-US"/>
        </w:rPr>
        <w:t>,</w:t>
      </w:r>
      <w:r w:rsidRPr="009500F4">
        <w:rPr>
          <w:rFonts w:eastAsia="Calibri" w:cs="Arial"/>
          <w:szCs w:val="22"/>
          <w:lang w:eastAsia="en-US"/>
        </w:rPr>
        <w:t xml:space="preserve"> or not provided on the scale or the terms (cost, collateral, LTV</w:t>
      </w:r>
      <w:r w:rsidRPr="009500F4">
        <w:rPr>
          <w:rFonts w:eastAsia="Calibri" w:cs="Arial"/>
          <w:szCs w:val="22"/>
          <w:vertAlign w:val="superscript"/>
          <w:lang w:eastAsia="en-US"/>
        </w:rPr>
        <w:footnoteReference w:id="12"/>
      </w:r>
      <w:r w:rsidRPr="009500F4">
        <w:rPr>
          <w:rFonts w:eastAsia="Calibri" w:cs="Arial"/>
          <w:szCs w:val="22"/>
          <w:lang w:eastAsia="en-US"/>
        </w:rPr>
        <w:t xml:space="preserve">) of current lending. This is probably the clearest case of economic outcomes being affected by PSDI activities. The data </w:t>
      </w:r>
      <w:r w:rsidR="00657E98" w:rsidRPr="009500F4">
        <w:rPr>
          <w:rFonts w:eastAsia="Calibri" w:cs="Arial"/>
          <w:szCs w:val="22"/>
          <w:lang w:eastAsia="en-US"/>
        </w:rPr>
        <w:t xml:space="preserve">sets </w:t>
      </w:r>
      <w:r w:rsidRPr="009500F4">
        <w:rPr>
          <w:rFonts w:eastAsia="Calibri" w:cs="Arial"/>
          <w:szCs w:val="22"/>
          <w:lang w:eastAsia="en-US"/>
        </w:rPr>
        <w:t xml:space="preserve">show steady, modest growth during </w:t>
      </w:r>
      <w:r w:rsidR="00657E98" w:rsidRPr="009500F4">
        <w:rPr>
          <w:rFonts w:eastAsia="Calibri" w:cs="Arial"/>
          <w:szCs w:val="22"/>
          <w:lang w:eastAsia="en-US"/>
        </w:rPr>
        <w:t xml:space="preserve">PSDI </w:t>
      </w:r>
      <w:r w:rsidRPr="009500F4">
        <w:rPr>
          <w:rFonts w:eastAsia="Calibri" w:cs="Arial"/>
          <w:szCs w:val="22"/>
          <w:lang w:eastAsia="en-US"/>
        </w:rPr>
        <w:t>III, with impressive cumulative percentage increases</w:t>
      </w:r>
      <w:r w:rsidR="00A92783" w:rsidRPr="009500F4">
        <w:rPr>
          <w:rFonts w:eastAsia="Calibri" w:cs="Arial"/>
          <w:szCs w:val="22"/>
          <w:lang w:eastAsia="en-US"/>
        </w:rPr>
        <w:t>.</w:t>
      </w:r>
      <w:r w:rsidRPr="009500F4">
        <w:rPr>
          <w:rFonts w:eastAsia="Calibri" w:cs="Arial"/>
          <w:szCs w:val="22"/>
          <w:lang w:eastAsia="en-US"/>
        </w:rPr>
        <w:t xml:space="preserve"> </w:t>
      </w:r>
      <w:r w:rsidR="00A92783" w:rsidRPr="009500F4">
        <w:rPr>
          <w:rFonts w:eastAsia="Calibri" w:cs="Arial"/>
          <w:szCs w:val="22"/>
          <w:lang w:eastAsia="en-US"/>
        </w:rPr>
        <w:t xml:space="preserve">However, </w:t>
      </w:r>
      <w:r w:rsidRPr="009500F4">
        <w:rPr>
          <w:rFonts w:eastAsia="Calibri" w:cs="Arial"/>
          <w:szCs w:val="22"/>
          <w:lang w:eastAsia="en-US"/>
        </w:rPr>
        <w:t>overall numbers of transactions remain relatively low</w:t>
      </w:r>
      <w:r w:rsidR="00A92783" w:rsidRPr="009500F4">
        <w:rPr>
          <w:rFonts w:eastAsia="Calibri" w:cs="Arial"/>
          <w:szCs w:val="22"/>
          <w:lang w:eastAsia="en-US"/>
        </w:rPr>
        <w:t xml:space="preserve">, </w:t>
      </w:r>
      <w:r w:rsidRPr="009500F4">
        <w:rPr>
          <w:rFonts w:eastAsia="Calibri" w:cs="Arial"/>
          <w:szCs w:val="22"/>
          <w:lang w:eastAsia="en-US"/>
        </w:rPr>
        <w:t xml:space="preserve">reflecting the small size of the formal </w:t>
      </w:r>
      <w:r w:rsidR="00A92783" w:rsidRPr="009500F4">
        <w:rPr>
          <w:rFonts w:eastAsia="Calibri" w:cs="Arial"/>
          <w:szCs w:val="22"/>
          <w:lang w:eastAsia="en-US"/>
        </w:rPr>
        <w:t>economies of Pacific DMCs</w:t>
      </w:r>
      <w:r w:rsidRPr="009500F4">
        <w:rPr>
          <w:rFonts w:eastAsia="Calibri" w:cs="Arial"/>
          <w:szCs w:val="22"/>
          <w:lang w:eastAsia="en-US"/>
        </w:rPr>
        <w:t>, along with constraints to adoption.</w:t>
      </w:r>
      <w:r w:rsidRPr="009500F4">
        <w:rPr>
          <w:rFonts w:eastAsia="Calibri" w:cs="Arial"/>
          <w:szCs w:val="22"/>
          <w:vertAlign w:val="superscript"/>
          <w:lang w:eastAsia="en-US"/>
        </w:rPr>
        <w:footnoteReference w:id="13"/>
      </w:r>
    </w:p>
    <w:p w:rsidR="005A4895" w:rsidRPr="009500F4" w:rsidRDefault="005A4895" w:rsidP="00CA4CD7"/>
    <w:p w:rsidR="00CA4CD7" w:rsidRPr="009500F4" w:rsidRDefault="00CA4CD7" w:rsidP="005A4895">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Moreover, the asset type </w:t>
      </w:r>
      <w:r w:rsidR="00A92783" w:rsidRPr="009500F4">
        <w:rPr>
          <w:rFonts w:eastAsia="Calibri" w:cs="Arial"/>
          <w:szCs w:val="22"/>
          <w:lang w:eastAsia="en-US"/>
        </w:rPr>
        <w:t xml:space="preserve">predominantly </w:t>
      </w:r>
      <w:r w:rsidRPr="009500F4">
        <w:rPr>
          <w:rFonts w:eastAsia="Calibri" w:cs="Arial"/>
          <w:szCs w:val="22"/>
          <w:lang w:eastAsia="en-US"/>
        </w:rPr>
        <w:t xml:space="preserve">used in these transactions is a vehicle. </w:t>
      </w:r>
      <w:r w:rsidR="00A92783" w:rsidRPr="009500F4">
        <w:rPr>
          <w:rFonts w:eastAsia="Calibri" w:cs="Arial"/>
          <w:szCs w:val="22"/>
          <w:lang w:eastAsia="en-US"/>
        </w:rPr>
        <w:t>L</w:t>
      </w:r>
      <w:r w:rsidRPr="009500F4">
        <w:rPr>
          <w:rFonts w:eastAsia="Calibri" w:cs="Arial"/>
          <w:szCs w:val="22"/>
          <w:lang w:eastAsia="en-US"/>
        </w:rPr>
        <w:t>oans</w:t>
      </w:r>
      <w:r w:rsidR="00A92783" w:rsidRPr="009500F4">
        <w:rPr>
          <w:rFonts w:eastAsia="Calibri" w:cs="Arial"/>
          <w:szCs w:val="22"/>
          <w:lang w:eastAsia="en-US"/>
        </w:rPr>
        <w:t xml:space="preserve"> secured by vehicles</w:t>
      </w:r>
      <w:r w:rsidRPr="009500F4">
        <w:rPr>
          <w:rFonts w:eastAsia="Calibri" w:cs="Arial"/>
          <w:szCs w:val="22"/>
          <w:lang w:eastAsia="en-US"/>
        </w:rPr>
        <w:t xml:space="preserve"> are a relatively low-risk</w:t>
      </w:r>
      <w:r w:rsidR="00A92783" w:rsidRPr="009500F4">
        <w:rPr>
          <w:rFonts w:eastAsia="Calibri" w:cs="Arial"/>
          <w:szCs w:val="22"/>
          <w:lang w:eastAsia="en-US"/>
        </w:rPr>
        <w:t>,</w:t>
      </w:r>
      <w:r w:rsidRPr="009500F4">
        <w:rPr>
          <w:rFonts w:eastAsia="Calibri" w:cs="Arial"/>
          <w:szCs w:val="22"/>
          <w:lang w:eastAsia="en-US"/>
        </w:rPr>
        <w:t xml:space="preserve"> basic type of credit</w:t>
      </w:r>
      <w:r w:rsidR="00A92783" w:rsidRPr="009500F4">
        <w:rPr>
          <w:rFonts w:eastAsia="Calibri" w:cs="Arial"/>
          <w:szCs w:val="22"/>
          <w:lang w:eastAsia="en-US"/>
        </w:rPr>
        <w:t>. They are</w:t>
      </w:r>
      <w:r w:rsidRPr="009500F4">
        <w:rPr>
          <w:rFonts w:eastAsia="Calibri" w:cs="Arial"/>
          <w:szCs w:val="22"/>
          <w:lang w:eastAsia="en-US"/>
        </w:rPr>
        <w:t xml:space="preserve"> important in themselves and as a starting-point for growth in this area of financial services, but not sufficient as the end result of reform. Loans were doubtless secured </w:t>
      </w:r>
      <w:r w:rsidR="00A92783" w:rsidRPr="009500F4">
        <w:rPr>
          <w:rFonts w:eastAsia="Calibri" w:cs="Arial"/>
          <w:szCs w:val="22"/>
          <w:lang w:eastAsia="en-US"/>
        </w:rPr>
        <w:t xml:space="preserve">by </w:t>
      </w:r>
      <w:r w:rsidRPr="009500F4">
        <w:rPr>
          <w:rFonts w:eastAsia="Calibri" w:cs="Arial"/>
          <w:szCs w:val="22"/>
          <w:lang w:eastAsia="en-US"/>
        </w:rPr>
        <w:t xml:space="preserve">vehicles prior to the reforms in the relevant countries, although the arrangements would have been less efficient and more costly. The real power of secured transactions comes from </w:t>
      </w:r>
      <w:r w:rsidR="00A92783" w:rsidRPr="009500F4">
        <w:rPr>
          <w:rFonts w:eastAsia="Calibri" w:cs="Arial"/>
          <w:szCs w:val="22"/>
          <w:lang w:eastAsia="en-US"/>
        </w:rPr>
        <w:t xml:space="preserve">the ability to </w:t>
      </w:r>
      <w:r w:rsidRPr="009500F4">
        <w:rPr>
          <w:rFonts w:eastAsia="Calibri" w:cs="Arial"/>
          <w:szCs w:val="22"/>
          <w:lang w:eastAsia="en-US"/>
        </w:rPr>
        <w:t>use a wide range of collateral</w:t>
      </w:r>
      <w:r w:rsidR="00A92783" w:rsidRPr="009500F4">
        <w:rPr>
          <w:rFonts w:eastAsia="Calibri" w:cs="Arial"/>
          <w:szCs w:val="22"/>
          <w:lang w:eastAsia="en-US"/>
        </w:rPr>
        <w:t>;</w:t>
      </w:r>
      <w:r w:rsidRPr="009500F4">
        <w:rPr>
          <w:rFonts w:eastAsia="Calibri" w:cs="Arial"/>
          <w:szCs w:val="22"/>
          <w:lang w:eastAsia="en-US"/>
        </w:rPr>
        <w:t xml:space="preserve"> not only vehicles</w:t>
      </w:r>
      <w:r w:rsidR="00A92783" w:rsidRPr="009500F4">
        <w:rPr>
          <w:rFonts w:eastAsia="Calibri" w:cs="Arial"/>
          <w:szCs w:val="22"/>
          <w:lang w:eastAsia="en-US"/>
        </w:rPr>
        <w:t>,</w:t>
      </w:r>
      <w:r w:rsidRPr="009500F4">
        <w:rPr>
          <w:rFonts w:eastAsia="Calibri" w:cs="Arial"/>
          <w:szCs w:val="22"/>
          <w:lang w:eastAsia="en-US"/>
        </w:rPr>
        <w:t xml:space="preserve"> but </w:t>
      </w:r>
      <w:r w:rsidR="00A92783" w:rsidRPr="009500F4">
        <w:rPr>
          <w:rFonts w:eastAsia="Calibri" w:cs="Arial"/>
          <w:szCs w:val="22"/>
          <w:lang w:eastAsia="en-US"/>
        </w:rPr>
        <w:t xml:space="preserve">also </w:t>
      </w:r>
      <w:r w:rsidRPr="009500F4">
        <w:rPr>
          <w:rFonts w:eastAsia="Calibri" w:cs="Arial"/>
          <w:szCs w:val="22"/>
          <w:lang w:eastAsia="en-US"/>
        </w:rPr>
        <w:t>machinery, inventory, crops, and</w:t>
      </w:r>
      <w:r w:rsidR="00A92783" w:rsidRPr="009500F4">
        <w:rPr>
          <w:rFonts w:eastAsia="Calibri" w:cs="Arial"/>
          <w:szCs w:val="22"/>
          <w:lang w:eastAsia="en-US"/>
        </w:rPr>
        <w:t>,</w:t>
      </w:r>
      <w:r w:rsidRPr="009500F4">
        <w:rPr>
          <w:rFonts w:eastAsia="Calibri" w:cs="Arial"/>
          <w:szCs w:val="22"/>
          <w:lang w:eastAsia="en-US"/>
        </w:rPr>
        <w:t xml:space="preserve"> eventually</w:t>
      </w:r>
      <w:r w:rsidR="00A92783" w:rsidRPr="009500F4">
        <w:rPr>
          <w:rFonts w:eastAsia="Calibri" w:cs="Arial"/>
          <w:szCs w:val="22"/>
          <w:lang w:eastAsia="en-US"/>
        </w:rPr>
        <w:t>,</w:t>
      </w:r>
      <w:r w:rsidRPr="009500F4">
        <w:rPr>
          <w:rFonts w:eastAsia="Calibri" w:cs="Arial"/>
          <w:szCs w:val="22"/>
          <w:lang w:eastAsia="en-US"/>
        </w:rPr>
        <w:t xml:space="preserve"> accounts receivable</w:t>
      </w:r>
      <w:r w:rsidR="00A92783" w:rsidRPr="009500F4">
        <w:rPr>
          <w:rFonts w:eastAsia="Calibri" w:cs="Arial"/>
          <w:szCs w:val="22"/>
          <w:lang w:eastAsia="en-US"/>
        </w:rPr>
        <w:t xml:space="preserve"> and forward contracts</w:t>
      </w:r>
      <w:r w:rsidRPr="009500F4">
        <w:rPr>
          <w:rFonts w:eastAsia="Calibri" w:cs="Arial"/>
          <w:szCs w:val="22"/>
          <w:lang w:eastAsia="en-US"/>
        </w:rPr>
        <w:t>.</w:t>
      </w:r>
      <w:r w:rsidRPr="009500F4">
        <w:rPr>
          <w:rFonts w:eastAsia="Calibri" w:cs="Arial"/>
          <w:szCs w:val="22"/>
          <w:vertAlign w:val="superscript"/>
          <w:lang w:eastAsia="en-US"/>
        </w:rPr>
        <w:footnoteReference w:id="14"/>
      </w:r>
    </w:p>
    <w:p w:rsidR="005A4895" w:rsidRPr="009500F4" w:rsidRDefault="005A4895" w:rsidP="00CA4CD7"/>
    <w:p w:rsidR="00CA4CD7" w:rsidRPr="009500F4" w:rsidRDefault="00A92783" w:rsidP="005A4895">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S</w:t>
      </w:r>
      <w:r w:rsidR="00CA4CD7" w:rsidRPr="009500F4">
        <w:rPr>
          <w:rFonts w:eastAsia="Calibri" w:cs="Arial"/>
          <w:szCs w:val="22"/>
          <w:lang w:eastAsia="en-US"/>
        </w:rPr>
        <w:t xml:space="preserve">uch experiments as the value chain finance pilot in Tonga are critical for expanding the reach of secured finance (including new forms of collateral) and should be pursued more broadly as soon as is practicable. More research may also be needed to get a clearer picture of the constraints to </w:t>
      </w:r>
      <w:r w:rsidRPr="009500F4">
        <w:rPr>
          <w:rFonts w:eastAsia="Calibri" w:cs="Arial"/>
          <w:szCs w:val="22"/>
          <w:lang w:eastAsia="en-US"/>
        </w:rPr>
        <w:t xml:space="preserve">the uptake of </w:t>
      </w:r>
      <w:r w:rsidR="00CA4CD7" w:rsidRPr="009500F4">
        <w:rPr>
          <w:rFonts w:eastAsia="Calibri" w:cs="Arial"/>
          <w:szCs w:val="22"/>
          <w:lang w:eastAsia="en-US"/>
        </w:rPr>
        <w:t>secured finance and the alternatives that could be pursued.</w:t>
      </w:r>
    </w:p>
    <w:p w:rsidR="00CA4CD7" w:rsidRPr="009500F4" w:rsidRDefault="00CA4CD7" w:rsidP="00CA4CD7"/>
    <w:p w:rsidR="001143BF" w:rsidRDefault="001143BF">
      <w:pPr>
        <w:jc w:val="left"/>
      </w:pPr>
      <w:r>
        <w:br w:type="page"/>
      </w:r>
    </w:p>
    <w:p w:rsidR="007A5780" w:rsidRPr="00D6162F" w:rsidRDefault="00CA4CD7" w:rsidP="00170139">
      <w:pPr>
        <w:jc w:val="center"/>
        <w:rPr>
          <w:rFonts w:cs="Arial"/>
          <w:b/>
          <w:sz w:val="20"/>
          <w:szCs w:val="20"/>
        </w:rPr>
      </w:pPr>
      <w:r w:rsidRPr="00D6162F">
        <w:rPr>
          <w:rFonts w:cs="Arial"/>
          <w:b/>
          <w:sz w:val="20"/>
          <w:szCs w:val="20"/>
        </w:rPr>
        <w:lastRenderedPageBreak/>
        <w:t>Table 3</w:t>
      </w:r>
      <w:r w:rsidR="006C4DF8" w:rsidRPr="00D6162F">
        <w:rPr>
          <w:rFonts w:cs="Arial"/>
          <w:b/>
          <w:sz w:val="20"/>
          <w:szCs w:val="20"/>
        </w:rPr>
        <w:t xml:space="preserve">: </w:t>
      </w:r>
      <w:r w:rsidRPr="00D6162F">
        <w:rPr>
          <w:rFonts w:cs="Arial"/>
          <w:b/>
          <w:sz w:val="20"/>
          <w:szCs w:val="20"/>
        </w:rPr>
        <w:t>Secured Transactions</w:t>
      </w:r>
      <w:r w:rsidR="00CA2AB0" w:rsidRPr="00D6162F">
        <w:rPr>
          <w:rFonts w:cs="Arial"/>
          <w:b/>
          <w:sz w:val="20"/>
          <w:szCs w:val="20"/>
        </w:rPr>
        <w:t xml:space="preserve"> – </w:t>
      </w:r>
      <w:r w:rsidRPr="00D6162F">
        <w:rPr>
          <w:rFonts w:cs="Arial"/>
          <w:b/>
          <w:sz w:val="20"/>
          <w:szCs w:val="20"/>
        </w:rPr>
        <w:t xml:space="preserve">Numbers </w:t>
      </w:r>
      <w:r w:rsidR="00B662C0" w:rsidRPr="00D6162F">
        <w:rPr>
          <w:rFonts w:cs="Arial"/>
          <w:b/>
          <w:sz w:val="20"/>
          <w:szCs w:val="20"/>
        </w:rPr>
        <w:t>R</w:t>
      </w:r>
      <w:r w:rsidRPr="00D6162F">
        <w:rPr>
          <w:rFonts w:cs="Arial"/>
          <w:b/>
          <w:sz w:val="20"/>
          <w:szCs w:val="20"/>
        </w:rPr>
        <w:t>egistered</w:t>
      </w:r>
    </w:p>
    <w:p w:rsidR="00CA4CD7" w:rsidRPr="000C15E8" w:rsidRDefault="00CA4CD7" w:rsidP="001143BF">
      <w:pPr>
        <w:rPr>
          <w:rFonts w:cs="Arial"/>
          <w:sz w:val="10"/>
          <w:szCs w:val="10"/>
        </w:rPr>
      </w:pPr>
    </w:p>
    <w:tbl>
      <w:tblPr>
        <w:tblStyle w:val="TableGrid"/>
        <w:tblW w:w="5000" w:type="pct"/>
        <w:tblLook w:val="04A0" w:firstRow="1" w:lastRow="0" w:firstColumn="1" w:lastColumn="0" w:noHBand="0" w:noVBand="1"/>
      </w:tblPr>
      <w:tblGrid>
        <w:gridCol w:w="1667"/>
        <w:gridCol w:w="2061"/>
        <w:gridCol w:w="1297"/>
        <w:gridCol w:w="1447"/>
        <w:gridCol w:w="1447"/>
        <w:gridCol w:w="1441"/>
      </w:tblGrid>
      <w:tr w:rsidR="00416618" w:rsidRPr="009500F4" w:rsidTr="00CA2AB0">
        <w:trPr>
          <w:trHeight w:val="323"/>
        </w:trPr>
        <w:tc>
          <w:tcPr>
            <w:tcW w:w="895" w:type="pct"/>
            <w:tcBorders>
              <w:left w:val="nil"/>
              <w:bottom w:val="single" w:sz="4" w:space="0" w:color="auto"/>
              <w:right w:val="nil"/>
            </w:tcBorders>
            <w:shd w:val="clear" w:color="auto" w:fill="FFFFFF" w:themeFill="background1"/>
            <w:noWrap/>
            <w:hideMark/>
          </w:tcPr>
          <w:p w:rsidR="00CA4CD7" w:rsidRPr="009500F4" w:rsidRDefault="00CA4CD7" w:rsidP="00ED2A8D">
            <w:pPr>
              <w:jc w:val="left"/>
              <w:rPr>
                <w:b/>
                <w:bCs/>
                <w:sz w:val="18"/>
                <w:szCs w:val="18"/>
              </w:rPr>
            </w:pPr>
            <w:r w:rsidRPr="009500F4">
              <w:rPr>
                <w:b/>
                <w:bCs/>
                <w:sz w:val="18"/>
                <w:szCs w:val="18"/>
              </w:rPr>
              <w:t>Countries</w:t>
            </w:r>
          </w:p>
        </w:tc>
        <w:tc>
          <w:tcPr>
            <w:tcW w:w="1105" w:type="pct"/>
            <w:tcBorders>
              <w:left w:val="nil"/>
              <w:bottom w:val="single" w:sz="4" w:space="0" w:color="auto"/>
              <w:right w:val="nil"/>
            </w:tcBorders>
            <w:shd w:val="clear" w:color="auto" w:fill="FFFFFF" w:themeFill="background1"/>
          </w:tcPr>
          <w:p w:rsidR="00CA4CD7" w:rsidRPr="009500F4" w:rsidRDefault="00CA4CD7" w:rsidP="00170139">
            <w:pPr>
              <w:jc w:val="center"/>
              <w:rPr>
                <w:b/>
                <w:bCs/>
                <w:sz w:val="18"/>
                <w:szCs w:val="18"/>
              </w:rPr>
            </w:pPr>
            <w:r w:rsidRPr="009500F4">
              <w:rPr>
                <w:b/>
                <w:bCs/>
                <w:sz w:val="18"/>
                <w:szCs w:val="18"/>
              </w:rPr>
              <w:t>Year in which secured transaction laws were enacted</w:t>
            </w:r>
          </w:p>
        </w:tc>
        <w:tc>
          <w:tcPr>
            <w:tcW w:w="671" w:type="pct"/>
            <w:tcBorders>
              <w:left w:val="nil"/>
              <w:bottom w:val="single" w:sz="4" w:space="0" w:color="auto"/>
              <w:right w:val="nil"/>
            </w:tcBorders>
            <w:shd w:val="clear" w:color="auto" w:fill="FFFFFF" w:themeFill="background1"/>
            <w:noWrap/>
            <w:hideMark/>
          </w:tcPr>
          <w:p w:rsidR="00A92783" w:rsidRPr="009500F4" w:rsidRDefault="00A92783" w:rsidP="00170139">
            <w:pPr>
              <w:jc w:val="center"/>
              <w:rPr>
                <w:b/>
                <w:bCs/>
                <w:sz w:val="18"/>
                <w:szCs w:val="18"/>
              </w:rPr>
            </w:pPr>
            <w:r w:rsidRPr="009500F4">
              <w:rPr>
                <w:b/>
                <w:bCs/>
                <w:sz w:val="18"/>
                <w:szCs w:val="18"/>
              </w:rPr>
              <w:t>Secured</w:t>
            </w:r>
          </w:p>
          <w:p w:rsidR="00A92783" w:rsidRPr="009500F4" w:rsidRDefault="00416618" w:rsidP="00170139">
            <w:pPr>
              <w:jc w:val="center"/>
              <w:rPr>
                <w:b/>
                <w:bCs/>
                <w:sz w:val="18"/>
                <w:szCs w:val="18"/>
              </w:rPr>
            </w:pPr>
            <w:r w:rsidRPr="009500F4">
              <w:rPr>
                <w:b/>
                <w:bCs/>
                <w:sz w:val="18"/>
                <w:szCs w:val="18"/>
              </w:rPr>
              <w:t>t</w:t>
            </w:r>
            <w:r w:rsidR="00A92783" w:rsidRPr="009500F4">
              <w:rPr>
                <w:b/>
                <w:bCs/>
                <w:sz w:val="18"/>
                <w:szCs w:val="18"/>
              </w:rPr>
              <w:t>ransactions</w:t>
            </w:r>
          </w:p>
          <w:p w:rsidR="00A92783" w:rsidRPr="009500F4" w:rsidRDefault="00416618" w:rsidP="00170139">
            <w:pPr>
              <w:jc w:val="center"/>
              <w:rPr>
                <w:b/>
                <w:bCs/>
                <w:sz w:val="18"/>
                <w:szCs w:val="18"/>
              </w:rPr>
            </w:pPr>
            <w:r w:rsidRPr="009500F4">
              <w:rPr>
                <w:b/>
                <w:bCs/>
                <w:sz w:val="18"/>
                <w:szCs w:val="18"/>
              </w:rPr>
              <w:t>r</w:t>
            </w:r>
            <w:r w:rsidR="00A92783" w:rsidRPr="009500F4">
              <w:rPr>
                <w:b/>
                <w:bCs/>
                <w:sz w:val="18"/>
                <w:szCs w:val="18"/>
              </w:rPr>
              <w:t>egistered</w:t>
            </w:r>
            <w:r w:rsidRPr="009500F4">
              <w:rPr>
                <w:b/>
                <w:bCs/>
                <w:sz w:val="18"/>
                <w:szCs w:val="18"/>
              </w:rPr>
              <w:t xml:space="preserve"> in</w:t>
            </w:r>
          </w:p>
          <w:p w:rsidR="00CA4CD7" w:rsidRPr="009500F4" w:rsidRDefault="00CA4CD7" w:rsidP="00170139">
            <w:pPr>
              <w:jc w:val="center"/>
              <w:rPr>
                <w:b/>
                <w:bCs/>
                <w:sz w:val="18"/>
                <w:szCs w:val="18"/>
              </w:rPr>
            </w:pPr>
            <w:r w:rsidRPr="009500F4">
              <w:rPr>
                <w:b/>
                <w:bCs/>
                <w:sz w:val="18"/>
                <w:szCs w:val="18"/>
              </w:rPr>
              <w:t>2010</w:t>
            </w:r>
          </w:p>
        </w:tc>
        <w:tc>
          <w:tcPr>
            <w:tcW w:w="777" w:type="pct"/>
            <w:tcBorders>
              <w:left w:val="nil"/>
              <w:bottom w:val="single" w:sz="4" w:space="0" w:color="auto"/>
              <w:right w:val="nil"/>
            </w:tcBorders>
            <w:shd w:val="clear" w:color="auto" w:fill="FFFFFF" w:themeFill="background1"/>
            <w:noWrap/>
            <w:hideMark/>
          </w:tcPr>
          <w:p w:rsidR="00A92783" w:rsidRPr="009500F4" w:rsidRDefault="00A92783" w:rsidP="00A92783">
            <w:pPr>
              <w:jc w:val="center"/>
              <w:rPr>
                <w:b/>
                <w:bCs/>
                <w:sz w:val="18"/>
                <w:szCs w:val="18"/>
              </w:rPr>
            </w:pPr>
            <w:r w:rsidRPr="009500F4">
              <w:rPr>
                <w:b/>
                <w:bCs/>
                <w:sz w:val="18"/>
                <w:szCs w:val="18"/>
              </w:rPr>
              <w:t>Secured</w:t>
            </w:r>
          </w:p>
          <w:p w:rsidR="00A92783" w:rsidRPr="009500F4" w:rsidRDefault="00416618" w:rsidP="00A92783">
            <w:pPr>
              <w:jc w:val="center"/>
              <w:rPr>
                <w:b/>
                <w:bCs/>
                <w:sz w:val="18"/>
                <w:szCs w:val="18"/>
              </w:rPr>
            </w:pPr>
            <w:r w:rsidRPr="009500F4">
              <w:rPr>
                <w:b/>
                <w:bCs/>
                <w:sz w:val="18"/>
                <w:szCs w:val="18"/>
              </w:rPr>
              <w:t>t</w:t>
            </w:r>
            <w:r w:rsidR="00A92783" w:rsidRPr="009500F4">
              <w:rPr>
                <w:b/>
                <w:bCs/>
                <w:sz w:val="18"/>
                <w:szCs w:val="18"/>
              </w:rPr>
              <w:t>ransactions</w:t>
            </w:r>
          </w:p>
          <w:p w:rsidR="00A92783" w:rsidRPr="009500F4" w:rsidRDefault="00416618" w:rsidP="00A92783">
            <w:pPr>
              <w:jc w:val="center"/>
              <w:rPr>
                <w:b/>
                <w:bCs/>
                <w:sz w:val="18"/>
                <w:szCs w:val="18"/>
              </w:rPr>
            </w:pPr>
            <w:r w:rsidRPr="009500F4">
              <w:rPr>
                <w:b/>
                <w:bCs/>
                <w:sz w:val="18"/>
                <w:szCs w:val="18"/>
              </w:rPr>
              <w:t>r</w:t>
            </w:r>
            <w:r w:rsidR="00A92783" w:rsidRPr="009500F4">
              <w:rPr>
                <w:b/>
                <w:bCs/>
                <w:sz w:val="18"/>
                <w:szCs w:val="18"/>
              </w:rPr>
              <w:t>egistered</w:t>
            </w:r>
            <w:r w:rsidRPr="009500F4">
              <w:rPr>
                <w:b/>
                <w:bCs/>
                <w:sz w:val="18"/>
                <w:szCs w:val="18"/>
              </w:rPr>
              <w:t xml:space="preserve"> in</w:t>
            </w:r>
          </w:p>
          <w:p w:rsidR="00CA4CD7" w:rsidRPr="009500F4" w:rsidRDefault="00CA4CD7" w:rsidP="00170139">
            <w:pPr>
              <w:jc w:val="center"/>
              <w:rPr>
                <w:b/>
                <w:bCs/>
                <w:sz w:val="18"/>
                <w:szCs w:val="18"/>
              </w:rPr>
            </w:pPr>
            <w:r w:rsidRPr="009500F4">
              <w:rPr>
                <w:b/>
                <w:bCs/>
                <w:sz w:val="18"/>
                <w:szCs w:val="18"/>
              </w:rPr>
              <w:t>2014</w:t>
            </w:r>
          </w:p>
        </w:tc>
        <w:tc>
          <w:tcPr>
            <w:tcW w:w="777" w:type="pct"/>
            <w:tcBorders>
              <w:left w:val="nil"/>
              <w:bottom w:val="single" w:sz="4" w:space="0" w:color="auto"/>
              <w:right w:val="nil"/>
            </w:tcBorders>
            <w:shd w:val="clear" w:color="auto" w:fill="FFFFFF" w:themeFill="background1"/>
            <w:noWrap/>
            <w:hideMark/>
          </w:tcPr>
          <w:p w:rsidR="00416618" w:rsidRPr="009500F4" w:rsidRDefault="00416618" w:rsidP="00416618">
            <w:pPr>
              <w:jc w:val="center"/>
              <w:rPr>
                <w:b/>
                <w:bCs/>
                <w:sz w:val="18"/>
                <w:szCs w:val="18"/>
              </w:rPr>
            </w:pPr>
            <w:r w:rsidRPr="009500F4">
              <w:rPr>
                <w:b/>
                <w:bCs/>
                <w:sz w:val="18"/>
                <w:szCs w:val="18"/>
              </w:rPr>
              <w:t>Secured</w:t>
            </w:r>
          </w:p>
          <w:p w:rsidR="00416618" w:rsidRPr="009500F4" w:rsidRDefault="00416618" w:rsidP="00416618">
            <w:pPr>
              <w:jc w:val="center"/>
              <w:rPr>
                <w:b/>
                <w:bCs/>
                <w:sz w:val="18"/>
                <w:szCs w:val="18"/>
              </w:rPr>
            </w:pPr>
            <w:r w:rsidRPr="009500F4">
              <w:rPr>
                <w:b/>
                <w:bCs/>
                <w:sz w:val="18"/>
                <w:szCs w:val="18"/>
              </w:rPr>
              <w:t>transactions</w:t>
            </w:r>
          </w:p>
          <w:p w:rsidR="00416618" w:rsidRPr="009500F4" w:rsidRDefault="00416618" w:rsidP="00416618">
            <w:pPr>
              <w:jc w:val="center"/>
              <w:rPr>
                <w:b/>
                <w:bCs/>
                <w:sz w:val="18"/>
                <w:szCs w:val="18"/>
              </w:rPr>
            </w:pPr>
            <w:r w:rsidRPr="009500F4">
              <w:rPr>
                <w:b/>
                <w:bCs/>
                <w:sz w:val="18"/>
                <w:szCs w:val="18"/>
              </w:rPr>
              <w:t>registered in</w:t>
            </w:r>
          </w:p>
          <w:p w:rsidR="00CA4CD7" w:rsidRPr="009500F4" w:rsidRDefault="00CA4CD7" w:rsidP="00170139">
            <w:pPr>
              <w:jc w:val="center"/>
              <w:rPr>
                <w:b/>
                <w:bCs/>
                <w:sz w:val="18"/>
                <w:szCs w:val="18"/>
              </w:rPr>
            </w:pPr>
            <w:r w:rsidRPr="009500F4">
              <w:rPr>
                <w:b/>
                <w:bCs/>
                <w:sz w:val="18"/>
                <w:szCs w:val="18"/>
              </w:rPr>
              <w:t>2015</w:t>
            </w:r>
          </w:p>
        </w:tc>
        <w:tc>
          <w:tcPr>
            <w:tcW w:w="774" w:type="pct"/>
            <w:tcBorders>
              <w:left w:val="nil"/>
              <w:bottom w:val="single" w:sz="4" w:space="0" w:color="auto"/>
              <w:right w:val="nil"/>
            </w:tcBorders>
            <w:shd w:val="clear" w:color="auto" w:fill="FFFFFF" w:themeFill="background1"/>
            <w:noWrap/>
            <w:hideMark/>
          </w:tcPr>
          <w:p w:rsidR="00416618" w:rsidRPr="009500F4" w:rsidRDefault="00416618" w:rsidP="00416618">
            <w:pPr>
              <w:jc w:val="center"/>
              <w:rPr>
                <w:b/>
                <w:bCs/>
                <w:sz w:val="18"/>
                <w:szCs w:val="18"/>
              </w:rPr>
            </w:pPr>
            <w:r w:rsidRPr="009500F4">
              <w:rPr>
                <w:b/>
                <w:bCs/>
                <w:sz w:val="18"/>
                <w:szCs w:val="18"/>
              </w:rPr>
              <w:t>Secured</w:t>
            </w:r>
          </w:p>
          <w:p w:rsidR="00416618" w:rsidRPr="009500F4" w:rsidRDefault="00416618" w:rsidP="00416618">
            <w:pPr>
              <w:jc w:val="center"/>
              <w:rPr>
                <w:b/>
                <w:bCs/>
                <w:sz w:val="18"/>
                <w:szCs w:val="18"/>
              </w:rPr>
            </w:pPr>
            <w:r w:rsidRPr="009500F4">
              <w:rPr>
                <w:b/>
                <w:bCs/>
                <w:sz w:val="18"/>
                <w:szCs w:val="18"/>
              </w:rPr>
              <w:t>transactions</w:t>
            </w:r>
          </w:p>
          <w:p w:rsidR="00416618" w:rsidRPr="009500F4" w:rsidRDefault="00416618" w:rsidP="00416618">
            <w:pPr>
              <w:jc w:val="center"/>
              <w:rPr>
                <w:b/>
                <w:bCs/>
                <w:sz w:val="18"/>
                <w:szCs w:val="18"/>
              </w:rPr>
            </w:pPr>
            <w:r w:rsidRPr="009500F4">
              <w:rPr>
                <w:b/>
                <w:bCs/>
                <w:sz w:val="18"/>
                <w:szCs w:val="18"/>
              </w:rPr>
              <w:t>registered in</w:t>
            </w:r>
          </w:p>
          <w:p w:rsidR="00CA4CD7" w:rsidRPr="009500F4" w:rsidRDefault="00CA4CD7" w:rsidP="00170139">
            <w:pPr>
              <w:jc w:val="center"/>
              <w:rPr>
                <w:b/>
                <w:bCs/>
                <w:sz w:val="18"/>
                <w:szCs w:val="18"/>
              </w:rPr>
            </w:pPr>
            <w:r w:rsidRPr="009500F4">
              <w:rPr>
                <w:b/>
                <w:bCs/>
                <w:sz w:val="18"/>
                <w:szCs w:val="18"/>
              </w:rPr>
              <w:t>2016</w:t>
            </w:r>
          </w:p>
        </w:tc>
      </w:tr>
      <w:tr w:rsidR="00416618" w:rsidRPr="009500F4" w:rsidTr="00CA2AB0">
        <w:trPr>
          <w:trHeight w:val="289"/>
        </w:trPr>
        <w:tc>
          <w:tcPr>
            <w:tcW w:w="895" w:type="pct"/>
            <w:tcBorders>
              <w:left w:val="nil"/>
              <w:bottom w:val="nil"/>
              <w:right w:val="nil"/>
            </w:tcBorders>
            <w:noWrap/>
            <w:hideMark/>
          </w:tcPr>
          <w:p w:rsidR="00CA4CD7" w:rsidRPr="009500F4" w:rsidRDefault="00CA4CD7" w:rsidP="00CA4CD7">
            <w:pPr>
              <w:rPr>
                <w:sz w:val="18"/>
                <w:szCs w:val="18"/>
              </w:rPr>
            </w:pPr>
            <w:r w:rsidRPr="009500F4">
              <w:rPr>
                <w:sz w:val="18"/>
                <w:szCs w:val="18"/>
              </w:rPr>
              <w:t>RMI</w:t>
            </w:r>
          </w:p>
        </w:tc>
        <w:tc>
          <w:tcPr>
            <w:tcW w:w="1105" w:type="pct"/>
            <w:tcBorders>
              <w:left w:val="nil"/>
              <w:bottom w:val="nil"/>
              <w:right w:val="nil"/>
            </w:tcBorders>
          </w:tcPr>
          <w:p w:rsidR="00CA4CD7" w:rsidRPr="009500F4" w:rsidRDefault="00CA4CD7" w:rsidP="00CA4CD7">
            <w:pPr>
              <w:rPr>
                <w:sz w:val="18"/>
                <w:szCs w:val="18"/>
              </w:rPr>
            </w:pPr>
            <w:r w:rsidRPr="009500F4">
              <w:rPr>
                <w:sz w:val="18"/>
                <w:szCs w:val="18"/>
              </w:rPr>
              <w:t>2007</w:t>
            </w:r>
          </w:p>
        </w:tc>
        <w:tc>
          <w:tcPr>
            <w:tcW w:w="671" w:type="pct"/>
            <w:tcBorders>
              <w:left w:val="nil"/>
              <w:bottom w:val="nil"/>
              <w:right w:val="nil"/>
            </w:tcBorders>
            <w:noWrap/>
            <w:hideMark/>
          </w:tcPr>
          <w:p w:rsidR="00CA4CD7" w:rsidRPr="009500F4" w:rsidRDefault="00CA4CD7" w:rsidP="00CA4CD7">
            <w:pPr>
              <w:rPr>
                <w:sz w:val="18"/>
                <w:szCs w:val="18"/>
              </w:rPr>
            </w:pPr>
            <w:r w:rsidRPr="009500F4">
              <w:rPr>
                <w:sz w:val="18"/>
                <w:szCs w:val="18"/>
              </w:rPr>
              <w:t>1,473</w:t>
            </w:r>
          </w:p>
        </w:tc>
        <w:tc>
          <w:tcPr>
            <w:tcW w:w="777" w:type="pct"/>
            <w:tcBorders>
              <w:left w:val="nil"/>
              <w:bottom w:val="nil"/>
              <w:right w:val="nil"/>
            </w:tcBorders>
            <w:noWrap/>
            <w:hideMark/>
          </w:tcPr>
          <w:p w:rsidR="00CA4CD7" w:rsidRPr="009500F4" w:rsidRDefault="00CA4CD7" w:rsidP="00CA4CD7">
            <w:pPr>
              <w:rPr>
                <w:sz w:val="18"/>
                <w:szCs w:val="18"/>
              </w:rPr>
            </w:pPr>
            <w:r w:rsidRPr="009500F4">
              <w:rPr>
                <w:sz w:val="18"/>
                <w:szCs w:val="18"/>
              </w:rPr>
              <w:t>6,200</w:t>
            </w:r>
          </w:p>
        </w:tc>
        <w:tc>
          <w:tcPr>
            <w:tcW w:w="777" w:type="pct"/>
            <w:tcBorders>
              <w:left w:val="nil"/>
              <w:bottom w:val="nil"/>
              <w:right w:val="nil"/>
            </w:tcBorders>
            <w:noWrap/>
            <w:hideMark/>
          </w:tcPr>
          <w:p w:rsidR="00CA4CD7" w:rsidRPr="009500F4" w:rsidRDefault="00CA4CD7" w:rsidP="00CA4CD7">
            <w:pPr>
              <w:rPr>
                <w:sz w:val="18"/>
                <w:szCs w:val="18"/>
              </w:rPr>
            </w:pPr>
            <w:r w:rsidRPr="009500F4">
              <w:rPr>
                <w:sz w:val="18"/>
                <w:szCs w:val="18"/>
              </w:rPr>
              <w:t>8,050</w:t>
            </w:r>
          </w:p>
        </w:tc>
        <w:tc>
          <w:tcPr>
            <w:tcW w:w="774" w:type="pct"/>
            <w:tcBorders>
              <w:left w:val="nil"/>
              <w:bottom w:val="nil"/>
              <w:right w:val="nil"/>
            </w:tcBorders>
            <w:noWrap/>
            <w:hideMark/>
          </w:tcPr>
          <w:p w:rsidR="00CA4CD7" w:rsidRPr="009500F4" w:rsidRDefault="00CA4CD7" w:rsidP="00CA4CD7">
            <w:pPr>
              <w:rPr>
                <w:sz w:val="18"/>
                <w:szCs w:val="18"/>
              </w:rPr>
            </w:pPr>
            <w:r w:rsidRPr="009500F4">
              <w:rPr>
                <w:sz w:val="18"/>
                <w:szCs w:val="18"/>
              </w:rPr>
              <w:t>9,128</w:t>
            </w:r>
          </w:p>
        </w:tc>
      </w:tr>
      <w:tr w:rsidR="00416618" w:rsidRPr="009500F4" w:rsidTr="00CA2AB0">
        <w:trPr>
          <w:trHeight w:val="289"/>
        </w:trPr>
        <w:tc>
          <w:tcPr>
            <w:tcW w:w="895"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FSM</w:t>
            </w:r>
          </w:p>
        </w:tc>
        <w:tc>
          <w:tcPr>
            <w:tcW w:w="1105" w:type="pct"/>
            <w:tcBorders>
              <w:top w:val="nil"/>
              <w:left w:val="nil"/>
              <w:bottom w:val="nil"/>
              <w:right w:val="nil"/>
            </w:tcBorders>
          </w:tcPr>
          <w:p w:rsidR="00CA4CD7" w:rsidRPr="009500F4" w:rsidRDefault="00CA4CD7" w:rsidP="00CA4CD7">
            <w:pPr>
              <w:rPr>
                <w:sz w:val="18"/>
                <w:szCs w:val="18"/>
              </w:rPr>
            </w:pPr>
            <w:r w:rsidRPr="009500F4">
              <w:rPr>
                <w:sz w:val="18"/>
                <w:szCs w:val="18"/>
              </w:rPr>
              <w:t>2006</w:t>
            </w:r>
          </w:p>
        </w:tc>
        <w:tc>
          <w:tcPr>
            <w:tcW w:w="671"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1,538</w:t>
            </w:r>
          </w:p>
        </w:tc>
        <w:tc>
          <w:tcPr>
            <w:tcW w:w="777"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3,750</w:t>
            </w:r>
          </w:p>
        </w:tc>
        <w:tc>
          <w:tcPr>
            <w:tcW w:w="777"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4,000</w:t>
            </w:r>
          </w:p>
        </w:tc>
        <w:tc>
          <w:tcPr>
            <w:tcW w:w="774"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4,311</w:t>
            </w:r>
          </w:p>
        </w:tc>
      </w:tr>
      <w:tr w:rsidR="00416618" w:rsidRPr="009500F4" w:rsidTr="00CA2AB0">
        <w:trPr>
          <w:trHeight w:val="289"/>
        </w:trPr>
        <w:tc>
          <w:tcPr>
            <w:tcW w:w="895" w:type="pct"/>
            <w:tcBorders>
              <w:top w:val="nil"/>
              <w:left w:val="nil"/>
              <w:bottom w:val="nil"/>
              <w:right w:val="nil"/>
            </w:tcBorders>
            <w:noWrap/>
            <w:hideMark/>
          </w:tcPr>
          <w:p w:rsidR="00CA4CD7" w:rsidRPr="009500F4" w:rsidRDefault="00A92783" w:rsidP="00CA4CD7">
            <w:pPr>
              <w:rPr>
                <w:sz w:val="18"/>
                <w:szCs w:val="18"/>
              </w:rPr>
            </w:pPr>
            <w:r w:rsidRPr="009500F4">
              <w:rPr>
                <w:sz w:val="18"/>
                <w:szCs w:val="18"/>
              </w:rPr>
              <w:t>Palau</w:t>
            </w:r>
          </w:p>
        </w:tc>
        <w:tc>
          <w:tcPr>
            <w:tcW w:w="1105" w:type="pct"/>
            <w:tcBorders>
              <w:top w:val="nil"/>
              <w:left w:val="nil"/>
              <w:bottom w:val="nil"/>
              <w:right w:val="nil"/>
            </w:tcBorders>
          </w:tcPr>
          <w:p w:rsidR="00CA4CD7" w:rsidRPr="009500F4" w:rsidRDefault="00CA4CD7" w:rsidP="00CA4CD7">
            <w:pPr>
              <w:rPr>
                <w:sz w:val="18"/>
                <w:szCs w:val="18"/>
              </w:rPr>
            </w:pPr>
            <w:r w:rsidRPr="009500F4">
              <w:rPr>
                <w:sz w:val="18"/>
                <w:szCs w:val="18"/>
              </w:rPr>
              <w:t>2012</w:t>
            </w:r>
          </w:p>
        </w:tc>
        <w:tc>
          <w:tcPr>
            <w:tcW w:w="671"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457</w:t>
            </w:r>
          </w:p>
        </w:tc>
        <w:tc>
          <w:tcPr>
            <w:tcW w:w="777" w:type="pct"/>
            <w:tcBorders>
              <w:top w:val="nil"/>
              <w:left w:val="nil"/>
              <w:bottom w:val="nil"/>
              <w:right w:val="nil"/>
            </w:tcBorders>
            <w:noWrap/>
            <w:hideMark/>
          </w:tcPr>
          <w:p w:rsidR="00CA4CD7" w:rsidRPr="009500F4" w:rsidRDefault="00CA4CD7" w:rsidP="00CA4CD7">
            <w:pPr>
              <w:rPr>
                <w:sz w:val="18"/>
                <w:szCs w:val="18"/>
              </w:rPr>
            </w:pPr>
          </w:p>
        </w:tc>
        <w:tc>
          <w:tcPr>
            <w:tcW w:w="777"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520</w:t>
            </w:r>
          </w:p>
        </w:tc>
        <w:tc>
          <w:tcPr>
            <w:tcW w:w="774"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663</w:t>
            </w:r>
          </w:p>
        </w:tc>
      </w:tr>
      <w:tr w:rsidR="00416618" w:rsidRPr="009500F4" w:rsidTr="00CA2AB0">
        <w:trPr>
          <w:trHeight w:val="289"/>
        </w:trPr>
        <w:tc>
          <w:tcPr>
            <w:tcW w:w="895" w:type="pct"/>
            <w:tcBorders>
              <w:top w:val="nil"/>
              <w:left w:val="nil"/>
              <w:bottom w:val="nil"/>
              <w:right w:val="nil"/>
            </w:tcBorders>
            <w:noWrap/>
            <w:hideMark/>
          </w:tcPr>
          <w:p w:rsidR="00CA4CD7" w:rsidRPr="009500F4" w:rsidRDefault="00A92783" w:rsidP="00CA4CD7">
            <w:pPr>
              <w:rPr>
                <w:sz w:val="18"/>
                <w:szCs w:val="18"/>
              </w:rPr>
            </w:pPr>
            <w:r w:rsidRPr="009500F4">
              <w:rPr>
                <w:sz w:val="18"/>
                <w:szCs w:val="18"/>
              </w:rPr>
              <w:t>Tonga</w:t>
            </w:r>
          </w:p>
        </w:tc>
        <w:tc>
          <w:tcPr>
            <w:tcW w:w="1105" w:type="pct"/>
            <w:tcBorders>
              <w:top w:val="nil"/>
              <w:left w:val="nil"/>
              <w:bottom w:val="nil"/>
              <w:right w:val="nil"/>
            </w:tcBorders>
          </w:tcPr>
          <w:p w:rsidR="00CA4CD7" w:rsidRPr="009500F4" w:rsidRDefault="00CA4CD7" w:rsidP="00CA4CD7">
            <w:pPr>
              <w:rPr>
                <w:sz w:val="18"/>
                <w:szCs w:val="18"/>
              </w:rPr>
            </w:pPr>
            <w:r w:rsidRPr="009500F4">
              <w:rPr>
                <w:sz w:val="18"/>
                <w:szCs w:val="18"/>
              </w:rPr>
              <w:t>2010</w:t>
            </w:r>
          </w:p>
        </w:tc>
        <w:tc>
          <w:tcPr>
            <w:tcW w:w="671"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7,388</w:t>
            </w:r>
          </w:p>
        </w:tc>
        <w:tc>
          <w:tcPr>
            <w:tcW w:w="777"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10,100</w:t>
            </w:r>
          </w:p>
        </w:tc>
        <w:tc>
          <w:tcPr>
            <w:tcW w:w="777"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10,200</w:t>
            </w:r>
          </w:p>
        </w:tc>
        <w:tc>
          <w:tcPr>
            <w:tcW w:w="774"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10,553</w:t>
            </w:r>
          </w:p>
        </w:tc>
      </w:tr>
      <w:tr w:rsidR="00416618" w:rsidRPr="009500F4" w:rsidTr="00CA2AB0">
        <w:trPr>
          <w:trHeight w:val="289"/>
        </w:trPr>
        <w:tc>
          <w:tcPr>
            <w:tcW w:w="895" w:type="pct"/>
            <w:tcBorders>
              <w:top w:val="nil"/>
              <w:left w:val="nil"/>
              <w:bottom w:val="nil"/>
              <w:right w:val="nil"/>
            </w:tcBorders>
            <w:noWrap/>
            <w:hideMark/>
          </w:tcPr>
          <w:p w:rsidR="00CA4CD7" w:rsidRPr="009500F4" w:rsidRDefault="00A92783" w:rsidP="00CA4CD7">
            <w:pPr>
              <w:rPr>
                <w:sz w:val="18"/>
                <w:szCs w:val="18"/>
              </w:rPr>
            </w:pPr>
            <w:r w:rsidRPr="009500F4">
              <w:rPr>
                <w:sz w:val="18"/>
                <w:szCs w:val="18"/>
              </w:rPr>
              <w:t>Solomon Islands</w:t>
            </w:r>
          </w:p>
        </w:tc>
        <w:tc>
          <w:tcPr>
            <w:tcW w:w="1105" w:type="pct"/>
            <w:tcBorders>
              <w:top w:val="nil"/>
              <w:left w:val="nil"/>
              <w:bottom w:val="nil"/>
              <w:right w:val="nil"/>
            </w:tcBorders>
          </w:tcPr>
          <w:p w:rsidR="00CA4CD7" w:rsidRPr="009500F4" w:rsidRDefault="00CA4CD7" w:rsidP="00CA4CD7">
            <w:pPr>
              <w:rPr>
                <w:sz w:val="18"/>
                <w:szCs w:val="18"/>
              </w:rPr>
            </w:pPr>
            <w:r w:rsidRPr="009500F4">
              <w:rPr>
                <w:sz w:val="18"/>
                <w:szCs w:val="18"/>
              </w:rPr>
              <w:t>2008</w:t>
            </w:r>
          </w:p>
        </w:tc>
        <w:tc>
          <w:tcPr>
            <w:tcW w:w="671"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3,457</w:t>
            </w:r>
          </w:p>
        </w:tc>
        <w:tc>
          <w:tcPr>
            <w:tcW w:w="777"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5,100</w:t>
            </w:r>
          </w:p>
        </w:tc>
        <w:tc>
          <w:tcPr>
            <w:tcW w:w="777"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5,500</w:t>
            </w:r>
          </w:p>
        </w:tc>
        <w:tc>
          <w:tcPr>
            <w:tcW w:w="774"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7,510</w:t>
            </w:r>
          </w:p>
        </w:tc>
      </w:tr>
      <w:tr w:rsidR="00416618" w:rsidRPr="009500F4" w:rsidTr="00CA2AB0">
        <w:trPr>
          <w:trHeight w:val="289"/>
        </w:trPr>
        <w:tc>
          <w:tcPr>
            <w:tcW w:w="895" w:type="pct"/>
            <w:tcBorders>
              <w:top w:val="nil"/>
              <w:left w:val="nil"/>
              <w:bottom w:val="nil"/>
              <w:right w:val="nil"/>
            </w:tcBorders>
            <w:noWrap/>
            <w:hideMark/>
          </w:tcPr>
          <w:p w:rsidR="00CA4CD7" w:rsidRPr="009500F4" w:rsidRDefault="00A92783" w:rsidP="00CA4CD7">
            <w:pPr>
              <w:rPr>
                <w:sz w:val="18"/>
                <w:szCs w:val="18"/>
              </w:rPr>
            </w:pPr>
            <w:r w:rsidRPr="009500F4">
              <w:rPr>
                <w:sz w:val="18"/>
                <w:szCs w:val="18"/>
              </w:rPr>
              <w:t>Vanuatu</w:t>
            </w:r>
          </w:p>
        </w:tc>
        <w:tc>
          <w:tcPr>
            <w:tcW w:w="1105" w:type="pct"/>
            <w:tcBorders>
              <w:top w:val="nil"/>
              <w:left w:val="nil"/>
              <w:bottom w:val="nil"/>
              <w:right w:val="nil"/>
            </w:tcBorders>
          </w:tcPr>
          <w:p w:rsidR="00CA4CD7" w:rsidRPr="009500F4" w:rsidRDefault="00CA4CD7" w:rsidP="00CA4CD7">
            <w:pPr>
              <w:rPr>
                <w:sz w:val="18"/>
                <w:szCs w:val="18"/>
              </w:rPr>
            </w:pPr>
            <w:r w:rsidRPr="009500F4">
              <w:rPr>
                <w:sz w:val="18"/>
                <w:szCs w:val="18"/>
              </w:rPr>
              <w:t>2008</w:t>
            </w:r>
          </w:p>
        </w:tc>
        <w:tc>
          <w:tcPr>
            <w:tcW w:w="671"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1,873</w:t>
            </w:r>
          </w:p>
        </w:tc>
        <w:tc>
          <w:tcPr>
            <w:tcW w:w="777"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4,200</w:t>
            </w:r>
          </w:p>
        </w:tc>
        <w:tc>
          <w:tcPr>
            <w:tcW w:w="777"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4,800</w:t>
            </w:r>
          </w:p>
        </w:tc>
        <w:tc>
          <w:tcPr>
            <w:tcW w:w="774"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4,998</w:t>
            </w:r>
          </w:p>
        </w:tc>
      </w:tr>
      <w:tr w:rsidR="00416618" w:rsidRPr="009500F4" w:rsidTr="00CA2AB0">
        <w:trPr>
          <w:trHeight w:val="289"/>
        </w:trPr>
        <w:tc>
          <w:tcPr>
            <w:tcW w:w="895" w:type="pct"/>
            <w:tcBorders>
              <w:top w:val="nil"/>
              <w:left w:val="nil"/>
              <w:right w:val="nil"/>
            </w:tcBorders>
            <w:noWrap/>
            <w:hideMark/>
          </w:tcPr>
          <w:p w:rsidR="00CA4CD7" w:rsidRPr="009500F4" w:rsidRDefault="00CA4CD7" w:rsidP="00CA4CD7">
            <w:pPr>
              <w:rPr>
                <w:b/>
                <w:bCs/>
                <w:sz w:val="18"/>
                <w:szCs w:val="18"/>
              </w:rPr>
            </w:pPr>
            <w:r w:rsidRPr="009500F4">
              <w:rPr>
                <w:b/>
                <w:bCs/>
                <w:sz w:val="18"/>
                <w:szCs w:val="18"/>
              </w:rPr>
              <w:t>Total</w:t>
            </w:r>
            <w:r w:rsidR="00A92783" w:rsidRPr="009500F4">
              <w:rPr>
                <w:b/>
                <w:bCs/>
                <w:sz w:val="18"/>
                <w:szCs w:val="18"/>
              </w:rPr>
              <w:t xml:space="preserve"> (</w:t>
            </w:r>
            <w:r w:rsidRPr="009500F4">
              <w:rPr>
                <w:b/>
                <w:bCs/>
                <w:sz w:val="18"/>
                <w:szCs w:val="18"/>
              </w:rPr>
              <w:t>Average</w:t>
            </w:r>
            <w:r w:rsidR="00A92783" w:rsidRPr="009500F4">
              <w:rPr>
                <w:b/>
                <w:bCs/>
                <w:sz w:val="18"/>
                <w:szCs w:val="18"/>
              </w:rPr>
              <w:t>)</w:t>
            </w:r>
          </w:p>
        </w:tc>
        <w:tc>
          <w:tcPr>
            <w:tcW w:w="1105" w:type="pct"/>
            <w:tcBorders>
              <w:top w:val="nil"/>
              <w:left w:val="nil"/>
              <w:right w:val="nil"/>
            </w:tcBorders>
          </w:tcPr>
          <w:p w:rsidR="00CA4CD7" w:rsidRPr="009500F4" w:rsidRDefault="00CA4CD7" w:rsidP="00CA4CD7">
            <w:pPr>
              <w:rPr>
                <w:b/>
                <w:bCs/>
                <w:sz w:val="18"/>
                <w:szCs w:val="18"/>
              </w:rPr>
            </w:pPr>
          </w:p>
        </w:tc>
        <w:tc>
          <w:tcPr>
            <w:tcW w:w="671" w:type="pct"/>
            <w:tcBorders>
              <w:top w:val="nil"/>
              <w:left w:val="nil"/>
              <w:right w:val="nil"/>
            </w:tcBorders>
            <w:noWrap/>
            <w:hideMark/>
          </w:tcPr>
          <w:p w:rsidR="00CA4CD7" w:rsidRPr="009500F4" w:rsidRDefault="00CA4CD7" w:rsidP="00CA4CD7">
            <w:pPr>
              <w:rPr>
                <w:b/>
                <w:bCs/>
                <w:sz w:val="18"/>
                <w:szCs w:val="18"/>
              </w:rPr>
            </w:pPr>
            <w:r w:rsidRPr="009500F4">
              <w:rPr>
                <w:b/>
                <w:bCs/>
                <w:sz w:val="18"/>
                <w:szCs w:val="18"/>
              </w:rPr>
              <w:t>16,186</w:t>
            </w:r>
          </w:p>
        </w:tc>
        <w:tc>
          <w:tcPr>
            <w:tcW w:w="777" w:type="pct"/>
            <w:tcBorders>
              <w:top w:val="nil"/>
              <w:left w:val="nil"/>
              <w:right w:val="nil"/>
            </w:tcBorders>
            <w:noWrap/>
            <w:hideMark/>
          </w:tcPr>
          <w:p w:rsidR="00CA4CD7" w:rsidRPr="009500F4" w:rsidRDefault="00CA4CD7" w:rsidP="00CA4CD7">
            <w:pPr>
              <w:rPr>
                <w:b/>
                <w:bCs/>
                <w:sz w:val="18"/>
                <w:szCs w:val="18"/>
              </w:rPr>
            </w:pPr>
            <w:r w:rsidRPr="009500F4">
              <w:rPr>
                <w:b/>
                <w:bCs/>
                <w:sz w:val="18"/>
                <w:szCs w:val="18"/>
              </w:rPr>
              <w:t>29,350</w:t>
            </w:r>
          </w:p>
        </w:tc>
        <w:tc>
          <w:tcPr>
            <w:tcW w:w="777" w:type="pct"/>
            <w:tcBorders>
              <w:top w:val="nil"/>
              <w:left w:val="nil"/>
              <w:right w:val="nil"/>
            </w:tcBorders>
            <w:noWrap/>
            <w:hideMark/>
          </w:tcPr>
          <w:p w:rsidR="00CA4CD7" w:rsidRPr="009500F4" w:rsidRDefault="00CA4CD7" w:rsidP="00CA4CD7">
            <w:pPr>
              <w:rPr>
                <w:b/>
                <w:bCs/>
                <w:sz w:val="18"/>
                <w:szCs w:val="18"/>
              </w:rPr>
            </w:pPr>
            <w:r w:rsidRPr="009500F4">
              <w:rPr>
                <w:b/>
                <w:bCs/>
                <w:sz w:val="18"/>
                <w:szCs w:val="18"/>
              </w:rPr>
              <w:t>33,070</w:t>
            </w:r>
          </w:p>
        </w:tc>
        <w:tc>
          <w:tcPr>
            <w:tcW w:w="774" w:type="pct"/>
            <w:tcBorders>
              <w:top w:val="nil"/>
              <w:left w:val="nil"/>
              <w:right w:val="nil"/>
            </w:tcBorders>
            <w:noWrap/>
            <w:hideMark/>
          </w:tcPr>
          <w:p w:rsidR="00CA4CD7" w:rsidRPr="009500F4" w:rsidRDefault="00CA4CD7" w:rsidP="00CA4CD7">
            <w:pPr>
              <w:rPr>
                <w:b/>
                <w:bCs/>
                <w:sz w:val="18"/>
                <w:szCs w:val="18"/>
              </w:rPr>
            </w:pPr>
            <w:r w:rsidRPr="009500F4">
              <w:rPr>
                <w:b/>
                <w:bCs/>
                <w:sz w:val="18"/>
                <w:szCs w:val="18"/>
              </w:rPr>
              <w:t>37,163</w:t>
            </w:r>
          </w:p>
        </w:tc>
      </w:tr>
    </w:tbl>
    <w:p w:rsidR="00CA2AB0" w:rsidRPr="009500F4" w:rsidRDefault="00CA2AB0" w:rsidP="00170139">
      <w:pPr>
        <w:rPr>
          <w:rFonts w:eastAsia="Times New Roman" w:cs="Arial"/>
          <w:sz w:val="16"/>
          <w:szCs w:val="16"/>
          <w:lang w:val="en-AU" w:eastAsia="en-US"/>
        </w:rPr>
      </w:pPr>
      <w:r w:rsidRPr="009500F4">
        <w:rPr>
          <w:sz w:val="16"/>
          <w:szCs w:val="16"/>
        </w:rPr>
        <w:t>FSM = Federated States of Micronesia, RMI = Republic of the Marshall Islands.</w:t>
      </w:r>
    </w:p>
    <w:p w:rsidR="00CA4CD7" w:rsidRPr="009500F4" w:rsidRDefault="00CA2AB0" w:rsidP="00BA7C5E">
      <w:pPr>
        <w:rPr>
          <w:sz w:val="18"/>
          <w:szCs w:val="18"/>
        </w:rPr>
      </w:pPr>
      <w:r w:rsidRPr="009500F4">
        <w:rPr>
          <w:sz w:val="16"/>
          <w:szCs w:val="16"/>
        </w:rPr>
        <w:t>Source: Private Sector Development Initiative.</w:t>
      </w:r>
    </w:p>
    <w:p w:rsidR="00CA2AB0" w:rsidRPr="009500F4" w:rsidRDefault="00CA2AB0" w:rsidP="00CA4CD7">
      <w:pPr>
        <w:rPr>
          <w:szCs w:val="22"/>
        </w:rPr>
      </w:pPr>
    </w:p>
    <w:p w:rsidR="00EB09FB" w:rsidRDefault="00CA4CD7" w:rsidP="000D639E">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In PNG, while PSDI’s work </w:t>
      </w:r>
      <w:r w:rsidR="00416618" w:rsidRPr="009500F4">
        <w:rPr>
          <w:rFonts w:eastAsia="Calibri" w:cs="Arial"/>
          <w:szCs w:val="22"/>
          <w:lang w:eastAsia="en-US"/>
        </w:rPr>
        <w:t xml:space="preserve">in secured transactions </w:t>
      </w:r>
      <w:r w:rsidRPr="009500F4">
        <w:rPr>
          <w:rFonts w:eastAsia="Calibri" w:cs="Arial"/>
          <w:szCs w:val="22"/>
          <w:lang w:eastAsia="en-US"/>
        </w:rPr>
        <w:t>is praised, the outcomes have led to some disappointment. Secured transactions reform has not led to the “take</w:t>
      </w:r>
      <w:r w:rsidR="00416618" w:rsidRPr="009500F4">
        <w:rPr>
          <w:rFonts w:eastAsia="Calibri" w:cs="Arial"/>
          <w:szCs w:val="22"/>
          <w:lang w:eastAsia="en-US"/>
        </w:rPr>
        <w:t xml:space="preserve"> </w:t>
      </w:r>
      <w:r w:rsidRPr="009500F4">
        <w:rPr>
          <w:rFonts w:eastAsia="Calibri" w:cs="Arial"/>
          <w:szCs w:val="22"/>
          <w:lang w:eastAsia="en-US"/>
        </w:rPr>
        <w:t xml:space="preserve">off” </w:t>
      </w:r>
      <w:r w:rsidR="00416618" w:rsidRPr="009500F4">
        <w:rPr>
          <w:rFonts w:eastAsia="Calibri" w:cs="Arial"/>
          <w:szCs w:val="22"/>
          <w:lang w:eastAsia="en-US"/>
        </w:rPr>
        <w:t xml:space="preserve">hoped for </w:t>
      </w:r>
      <w:r w:rsidRPr="009500F4">
        <w:rPr>
          <w:rFonts w:eastAsia="Calibri" w:cs="Arial"/>
          <w:szCs w:val="22"/>
          <w:lang w:eastAsia="en-US"/>
        </w:rPr>
        <w:t xml:space="preserve">in lending, according to the </w:t>
      </w:r>
      <w:r w:rsidR="00416618" w:rsidRPr="009500F4">
        <w:rPr>
          <w:rFonts w:eastAsia="Calibri" w:cs="Arial"/>
          <w:szCs w:val="22"/>
          <w:lang w:eastAsia="en-US"/>
        </w:rPr>
        <w:t xml:space="preserve">country’s </w:t>
      </w:r>
      <w:r w:rsidRPr="009500F4">
        <w:rPr>
          <w:rFonts w:eastAsia="Calibri" w:cs="Arial"/>
          <w:szCs w:val="22"/>
          <w:lang w:eastAsia="en-US"/>
        </w:rPr>
        <w:t>central bank</w:t>
      </w:r>
      <w:r w:rsidR="000F1FC3">
        <w:rPr>
          <w:rFonts w:eastAsia="Calibri" w:cs="Arial"/>
          <w:szCs w:val="22"/>
          <w:lang w:eastAsia="en-US"/>
        </w:rPr>
        <w:t xml:space="preserve">. </w:t>
      </w:r>
      <w:bookmarkStart w:id="123" w:name="_Hlk499652572"/>
      <w:r w:rsidR="00133FFA">
        <w:rPr>
          <w:rFonts w:eastAsia="Calibri" w:cs="Arial"/>
          <w:szCs w:val="22"/>
          <w:lang w:eastAsia="en-US"/>
        </w:rPr>
        <w:t xml:space="preserve">In response, PSDI consultants noted that </w:t>
      </w:r>
      <w:r w:rsidR="000F1FC3">
        <w:rPr>
          <w:rFonts w:eastAsia="Calibri" w:cs="Arial"/>
          <w:szCs w:val="22"/>
          <w:lang w:eastAsia="en-US"/>
        </w:rPr>
        <w:t>t</w:t>
      </w:r>
      <w:r w:rsidR="000F1FC3" w:rsidRPr="000F1FC3">
        <w:rPr>
          <w:rFonts w:eastAsia="Calibri" w:cs="Arial"/>
          <w:szCs w:val="22"/>
          <w:lang w:eastAsia="en-US"/>
        </w:rPr>
        <w:t xml:space="preserve">he reform </w:t>
      </w:r>
      <w:r w:rsidR="000F1FC3">
        <w:rPr>
          <w:rFonts w:eastAsia="Calibri" w:cs="Arial"/>
          <w:szCs w:val="22"/>
          <w:lang w:eastAsia="en-US"/>
        </w:rPr>
        <w:t xml:space="preserve">only went ‘live’ in May 2016 and </w:t>
      </w:r>
      <w:r w:rsidR="00133FFA">
        <w:rPr>
          <w:rFonts w:eastAsia="Calibri" w:cs="Arial"/>
          <w:szCs w:val="22"/>
          <w:lang w:eastAsia="en-US"/>
        </w:rPr>
        <w:t xml:space="preserve">often the </w:t>
      </w:r>
      <w:r w:rsidR="000F1FC3" w:rsidRPr="000F1FC3">
        <w:rPr>
          <w:rFonts w:eastAsia="Calibri" w:cs="Arial"/>
          <w:szCs w:val="22"/>
          <w:lang w:eastAsia="en-US"/>
        </w:rPr>
        <w:t xml:space="preserve">first 6 months </w:t>
      </w:r>
      <w:r w:rsidR="00133FFA">
        <w:rPr>
          <w:rFonts w:eastAsia="Calibri" w:cs="Arial"/>
          <w:szCs w:val="22"/>
          <w:lang w:eastAsia="en-US"/>
        </w:rPr>
        <w:t xml:space="preserve">or so </w:t>
      </w:r>
      <w:r w:rsidR="000F1FC3" w:rsidRPr="000F1FC3">
        <w:rPr>
          <w:rFonts w:eastAsia="Calibri" w:cs="Arial"/>
          <w:szCs w:val="22"/>
          <w:lang w:eastAsia="en-US"/>
        </w:rPr>
        <w:t xml:space="preserve">is a transition period and new product development </w:t>
      </w:r>
      <w:r w:rsidR="00133FFA">
        <w:rPr>
          <w:rFonts w:eastAsia="Calibri" w:cs="Arial"/>
          <w:szCs w:val="22"/>
          <w:lang w:eastAsia="en-US"/>
        </w:rPr>
        <w:t>often starts after this period.</w:t>
      </w:r>
      <w:bookmarkEnd w:id="123"/>
      <w:r w:rsidR="00133FFA">
        <w:rPr>
          <w:rFonts w:eastAsia="Calibri" w:cs="Arial"/>
          <w:szCs w:val="22"/>
          <w:lang w:eastAsia="en-US"/>
        </w:rPr>
        <w:t xml:space="preserve"> </w:t>
      </w:r>
      <w:r w:rsidRPr="00133FFA">
        <w:rPr>
          <w:rFonts w:eastAsia="Calibri" w:cs="Arial"/>
          <w:szCs w:val="22"/>
          <w:lang w:eastAsia="en-US"/>
        </w:rPr>
        <w:t xml:space="preserve">Nonperforming loans have </w:t>
      </w:r>
      <w:r w:rsidR="00133FFA">
        <w:rPr>
          <w:rFonts w:eastAsia="Calibri" w:cs="Arial"/>
          <w:szCs w:val="22"/>
          <w:lang w:eastAsia="en-US"/>
        </w:rPr>
        <w:t xml:space="preserve">however </w:t>
      </w:r>
      <w:r w:rsidRPr="00133FFA">
        <w:rPr>
          <w:rFonts w:eastAsia="Calibri" w:cs="Arial"/>
          <w:szCs w:val="22"/>
          <w:lang w:eastAsia="en-US"/>
        </w:rPr>
        <w:t>been reduced, but interest</w:t>
      </w:r>
      <w:r w:rsidR="00416618" w:rsidRPr="00133FFA">
        <w:rPr>
          <w:rFonts w:eastAsia="Calibri" w:cs="Arial"/>
          <w:szCs w:val="22"/>
          <w:lang w:eastAsia="en-US"/>
        </w:rPr>
        <w:t>-</w:t>
      </w:r>
      <w:r w:rsidRPr="00133FFA">
        <w:rPr>
          <w:rFonts w:eastAsia="Calibri" w:cs="Arial"/>
          <w:szCs w:val="22"/>
          <w:lang w:eastAsia="en-US"/>
        </w:rPr>
        <w:t>rate spreads remain stubbornly high (9</w:t>
      </w:r>
      <w:r w:rsidR="00416618" w:rsidRPr="00133FFA">
        <w:rPr>
          <w:rFonts w:eastAsia="Calibri" w:cs="Arial"/>
          <w:szCs w:val="22"/>
          <w:lang w:eastAsia="en-US"/>
        </w:rPr>
        <w:t>%–</w:t>
      </w:r>
      <w:r w:rsidRPr="00133FFA">
        <w:rPr>
          <w:rFonts w:eastAsia="Calibri" w:cs="Arial"/>
          <w:szCs w:val="22"/>
          <w:lang w:eastAsia="en-US"/>
        </w:rPr>
        <w:t>13%). Informal moneylending is pervasive, with lenders holding debtors’ ATM cards and PIN</w:t>
      </w:r>
      <w:r w:rsidR="00416618" w:rsidRPr="00133FFA">
        <w:rPr>
          <w:rFonts w:eastAsia="Calibri" w:cs="Arial"/>
          <w:szCs w:val="22"/>
          <w:lang w:eastAsia="en-US"/>
        </w:rPr>
        <w:t>s</w:t>
      </w:r>
      <w:r w:rsidRPr="00133FFA">
        <w:rPr>
          <w:rFonts w:eastAsia="Calibri" w:cs="Arial"/>
          <w:szCs w:val="22"/>
          <w:lang w:eastAsia="en-US"/>
        </w:rPr>
        <w:t xml:space="preserve"> to ensure prompt repayment. </w:t>
      </w:r>
    </w:p>
    <w:p w:rsidR="000D639E" w:rsidRDefault="000D639E" w:rsidP="000D639E">
      <w:pPr>
        <w:tabs>
          <w:tab w:val="left" w:pos="567"/>
        </w:tabs>
        <w:rPr>
          <w:rFonts w:eastAsia="Calibri" w:cs="Arial"/>
          <w:szCs w:val="22"/>
          <w:lang w:eastAsia="en-US"/>
        </w:rPr>
      </w:pPr>
    </w:p>
    <w:p w:rsidR="00CA4CD7" w:rsidRPr="009500F4" w:rsidRDefault="00CA4CD7"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On the whole, counterparts have been impressed with </w:t>
      </w:r>
      <w:r w:rsidR="00385E70" w:rsidRPr="009500F4">
        <w:rPr>
          <w:rFonts w:eastAsia="Calibri" w:cs="Arial"/>
          <w:szCs w:val="22"/>
          <w:lang w:eastAsia="en-US"/>
        </w:rPr>
        <w:t xml:space="preserve">the work of </w:t>
      </w:r>
      <w:r w:rsidRPr="009500F4">
        <w:rPr>
          <w:rFonts w:eastAsia="Calibri" w:cs="Arial"/>
          <w:szCs w:val="22"/>
          <w:lang w:eastAsia="en-US"/>
        </w:rPr>
        <w:t xml:space="preserve">the </w:t>
      </w:r>
      <w:r w:rsidR="00385E70" w:rsidRPr="009500F4">
        <w:rPr>
          <w:rFonts w:eastAsia="Calibri" w:cs="Arial"/>
          <w:szCs w:val="22"/>
          <w:lang w:eastAsia="en-US"/>
        </w:rPr>
        <w:t xml:space="preserve">PSDI </w:t>
      </w:r>
      <w:r w:rsidRPr="009500F4">
        <w:rPr>
          <w:rFonts w:eastAsia="Calibri" w:cs="Arial"/>
          <w:szCs w:val="22"/>
          <w:lang w:eastAsia="en-US"/>
        </w:rPr>
        <w:t>team</w:t>
      </w:r>
      <w:r w:rsidR="00385E70" w:rsidRPr="009500F4">
        <w:rPr>
          <w:rFonts w:eastAsia="Calibri" w:cs="Arial"/>
          <w:szCs w:val="22"/>
          <w:lang w:eastAsia="en-US"/>
        </w:rPr>
        <w:t>. This reflects</w:t>
      </w:r>
      <w:r w:rsidRPr="009500F4">
        <w:rPr>
          <w:rFonts w:eastAsia="Calibri" w:cs="Arial"/>
          <w:szCs w:val="22"/>
          <w:lang w:eastAsia="en-US"/>
        </w:rPr>
        <w:t xml:space="preserve"> their perception of </w:t>
      </w:r>
      <w:r w:rsidR="00385E70" w:rsidRPr="009500F4">
        <w:rPr>
          <w:rFonts w:eastAsia="Calibri" w:cs="Arial"/>
          <w:szCs w:val="22"/>
          <w:lang w:eastAsia="en-US"/>
        </w:rPr>
        <w:t>PSDI</w:t>
      </w:r>
      <w:r w:rsidRPr="009500F4">
        <w:rPr>
          <w:rFonts w:eastAsia="Calibri" w:cs="Arial"/>
          <w:szCs w:val="22"/>
          <w:lang w:eastAsia="en-US"/>
        </w:rPr>
        <w:t>’s effectiveness, the team’s responsiveness, and the relationships of trust that have been established. According to one partner financial institution, “We sleep better knowing [PSDI] is there.” In Timor, PSDI’s assistance to the</w:t>
      </w:r>
      <w:r w:rsidR="00667BCD" w:rsidRPr="009500F4">
        <w:rPr>
          <w:rFonts w:eastAsia="Calibri" w:cs="Arial"/>
          <w:szCs w:val="22"/>
          <w:lang w:eastAsia="en-US"/>
        </w:rPr>
        <w:t xml:space="preserve"> government’s</w:t>
      </w:r>
      <w:r w:rsidRPr="009500F4">
        <w:rPr>
          <w:rFonts w:eastAsia="Calibri" w:cs="Arial"/>
          <w:szCs w:val="22"/>
          <w:lang w:eastAsia="en-US"/>
        </w:rPr>
        <w:t xml:space="preserve"> Financial Intelligence Unit on the National Risk Assessment was described as “helpful, professional, and comprehensive.” The input was used in creating the National Action Plan on </w:t>
      </w:r>
      <w:r w:rsidR="00280342" w:rsidRPr="009500F4">
        <w:rPr>
          <w:rFonts w:eastAsia="Calibri" w:cs="Arial"/>
          <w:szCs w:val="22"/>
          <w:lang w:eastAsia="en-US"/>
        </w:rPr>
        <w:t>Anti-Money Laundering and Counter-Terrorism Financing</w:t>
      </w:r>
      <w:r w:rsidRPr="009500F4">
        <w:rPr>
          <w:rFonts w:eastAsia="Calibri" w:cs="Arial"/>
          <w:szCs w:val="22"/>
          <w:lang w:eastAsia="en-US"/>
        </w:rPr>
        <w:t xml:space="preserve"> for 2016</w:t>
      </w:r>
      <w:r w:rsidR="00667BCD" w:rsidRPr="009500F4">
        <w:rPr>
          <w:rFonts w:eastAsia="Calibri" w:cs="Arial"/>
          <w:szCs w:val="22"/>
          <w:lang w:eastAsia="en-US"/>
        </w:rPr>
        <w:t>–</w:t>
      </w:r>
      <w:r w:rsidRPr="009500F4">
        <w:rPr>
          <w:rFonts w:eastAsia="Calibri" w:cs="Arial"/>
          <w:szCs w:val="22"/>
          <w:lang w:eastAsia="en-US"/>
        </w:rPr>
        <w:t xml:space="preserve">2020. In PNG, the central bank noted its successful collaboration with PSDI, including recent work on </w:t>
      </w:r>
      <w:r w:rsidR="00667BCD" w:rsidRPr="009500F4">
        <w:rPr>
          <w:rFonts w:eastAsia="Calibri" w:cs="Arial"/>
          <w:szCs w:val="22"/>
          <w:lang w:eastAsia="en-US"/>
        </w:rPr>
        <w:t xml:space="preserve">a </w:t>
      </w:r>
      <w:r w:rsidRPr="009500F4">
        <w:rPr>
          <w:rFonts w:eastAsia="Calibri" w:cs="Arial"/>
          <w:szCs w:val="22"/>
          <w:lang w:eastAsia="en-US"/>
        </w:rPr>
        <w:t xml:space="preserve">macro-prudential framework and </w:t>
      </w:r>
      <w:r w:rsidR="00667BCD" w:rsidRPr="009500F4">
        <w:rPr>
          <w:rFonts w:eastAsia="Calibri" w:cs="Arial"/>
          <w:szCs w:val="22"/>
          <w:lang w:eastAsia="en-US"/>
        </w:rPr>
        <w:t xml:space="preserve">a </w:t>
      </w:r>
      <w:r w:rsidRPr="009500F4">
        <w:rPr>
          <w:rFonts w:eastAsia="Calibri" w:cs="Arial"/>
          <w:szCs w:val="22"/>
          <w:lang w:eastAsia="en-US"/>
        </w:rPr>
        <w:t>study of risk concentration across the</w:t>
      </w:r>
      <w:r w:rsidR="00667BCD" w:rsidRPr="009500F4">
        <w:rPr>
          <w:rFonts w:eastAsia="Calibri" w:cs="Arial"/>
          <w:szCs w:val="22"/>
          <w:lang w:eastAsia="en-US"/>
        </w:rPr>
        <w:t xml:space="preserve"> country’s</w:t>
      </w:r>
      <w:r w:rsidRPr="009500F4">
        <w:rPr>
          <w:rFonts w:eastAsia="Calibri" w:cs="Arial"/>
          <w:szCs w:val="22"/>
          <w:lang w:eastAsia="en-US"/>
        </w:rPr>
        <w:t xml:space="preserve"> financial sector.</w:t>
      </w:r>
    </w:p>
    <w:p w:rsidR="00EB420F" w:rsidRPr="009500F4" w:rsidRDefault="00EB420F" w:rsidP="00CA4CD7"/>
    <w:p w:rsidR="00205AD1" w:rsidRPr="009500F4" w:rsidRDefault="00CA4CD7" w:rsidP="00205AD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Under the </w:t>
      </w:r>
      <w:r w:rsidR="00F8214A" w:rsidRPr="009500F4">
        <w:rPr>
          <w:rFonts w:eastAsia="Calibri" w:cs="Arial"/>
          <w:szCs w:val="22"/>
          <w:lang w:eastAsia="en-US"/>
        </w:rPr>
        <w:t>f</w:t>
      </w:r>
      <w:r w:rsidRPr="009500F4">
        <w:rPr>
          <w:rFonts w:eastAsia="Calibri" w:cs="Arial"/>
          <w:szCs w:val="22"/>
          <w:lang w:eastAsia="en-US"/>
        </w:rPr>
        <w:t xml:space="preserve">inancing </w:t>
      </w:r>
      <w:r w:rsidR="00F8214A" w:rsidRPr="009500F4">
        <w:rPr>
          <w:rFonts w:eastAsia="Calibri" w:cs="Arial"/>
          <w:szCs w:val="22"/>
          <w:lang w:eastAsia="en-US"/>
        </w:rPr>
        <w:t>g</w:t>
      </w:r>
      <w:r w:rsidRPr="009500F4">
        <w:rPr>
          <w:rFonts w:eastAsia="Calibri" w:cs="Arial"/>
          <w:szCs w:val="22"/>
          <w:lang w:eastAsia="en-US"/>
        </w:rPr>
        <w:t xml:space="preserve">rowth </w:t>
      </w:r>
      <w:r w:rsidR="00667BCD" w:rsidRPr="009500F4">
        <w:rPr>
          <w:rFonts w:eastAsia="Calibri" w:cs="Arial"/>
          <w:szCs w:val="22"/>
          <w:lang w:eastAsia="en-US"/>
        </w:rPr>
        <w:t>component</w:t>
      </w:r>
      <w:r w:rsidRPr="009500F4">
        <w:rPr>
          <w:rFonts w:eastAsia="Calibri" w:cs="Arial"/>
          <w:szCs w:val="22"/>
          <w:lang w:eastAsia="en-US"/>
        </w:rPr>
        <w:t xml:space="preserve">, secured transactions </w:t>
      </w:r>
      <w:r w:rsidR="00667BCD" w:rsidRPr="009500F4">
        <w:rPr>
          <w:rFonts w:eastAsia="Calibri" w:cs="Arial"/>
          <w:szCs w:val="22"/>
          <w:lang w:eastAsia="en-US"/>
        </w:rPr>
        <w:t xml:space="preserve">frameworks have </w:t>
      </w:r>
      <w:r w:rsidRPr="009500F4">
        <w:rPr>
          <w:rFonts w:eastAsia="Calibri" w:cs="Arial"/>
          <w:szCs w:val="22"/>
          <w:lang w:eastAsia="en-US"/>
        </w:rPr>
        <w:t xml:space="preserve">been the main area of focus, and </w:t>
      </w:r>
      <w:r w:rsidR="00667BCD" w:rsidRPr="009500F4">
        <w:rPr>
          <w:rFonts w:eastAsia="Calibri" w:cs="Arial"/>
          <w:szCs w:val="22"/>
          <w:lang w:eastAsia="en-US"/>
        </w:rPr>
        <w:t xml:space="preserve">this is an area </w:t>
      </w:r>
      <w:r w:rsidRPr="009500F4">
        <w:rPr>
          <w:rFonts w:eastAsia="Calibri" w:cs="Arial"/>
          <w:szCs w:val="22"/>
          <w:lang w:eastAsia="en-US"/>
        </w:rPr>
        <w:t>that appears to have great potential. Th</w:t>
      </w:r>
      <w:r w:rsidR="00667BCD" w:rsidRPr="009500F4">
        <w:rPr>
          <w:rFonts w:eastAsia="Calibri" w:cs="Arial"/>
          <w:szCs w:val="22"/>
          <w:lang w:eastAsia="en-US"/>
        </w:rPr>
        <w:t>e financing growth</w:t>
      </w:r>
      <w:r w:rsidRPr="009500F4">
        <w:rPr>
          <w:rFonts w:eastAsia="Calibri" w:cs="Arial"/>
          <w:szCs w:val="22"/>
          <w:lang w:eastAsia="en-US"/>
        </w:rPr>
        <w:t xml:space="preserve"> component has also dealt with banking regulation, anti-money laundering, digital finance, provident funds, and insurance. Impact is more difficult to assess in these areas, since the effort has been more recent</w:t>
      </w:r>
      <w:r w:rsidR="00667BCD" w:rsidRPr="009500F4">
        <w:rPr>
          <w:rFonts w:eastAsia="Calibri" w:cs="Arial"/>
          <w:szCs w:val="22"/>
          <w:lang w:eastAsia="en-US"/>
        </w:rPr>
        <w:t xml:space="preserve"> and less intensive than that devoted to secured transactions</w:t>
      </w:r>
      <w:r w:rsidRPr="009500F4">
        <w:rPr>
          <w:rFonts w:eastAsia="Calibri" w:cs="Arial"/>
          <w:szCs w:val="22"/>
          <w:lang w:eastAsia="en-US"/>
        </w:rPr>
        <w:t>. Given the breadth and importance of the reform agenda in finance, a stronger focus here (as discussed in the recent annual meeting of ADB, DFAT, and MFAT) is justifiable.</w:t>
      </w:r>
      <w:r w:rsidRPr="009500F4">
        <w:rPr>
          <w:rFonts w:eastAsia="Calibri" w:cs="Arial"/>
          <w:szCs w:val="22"/>
          <w:vertAlign w:val="superscript"/>
          <w:lang w:eastAsia="en-US"/>
        </w:rPr>
        <w:footnoteReference w:id="15"/>
      </w:r>
    </w:p>
    <w:p w:rsidR="00205AD1" w:rsidRPr="009500F4" w:rsidRDefault="00205AD1" w:rsidP="00205AD1"/>
    <w:p w:rsidR="00CA4CD7" w:rsidRPr="009500F4" w:rsidRDefault="008F198D" w:rsidP="00170139">
      <w:pPr>
        <w:keepNext/>
        <w:spacing w:after="160"/>
        <w:ind w:left="1080"/>
        <w:outlineLvl w:val="1"/>
        <w:rPr>
          <w:rFonts w:eastAsia="Times New Roman" w:cs="Arial"/>
          <w:b/>
          <w:bCs/>
          <w:iCs/>
          <w:szCs w:val="22"/>
          <w:lang w:eastAsia="en-US"/>
        </w:rPr>
      </w:pPr>
      <w:bookmarkStart w:id="124" w:name="_Toc494271712"/>
      <w:bookmarkStart w:id="125" w:name="_Toc494367938"/>
      <w:bookmarkStart w:id="126" w:name="_Toc494378782"/>
      <w:bookmarkStart w:id="127" w:name="_Toc494378864"/>
      <w:r w:rsidRPr="009500F4">
        <w:rPr>
          <w:rFonts w:eastAsia="Times New Roman" w:cs="Arial"/>
          <w:b/>
          <w:bCs/>
          <w:iCs/>
          <w:szCs w:val="22"/>
          <w:lang w:eastAsia="en-US"/>
        </w:rPr>
        <w:t xml:space="preserve">2. </w:t>
      </w:r>
      <w:r w:rsidR="00386F3B" w:rsidRPr="009500F4">
        <w:rPr>
          <w:rFonts w:eastAsia="Times New Roman" w:cs="Arial"/>
          <w:b/>
          <w:bCs/>
          <w:iCs/>
          <w:szCs w:val="22"/>
          <w:lang w:eastAsia="en-US"/>
        </w:rPr>
        <w:tab/>
      </w:r>
      <w:r w:rsidR="00CA4CD7" w:rsidRPr="009500F4">
        <w:rPr>
          <w:rFonts w:eastAsia="Times New Roman" w:cs="Arial"/>
          <w:b/>
          <w:bCs/>
          <w:iCs/>
          <w:szCs w:val="22"/>
          <w:lang w:eastAsia="en-US"/>
        </w:rPr>
        <w:t>Business Law Reform</w:t>
      </w:r>
      <w:bookmarkEnd w:id="124"/>
      <w:bookmarkEnd w:id="125"/>
      <w:bookmarkEnd w:id="126"/>
      <w:bookmarkEnd w:id="127"/>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business law component of PSDI is premised on the idea that such laws play a key role in the private sector. The development goal of this PSDI component is to ensure that relevant business laws “promote inclusive business formation, investment, entrepreneurship, and trade”. This is expected to promote business start-ups and expansion, </w:t>
      </w:r>
      <w:r w:rsidR="009731A0" w:rsidRPr="009500F4">
        <w:rPr>
          <w:rFonts w:eastAsia="Calibri" w:cs="Arial"/>
          <w:szCs w:val="22"/>
          <w:lang w:eastAsia="en-US"/>
        </w:rPr>
        <w:t xml:space="preserve">reduce barriers to </w:t>
      </w:r>
      <w:r w:rsidRPr="009500F4">
        <w:rPr>
          <w:rFonts w:eastAsia="Calibri" w:cs="Arial"/>
          <w:szCs w:val="22"/>
          <w:lang w:eastAsia="en-US"/>
        </w:rPr>
        <w:t xml:space="preserve">entry for foreign investors, and encourage broader participation in the formal </w:t>
      </w:r>
      <w:r w:rsidR="009731A0" w:rsidRPr="009500F4">
        <w:rPr>
          <w:rFonts w:eastAsia="Calibri" w:cs="Arial"/>
          <w:szCs w:val="22"/>
          <w:lang w:eastAsia="en-US"/>
        </w:rPr>
        <w:t xml:space="preserve">economy (most </w:t>
      </w:r>
      <w:r w:rsidRPr="009500F4">
        <w:rPr>
          <w:rFonts w:eastAsia="Calibri" w:cs="Arial"/>
          <w:szCs w:val="22"/>
          <w:lang w:eastAsia="en-US"/>
        </w:rPr>
        <w:t>notably by low-income</w:t>
      </w:r>
      <w:r w:rsidR="009731A0" w:rsidRPr="009500F4">
        <w:rPr>
          <w:rFonts w:eastAsia="Calibri" w:cs="Arial"/>
          <w:szCs w:val="22"/>
          <w:lang w:eastAsia="en-US"/>
        </w:rPr>
        <w:t xml:space="preserve"> enterprises</w:t>
      </w:r>
      <w:r w:rsidRPr="009500F4">
        <w:rPr>
          <w:rFonts w:eastAsia="Calibri" w:cs="Arial"/>
          <w:szCs w:val="22"/>
          <w:lang w:eastAsia="en-US"/>
        </w:rPr>
        <w:t xml:space="preserve"> and </w:t>
      </w:r>
      <w:r w:rsidR="009731A0" w:rsidRPr="009500F4">
        <w:rPr>
          <w:rFonts w:eastAsia="Calibri" w:cs="Arial"/>
          <w:szCs w:val="22"/>
          <w:lang w:eastAsia="en-US"/>
        </w:rPr>
        <w:t xml:space="preserve">women </w:t>
      </w:r>
      <w:r w:rsidRPr="009500F4">
        <w:rPr>
          <w:rFonts w:eastAsia="Calibri" w:cs="Arial"/>
          <w:szCs w:val="22"/>
          <w:lang w:eastAsia="en-US"/>
        </w:rPr>
        <w:t>entrepreneurs</w:t>
      </w:r>
      <w:r w:rsidR="009731A0" w:rsidRPr="009500F4">
        <w:rPr>
          <w:rFonts w:eastAsia="Calibri" w:cs="Arial"/>
          <w:szCs w:val="22"/>
          <w:lang w:eastAsia="en-US"/>
        </w:rPr>
        <w:t>)</w:t>
      </w:r>
      <w:r w:rsidRPr="009500F4">
        <w:rPr>
          <w:rFonts w:eastAsia="Calibri" w:cs="Arial"/>
          <w:szCs w:val="22"/>
          <w:lang w:eastAsia="en-US"/>
        </w:rPr>
        <w:t xml:space="preserve">. </w:t>
      </w:r>
      <w:r w:rsidR="009731A0" w:rsidRPr="009500F4">
        <w:rPr>
          <w:rFonts w:eastAsia="Calibri" w:cs="Arial"/>
          <w:szCs w:val="22"/>
          <w:lang w:eastAsia="en-US"/>
        </w:rPr>
        <w:t xml:space="preserve">To this end, </w:t>
      </w:r>
      <w:r w:rsidRPr="009500F4">
        <w:rPr>
          <w:rFonts w:eastAsia="Calibri" w:cs="Arial"/>
          <w:szCs w:val="22"/>
          <w:lang w:eastAsia="en-US"/>
        </w:rPr>
        <w:t xml:space="preserve">PSDI helps establish new business </w:t>
      </w:r>
      <w:r w:rsidRPr="009500F4">
        <w:rPr>
          <w:rFonts w:eastAsia="Calibri" w:cs="Arial"/>
          <w:szCs w:val="22"/>
          <w:lang w:eastAsia="en-US"/>
        </w:rPr>
        <w:lastRenderedPageBreak/>
        <w:t>registries and improve laws on insolvency, companies, and foreign investment. PSDI reports such project-supported achievements as t</w:t>
      </w:r>
      <w:r w:rsidR="000C15E8">
        <w:rPr>
          <w:rFonts w:eastAsia="Calibri" w:cs="Arial"/>
          <w:szCs w:val="22"/>
          <w:lang w:eastAsia="en-US"/>
        </w:rPr>
        <w:t>hose presented below (Table 4).</w:t>
      </w:r>
    </w:p>
    <w:p w:rsidR="00CA4CD7" w:rsidRPr="009500F4" w:rsidRDefault="00CA4CD7" w:rsidP="00CA4CD7"/>
    <w:p w:rsidR="007A5780" w:rsidRPr="00D6162F" w:rsidRDefault="00CA4CD7" w:rsidP="00170139">
      <w:pPr>
        <w:jc w:val="center"/>
        <w:rPr>
          <w:b/>
          <w:smallCaps/>
          <w:sz w:val="20"/>
          <w:szCs w:val="20"/>
        </w:rPr>
      </w:pPr>
      <w:r w:rsidRPr="00D6162F">
        <w:rPr>
          <w:b/>
          <w:sz w:val="20"/>
          <w:szCs w:val="20"/>
        </w:rPr>
        <w:t>Table 4</w:t>
      </w:r>
      <w:r w:rsidR="00CA2AB0" w:rsidRPr="00D6162F">
        <w:rPr>
          <w:b/>
          <w:sz w:val="20"/>
          <w:szCs w:val="20"/>
        </w:rPr>
        <w:t xml:space="preserve">: </w:t>
      </w:r>
      <w:r w:rsidRPr="00D6162F">
        <w:rPr>
          <w:b/>
          <w:sz w:val="20"/>
          <w:szCs w:val="20"/>
        </w:rPr>
        <w:t>Business Law Reform</w:t>
      </w:r>
      <w:r w:rsidR="00CA2AB0" w:rsidRPr="00D6162F">
        <w:rPr>
          <w:b/>
          <w:sz w:val="20"/>
          <w:szCs w:val="20"/>
        </w:rPr>
        <w:t xml:space="preserve"> – </w:t>
      </w:r>
      <w:r w:rsidRPr="00D6162F">
        <w:rPr>
          <w:b/>
          <w:sz w:val="20"/>
          <w:szCs w:val="20"/>
        </w:rPr>
        <w:t xml:space="preserve">Illustrative </w:t>
      </w:r>
      <w:r w:rsidR="00B662C0" w:rsidRPr="00D6162F">
        <w:rPr>
          <w:b/>
          <w:sz w:val="20"/>
          <w:szCs w:val="20"/>
        </w:rPr>
        <w:t>A</w:t>
      </w:r>
      <w:r w:rsidRPr="00D6162F">
        <w:rPr>
          <w:b/>
          <w:sz w:val="20"/>
          <w:szCs w:val="20"/>
        </w:rPr>
        <w:t xml:space="preserve">ctivities and </w:t>
      </w:r>
      <w:r w:rsidR="00B662C0" w:rsidRPr="00D6162F">
        <w:rPr>
          <w:b/>
          <w:sz w:val="20"/>
          <w:szCs w:val="20"/>
        </w:rPr>
        <w:t>R</w:t>
      </w:r>
      <w:r w:rsidRPr="00D6162F">
        <w:rPr>
          <w:b/>
          <w:sz w:val="20"/>
          <w:szCs w:val="20"/>
        </w:rPr>
        <w:t>esults</w:t>
      </w:r>
    </w:p>
    <w:p w:rsidR="00CA4CD7" w:rsidRPr="000C15E8" w:rsidRDefault="00CA4CD7" w:rsidP="00C930F2">
      <w:pPr>
        <w:rPr>
          <w:sz w:val="10"/>
          <w:szCs w:val="1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813EB8" w:rsidRPr="009500F4" w:rsidTr="00170139">
        <w:tc>
          <w:tcPr>
            <w:tcW w:w="9360" w:type="dxa"/>
            <w:shd w:val="clear" w:color="auto" w:fill="FFFFFF" w:themeFill="background1"/>
          </w:tcPr>
          <w:p w:rsidR="00CA4CD7" w:rsidRPr="009500F4" w:rsidRDefault="00BA130D" w:rsidP="00CA4CD7">
            <w:pPr>
              <w:spacing w:after="60"/>
              <w:rPr>
                <w:b/>
                <w:sz w:val="18"/>
                <w:szCs w:val="18"/>
              </w:rPr>
            </w:pPr>
            <w:r w:rsidRPr="009500F4">
              <w:rPr>
                <w:b/>
                <w:sz w:val="18"/>
                <w:szCs w:val="18"/>
              </w:rPr>
              <w:t>FY20</w:t>
            </w:r>
            <w:r w:rsidR="00CA4CD7" w:rsidRPr="009500F4">
              <w:rPr>
                <w:b/>
                <w:sz w:val="18"/>
                <w:szCs w:val="18"/>
              </w:rPr>
              <w:t>16</w:t>
            </w:r>
          </w:p>
        </w:tc>
      </w:tr>
      <w:tr w:rsidR="00813EB8" w:rsidRPr="009500F4" w:rsidTr="00170139">
        <w:trPr>
          <w:trHeight w:val="1709"/>
        </w:trPr>
        <w:tc>
          <w:tcPr>
            <w:tcW w:w="9360" w:type="dxa"/>
          </w:tcPr>
          <w:p w:rsidR="00CA4CD7" w:rsidRPr="009500F4" w:rsidRDefault="00CA4CD7" w:rsidP="00CA4CD7">
            <w:pPr>
              <w:numPr>
                <w:ilvl w:val="0"/>
                <w:numId w:val="32"/>
              </w:numPr>
              <w:spacing w:after="60"/>
              <w:jc w:val="left"/>
              <w:rPr>
                <w:sz w:val="18"/>
                <w:szCs w:val="18"/>
              </w:rPr>
            </w:pPr>
            <w:r w:rsidRPr="009500F4">
              <w:rPr>
                <w:sz w:val="18"/>
                <w:szCs w:val="18"/>
              </w:rPr>
              <w:t>Papua New Guinea Personal Property Security Act implemented and Personal Property Securities Register launched</w:t>
            </w:r>
          </w:p>
          <w:p w:rsidR="00CA4CD7" w:rsidRPr="009500F4" w:rsidRDefault="00CA4CD7" w:rsidP="00CA4CD7">
            <w:pPr>
              <w:numPr>
                <w:ilvl w:val="0"/>
                <w:numId w:val="32"/>
              </w:numPr>
              <w:spacing w:after="60"/>
              <w:jc w:val="left"/>
              <w:rPr>
                <w:sz w:val="18"/>
                <w:szCs w:val="18"/>
              </w:rPr>
            </w:pPr>
            <w:r w:rsidRPr="009500F4">
              <w:rPr>
                <w:sz w:val="18"/>
                <w:szCs w:val="18"/>
              </w:rPr>
              <w:t>Diagnostic of Timor-Leste company law and registry completed</w:t>
            </w:r>
          </w:p>
          <w:p w:rsidR="00CA4CD7" w:rsidRPr="009500F4" w:rsidRDefault="00CA4CD7" w:rsidP="00CA4CD7">
            <w:pPr>
              <w:numPr>
                <w:ilvl w:val="0"/>
                <w:numId w:val="32"/>
              </w:numPr>
              <w:spacing w:after="60"/>
              <w:jc w:val="left"/>
              <w:rPr>
                <w:sz w:val="18"/>
                <w:szCs w:val="18"/>
              </w:rPr>
            </w:pPr>
            <w:r w:rsidRPr="009500F4">
              <w:rPr>
                <w:sz w:val="18"/>
                <w:szCs w:val="18"/>
              </w:rPr>
              <w:t>Tonga Receiverships Bill drafted and enacted; Foreign Investment Policy prepared and endorsed by cabinet, and Foreign Investment Bill drafted</w:t>
            </w:r>
          </w:p>
          <w:p w:rsidR="00CA4CD7" w:rsidRPr="009500F4" w:rsidRDefault="00CA4CD7" w:rsidP="00CA4CD7">
            <w:pPr>
              <w:numPr>
                <w:ilvl w:val="0"/>
                <w:numId w:val="32"/>
              </w:numPr>
              <w:spacing w:after="60"/>
              <w:jc w:val="left"/>
              <w:rPr>
                <w:sz w:val="18"/>
                <w:szCs w:val="18"/>
              </w:rPr>
            </w:pPr>
            <w:r w:rsidRPr="009500F4">
              <w:rPr>
                <w:sz w:val="18"/>
                <w:szCs w:val="18"/>
              </w:rPr>
              <w:t>Vanuatu Companies Act and Companies (Insolvency and Receiverships) Act commenced and a multiple-entity online registry launched.</w:t>
            </w:r>
          </w:p>
        </w:tc>
      </w:tr>
      <w:tr w:rsidR="00813EB8" w:rsidRPr="009500F4" w:rsidTr="00170139">
        <w:tc>
          <w:tcPr>
            <w:tcW w:w="9360" w:type="dxa"/>
            <w:shd w:val="clear" w:color="auto" w:fill="FFFFFF" w:themeFill="background1"/>
          </w:tcPr>
          <w:p w:rsidR="00CA4CD7" w:rsidRPr="009500F4" w:rsidRDefault="00CA4CD7" w:rsidP="00CA4CD7">
            <w:pPr>
              <w:spacing w:after="60"/>
              <w:rPr>
                <w:b/>
                <w:sz w:val="18"/>
                <w:szCs w:val="18"/>
              </w:rPr>
            </w:pPr>
            <w:r w:rsidRPr="009500F4">
              <w:rPr>
                <w:b/>
                <w:sz w:val="18"/>
                <w:szCs w:val="18"/>
              </w:rPr>
              <w:t>FY2015</w:t>
            </w:r>
          </w:p>
        </w:tc>
      </w:tr>
      <w:tr w:rsidR="00813EB8" w:rsidRPr="009500F4" w:rsidTr="00170139">
        <w:tc>
          <w:tcPr>
            <w:tcW w:w="9360" w:type="dxa"/>
          </w:tcPr>
          <w:p w:rsidR="00CA4CD7" w:rsidRPr="009500F4" w:rsidRDefault="00CA4CD7" w:rsidP="00CA4CD7">
            <w:pPr>
              <w:numPr>
                <w:ilvl w:val="0"/>
                <w:numId w:val="33"/>
              </w:numPr>
              <w:spacing w:after="60"/>
              <w:jc w:val="left"/>
              <w:rPr>
                <w:sz w:val="18"/>
                <w:szCs w:val="18"/>
              </w:rPr>
            </w:pPr>
            <w:r w:rsidRPr="009500F4">
              <w:rPr>
                <w:sz w:val="18"/>
                <w:szCs w:val="18"/>
              </w:rPr>
              <w:t>Three new registries launched.</w:t>
            </w:r>
          </w:p>
        </w:tc>
      </w:tr>
      <w:tr w:rsidR="00813EB8" w:rsidRPr="009500F4" w:rsidTr="00170139">
        <w:tc>
          <w:tcPr>
            <w:tcW w:w="9360" w:type="dxa"/>
            <w:shd w:val="clear" w:color="auto" w:fill="FFFFFF" w:themeFill="background1"/>
          </w:tcPr>
          <w:p w:rsidR="00CA4CD7" w:rsidRPr="009500F4" w:rsidRDefault="00CA4CD7" w:rsidP="00CA4CD7">
            <w:pPr>
              <w:spacing w:after="60"/>
              <w:rPr>
                <w:b/>
                <w:sz w:val="18"/>
                <w:szCs w:val="18"/>
              </w:rPr>
            </w:pPr>
            <w:r w:rsidRPr="009500F4">
              <w:rPr>
                <w:b/>
                <w:sz w:val="18"/>
                <w:szCs w:val="18"/>
              </w:rPr>
              <w:t>FY2014</w:t>
            </w:r>
          </w:p>
        </w:tc>
      </w:tr>
      <w:tr w:rsidR="00813EB8" w:rsidRPr="009500F4" w:rsidTr="00170139">
        <w:tc>
          <w:tcPr>
            <w:tcW w:w="9360" w:type="dxa"/>
          </w:tcPr>
          <w:p w:rsidR="00CA4CD7" w:rsidRPr="009500F4" w:rsidRDefault="00CA4CD7" w:rsidP="00CA4CD7">
            <w:pPr>
              <w:numPr>
                <w:ilvl w:val="0"/>
                <w:numId w:val="34"/>
              </w:numPr>
              <w:spacing w:after="60"/>
              <w:jc w:val="left"/>
              <w:rPr>
                <w:sz w:val="18"/>
                <w:szCs w:val="18"/>
              </w:rPr>
            </w:pPr>
            <w:r w:rsidRPr="009500F4">
              <w:rPr>
                <w:sz w:val="18"/>
                <w:szCs w:val="18"/>
              </w:rPr>
              <w:t>Regulations drafted for three laws.</w:t>
            </w:r>
          </w:p>
          <w:p w:rsidR="00CA4CD7" w:rsidRPr="009500F4" w:rsidRDefault="00CA4CD7" w:rsidP="00CA4CD7">
            <w:pPr>
              <w:numPr>
                <w:ilvl w:val="0"/>
                <w:numId w:val="34"/>
              </w:numPr>
              <w:spacing w:after="60"/>
              <w:jc w:val="left"/>
              <w:rPr>
                <w:sz w:val="18"/>
                <w:szCs w:val="18"/>
              </w:rPr>
            </w:pPr>
            <w:r w:rsidRPr="009500F4">
              <w:rPr>
                <w:sz w:val="18"/>
                <w:szCs w:val="18"/>
              </w:rPr>
              <w:t xml:space="preserve">Samoa installed a cutting-edge electronic company registry, enabling company formation and registration within approximately 24 hours (and 543 new companies registered in the </w:t>
            </w:r>
            <w:r w:rsidR="009731A0" w:rsidRPr="009500F4">
              <w:rPr>
                <w:sz w:val="18"/>
                <w:szCs w:val="18"/>
              </w:rPr>
              <w:t xml:space="preserve">2 </w:t>
            </w:r>
            <w:r w:rsidRPr="009500F4">
              <w:rPr>
                <w:sz w:val="18"/>
                <w:szCs w:val="18"/>
              </w:rPr>
              <w:t>years following).</w:t>
            </w:r>
          </w:p>
        </w:tc>
      </w:tr>
    </w:tbl>
    <w:p w:rsidR="009731A0" w:rsidRPr="009500F4" w:rsidRDefault="009731A0" w:rsidP="009731A0">
      <w:pPr>
        <w:widowControl w:val="0"/>
        <w:spacing w:line="246" w:lineRule="auto"/>
        <w:ind w:right="1197"/>
        <w:jc w:val="left"/>
        <w:rPr>
          <w:rFonts w:eastAsia="Ideal Sans Light" w:cs="Arial"/>
          <w:sz w:val="16"/>
          <w:szCs w:val="16"/>
          <w:lang w:val="en-AU" w:eastAsia="en-US"/>
        </w:rPr>
      </w:pPr>
      <w:r w:rsidRPr="009500F4">
        <w:rPr>
          <w:rFonts w:cs="Arial"/>
          <w:sz w:val="16"/>
          <w:szCs w:val="16"/>
        </w:rPr>
        <w:t>FY = fiscal year (</w:t>
      </w:r>
      <w:r w:rsidRPr="009500F4">
        <w:rPr>
          <w:rFonts w:eastAsia="Ideal Sans Light" w:cs="Arial"/>
          <w:sz w:val="16"/>
          <w:szCs w:val="16"/>
          <w:lang w:val="en-AU" w:eastAsia="en-US"/>
        </w:rPr>
        <w:t>FY before a calendar year denotes the year in which the fiscal year ends).</w:t>
      </w:r>
    </w:p>
    <w:p w:rsidR="00CA2AB0" w:rsidRPr="009500F4" w:rsidRDefault="009731A0" w:rsidP="00CA2AB0">
      <w:pPr>
        <w:rPr>
          <w:sz w:val="16"/>
          <w:szCs w:val="16"/>
        </w:rPr>
      </w:pPr>
      <w:r w:rsidRPr="009500F4">
        <w:rPr>
          <w:rFonts w:cs="Arial"/>
          <w:sz w:val="16"/>
          <w:szCs w:val="16"/>
        </w:rPr>
        <w:t xml:space="preserve">Source: </w:t>
      </w:r>
      <w:r w:rsidR="00CA2AB0" w:rsidRPr="009500F4">
        <w:rPr>
          <w:sz w:val="16"/>
          <w:szCs w:val="16"/>
        </w:rPr>
        <w:t>Private Sector Development Initiative annual progress reports.</w:t>
      </w:r>
    </w:p>
    <w:p w:rsidR="00E201D1" w:rsidRDefault="00E201D1">
      <w:pPr>
        <w:jc w:val="left"/>
      </w:pPr>
    </w:p>
    <w:p w:rsidR="00CA4CD7"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As in the other components of PSDI, counterparts in government, the private sector, and donor agencies praised outcomes</w:t>
      </w:r>
      <w:r w:rsidR="009731A0" w:rsidRPr="009500F4">
        <w:rPr>
          <w:rFonts w:eastAsia="Calibri" w:cs="Arial"/>
          <w:szCs w:val="22"/>
          <w:lang w:eastAsia="en-US"/>
        </w:rPr>
        <w:t xml:space="preserve"> in business law reform</w:t>
      </w:r>
      <w:r w:rsidRPr="009500F4">
        <w:rPr>
          <w:rFonts w:eastAsia="Calibri" w:cs="Arial"/>
          <w:szCs w:val="22"/>
          <w:lang w:eastAsia="en-US"/>
        </w:rPr>
        <w:t>, and were impressed with the consulting team and the quality of their work</w:t>
      </w:r>
      <w:r w:rsidR="009731A0" w:rsidRPr="009500F4">
        <w:rPr>
          <w:rFonts w:eastAsia="Calibri" w:cs="Arial"/>
          <w:szCs w:val="22"/>
          <w:lang w:eastAsia="en-US"/>
        </w:rPr>
        <w:t xml:space="preserve"> (</w:t>
      </w:r>
      <w:r w:rsidRPr="009500F4">
        <w:rPr>
          <w:rFonts w:eastAsia="Calibri" w:cs="Arial"/>
          <w:szCs w:val="22"/>
          <w:lang w:eastAsia="en-US"/>
        </w:rPr>
        <w:t>in both technical and strategic terms</w:t>
      </w:r>
      <w:r w:rsidR="009731A0" w:rsidRPr="009500F4">
        <w:rPr>
          <w:rFonts w:eastAsia="Calibri" w:cs="Arial"/>
          <w:szCs w:val="22"/>
          <w:lang w:eastAsia="en-US"/>
        </w:rPr>
        <w:t>)</w:t>
      </w:r>
      <w:r w:rsidRPr="009500F4">
        <w:rPr>
          <w:rFonts w:eastAsia="Calibri" w:cs="Arial"/>
          <w:szCs w:val="22"/>
          <w:lang w:eastAsia="en-US"/>
        </w:rPr>
        <w:t xml:space="preserve">. The evaluation team has detected no change in available economic variables that would evidence large-scale impact by PSDI, and is not in a position to attribute changes to PSDI activities. However, the results of </w:t>
      </w:r>
      <w:r w:rsidR="009731A0" w:rsidRPr="009500F4">
        <w:rPr>
          <w:rFonts w:eastAsia="Calibri" w:cs="Arial"/>
          <w:szCs w:val="22"/>
          <w:lang w:eastAsia="en-US"/>
        </w:rPr>
        <w:t>PSDI III</w:t>
      </w:r>
      <w:r w:rsidRPr="009500F4">
        <w:rPr>
          <w:rFonts w:eastAsia="Calibri" w:cs="Arial"/>
          <w:szCs w:val="22"/>
          <w:lang w:eastAsia="en-US"/>
        </w:rPr>
        <w:t xml:space="preserve"> are reasonably understood </w:t>
      </w:r>
      <w:r w:rsidR="009731A0" w:rsidRPr="009500F4">
        <w:rPr>
          <w:rFonts w:eastAsia="Calibri" w:cs="Arial"/>
          <w:szCs w:val="22"/>
          <w:lang w:eastAsia="en-US"/>
        </w:rPr>
        <w:t xml:space="preserve">to be </w:t>
      </w:r>
      <w:r w:rsidRPr="009500F4">
        <w:rPr>
          <w:rFonts w:eastAsia="Calibri" w:cs="Arial"/>
          <w:szCs w:val="22"/>
          <w:lang w:eastAsia="en-US"/>
        </w:rPr>
        <w:t xml:space="preserve">meeting PSDI targets as measured by its M&amp;E indicators, and thus advancing the broader objectives of PSDI. The TA </w:t>
      </w:r>
      <w:r w:rsidR="00A03DE1" w:rsidRPr="009500F4">
        <w:rPr>
          <w:rFonts w:eastAsia="Calibri" w:cs="Arial"/>
          <w:szCs w:val="22"/>
          <w:lang w:eastAsia="en-US"/>
        </w:rPr>
        <w:t>p</w:t>
      </w:r>
      <w:r w:rsidRPr="009500F4">
        <w:rPr>
          <w:rFonts w:eastAsia="Calibri" w:cs="Arial"/>
          <w:szCs w:val="22"/>
          <w:lang w:eastAsia="en-US"/>
        </w:rPr>
        <w:t>aper</w:t>
      </w:r>
      <w:r w:rsidR="00A03DE1" w:rsidRPr="009500F4">
        <w:rPr>
          <w:rFonts w:eastAsia="Calibri" w:cs="Arial"/>
          <w:szCs w:val="22"/>
          <w:lang w:eastAsia="en-US"/>
        </w:rPr>
        <w:t xml:space="preserve"> from 2015</w:t>
      </w:r>
      <w:r w:rsidRPr="009500F4">
        <w:rPr>
          <w:rFonts w:eastAsia="Calibri" w:cs="Arial"/>
          <w:szCs w:val="22"/>
          <w:lang w:eastAsia="en-US"/>
        </w:rPr>
        <w:t xml:space="preserve"> provides indicators for commercial law reform, business registries, and </w:t>
      </w:r>
      <w:r w:rsidR="004041FD" w:rsidRPr="009500F4">
        <w:rPr>
          <w:rFonts w:eastAsia="Calibri" w:cs="Arial"/>
          <w:szCs w:val="22"/>
          <w:lang w:eastAsia="en-US"/>
        </w:rPr>
        <w:t xml:space="preserve">the </w:t>
      </w:r>
      <w:r w:rsidRPr="009500F4">
        <w:rPr>
          <w:rFonts w:eastAsia="Calibri" w:cs="Arial"/>
          <w:szCs w:val="22"/>
          <w:lang w:eastAsia="en-US"/>
        </w:rPr>
        <w:t>economic empowerment of women. PSDI reports that, as of mid-2016, targets in these areas were either achieved or likely to be met by the end of PSDI III (</w:t>
      </w:r>
      <w:r w:rsidR="00C951B3" w:rsidRPr="009500F4">
        <w:rPr>
          <w:rFonts w:eastAsia="Calibri" w:cs="Arial"/>
          <w:szCs w:val="22"/>
          <w:lang w:eastAsia="en-US"/>
        </w:rPr>
        <w:t>Table 5).</w:t>
      </w:r>
    </w:p>
    <w:p w:rsidR="00EB09FB" w:rsidRPr="009500F4" w:rsidRDefault="00EB09FB" w:rsidP="00D6162F">
      <w:pPr>
        <w:tabs>
          <w:tab w:val="left" w:pos="567"/>
        </w:tabs>
        <w:rPr>
          <w:rFonts w:eastAsia="Calibri" w:cs="Arial"/>
          <w:szCs w:val="22"/>
          <w:lang w:eastAsia="en-US"/>
        </w:rPr>
      </w:pPr>
    </w:p>
    <w:p w:rsidR="007A5780" w:rsidRPr="00D6162F" w:rsidRDefault="00CA4CD7" w:rsidP="00170139">
      <w:pPr>
        <w:jc w:val="center"/>
        <w:rPr>
          <w:bCs/>
          <w:sz w:val="20"/>
          <w:szCs w:val="20"/>
        </w:rPr>
      </w:pPr>
      <w:r w:rsidRPr="00D6162F">
        <w:rPr>
          <w:rFonts w:cs="Arial"/>
          <w:b/>
          <w:bCs/>
          <w:sz w:val="20"/>
          <w:szCs w:val="20"/>
        </w:rPr>
        <w:t>Table 5</w:t>
      </w:r>
      <w:r w:rsidR="00F249C6" w:rsidRPr="00D6162F">
        <w:rPr>
          <w:rFonts w:cs="Arial"/>
          <w:b/>
          <w:bCs/>
          <w:sz w:val="20"/>
          <w:szCs w:val="20"/>
        </w:rPr>
        <w:t xml:space="preserve">: Business Law Reform – </w:t>
      </w:r>
      <w:r w:rsidRPr="00D6162F">
        <w:rPr>
          <w:rFonts w:cs="Arial"/>
          <w:b/>
          <w:bCs/>
          <w:sz w:val="20"/>
          <w:szCs w:val="20"/>
        </w:rPr>
        <w:t xml:space="preserve">Key </w:t>
      </w:r>
      <w:r w:rsidR="00B662C0" w:rsidRPr="00D6162F">
        <w:rPr>
          <w:rFonts w:cs="Arial"/>
          <w:b/>
          <w:bCs/>
          <w:sz w:val="20"/>
          <w:szCs w:val="20"/>
        </w:rPr>
        <w:t>I</w:t>
      </w:r>
      <w:r w:rsidRPr="00D6162F">
        <w:rPr>
          <w:rFonts w:cs="Arial"/>
          <w:b/>
          <w:bCs/>
          <w:sz w:val="20"/>
          <w:szCs w:val="20"/>
        </w:rPr>
        <w:t xml:space="preserve">ndicators and </w:t>
      </w:r>
      <w:r w:rsidR="00B662C0" w:rsidRPr="00D6162F">
        <w:rPr>
          <w:rFonts w:cs="Arial"/>
          <w:b/>
          <w:bCs/>
          <w:sz w:val="20"/>
          <w:szCs w:val="20"/>
        </w:rPr>
        <w:t>R</w:t>
      </w:r>
      <w:r w:rsidRPr="00D6162F">
        <w:rPr>
          <w:rFonts w:cs="Arial"/>
          <w:b/>
          <w:bCs/>
          <w:sz w:val="20"/>
          <w:szCs w:val="20"/>
        </w:rPr>
        <w:t>esults, 2014</w:t>
      </w:r>
      <w:r w:rsidR="006C4DF8" w:rsidRPr="00D6162F">
        <w:rPr>
          <w:rFonts w:cs="Arial"/>
          <w:b/>
          <w:bCs/>
          <w:sz w:val="20"/>
          <w:szCs w:val="20"/>
        </w:rPr>
        <w:t>–</w:t>
      </w:r>
      <w:r w:rsidR="00D27A00" w:rsidRPr="00D6162F">
        <w:rPr>
          <w:rFonts w:cs="Arial"/>
          <w:b/>
          <w:bCs/>
          <w:sz w:val="20"/>
          <w:szCs w:val="20"/>
        </w:rPr>
        <w:t>2017</w:t>
      </w:r>
    </w:p>
    <w:p w:rsidR="00CA4CD7" w:rsidRPr="000C15E8" w:rsidRDefault="00CA4CD7" w:rsidP="00C930F2">
      <w:pPr>
        <w:rPr>
          <w:rFonts w:cs="Arial"/>
          <w:bCs/>
          <w:sz w:val="10"/>
          <w:szCs w:val="10"/>
        </w:rPr>
      </w:pPr>
    </w:p>
    <w:tbl>
      <w:tblPr>
        <w:tblStyle w:val="TableGrid"/>
        <w:tblW w:w="0" w:type="auto"/>
        <w:tblInd w:w="18" w:type="dxa"/>
        <w:tblLook w:val="04A0" w:firstRow="1" w:lastRow="0" w:firstColumn="1" w:lastColumn="0" w:noHBand="0" w:noVBand="1"/>
      </w:tblPr>
      <w:tblGrid>
        <w:gridCol w:w="2333"/>
        <w:gridCol w:w="2333"/>
        <w:gridCol w:w="2333"/>
        <w:gridCol w:w="2333"/>
      </w:tblGrid>
      <w:tr w:rsidR="00BA7C5E" w:rsidRPr="009500F4" w:rsidTr="00170139">
        <w:trPr>
          <w:trHeight w:val="314"/>
        </w:trPr>
        <w:tc>
          <w:tcPr>
            <w:tcW w:w="2333" w:type="dxa"/>
            <w:tcBorders>
              <w:left w:val="nil"/>
              <w:bottom w:val="single" w:sz="4" w:space="0" w:color="auto"/>
              <w:right w:val="nil"/>
            </w:tcBorders>
            <w:shd w:val="clear" w:color="auto" w:fill="FFFFFF" w:themeFill="background1"/>
          </w:tcPr>
          <w:p w:rsidR="00BA7C5E" w:rsidRPr="009500F4" w:rsidRDefault="00BA7C5E" w:rsidP="00BA7C5E">
            <w:pPr>
              <w:jc w:val="left"/>
              <w:rPr>
                <w:b/>
                <w:bCs/>
                <w:sz w:val="18"/>
                <w:szCs w:val="18"/>
              </w:rPr>
            </w:pPr>
            <w:r w:rsidRPr="009500F4">
              <w:rPr>
                <w:b/>
                <w:bCs/>
                <w:sz w:val="18"/>
                <w:szCs w:val="18"/>
              </w:rPr>
              <w:t>Key Indicators</w:t>
            </w:r>
          </w:p>
        </w:tc>
        <w:tc>
          <w:tcPr>
            <w:tcW w:w="2333" w:type="dxa"/>
            <w:tcBorders>
              <w:left w:val="nil"/>
              <w:right w:val="nil"/>
            </w:tcBorders>
            <w:shd w:val="clear" w:color="auto" w:fill="FFFFFF" w:themeFill="background1"/>
          </w:tcPr>
          <w:p w:rsidR="00BA7C5E" w:rsidRPr="009500F4" w:rsidRDefault="00BA7C5E" w:rsidP="00170139">
            <w:pPr>
              <w:jc w:val="center"/>
              <w:rPr>
                <w:b/>
                <w:bCs/>
                <w:sz w:val="18"/>
                <w:szCs w:val="18"/>
              </w:rPr>
            </w:pPr>
            <w:r w:rsidRPr="009500F4">
              <w:rPr>
                <w:b/>
                <w:bCs/>
                <w:sz w:val="18"/>
                <w:szCs w:val="18"/>
              </w:rPr>
              <w:t>FY2015 Results</w:t>
            </w:r>
          </w:p>
        </w:tc>
        <w:tc>
          <w:tcPr>
            <w:tcW w:w="2333" w:type="dxa"/>
            <w:tcBorders>
              <w:left w:val="nil"/>
              <w:right w:val="nil"/>
            </w:tcBorders>
            <w:shd w:val="clear" w:color="auto" w:fill="FFFFFF" w:themeFill="background1"/>
          </w:tcPr>
          <w:p w:rsidR="00BA7C5E" w:rsidRPr="009500F4" w:rsidRDefault="00BA7C5E" w:rsidP="00170139">
            <w:pPr>
              <w:jc w:val="center"/>
              <w:rPr>
                <w:b/>
                <w:bCs/>
                <w:sz w:val="18"/>
                <w:szCs w:val="18"/>
              </w:rPr>
            </w:pPr>
            <w:r w:rsidRPr="009500F4">
              <w:rPr>
                <w:b/>
                <w:bCs/>
                <w:sz w:val="18"/>
                <w:szCs w:val="18"/>
              </w:rPr>
              <w:t>FY2016 Results</w:t>
            </w:r>
          </w:p>
        </w:tc>
        <w:tc>
          <w:tcPr>
            <w:tcW w:w="2333" w:type="dxa"/>
            <w:tcBorders>
              <w:left w:val="nil"/>
              <w:right w:val="nil"/>
            </w:tcBorders>
            <w:shd w:val="clear" w:color="auto" w:fill="FFFFFF" w:themeFill="background1"/>
          </w:tcPr>
          <w:p w:rsidR="00BA7C5E" w:rsidRPr="009500F4" w:rsidRDefault="00BA7C5E" w:rsidP="00170139">
            <w:pPr>
              <w:jc w:val="center"/>
              <w:rPr>
                <w:b/>
                <w:bCs/>
                <w:sz w:val="20"/>
                <w:szCs w:val="20"/>
              </w:rPr>
            </w:pPr>
            <w:r w:rsidRPr="009500F4">
              <w:rPr>
                <w:b/>
                <w:bCs/>
                <w:sz w:val="18"/>
                <w:szCs w:val="18"/>
              </w:rPr>
              <w:t>FY2017 Results</w:t>
            </w:r>
          </w:p>
        </w:tc>
      </w:tr>
      <w:tr w:rsidR="00BA7C5E" w:rsidRPr="009500F4" w:rsidTr="00170139">
        <w:trPr>
          <w:trHeight w:val="1306"/>
        </w:trPr>
        <w:tc>
          <w:tcPr>
            <w:tcW w:w="2333" w:type="dxa"/>
            <w:tcBorders>
              <w:left w:val="nil"/>
              <w:right w:val="nil"/>
            </w:tcBorders>
            <w:hideMark/>
          </w:tcPr>
          <w:p w:rsidR="00BA7C5E" w:rsidRPr="009500F4" w:rsidRDefault="00BA7C5E" w:rsidP="00BA7C5E">
            <w:pPr>
              <w:jc w:val="left"/>
              <w:rPr>
                <w:sz w:val="18"/>
                <w:szCs w:val="18"/>
              </w:rPr>
            </w:pPr>
            <w:r w:rsidRPr="009500F4">
              <w:rPr>
                <w:sz w:val="18"/>
                <w:szCs w:val="18"/>
              </w:rPr>
              <w:t>Number of new companies registered increases by 15% after the registration reform (</w:t>
            </w:r>
            <w:r w:rsidR="00F46A63" w:rsidRPr="009500F4">
              <w:rPr>
                <w:sz w:val="18"/>
                <w:szCs w:val="18"/>
              </w:rPr>
              <w:t xml:space="preserve">4 </w:t>
            </w:r>
            <w:r w:rsidRPr="009500F4">
              <w:rPr>
                <w:sz w:val="18"/>
                <w:szCs w:val="18"/>
              </w:rPr>
              <w:t>countries)</w:t>
            </w:r>
          </w:p>
        </w:tc>
        <w:tc>
          <w:tcPr>
            <w:tcW w:w="2333" w:type="dxa"/>
            <w:tcBorders>
              <w:left w:val="nil"/>
              <w:right w:val="nil"/>
            </w:tcBorders>
            <w:hideMark/>
          </w:tcPr>
          <w:p w:rsidR="00BA7C5E" w:rsidRPr="009500F4" w:rsidRDefault="00BA7C5E" w:rsidP="00BA7C5E">
            <w:pPr>
              <w:jc w:val="left"/>
              <w:rPr>
                <w:sz w:val="18"/>
                <w:szCs w:val="18"/>
              </w:rPr>
            </w:pPr>
            <w:r w:rsidRPr="009500F4">
              <w:rPr>
                <w:sz w:val="18"/>
                <w:szCs w:val="18"/>
              </w:rPr>
              <w:t>Launched business registries</w:t>
            </w:r>
            <w:r w:rsidR="00F46A63" w:rsidRPr="009500F4">
              <w:rPr>
                <w:sz w:val="18"/>
                <w:szCs w:val="18"/>
              </w:rPr>
              <w:t xml:space="preserve"> in Tonga</w:t>
            </w:r>
            <w:r w:rsidRPr="009500F4">
              <w:rPr>
                <w:sz w:val="18"/>
                <w:szCs w:val="18"/>
              </w:rPr>
              <w:t xml:space="preserve"> (total = 3)</w:t>
            </w:r>
          </w:p>
          <w:p w:rsidR="00BA7C5E" w:rsidRPr="009500F4" w:rsidRDefault="00BA7C5E" w:rsidP="00BA7C5E">
            <w:pPr>
              <w:jc w:val="left"/>
              <w:rPr>
                <w:sz w:val="18"/>
                <w:szCs w:val="18"/>
              </w:rPr>
            </w:pPr>
          </w:p>
          <w:p w:rsidR="00BA7C5E" w:rsidRPr="009500F4" w:rsidRDefault="00BA7C5E" w:rsidP="00BA7C5E">
            <w:pPr>
              <w:jc w:val="left"/>
              <w:rPr>
                <w:sz w:val="18"/>
                <w:szCs w:val="18"/>
              </w:rPr>
            </w:pPr>
            <w:r w:rsidRPr="009500F4">
              <w:rPr>
                <w:sz w:val="18"/>
                <w:szCs w:val="18"/>
              </w:rPr>
              <w:t xml:space="preserve">160% increase in company registrations in </w:t>
            </w:r>
            <w:r w:rsidR="005A7BA3" w:rsidRPr="009500F4">
              <w:rPr>
                <w:sz w:val="18"/>
                <w:szCs w:val="18"/>
              </w:rPr>
              <w:t>Solomon Islands</w:t>
            </w:r>
            <w:r w:rsidRPr="009500F4">
              <w:rPr>
                <w:sz w:val="18"/>
                <w:szCs w:val="18"/>
              </w:rPr>
              <w:t xml:space="preserve">; 84% in </w:t>
            </w:r>
            <w:r w:rsidR="005A7BA3" w:rsidRPr="009500F4">
              <w:rPr>
                <w:sz w:val="18"/>
                <w:szCs w:val="18"/>
              </w:rPr>
              <w:t>Samoa</w:t>
            </w:r>
            <w:r w:rsidRPr="009500F4">
              <w:rPr>
                <w:sz w:val="18"/>
                <w:szCs w:val="18"/>
              </w:rPr>
              <w:t xml:space="preserve">; and multiple entry registry commenced in </w:t>
            </w:r>
            <w:r w:rsidR="005A7BA3" w:rsidRPr="009500F4">
              <w:rPr>
                <w:sz w:val="18"/>
                <w:szCs w:val="18"/>
              </w:rPr>
              <w:t>Tonga</w:t>
            </w:r>
            <w:r w:rsidRPr="009500F4">
              <w:rPr>
                <w:sz w:val="18"/>
                <w:szCs w:val="18"/>
              </w:rPr>
              <w:t>.</w:t>
            </w:r>
          </w:p>
        </w:tc>
        <w:tc>
          <w:tcPr>
            <w:tcW w:w="2333" w:type="dxa"/>
            <w:tcBorders>
              <w:left w:val="nil"/>
              <w:right w:val="nil"/>
            </w:tcBorders>
            <w:hideMark/>
          </w:tcPr>
          <w:p w:rsidR="00BA7C5E" w:rsidRPr="009500F4" w:rsidRDefault="00BA7C5E" w:rsidP="00BA7C5E">
            <w:pPr>
              <w:jc w:val="left"/>
              <w:rPr>
                <w:sz w:val="18"/>
                <w:szCs w:val="18"/>
              </w:rPr>
            </w:pPr>
            <w:r w:rsidRPr="009500F4">
              <w:rPr>
                <w:sz w:val="18"/>
                <w:szCs w:val="18"/>
              </w:rPr>
              <w:t>Launched</w:t>
            </w:r>
            <w:r w:rsidR="00F46A63" w:rsidRPr="009500F4">
              <w:rPr>
                <w:sz w:val="18"/>
                <w:szCs w:val="18"/>
              </w:rPr>
              <w:t xml:space="preserve"> </w:t>
            </w:r>
            <w:r w:rsidRPr="009500F4">
              <w:rPr>
                <w:sz w:val="18"/>
                <w:szCs w:val="18"/>
              </w:rPr>
              <w:t xml:space="preserve">business registries </w:t>
            </w:r>
            <w:r w:rsidR="00F46A63" w:rsidRPr="009500F4">
              <w:rPr>
                <w:sz w:val="18"/>
                <w:szCs w:val="18"/>
              </w:rPr>
              <w:t xml:space="preserve">in Vanuatu </w:t>
            </w:r>
            <w:r w:rsidRPr="009500F4">
              <w:rPr>
                <w:sz w:val="18"/>
                <w:szCs w:val="18"/>
              </w:rPr>
              <w:t>(total = 4)</w:t>
            </w:r>
          </w:p>
          <w:p w:rsidR="00BA7C5E" w:rsidRPr="009500F4" w:rsidRDefault="00BA7C5E" w:rsidP="00BA7C5E">
            <w:pPr>
              <w:jc w:val="left"/>
              <w:rPr>
                <w:sz w:val="18"/>
                <w:szCs w:val="18"/>
              </w:rPr>
            </w:pPr>
          </w:p>
          <w:p w:rsidR="00BA7C5E" w:rsidRPr="009500F4" w:rsidRDefault="00BA7C5E" w:rsidP="00BA7C5E">
            <w:pPr>
              <w:jc w:val="left"/>
              <w:rPr>
                <w:sz w:val="18"/>
                <w:szCs w:val="18"/>
              </w:rPr>
            </w:pPr>
            <w:r w:rsidRPr="009500F4">
              <w:rPr>
                <w:sz w:val="18"/>
                <w:szCs w:val="18"/>
              </w:rPr>
              <w:t xml:space="preserve">221% increase in company registrations in </w:t>
            </w:r>
            <w:r w:rsidR="005A7BA3" w:rsidRPr="009500F4">
              <w:rPr>
                <w:sz w:val="18"/>
                <w:szCs w:val="18"/>
              </w:rPr>
              <w:t>Solomon Islands</w:t>
            </w:r>
            <w:r w:rsidRPr="009500F4">
              <w:rPr>
                <w:sz w:val="18"/>
                <w:szCs w:val="18"/>
              </w:rPr>
              <w:t xml:space="preserve">; 87% in </w:t>
            </w:r>
            <w:r w:rsidR="005A7BA3" w:rsidRPr="009500F4">
              <w:rPr>
                <w:sz w:val="18"/>
                <w:szCs w:val="18"/>
              </w:rPr>
              <w:t>Samoa</w:t>
            </w:r>
            <w:r w:rsidRPr="009500F4">
              <w:rPr>
                <w:sz w:val="18"/>
                <w:szCs w:val="18"/>
              </w:rPr>
              <w:t xml:space="preserve">; and 33% in </w:t>
            </w:r>
            <w:r w:rsidR="005A7BA3" w:rsidRPr="009500F4">
              <w:rPr>
                <w:sz w:val="18"/>
                <w:szCs w:val="18"/>
              </w:rPr>
              <w:t xml:space="preserve">Tonga </w:t>
            </w:r>
            <w:r w:rsidRPr="009500F4">
              <w:rPr>
                <w:sz w:val="18"/>
                <w:szCs w:val="18"/>
              </w:rPr>
              <w:t>(average increase = 114%)</w:t>
            </w:r>
          </w:p>
        </w:tc>
        <w:tc>
          <w:tcPr>
            <w:tcW w:w="2333" w:type="dxa"/>
            <w:tcBorders>
              <w:left w:val="nil"/>
              <w:right w:val="nil"/>
            </w:tcBorders>
          </w:tcPr>
          <w:p w:rsidR="00BA7C5E" w:rsidRPr="00CC48D2" w:rsidRDefault="00CC48D2" w:rsidP="00BA7C5E">
            <w:pPr>
              <w:jc w:val="left"/>
              <w:rPr>
                <w:sz w:val="18"/>
                <w:szCs w:val="18"/>
              </w:rPr>
            </w:pPr>
            <w:r w:rsidRPr="00CC48D2">
              <w:rPr>
                <w:sz w:val="18"/>
                <w:szCs w:val="18"/>
              </w:rPr>
              <w:t>2% increase in S</w:t>
            </w:r>
            <w:r>
              <w:rPr>
                <w:sz w:val="18"/>
                <w:szCs w:val="18"/>
              </w:rPr>
              <w:t>amoa</w:t>
            </w:r>
            <w:r w:rsidRPr="00CC48D2">
              <w:rPr>
                <w:sz w:val="18"/>
                <w:szCs w:val="18"/>
              </w:rPr>
              <w:t>; 226% increa</w:t>
            </w:r>
            <w:r>
              <w:rPr>
                <w:sz w:val="18"/>
                <w:szCs w:val="18"/>
              </w:rPr>
              <w:t>s</w:t>
            </w:r>
            <w:r w:rsidRPr="00CC48D2">
              <w:rPr>
                <w:sz w:val="18"/>
                <w:szCs w:val="18"/>
              </w:rPr>
              <w:t xml:space="preserve">e in </w:t>
            </w:r>
            <w:r>
              <w:rPr>
                <w:sz w:val="18"/>
                <w:szCs w:val="18"/>
              </w:rPr>
              <w:t>Solomon Islands; 91% increa</w:t>
            </w:r>
            <w:r w:rsidRPr="00CC48D2">
              <w:rPr>
                <w:sz w:val="18"/>
                <w:szCs w:val="18"/>
              </w:rPr>
              <w:t>se in T</w:t>
            </w:r>
            <w:r>
              <w:rPr>
                <w:sz w:val="18"/>
                <w:szCs w:val="18"/>
              </w:rPr>
              <w:t>onga</w:t>
            </w:r>
            <w:r w:rsidRPr="00CC48D2">
              <w:rPr>
                <w:sz w:val="18"/>
                <w:szCs w:val="18"/>
              </w:rPr>
              <w:t>; 43% increase in V</w:t>
            </w:r>
            <w:r>
              <w:rPr>
                <w:sz w:val="18"/>
                <w:szCs w:val="18"/>
              </w:rPr>
              <w:t>anuatu</w:t>
            </w:r>
            <w:r w:rsidRPr="00CC48D2">
              <w:rPr>
                <w:sz w:val="18"/>
                <w:szCs w:val="18"/>
              </w:rPr>
              <w:t xml:space="preserve"> (average increase = 91%).</w:t>
            </w:r>
          </w:p>
        </w:tc>
      </w:tr>
      <w:tr w:rsidR="00BA7C5E" w:rsidRPr="00CC48D2" w:rsidTr="00170139">
        <w:trPr>
          <w:trHeight w:val="901"/>
        </w:trPr>
        <w:tc>
          <w:tcPr>
            <w:tcW w:w="2333" w:type="dxa"/>
            <w:tcBorders>
              <w:left w:val="nil"/>
              <w:right w:val="nil"/>
            </w:tcBorders>
            <w:hideMark/>
          </w:tcPr>
          <w:p w:rsidR="00BA7C5E" w:rsidRPr="00CC48D2" w:rsidRDefault="00BA7C5E" w:rsidP="00BA7C5E">
            <w:pPr>
              <w:jc w:val="left"/>
              <w:rPr>
                <w:sz w:val="18"/>
                <w:szCs w:val="18"/>
              </w:rPr>
            </w:pPr>
            <w:r w:rsidRPr="00CC48D2">
              <w:rPr>
                <w:sz w:val="18"/>
                <w:szCs w:val="18"/>
              </w:rPr>
              <w:t xml:space="preserve">Time to register a new company declines to </w:t>
            </w:r>
            <w:r w:rsidR="00F46A63" w:rsidRPr="00CC48D2">
              <w:rPr>
                <w:sz w:val="18"/>
                <w:szCs w:val="18"/>
              </w:rPr>
              <w:t xml:space="preserve">fewer </w:t>
            </w:r>
            <w:r w:rsidRPr="00CC48D2">
              <w:rPr>
                <w:sz w:val="18"/>
                <w:szCs w:val="18"/>
              </w:rPr>
              <w:t xml:space="preserve">than 2 days in at least </w:t>
            </w:r>
            <w:r w:rsidR="00F46A63" w:rsidRPr="00CC48D2">
              <w:rPr>
                <w:sz w:val="18"/>
                <w:szCs w:val="18"/>
              </w:rPr>
              <w:t xml:space="preserve">4 </w:t>
            </w:r>
            <w:r w:rsidRPr="00CC48D2">
              <w:rPr>
                <w:sz w:val="18"/>
                <w:szCs w:val="18"/>
              </w:rPr>
              <w:t>assisted countries</w:t>
            </w:r>
          </w:p>
        </w:tc>
        <w:tc>
          <w:tcPr>
            <w:tcW w:w="2333" w:type="dxa"/>
            <w:tcBorders>
              <w:left w:val="nil"/>
              <w:right w:val="nil"/>
            </w:tcBorders>
            <w:hideMark/>
          </w:tcPr>
          <w:p w:rsidR="00BA7C5E" w:rsidRPr="00CC48D2" w:rsidRDefault="00BA7C5E" w:rsidP="00BA7C5E">
            <w:pPr>
              <w:jc w:val="left"/>
              <w:rPr>
                <w:sz w:val="18"/>
                <w:szCs w:val="18"/>
              </w:rPr>
            </w:pPr>
            <w:r w:rsidRPr="00CC48D2">
              <w:rPr>
                <w:sz w:val="18"/>
                <w:szCs w:val="18"/>
              </w:rPr>
              <w:t xml:space="preserve">Declined from 45 days to 1.5 days in </w:t>
            </w:r>
            <w:r w:rsidR="005A7BA3" w:rsidRPr="00CC48D2">
              <w:rPr>
                <w:sz w:val="18"/>
                <w:szCs w:val="18"/>
              </w:rPr>
              <w:t>Solomon Islands</w:t>
            </w:r>
            <w:r w:rsidRPr="00CC48D2">
              <w:rPr>
                <w:sz w:val="18"/>
                <w:szCs w:val="18"/>
              </w:rPr>
              <w:t xml:space="preserve">; 21 days to 1 day in </w:t>
            </w:r>
            <w:r w:rsidR="005A7BA3" w:rsidRPr="00CC48D2">
              <w:rPr>
                <w:sz w:val="18"/>
                <w:szCs w:val="18"/>
              </w:rPr>
              <w:t>Samoa</w:t>
            </w:r>
            <w:r w:rsidRPr="00CC48D2">
              <w:rPr>
                <w:sz w:val="18"/>
                <w:szCs w:val="18"/>
              </w:rPr>
              <w:t xml:space="preserve">; and 5 days to 1.5 days in </w:t>
            </w:r>
            <w:r w:rsidR="005A7BA3" w:rsidRPr="00CC48D2">
              <w:rPr>
                <w:sz w:val="18"/>
                <w:szCs w:val="18"/>
              </w:rPr>
              <w:t>Tonga</w:t>
            </w:r>
            <w:r w:rsidRPr="00CC48D2">
              <w:rPr>
                <w:sz w:val="18"/>
                <w:szCs w:val="18"/>
              </w:rPr>
              <w:t>.</w:t>
            </w:r>
          </w:p>
        </w:tc>
        <w:tc>
          <w:tcPr>
            <w:tcW w:w="2333" w:type="dxa"/>
            <w:tcBorders>
              <w:left w:val="nil"/>
              <w:right w:val="nil"/>
            </w:tcBorders>
            <w:hideMark/>
          </w:tcPr>
          <w:p w:rsidR="00BA7C5E" w:rsidRPr="00CC48D2" w:rsidRDefault="00CC48D2" w:rsidP="00BA7C5E">
            <w:pPr>
              <w:jc w:val="left"/>
              <w:rPr>
                <w:sz w:val="18"/>
                <w:szCs w:val="18"/>
              </w:rPr>
            </w:pPr>
            <w:r>
              <w:rPr>
                <w:sz w:val="18"/>
                <w:szCs w:val="18"/>
              </w:rPr>
              <w:t>Previous results maintained.</w:t>
            </w:r>
          </w:p>
        </w:tc>
        <w:tc>
          <w:tcPr>
            <w:tcW w:w="2333" w:type="dxa"/>
            <w:tcBorders>
              <w:left w:val="nil"/>
              <w:right w:val="nil"/>
            </w:tcBorders>
          </w:tcPr>
          <w:p w:rsidR="00CC48D2" w:rsidRDefault="00CC48D2" w:rsidP="00BA7C5E">
            <w:pPr>
              <w:jc w:val="left"/>
              <w:rPr>
                <w:sz w:val="18"/>
                <w:szCs w:val="18"/>
              </w:rPr>
            </w:pPr>
            <w:r>
              <w:rPr>
                <w:sz w:val="18"/>
                <w:szCs w:val="18"/>
              </w:rPr>
              <w:t>Previous results maintained.</w:t>
            </w:r>
          </w:p>
          <w:p w:rsidR="00CC48D2" w:rsidRDefault="00CC48D2" w:rsidP="00BA7C5E">
            <w:pPr>
              <w:jc w:val="left"/>
              <w:rPr>
                <w:sz w:val="18"/>
                <w:szCs w:val="18"/>
              </w:rPr>
            </w:pPr>
          </w:p>
          <w:p w:rsidR="00BA7C5E" w:rsidRPr="00CC48D2" w:rsidRDefault="00CC48D2" w:rsidP="00BA7C5E">
            <w:pPr>
              <w:jc w:val="left"/>
              <w:rPr>
                <w:sz w:val="18"/>
                <w:szCs w:val="18"/>
              </w:rPr>
            </w:pPr>
            <w:r>
              <w:rPr>
                <w:sz w:val="18"/>
                <w:szCs w:val="18"/>
              </w:rPr>
              <w:t>Vanuatu</w:t>
            </w:r>
            <w:r w:rsidRPr="00CC48D2">
              <w:rPr>
                <w:sz w:val="18"/>
                <w:szCs w:val="18"/>
              </w:rPr>
              <w:t xml:space="preserve"> declined from 5 days to 1 day.</w:t>
            </w:r>
          </w:p>
        </w:tc>
      </w:tr>
      <w:tr w:rsidR="00BA7C5E" w:rsidRPr="009500F4" w:rsidTr="00170139">
        <w:trPr>
          <w:trHeight w:val="1432"/>
        </w:trPr>
        <w:tc>
          <w:tcPr>
            <w:tcW w:w="2333" w:type="dxa"/>
            <w:tcBorders>
              <w:left w:val="nil"/>
              <w:right w:val="nil"/>
            </w:tcBorders>
            <w:hideMark/>
          </w:tcPr>
          <w:p w:rsidR="00BA7C5E" w:rsidRPr="009500F4" w:rsidRDefault="00BA7C5E" w:rsidP="00BA7C5E">
            <w:pPr>
              <w:jc w:val="left"/>
              <w:rPr>
                <w:sz w:val="18"/>
                <w:szCs w:val="18"/>
              </w:rPr>
            </w:pPr>
            <w:r w:rsidRPr="009500F4">
              <w:rPr>
                <w:sz w:val="18"/>
                <w:szCs w:val="18"/>
              </w:rPr>
              <w:lastRenderedPageBreak/>
              <w:t>Number of women shareholders and directors increases to at least 20% of directors and shareholders in PSDI-reformed countries by 2019 (</w:t>
            </w:r>
            <w:r w:rsidR="005A7BA3" w:rsidRPr="009500F4">
              <w:rPr>
                <w:sz w:val="18"/>
                <w:szCs w:val="18"/>
              </w:rPr>
              <w:t xml:space="preserve">4 </w:t>
            </w:r>
            <w:r w:rsidRPr="009500F4">
              <w:rPr>
                <w:sz w:val="18"/>
                <w:szCs w:val="18"/>
              </w:rPr>
              <w:t>countries)</w:t>
            </w:r>
          </w:p>
        </w:tc>
        <w:tc>
          <w:tcPr>
            <w:tcW w:w="2333" w:type="dxa"/>
            <w:tcBorders>
              <w:left w:val="nil"/>
              <w:right w:val="nil"/>
            </w:tcBorders>
            <w:hideMark/>
          </w:tcPr>
          <w:p w:rsidR="00BA7C5E" w:rsidRPr="009500F4" w:rsidRDefault="00BA7C5E" w:rsidP="00BA7C5E">
            <w:pPr>
              <w:jc w:val="left"/>
              <w:rPr>
                <w:sz w:val="18"/>
                <w:szCs w:val="18"/>
              </w:rPr>
            </w:pPr>
            <w:r w:rsidRPr="009500F4">
              <w:rPr>
                <w:sz w:val="18"/>
                <w:szCs w:val="18"/>
              </w:rPr>
              <w:t xml:space="preserve">21% increase in </w:t>
            </w:r>
            <w:r w:rsidR="005A7BA3" w:rsidRPr="009500F4">
              <w:rPr>
                <w:sz w:val="18"/>
                <w:szCs w:val="18"/>
              </w:rPr>
              <w:t xml:space="preserve">women </w:t>
            </w:r>
            <w:r w:rsidRPr="009500F4">
              <w:rPr>
                <w:sz w:val="18"/>
                <w:szCs w:val="18"/>
              </w:rPr>
              <w:t>shareholders in S</w:t>
            </w:r>
            <w:r w:rsidR="00CC48D2">
              <w:rPr>
                <w:sz w:val="18"/>
                <w:szCs w:val="18"/>
              </w:rPr>
              <w:t>amoa</w:t>
            </w:r>
            <w:r w:rsidRPr="009500F4">
              <w:rPr>
                <w:sz w:val="18"/>
                <w:szCs w:val="18"/>
              </w:rPr>
              <w:t xml:space="preserve"> and 36% increase in S</w:t>
            </w:r>
            <w:r w:rsidR="00CC48D2">
              <w:rPr>
                <w:sz w:val="18"/>
                <w:szCs w:val="18"/>
              </w:rPr>
              <w:t>olomon Islands</w:t>
            </w:r>
            <w:r w:rsidRPr="009500F4">
              <w:rPr>
                <w:sz w:val="18"/>
                <w:szCs w:val="18"/>
              </w:rPr>
              <w:t>.</w:t>
            </w:r>
          </w:p>
          <w:p w:rsidR="00BA7C5E" w:rsidRPr="009500F4" w:rsidRDefault="00BA7C5E" w:rsidP="00BA7C5E">
            <w:pPr>
              <w:jc w:val="left"/>
              <w:rPr>
                <w:sz w:val="18"/>
                <w:szCs w:val="18"/>
              </w:rPr>
            </w:pPr>
          </w:p>
          <w:p w:rsidR="00BA7C5E" w:rsidRPr="009500F4" w:rsidRDefault="00BA7C5E" w:rsidP="00BA7C5E">
            <w:pPr>
              <w:jc w:val="left"/>
              <w:rPr>
                <w:sz w:val="18"/>
                <w:szCs w:val="18"/>
              </w:rPr>
            </w:pPr>
            <w:r w:rsidRPr="009500F4">
              <w:rPr>
                <w:sz w:val="18"/>
                <w:szCs w:val="18"/>
              </w:rPr>
              <w:t xml:space="preserve">18% increase in </w:t>
            </w:r>
            <w:r w:rsidR="005A7BA3" w:rsidRPr="009500F4">
              <w:rPr>
                <w:sz w:val="18"/>
                <w:szCs w:val="18"/>
              </w:rPr>
              <w:t xml:space="preserve">women </w:t>
            </w:r>
            <w:r w:rsidRPr="009500F4">
              <w:rPr>
                <w:sz w:val="18"/>
                <w:szCs w:val="18"/>
              </w:rPr>
              <w:t xml:space="preserve">directors in </w:t>
            </w:r>
            <w:r w:rsidR="005A7BA3" w:rsidRPr="009500F4">
              <w:rPr>
                <w:sz w:val="18"/>
                <w:szCs w:val="18"/>
              </w:rPr>
              <w:t xml:space="preserve">Samoa </w:t>
            </w:r>
            <w:r w:rsidRPr="009500F4">
              <w:rPr>
                <w:sz w:val="18"/>
                <w:szCs w:val="18"/>
              </w:rPr>
              <w:t xml:space="preserve">and 41% increase in </w:t>
            </w:r>
            <w:r w:rsidR="005A7BA3" w:rsidRPr="009500F4">
              <w:rPr>
                <w:sz w:val="18"/>
                <w:szCs w:val="18"/>
              </w:rPr>
              <w:t>Solomon Islands</w:t>
            </w:r>
            <w:r w:rsidRPr="009500F4">
              <w:rPr>
                <w:sz w:val="18"/>
                <w:szCs w:val="18"/>
              </w:rPr>
              <w:t>.</w:t>
            </w:r>
          </w:p>
        </w:tc>
        <w:tc>
          <w:tcPr>
            <w:tcW w:w="2333" w:type="dxa"/>
            <w:tcBorders>
              <w:left w:val="nil"/>
              <w:right w:val="nil"/>
            </w:tcBorders>
            <w:hideMark/>
          </w:tcPr>
          <w:p w:rsidR="00BA7C5E" w:rsidRPr="00CC48D2" w:rsidRDefault="00BA7C5E" w:rsidP="00BA7C5E">
            <w:pPr>
              <w:jc w:val="left"/>
              <w:rPr>
                <w:sz w:val="18"/>
                <w:szCs w:val="18"/>
              </w:rPr>
            </w:pPr>
            <w:r w:rsidRPr="00CC48D2">
              <w:rPr>
                <w:sz w:val="18"/>
                <w:szCs w:val="18"/>
              </w:rPr>
              <w:t xml:space="preserve">no % change in </w:t>
            </w:r>
            <w:r w:rsidR="005A7BA3" w:rsidRPr="00CC48D2">
              <w:rPr>
                <w:sz w:val="18"/>
                <w:szCs w:val="18"/>
              </w:rPr>
              <w:t xml:space="preserve">women </w:t>
            </w:r>
            <w:r w:rsidRPr="00CC48D2">
              <w:rPr>
                <w:sz w:val="18"/>
                <w:szCs w:val="18"/>
              </w:rPr>
              <w:t xml:space="preserve">shareholders and directors in </w:t>
            </w:r>
            <w:r w:rsidR="005A7BA3" w:rsidRPr="00CC48D2">
              <w:rPr>
                <w:sz w:val="18"/>
                <w:szCs w:val="18"/>
              </w:rPr>
              <w:t>Samoa</w:t>
            </w:r>
            <w:r w:rsidRPr="00CC48D2">
              <w:rPr>
                <w:sz w:val="18"/>
                <w:szCs w:val="18"/>
              </w:rPr>
              <w:t>.</w:t>
            </w:r>
          </w:p>
          <w:p w:rsidR="00BA7C5E" w:rsidRPr="00CC48D2" w:rsidRDefault="00BA7C5E" w:rsidP="00BA7C5E">
            <w:pPr>
              <w:jc w:val="left"/>
              <w:rPr>
                <w:sz w:val="18"/>
                <w:szCs w:val="18"/>
              </w:rPr>
            </w:pPr>
          </w:p>
          <w:p w:rsidR="00BA7C5E" w:rsidRPr="00CC48D2" w:rsidRDefault="00BA7C5E" w:rsidP="00BA7C5E">
            <w:pPr>
              <w:jc w:val="left"/>
              <w:rPr>
                <w:sz w:val="18"/>
                <w:szCs w:val="18"/>
              </w:rPr>
            </w:pPr>
            <w:r w:rsidRPr="00CC48D2">
              <w:rPr>
                <w:sz w:val="18"/>
                <w:szCs w:val="18"/>
              </w:rPr>
              <w:t xml:space="preserve">a slight decrease in </w:t>
            </w:r>
            <w:r w:rsidR="005A7BA3" w:rsidRPr="00CC48D2">
              <w:rPr>
                <w:sz w:val="18"/>
                <w:szCs w:val="18"/>
              </w:rPr>
              <w:t xml:space="preserve">women </w:t>
            </w:r>
            <w:r w:rsidRPr="00CC48D2">
              <w:rPr>
                <w:sz w:val="18"/>
                <w:szCs w:val="18"/>
              </w:rPr>
              <w:t xml:space="preserve">directors and shareholders in </w:t>
            </w:r>
            <w:r w:rsidR="005A7BA3" w:rsidRPr="00CC48D2">
              <w:rPr>
                <w:sz w:val="18"/>
                <w:szCs w:val="18"/>
              </w:rPr>
              <w:t>Solomon Islands</w:t>
            </w:r>
            <w:r w:rsidRPr="00CC48D2">
              <w:rPr>
                <w:sz w:val="18"/>
                <w:szCs w:val="18"/>
              </w:rPr>
              <w:t>.</w:t>
            </w:r>
          </w:p>
          <w:p w:rsidR="00BA7C5E" w:rsidRPr="00CC48D2" w:rsidRDefault="00BA7C5E" w:rsidP="00BA7C5E">
            <w:pPr>
              <w:jc w:val="left"/>
              <w:rPr>
                <w:sz w:val="18"/>
                <w:szCs w:val="18"/>
              </w:rPr>
            </w:pPr>
          </w:p>
          <w:p w:rsidR="00BA7C5E" w:rsidRPr="00CC48D2" w:rsidRDefault="00BA7C5E" w:rsidP="00BA7C5E">
            <w:pPr>
              <w:jc w:val="left"/>
              <w:rPr>
                <w:sz w:val="18"/>
                <w:szCs w:val="18"/>
              </w:rPr>
            </w:pPr>
            <w:r w:rsidRPr="00CC48D2">
              <w:rPr>
                <w:sz w:val="18"/>
                <w:szCs w:val="18"/>
              </w:rPr>
              <w:t xml:space="preserve">In </w:t>
            </w:r>
            <w:r w:rsidR="005A7BA3" w:rsidRPr="00CC48D2">
              <w:rPr>
                <w:sz w:val="18"/>
                <w:szCs w:val="18"/>
              </w:rPr>
              <w:t>Tonga</w:t>
            </w:r>
            <w:r w:rsidRPr="00CC48D2">
              <w:rPr>
                <w:sz w:val="18"/>
                <w:szCs w:val="18"/>
              </w:rPr>
              <w:t xml:space="preserve">, 26% of business directors and 29% of shareholders are </w:t>
            </w:r>
            <w:r w:rsidR="005A7BA3" w:rsidRPr="00CC48D2">
              <w:rPr>
                <w:sz w:val="18"/>
                <w:szCs w:val="18"/>
              </w:rPr>
              <w:t>women</w:t>
            </w:r>
            <w:r w:rsidRPr="00CC48D2">
              <w:rPr>
                <w:sz w:val="18"/>
                <w:szCs w:val="18"/>
              </w:rPr>
              <w:t>.</w:t>
            </w:r>
          </w:p>
        </w:tc>
        <w:tc>
          <w:tcPr>
            <w:tcW w:w="2333" w:type="dxa"/>
            <w:tcBorders>
              <w:left w:val="nil"/>
              <w:right w:val="nil"/>
            </w:tcBorders>
          </w:tcPr>
          <w:p w:rsidR="00CC48D2" w:rsidRDefault="00CC48D2" w:rsidP="00BA7C5E">
            <w:pPr>
              <w:jc w:val="left"/>
              <w:rPr>
                <w:sz w:val="18"/>
                <w:szCs w:val="18"/>
              </w:rPr>
            </w:pPr>
            <w:r>
              <w:rPr>
                <w:sz w:val="18"/>
                <w:szCs w:val="18"/>
              </w:rPr>
              <w:t>In Samoa</w:t>
            </w:r>
            <w:r w:rsidRPr="00CC48D2">
              <w:rPr>
                <w:sz w:val="18"/>
                <w:szCs w:val="18"/>
              </w:rPr>
              <w:t>, 35% of company directors and 42% of shareholders are female</w:t>
            </w:r>
            <w:r>
              <w:rPr>
                <w:sz w:val="18"/>
                <w:szCs w:val="18"/>
              </w:rPr>
              <w:t>.</w:t>
            </w:r>
          </w:p>
          <w:p w:rsidR="00CC48D2" w:rsidRDefault="00CC48D2" w:rsidP="00BA7C5E">
            <w:pPr>
              <w:jc w:val="left"/>
              <w:rPr>
                <w:sz w:val="18"/>
                <w:szCs w:val="18"/>
              </w:rPr>
            </w:pPr>
          </w:p>
          <w:p w:rsidR="00CC48D2" w:rsidRDefault="00CC48D2" w:rsidP="00BA7C5E">
            <w:pPr>
              <w:jc w:val="left"/>
              <w:rPr>
                <w:sz w:val="18"/>
                <w:szCs w:val="18"/>
              </w:rPr>
            </w:pPr>
            <w:r>
              <w:rPr>
                <w:sz w:val="18"/>
                <w:szCs w:val="18"/>
              </w:rPr>
              <w:t>In Solomon Islands</w:t>
            </w:r>
            <w:r w:rsidRPr="00CC48D2">
              <w:rPr>
                <w:sz w:val="18"/>
                <w:szCs w:val="18"/>
              </w:rPr>
              <w:t>, 32% of company directors and 29% of shareholders are female.</w:t>
            </w:r>
          </w:p>
          <w:p w:rsidR="00CC48D2" w:rsidRDefault="00CC48D2" w:rsidP="00BA7C5E">
            <w:pPr>
              <w:jc w:val="left"/>
              <w:rPr>
                <w:sz w:val="18"/>
                <w:szCs w:val="18"/>
              </w:rPr>
            </w:pPr>
          </w:p>
          <w:p w:rsidR="00CC48D2" w:rsidRDefault="00CC48D2" w:rsidP="00BA7C5E">
            <w:pPr>
              <w:jc w:val="left"/>
              <w:rPr>
                <w:sz w:val="18"/>
                <w:szCs w:val="18"/>
              </w:rPr>
            </w:pPr>
            <w:r w:rsidRPr="00CC48D2">
              <w:rPr>
                <w:sz w:val="18"/>
                <w:szCs w:val="18"/>
              </w:rPr>
              <w:t xml:space="preserve">In </w:t>
            </w:r>
            <w:r>
              <w:rPr>
                <w:sz w:val="18"/>
                <w:szCs w:val="18"/>
              </w:rPr>
              <w:t>Tonga</w:t>
            </w:r>
            <w:r w:rsidRPr="00CC48D2">
              <w:rPr>
                <w:sz w:val="18"/>
                <w:szCs w:val="18"/>
              </w:rPr>
              <w:t>, 12% of company directors and 11% of shareholders are female.</w:t>
            </w:r>
          </w:p>
          <w:p w:rsidR="00CC48D2" w:rsidRDefault="00CC48D2" w:rsidP="00BA7C5E">
            <w:pPr>
              <w:jc w:val="left"/>
              <w:rPr>
                <w:sz w:val="18"/>
                <w:szCs w:val="18"/>
              </w:rPr>
            </w:pPr>
          </w:p>
          <w:p w:rsidR="00BA7C5E" w:rsidRPr="00CC48D2" w:rsidRDefault="00CC48D2" w:rsidP="00BA7C5E">
            <w:pPr>
              <w:jc w:val="left"/>
              <w:rPr>
                <w:sz w:val="18"/>
                <w:szCs w:val="18"/>
              </w:rPr>
            </w:pPr>
            <w:r w:rsidRPr="00CC48D2">
              <w:rPr>
                <w:sz w:val="18"/>
                <w:szCs w:val="18"/>
              </w:rPr>
              <w:t>In V</w:t>
            </w:r>
            <w:r>
              <w:rPr>
                <w:sz w:val="18"/>
                <w:szCs w:val="18"/>
              </w:rPr>
              <w:t>anuatu</w:t>
            </w:r>
            <w:r w:rsidRPr="00CC48D2">
              <w:rPr>
                <w:sz w:val="18"/>
                <w:szCs w:val="18"/>
              </w:rPr>
              <w:t>, 21% of company directors and 18% of shareholders are female.</w:t>
            </w:r>
          </w:p>
        </w:tc>
      </w:tr>
    </w:tbl>
    <w:p w:rsidR="00373152" w:rsidRPr="009500F4" w:rsidRDefault="00373152" w:rsidP="00373152">
      <w:pPr>
        <w:widowControl w:val="0"/>
        <w:spacing w:line="246" w:lineRule="auto"/>
        <w:ind w:right="1197"/>
        <w:jc w:val="left"/>
        <w:rPr>
          <w:rFonts w:eastAsia="Ideal Sans Light" w:cs="Arial"/>
          <w:sz w:val="16"/>
          <w:szCs w:val="16"/>
          <w:lang w:val="en-AU" w:eastAsia="en-US"/>
        </w:rPr>
      </w:pPr>
      <w:r w:rsidRPr="009500F4">
        <w:rPr>
          <w:rFonts w:cs="Arial"/>
          <w:sz w:val="16"/>
          <w:szCs w:val="16"/>
        </w:rPr>
        <w:t>FY = fiscal year (</w:t>
      </w:r>
      <w:r w:rsidRPr="009500F4">
        <w:rPr>
          <w:rFonts w:eastAsia="Ideal Sans Light" w:cs="Arial"/>
          <w:sz w:val="16"/>
          <w:szCs w:val="16"/>
          <w:lang w:val="en-AU" w:eastAsia="en-US"/>
        </w:rPr>
        <w:t>FY before a calendar year denotes the year in which the fiscal year ends).</w:t>
      </w:r>
    </w:p>
    <w:p w:rsidR="00373152" w:rsidRPr="009500F4" w:rsidRDefault="00373152" w:rsidP="00373152">
      <w:pPr>
        <w:rPr>
          <w:sz w:val="16"/>
          <w:szCs w:val="16"/>
        </w:rPr>
      </w:pPr>
      <w:r w:rsidRPr="009500F4">
        <w:rPr>
          <w:rFonts w:cs="Arial"/>
          <w:sz w:val="16"/>
          <w:szCs w:val="16"/>
        </w:rPr>
        <w:t xml:space="preserve">Source: </w:t>
      </w:r>
      <w:r w:rsidRPr="009500F4">
        <w:rPr>
          <w:sz w:val="16"/>
          <w:szCs w:val="16"/>
        </w:rPr>
        <w:t>Private Sector Development Initiative.</w:t>
      </w:r>
    </w:p>
    <w:p w:rsidR="00CA2AB0" w:rsidRPr="009500F4" w:rsidRDefault="00CA2AB0" w:rsidP="00CA4CD7">
      <w:pPr>
        <w:rPr>
          <w:rFonts w:cs="Arial"/>
          <w:sz w:val="20"/>
          <w:szCs w:val="20"/>
        </w:rPr>
      </w:pPr>
    </w:p>
    <w:p w:rsidR="00CA4CD7"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Data </w:t>
      </w:r>
      <w:r w:rsidR="00B63300" w:rsidRPr="009500F4">
        <w:rPr>
          <w:rFonts w:eastAsia="Calibri" w:cs="Arial"/>
          <w:szCs w:val="22"/>
          <w:lang w:eastAsia="en-US"/>
        </w:rPr>
        <w:t xml:space="preserve">sets </w:t>
      </w:r>
      <w:r w:rsidRPr="009500F4">
        <w:rPr>
          <w:rFonts w:eastAsia="Calibri" w:cs="Arial"/>
          <w:szCs w:val="22"/>
          <w:lang w:eastAsia="en-US"/>
        </w:rPr>
        <w:t>on business registrations show modest improvement during Phase III, again with impressive cumulative percentage growth</w:t>
      </w:r>
      <w:r w:rsidR="00B63300" w:rsidRPr="009500F4">
        <w:rPr>
          <w:rFonts w:eastAsia="Calibri" w:cs="Arial"/>
          <w:szCs w:val="22"/>
          <w:lang w:eastAsia="en-US"/>
        </w:rPr>
        <w:t>,</w:t>
      </w:r>
      <w:r w:rsidRPr="009500F4">
        <w:rPr>
          <w:rFonts w:eastAsia="Calibri" w:cs="Arial"/>
          <w:szCs w:val="22"/>
          <w:lang w:eastAsia="en-US"/>
        </w:rPr>
        <w:t xml:space="preserve"> but </w:t>
      </w:r>
      <w:r w:rsidR="00B63300" w:rsidRPr="009500F4">
        <w:rPr>
          <w:rFonts w:eastAsia="Calibri" w:cs="Arial"/>
          <w:szCs w:val="22"/>
          <w:lang w:eastAsia="en-US"/>
        </w:rPr>
        <w:t xml:space="preserve">in </w:t>
      </w:r>
      <w:r w:rsidRPr="009500F4">
        <w:rPr>
          <w:rFonts w:eastAsia="Calibri" w:cs="Arial"/>
          <w:szCs w:val="22"/>
          <w:lang w:eastAsia="en-US"/>
        </w:rPr>
        <w:t>fairly small overall numbers (Table 6). More notable are the decreased business registration times reported in Table 5.</w:t>
      </w:r>
    </w:p>
    <w:p w:rsidR="00E201D1" w:rsidRDefault="00E201D1">
      <w:pPr>
        <w:jc w:val="left"/>
      </w:pPr>
    </w:p>
    <w:p w:rsidR="007A5780" w:rsidRPr="00D6162F" w:rsidRDefault="00CA4CD7" w:rsidP="00170139">
      <w:pPr>
        <w:jc w:val="center"/>
        <w:rPr>
          <w:rFonts w:cs="Arial"/>
          <w:b/>
          <w:sz w:val="20"/>
          <w:szCs w:val="20"/>
        </w:rPr>
      </w:pPr>
      <w:r w:rsidRPr="00D6162F">
        <w:rPr>
          <w:rFonts w:cs="Arial"/>
          <w:b/>
          <w:sz w:val="20"/>
          <w:szCs w:val="20"/>
        </w:rPr>
        <w:t>Table 6</w:t>
      </w:r>
      <w:r w:rsidR="00F249C6" w:rsidRPr="00D6162F">
        <w:rPr>
          <w:rFonts w:cs="Arial"/>
          <w:b/>
          <w:sz w:val="20"/>
          <w:szCs w:val="20"/>
        </w:rPr>
        <w:t xml:space="preserve">: </w:t>
      </w:r>
      <w:r w:rsidRPr="00D6162F">
        <w:rPr>
          <w:rFonts w:cs="Arial"/>
          <w:b/>
          <w:sz w:val="20"/>
          <w:szCs w:val="20"/>
        </w:rPr>
        <w:t xml:space="preserve">Business </w:t>
      </w:r>
      <w:r w:rsidR="00B662C0" w:rsidRPr="00D6162F">
        <w:rPr>
          <w:rFonts w:cs="Arial"/>
          <w:b/>
          <w:sz w:val="20"/>
          <w:szCs w:val="20"/>
        </w:rPr>
        <w:t>R</w:t>
      </w:r>
      <w:r w:rsidRPr="00D6162F">
        <w:rPr>
          <w:rFonts w:cs="Arial"/>
          <w:b/>
          <w:sz w:val="20"/>
          <w:szCs w:val="20"/>
        </w:rPr>
        <w:t>egistrations</w:t>
      </w:r>
    </w:p>
    <w:p w:rsidR="00CA4CD7" w:rsidRPr="000C15E8" w:rsidRDefault="00CA4CD7" w:rsidP="00C930F2">
      <w:pPr>
        <w:rPr>
          <w:rFonts w:cs="Arial"/>
          <w:sz w:val="10"/>
          <w:szCs w:val="10"/>
        </w:rPr>
      </w:pPr>
    </w:p>
    <w:tbl>
      <w:tblPr>
        <w:tblStyle w:val="TableGrid"/>
        <w:tblW w:w="3289" w:type="pct"/>
        <w:jc w:val="center"/>
        <w:tblBorders>
          <w:left w:val="none" w:sz="0" w:space="0" w:color="auto"/>
          <w:right w:val="none" w:sz="0" w:space="0" w:color="auto"/>
        </w:tblBorders>
        <w:tblLook w:val="04A0" w:firstRow="1" w:lastRow="0" w:firstColumn="1" w:lastColumn="0" w:noHBand="0" w:noVBand="1"/>
      </w:tblPr>
      <w:tblGrid>
        <w:gridCol w:w="1547"/>
        <w:gridCol w:w="2635"/>
        <w:gridCol w:w="944"/>
        <w:gridCol w:w="1031"/>
      </w:tblGrid>
      <w:tr w:rsidR="00813EB8" w:rsidRPr="009500F4" w:rsidTr="00170139">
        <w:trPr>
          <w:trHeight w:val="359"/>
          <w:jc w:val="center"/>
        </w:trPr>
        <w:tc>
          <w:tcPr>
            <w:tcW w:w="985" w:type="pct"/>
            <w:tcBorders>
              <w:right w:val="nil"/>
            </w:tcBorders>
            <w:shd w:val="clear" w:color="auto" w:fill="FFFFFF" w:themeFill="background1"/>
            <w:noWrap/>
            <w:hideMark/>
          </w:tcPr>
          <w:p w:rsidR="00CA4CD7" w:rsidRPr="009500F4" w:rsidRDefault="00CA4CD7" w:rsidP="00CA4CD7">
            <w:pPr>
              <w:rPr>
                <w:b/>
                <w:bCs/>
                <w:sz w:val="18"/>
                <w:szCs w:val="18"/>
              </w:rPr>
            </w:pPr>
            <w:r w:rsidRPr="009500F4">
              <w:rPr>
                <w:b/>
                <w:bCs/>
                <w:sz w:val="18"/>
                <w:szCs w:val="18"/>
              </w:rPr>
              <w:t>Countries</w:t>
            </w:r>
          </w:p>
        </w:tc>
        <w:tc>
          <w:tcPr>
            <w:tcW w:w="2231" w:type="pct"/>
            <w:tcBorders>
              <w:left w:val="nil"/>
              <w:right w:val="nil"/>
            </w:tcBorders>
            <w:shd w:val="clear" w:color="auto" w:fill="FFFFFF" w:themeFill="background1"/>
            <w:hideMark/>
          </w:tcPr>
          <w:p w:rsidR="00CA4CD7" w:rsidRPr="009500F4" w:rsidRDefault="00CA4CD7" w:rsidP="00170139">
            <w:pPr>
              <w:jc w:val="center"/>
              <w:rPr>
                <w:b/>
                <w:bCs/>
                <w:sz w:val="18"/>
                <w:szCs w:val="18"/>
              </w:rPr>
            </w:pPr>
            <w:r w:rsidRPr="009500F4">
              <w:rPr>
                <w:b/>
                <w:bCs/>
                <w:sz w:val="18"/>
                <w:szCs w:val="18"/>
              </w:rPr>
              <w:t>Launch year (pre-2014)</w:t>
            </w:r>
          </w:p>
        </w:tc>
        <w:tc>
          <w:tcPr>
            <w:tcW w:w="857" w:type="pct"/>
            <w:tcBorders>
              <w:left w:val="nil"/>
              <w:right w:val="nil"/>
            </w:tcBorders>
            <w:shd w:val="clear" w:color="auto" w:fill="FFFFFF" w:themeFill="background1"/>
            <w:noWrap/>
            <w:hideMark/>
          </w:tcPr>
          <w:p w:rsidR="00CA4CD7" w:rsidRPr="009500F4" w:rsidRDefault="00CA4CD7" w:rsidP="00170139">
            <w:pPr>
              <w:jc w:val="center"/>
              <w:rPr>
                <w:b/>
                <w:bCs/>
                <w:sz w:val="18"/>
                <w:szCs w:val="18"/>
              </w:rPr>
            </w:pPr>
            <w:r w:rsidRPr="009500F4">
              <w:rPr>
                <w:b/>
                <w:bCs/>
                <w:sz w:val="18"/>
                <w:szCs w:val="18"/>
              </w:rPr>
              <w:t>2014</w:t>
            </w:r>
          </w:p>
        </w:tc>
        <w:tc>
          <w:tcPr>
            <w:tcW w:w="928" w:type="pct"/>
            <w:tcBorders>
              <w:left w:val="nil"/>
            </w:tcBorders>
            <w:shd w:val="clear" w:color="auto" w:fill="FFFFFF" w:themeFill="background1"/>
            <w:noWrap/>
            <w:hideMark/>
          </w:tcPr>
          <w:p w:rsidR="00CA4CD7" w:rsidRPr="009500F4" w:rsidRDefault="00CA4CD7" w:rsidP="00170139">
            <w:pPr>
              <w:jc w:val="center"/>
              <w:rPr>
                <w:b/>
                <w:bCs/>
                <w:sz w:val="18"/>
                <w:szCs w:val="18"/>
              </w:rPr>
            </w:pPr>
            <w:r w:rsidRPr="009500F4">
              <w:rPr>
                <w:b/>
                <w:bCs/>
                <w:sz w:val="18"/>
                <w:szCs w:val="18"/>
              </w:rPr>
              <w:t>2015</w:t>
            </w:r>
          </w:p>
        </w:tc>
      </w:tr>
      <w:tr w:rsidR="00813EB8" w:rsidRPr="009500F4" w:rsidTr="00170139">
        <w:trPr>
          <w:trHeight w:val="300"/>
          <w:jc w:val="center"/>
        </w:trPr>
        <w:tc>
          <w:tcPr>
            <w:tcW w:w="985" w:type="pct"/>
            <w:tcBorders>
              <w:right w:val="nil"/>
            </w:tcBorders>
            <w:noWrap/>
            <w:hideMark/>
          </w:tcPr>
          <w:p w:rsidR="00CA4CD7" w:rsidRPr="009500F4" w:rsidRDefault="00B63300" w:rsidP="00CA4CD7">
            <w:pPr>
              <w:rPr>
                <w:sz w:val="18"/>
                <w:szCs w:val="18"/>
              </w:rPr>
            </w:pPr>
            <w:r w:rsidRPr="009500F4">
              <w:rPr>
                <w:sz w:val="18"/>
                <w:szCs w:val="18"/>
              </w:rPr>
              <w:t>Samoa</w:t>
            </w:r>
          </w:p>
        </w:tc>
        <w:tc>
          <w:tcPr>
            <w:tcW w:w="2231" w:type="pct"/>
            <w:tcBorders>
              <w:left w:val="nil"/>
              <w:right w:val="nil"/>
            </w:tcBorders>
            <w:noWrap/>
            <w:hideMark/>
          </w:tcPr>
          <w:p w:rsidR="00CA4CD7" w:rsidRPr="009500F4" w:rsidRDefault="00CA4CD7" w:rsidP="00CA4CD7">
            <w:pPr>
              <w:rPr>
                <w:sz w:val="18"/>
                <w:szCs w:val="18"/>
              </w:rPr>
            </w:pPr>
            <w:r w:rsidRPr="009500F4">
              <w:rPr>
                <w:sz w:val="18"/>
                <w:szCs w:val="18"/>
              </w:rPr>
              <w:t>112</w:t>
            </w:r>
          </w:p>
        </w:tc>
        <w:tc>
          <w:tcPr>
            <w:tcW w:w="857" w:type="pct"/>
            <w:tcBorders>
              <w:left w:val="nil"/>
              <w:right w:val="nil"/>
            </w:tcBorders>
            <w:noWrap/>
            <w:hideMark/>
          </w:tcPr>
          <w:p w:rsidR="00CA4CD7" w:rsidRPr="009500F4" w:rsidRDefault="00CA4CD7" w:rsidP="00CA4CD7">
            <w:pPr>
              <w:rPr>
                <w:sz w:val="18"/>
                <w:szCs w:val="18"/>
              </w:rPr>
            </w:pPr>
            <w:r w:rsidRPr="009500F4">
              <w:rPr>
                <w:sz w:val="18"/>
                <w:szCs w:val="18"/>
              </w:rPr>
              <w:t>206</w:t>
            </w:r>
          </w:p>
        </w:tc>
        <w:tc>
          <w:tcPr>
            <w:tcW w:w="928" w:type="pct"/>
            <w:tcBorders>
              <w:left w:val="nil"/>
            </w:tcBorders>
            <w:noWrap/>
            <w:hideMark/>
          </w:tcPr>
          <w:p w:rsidR="00CA4CD7" w:rsidRPr="009500F4" w:rsidRDefault="00CA4CD7" w:rsidP="00CA4CD7">
            <w:pPr>
              <w:rPr>
                <w:sz w:val="18"/>
                <w:szCs w:val="18"/>
              </w:rPr>
            </w:pPr>
            <w:r w:rsidRPr="009500F4">
              <w:rPr>
                <w:sz w:val="18"/>
                <w:szCs w:val="18"/>
              </w:rPr>
              <w:t>209</w:t>
            </w:r>
          </w:p>
        </w:tc>
      </w:tr>
      <w:tr w:rsidR="00813EB8" w:rsidRPr="009500F4" w:rsidTr="00170139">
        <w:trPr>
          <w:trHeight w:val="300"/>
          <w:jc w:val="center"/>
        </w:trPr>
        <w:tc>
          <w:tcPr>
            <w:tcW w:w="985" w:type="pct"/>
            <w:tcBorders>
              <w:right w:val="nil"/>
            </w:tcBorders>
            <w:noWrap/>
            <w:hideMark/>
          </w:tcPr>
          <w:p w:rsidR="00CA4CD7" w:rsidRPr="009500F4" w:rsidRDefault="00B63300" w:rsidP="00CA4CD7">
            <w:pPr>
              <w:rPr>
                <w:sz w:val="18"/>
                <w:szCs w:val="18"/>
              </w:rPr>
            </w:pPr>
            <w:r w:rsidRPr="009500F4">
              <w:rPr>
                <w:sz w:val="18"/>
                <w:szCs w:val="18"/>
              </w:rPr>
              <w:t>Solomon Islands</w:t>
            </w:r>
          </w:p>
        </w:tc>
        <w:tc>
          <w:tcPr>
            <w:tcW w:w="2231" w:type="pct"/>
            <w:tcBorders>
              <w:left w:val="nil"/>
              <w:right w:val="nil"/>
            </w:tcBorders>
            <w:noWrap/>
            <w:hideMark/>
          </w:tcPr>
          <w:p w:rsidR="00CA4CD7" w:rsidRPr="009500F4" w:rsidRDefault="00CA4CD7" w:rsidP="00CA4CD7">
            <w:pPr>
              <w:rPr>
                <w:sz w:val="18"/>
                <w:szCs w:val="18"/>
              </w:rPr>
            </w:pPr>
            <w:r w:rsidRPr="009500F4">
              <w:rPr>
                <w:sz w:val="18"/>
                <w:szCs w:val="18"/>
              </w:rPr>
              <w:t>127</w:t>
            </w:r>
          </w:p>
        </w:tc>
        <w:tc>
          <w:tcPr>
            <w:tcW w:w="857" w:type="pct"/>
            <w:tcBorders>
              <w:left w:val="nil"/>
              <w:right w:val="nil"/>
            </w:tcBorders>
            <w:noWrap/>
            <w:hideMark/>
          </w:tcPr>
          <w:p w:rsidR="00CA4CD7" w:rsidRPr="009500F4" w:rsidRDefault="00CA4CD7" w:rsidP="00CA4CD7">
            <w:pPr>
              <w:rPr>
                <w:sz w:val="18"/>
                <w:szCs w:val="18"/>
              </w:rPr>
            </w:pPr>
            <w:r w:rsidRPr="009500F4">
              <w:rPr>
                <w:sz w:val="18"/>
                <w:szCs w:val="18"/>
              </w:rPr>
              <w:t>330</w:t>
            </w:r>
          </w:p>
        </w:tc>
        <w:tc>
          <w:tcPr>
            <w:tcW w:w="928" w:type="pct"/>
            <w:tcBorders>
              <w:left w:val="nil"/>
            </w:tcBorders>
            <w:noWrap/>
            <w:hideMark/>
          </w:tcPr>
          <w:p w:rsidR="00CA4CD7" w:rsidRPr="009500F4" w:rsidRDefault="00CA4CD7" w:rsidP="00CA4CD7">
            <w:pPr>
              <w:rPr>
                <w:sz w:val="18"/>
                <w:szCs w:val="18"/>
              </w:rPr>
            </w:pPr>
            <w:r w:rsidRPr="009500F4">
              <w:rPr>
                <w:sz w:val="18"/>
                <w:szCs w:val="18"/>
              </w:rPr>
              <w:t>408</w:t>
            </w:r>
          </w:p>
        </w:tc>
      </w:tr>
      <w:tr w:rsidR="00813EB8" w:rsidRPr="009500F4" w:rsidTr="00170139">
        <w:trPr>
          <w:trHeight w:val="300"/>
          <w:jc w:val="center"/>
        </w:trPr>
        <w:tc>
          <w:tcPr>
            <w:tcW w:w="985" w:type="pct"/>
            <w:tcBorders>
              <w:right w:val="nil"/>
            </w:tcBorders>
            <w:noWrap/>
            <w:hideMark/>
          </w:tcPr>
          <w:p w:rsidR="00CA4CD7" w:rsidRPr="009500F4" w:rsidRDefault="00B63300" w:rsidP="00CA4CD7">
            <w:pPr>
              <w:rPr>
                <w:sz w:val="18"/>
                <w:szCs w:val="18"/>
              </w:rPr>
            </w:pPr>
            <w:r w:rsidRPr="009500F4">
              <w:rPr>
                <w:sz w:val="18"/>
                <w:szCs w:val="18"/>
              </w:rPr>
              <w:t>Tonga</w:t>
            </w:r>
          </w:p>
        </w:tc>
        <w:tc>
          <w:tcPr>
            <w:tcW w:w="2231" w:type="pct"/>
            <w:tcBorders>
              <w:left w:val="nil"/>
              <w:right w:val="nil"/>
            </w:tcBorders>
            <w:noWrap/>
            <w:hideMark/>
          </w:tcPr>
          <w:p w:rsidR="00CA4CD7" w:rsidRPr="009500F4" w:rsidRDefault="00CA4CD7" w:rsidP="00CA4CD7">
            <w:pPr>
              <w:rPr>
                <w:sz w:val="18"/>
                <w:szCs w:val="18"/>
              </w:rPr>
            </w:pPr>
          </w:p>
        </w:tc>
        <w:tc>
          <w:tcPr>
            <w:tcW w:w="857" w:type="pct"/>
            <w:tcBorders>
              <w:left w:val="nil"/>
              <w:right w:val="nil"/>
            </w:tcBorders>
            <w:noWrap/>
            <w:hideMark/>
          </w:tcPr>
          <w:p w:rsidR="00CA4CD7" w:rsidRPr="009500F4" w:rsidRDefault="00CA4CD7" w:rsidP="00CA4CD7">
            <w:pPr>
              <w:rPr>
                <w:sz w:val="18"/>
                <w:szCs w:val="18"/>
              </w:rPr>
            </w:pPr>
            <w:r w:rsidRPr="009500F4">
              <w:rPr>
                <w:sz w:val="18"/>
                <w:szCs w:val="18"/>
              </w:rPr>
              <w:t>55</w:t>
            </w:r>
          </w:p>
        </w:tc>
        <w:tc>
          <w:tcPr>
            <w:tcW w:w="928" w:type="pct"/>
            <w:tcBorders>
              <w:left w:val="nil"/>
            </w:tcBorders>
            <w:noWrap/>
            <w:hideMark/>
          </w:tcPr>
          <w:p w:rsidR="00CA4CD7" w:rsidRPr="009500F4" w:rsidRDefault="00CA4CD7" w:rsidP="00CA4CD7">
            <w:pPr>
              <w:rPr>
                <w:sz w:val="18"/>
                <w:szCs w:val="18"/>
              </w:rPr>
            </w:pPr>
            <w:r w:rsidRPr="009500F4">
              <w:rPr>
                <w:sz w:val="18"/>
                <w:szCs w:val="18"/>
              </w:rPr>
              <w:t>73</w:t>
            </w:r>
          </w:p>
        </w:tc>
      </w:tr>
    </w:tbl>
    <w:p w:rsidR="00BA7C5E" w:rsidRPr="009500F4" w:rsidRDefault="00BA7C5E" w:rsidP="00BA7C5E">
      <w:pPr>
        <w:ind w:left="1620"/>
        <w:rPr>
          <w:sz w:val="18"/>
          <w:szCs w:val="18"/>
        </w:rPr>
      </w:pPr>
      <w:r w:rsidRPr="009500F4">
        <w:rPr>
          <w:sz w:val="16"/>
          <w:szCs w:val="16"/>
        </w:rPr>
        <w:t>Source: Private Sector Development Initiative.</w:t>
      </w:r>
    </w:p>
    <w:p w:rsidR="0094677F" w:rsidRPr="009500F4" w:rsidRDefault="0094677F" w:rsidP="00205AD1">
      <w:pPr>
        <w:rPr>
          <w:rFonts w:cs="Arial"/>
          <w:szCs w:val="22"/>
        </w:rPr>
      </w:pPr>
    </w:p>
    <w:p w:rsidR="0094677F" w:rsidRPr="009500F4" w:rsidRDefault="0094677F" w:rsidP="0094677F">
      <w:pPr>
        <w:keepNext/>
        <w:spacing w:after="160"/>
        <w:ind w:left="1080"/>
        <w:outlineLvl w:val="1"/>
        <w:rPr>
          <w:rFonts w:eastAsia="Times New Roman" w:cs="Arial"/>
          <w:b/>
          <w:bCs/>
          <w:iCs/>
          <w:szCs w:val="22"/>
          <w:lang w:eastAsia="en-US"/>
        </w:rPr>
      </w:pPr>
      <w:r w:rsidRPr="009500F4">
        <w:rPr>
          <w:rFonts w:eastAsia="Times New Roman" w:cs="Arial"/>
          <w:b/>
          <w:bCs/>
          <w:iCs/>
          <w:szCs w:val="22"/>
          <w:lang w:eastAsia="en-US"/>
        </w:rPr>
        <w:t>3.</w:t>
      </w:r>
      <w:r w:rsidRPr="009500F4">
        <w:rPr>
          <w:rFonts w:eastAsia="Times New Roman" w:cs="Arial"/>
          <w:b/>
          <w:bCs/>
          <w:iCs/>
          <w:szCs w:val="22"/>
          <w:lang w:eastAsia="en-US"/>
        </w:rPr>
        <w:tab/>
        <w:t>State-Owned Enterprise Reform and Public-Private Partnerships</w:t>
      </w:r>
    </w:p>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Across the Pacific, substantial infrastructure and related services are provided by SOEs, which tend to operate inefficiently, soak up subsidized credit, and become a major drain on the public budget:</w:t>
      </w:r>
    </w:p>
    <w:p w:rsidR="0094677F" w:rsidRPr="009500F4" w:rsidRDefault="0094677F" w:rsidP="0094677F">
      <w:pPr>
        <w:tabs>
          <w:tab w:val="left" w:pos="567"/>
        </w:tabs>
        <w:rPr>
          <w:rFonts w:eastAsia="Calibri" w:cs="Arial"/>
          <w:szCs w:val="22"/>
          <w:lang w:eastAsia="en-US"/>
        </w:rPr>
      </w:pPr>
    </w:p>
    <w:p w:rsidR="0094677F" w:rsidRPr="009500F4" w:rsidRDefault="0094677F" w:rsidP="0094677F">
      <w:pPr>
        <w:ind w:left="720"/>
        <w:rPr>
          <w:sz w:val="20"/>
          <w:szCs w:val="20"/>
        </w:rPr>
      </w:pPr>
      <w:r w:rsidRPr="009500F4">
        <w:rPr>
          <w:sz w:val="20"/>
          <w:szCs w:val="20"/>
        </w:rPr>
        <w:t>Pacific SOEs control 7%–21% of the total fixed capital in their respective economies, yet contribute only 0%–12% to the gross domestic product. Many SOEs are monopoly providers of essential public services—airports, ports, power, and water—often at high cost, but with low service standards.</w:t>
      </w:r>
      <w:r w:rsidRPr="009500F4">
        <w:rPr>
          <w:rStyle w:val="FootnoteReference"/>
          <w:sz w:val="20"/>
          <w:szCs w:val="20"/>
        </w:rPr>
        <w:footnoteReference w:id="16"/>
      </w:r>
    </w:p>
    <w:p w:rsidR="0094677F" w:rsidRPr="009500F4" w:rsidRDefault="0094677F" w:rsidP="0094677F">
      <w:pPr>
        <w:tabs>
          <w:tab w:val="left" w:pos="567"/>
        </w:tabs>
        <w:rPr>
          <w:rFonts w:eastAsia="Calibri" w:cs="Arial"/>
          <w:szCs w:val="22"/>
          <w:lang w:eastAsia="en-US"/>
        </w:rPr>
      </w:pPr>
    </w:p>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PSDI addresses these issues through SOE reforms designed to improve operating efficiencies, transparency and accountability, and financial results. As appropriate, PSDI also facilitates the privatization of SOEs and/or the contracting out of their services—in many cases through a PPP. PSDI III is supporting the completion of legal-regulatory frameworks for PPPs and working on the identification and prefeasibility analysis for specific PPP transactions. PSDI supports Pacific DMCs in recruiting transaction advisors and conducting ongoing transaction monitoring. Lastly, since 2009, PSDI has accompanied its reform initiatives with the “Finding Balance” series of publications. The studies are used as an advocacy tool for reform, providing benchmarks for measuring progress, and sharing lessons from relevant experiences.</w:t>
      </w:r>
    </w:p>
    <w:p w:rsidR="0094677F" w:rsidRPr="009500F4" w:rsidRDefault="0094677F" w:rsidP="0094677F">
      <w:pPr>
        <w:tabs>
          <w:tab w:val="left" w:pos="567"/>
        </w:tabs>
        <w:rPr>
          <w:rFonts w:eastAsia="Calibri" w:cs="Arial"/>
          <w:szCs w:val="22"/>
          <w:lang w:eastAsia="en-US"/>
        </w:rPr>
      </w:pPr>
    </w:p>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lastRenderedPageBreak/>
        <w:t xml:space="preserve">The </w:t>
      </w:r>
      <w:r w:rsidR="00A03DE1" w:rsidRPr="009500F4">
        <w:rPr>
          <w:rFonts w:eastAsia="Calibri" w:cs="Arial"/>
          <w:szCs w:val="22"/>
          <w:lang w:eastAsia="en-US"/>
        </w:rPr>
        <w:t>TA p</w:t>
      </w:r>
      <w:r w:rsidRPr="009500F4">
        <w:rPr>
          <w:rFonts w:eastAsia="Calibri" w:cs="Arial"/>
          <w:szCs w:val="22"/>
          <w:lang w:eastAsia="en-US"/>
        </w:rPr>
        <w:t>aper</w:t>
      </w:r>
      <w:r w:rsidR="00A03DE1" w:rsidRPr="009500F4">
        <w:rPr>
          <w:rFonts w:eastAsia="Calibri" w:cs="Arial"/>
          <w:szCs w:val="22"/>
          <w:lang w:eastAsia="en-US"/>
        </w:rPr>
        <w:t xml:space="preserve"> from 2015</w:t>
      </w:r>
      <w:r w:rsidRPr="009500F4">
        <w:rPr>
          <w:rFonts w:eastAsia="Calibri" w:cs="Arial"/>
          <w:szCs w:val="22"/>
          <w:lang w:eastAsia="en-US"/>
        </w:rPr>
        <w:t xml:space="preserve"> provides indicators for SOE reform, including legal amendments, privatization transactions, analyses of SOE performance, and training programs. PPP indicators focus on legal frameworks, establishment and support of PPP units, and facilitating transactions. PSDI reports that, as of mid-2016, targets in these areas were either achieved or likely to be met by the end of PSDI III.</w:t>
      </w:r>
      <w:r w:rsidRPr="009500F4">
        <w:rPr>
          <w:rFonts w:eastAsia="Calibri" w:cs="Arial"/>
          <w:szCs w:val="22"/>
          <w:vertAlign w:val="superscript"/>
          <w:lang w:eastAsia="en-US"/>
        </w:rPr>
        <w:footnoteReference w:id="17"/>
      </w:r>
      <w:r w:rsidRPr="009500F4">
        <w:rPr>
          <w:rFonts w:eastAsia="Calibri" w:cs="Arial"/>
          <w:szCs w:val="22"/>
          <w:lang w:eastAsia="en-US"/>
        </w:rPr>
        <w:t xml:space="preserve"> Changes in governance are reported using the proxy of board membership (i.e. increase in representation by women and replacement of public officials). PSDI also reports such project-supported achievements as: </w:t>
      </w:r>
    </w:p>
    <w:p w:rsidR="0094677F" w:rsidRPr="009500F4" w:rsidRDefault="0094677F" w:rsidP="0094677F">
      <w:pPr>
        <w:tabs>
          <w:tab w:val="left" w:pos="567"/>
        </w:tabs>
        <w:rPr>
          <w:rFonts w:eastAsia="Calibri" w:cs="Arial"/>
          <w:szCs w:val="22"/>
          <w:lang w:eastAsia="en-US"/>
        </w:rPr>
      </w:pPr>
    </w:p>
    <w:p w:rsidR="0094677F" w:rsidRPr="009500F4" w:rsidRDefault="0094677F" w:rsidP="00170139">
      <w:pPr>
        <w:pStyle w:val="ListParagraph"/>
        <w:numPr>
          <w:ilvl w:val="0"/>
          <w:numId w:val="46"/>
        </w:numPr>
        <w:spacing w:after="0" w:line="240" w:lineRule="auto"/>
        <w:jc w:val="both"/>
      </w:pPr>
      <w:r w:rsidRPr="009500F4">
        <w:t>PPP Law passed in PNG, followed by development of PPP regulations and guidelines (not yet implemented);</w:t>
      </w:r>
    </w:p>
    <w:p w:rsidR="0094677F" w:rsidRPr="009500F4" w:rsidRDefault="0094677F" w:rsidP="00170139">
      <w:pPr>
        <w:pStyle w:val="ListParagraph"/>
        <w:numPr>
          <w:ilvl w:val="0"/>
          <w:numId w:val="46"/>
        </w:numPr>
        <w:spacing w:after="0" w:line="240" w:lineRule="auto"/>
        <w:jc w:val="both"/>
      </w:pPr>
      <w:r w:rsidRPr="009500F4">
        <w:t>CSO frameworks implemented in Samoa, Tonga, and Solomon Islands, followed by preparation of six CSO contracts;</w:t>
      </w:r>
    </w:p>
    <w:p w:rsidR="0094677F" w:rsidRPr="009500F4" w:rsidRDefault="0094677F" w:rsidP="00170139">
      <w:pPr>
        <w:pStyle w:val="ListParagraph"/>
        <w:numPr>
          <w:ilvl w:val="0"/>
          <w:numId w:val="46"/>
        </w:numPr>
        <w:spacing w:after="0" w:line="240" w:lineRule="auto"/>
        <w:jc w:val="both"/>
      </w:pPr>
      <w:r w:rsidRPr="009500F4">
        <w:t>Public enterprise legislation for Fiji and Vanuatu finalized; and</w:t>
      </w:r>
    </w:p>
    <w:p w:rsidR="0094677F" w:rsidRPr="009500F4" w:rsidRDefault="0094677F" w:rsidP="00170139">
      <w:pPr>
        <w:pStyle w:val="ListParagraph"/>
        <w:numPr>
          <w:ilvl w:val="0"/>
          <w:numId w:val="46"/>
        </w:numPr>
        <w:spacing w:after="0" w:line="240" w:lineRule="auto"/>
        <w:jc w:val="both"/>
      </w:pPr>
      <w:r w:rsidRPr="009500F4">
        <w:t xml:space="preserve">Finding Balance 2016 drafted and </w:t>
      </w:r>
      <w:r w:rsidR="00B24198" w:rsidRPr="009500F4">
        <w:t>a s</w:t>
      </w:r>
      <w:r w:rsidRPr="009500F4">
        <w:t xml:space="preserve">eminar </w:t>
      </w:r>
      <w:r w:rsidR="00B24198" w:rsidRPr="009500F4">
        <w:t xml:space="preserve">for </w:t>
      </w:r>
      <w:r w:rsidR="001B3952" w:rsidRPr="009500F4">
        <w:t>government m</w:t>
      </w:r>
      <w:r w:rsidR="00B24198" w:rsidRPr="009500F4">
        <w:t xml:space="preserve">inisters with responsibility for </w:t>
      </w:r>
      <w:r w:rsidR="001B3952" w:rsidRPr="009500F4">
        <w:t>SOEs</w:t>
      </w:r>
      <w:r w:rsidR="00B24198" w:rsidRPr="009500F4">
        <w:t xml:space="preserve">, as well as senior government officials, </w:t>
      </w:r>
      <w:r w:rsidRPr="009500F4">
        <w:t>hosted for eight Pacific island countries.</w:t>
      </w:r>
      <w:r w:rsidRPr="009500F4">
        <w:rPr>
          <w:vertAlign w:val="superscript"/>
        </w:rPr>
        <w:footnoteReference w:id="18"/>
      </w:r>
    </w:p>
    <w:p w:rsidR="0094677F" w:rsidRPr="009500F4" w:rsidRDefault="0094677F" w:rsidP="0094677F"/>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Progress reports, indicators, and interviews suggest that PSDI is providing valuable support and helping to make progress in an area where success is especially difficult to achieve and most available policy choices are second- or third-best. As with other components of its work, PSDI support here is well-received. In Timor-Leste, counterparts reported that PSDI advisors “know exactly what they’re talking about” and have provided “critical support.” PSDI support was also well-received in PNG, including work on pilot SOE reforms. That work, however, ran into political obstacles, with the </w:t>
      </w:r>
      <w:r w:rsidR="00156B5A">
        <w:rPr>
          <w:rFonts w:eastAsia="Calibri" w:cs="Arial"/>
          <w:szCs w:val="22"/>
          <w:lang w:eastAsia="en-US"/>
        </w:rPr>
        <w:t xml:space="preserve">gazettal of the </w:t>
      </w:r>
      <w:r w:rsidRPr="009500F4">
        <w:rPr>
          <w:rFonts w:eastAsia="Calibri" w:cs="Arial"/>
          <w:szCs w:val="22"/>
          <w:lang w:eastAsia="en-US"/>
        </w:rPr>
        <w:t xml:space="preserve">PPP </w:t>
      </w:r>
      <w:r w:rsidR="00156B5A">
        <w:rPr>
          <w:rFonts w:eastAsia="Calibri" w:cs="Arial"/>
          <w:szCs w:val="22"/>
          <w:lang w:eastAsia="en-US"/>
        </w:rPr>
        <w:t xml:space="preserve">law </w:t>
      </w:r>
      <w:r w:rsidRPr="009500F4">
        <w:rPr>
          <w:rFonts w:eastAsia="Calibri" w:cs="Arial"/>
          <w:szCs w:val="22"/>
          <w:lang w:eastAsia="en-US"/>
        </w:rPr>
        <w:t>blocked and SOE reform facing resistance.</w:t>
      </w:r>
    </w:p>
    <w:p w:rsidR="0094677F" w:rsidRPr="009500F4" w:rsidRDefault="0094677F" w:rsidP="0094677F">
      <w:pPr>
        <w:tabs>
          <w:tab w:val="left" w:pos="567"/>
        </w:tabs>
        <w:rPr>
          <w:rFonts w:eastAsia="Calibri" w:cs="Arial"/>
          <w:szCs w:val="22"/>
          <w:lang w:eastAsia="en-US"/>
        </w:rPr>
      </w:pPr>
    </w:p>
    <w:p w:rsidR="0094677F" w:rsidRPr="009500F4" w:rsidRDefault="0094677F" w:rsidP="0094677F">
      <w:pPr>
        <w:keepNext/>
        <w:spacing w:after="160"/>
        <w:ind w:left="1080"/>
        <w:outlineLvl w:val="1"/>
        <w:rPr>
          <w:rFonts w:eastAsia="Times New Roman" w:cs="Arial"/>
          <w:b/>
          <w:bCs/>
          <w:iCs/>
          <w:szCs w:val="22"/>
          <w:lang w:eastAsia="en-US"/>
        </w:rPr>
      </w:pPr>
      <w:r w:rsidRPr="009500F4">
        <w:rPr>
          <w:rFonts w:eastAsia="Times New Roman" w:cs="Arial"/>
          <w:b/>
          <w:bCs/>
          <w:iCs/>
          <w:szCs w:val="22"/>
          <w:lang w:eastAsia="en-US"/>
        </w:rPr>
        <w:t>4.</w:t>
      </w:r>
      <w:r w:rsidRPr="009500F4">
        <w:rPr>
          <w:rFonts w:eastAsia="Times New Roman" w:cs="Arial"/>
          <w:b/>
          <w:bCs/>
          <w:iCs/>
          <w:szCs w:val="22"/>
          <w:lang w:eastAsia="en-US"/>
        </w:rPr>
        <w:tab/>
        <w:t>Economic Empowerment of Women</w:t>
      </w:r>
    </w:p>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This component promotes the economic empowerment of women by using diagnostic work to identify and remove constraints, carrying out pilot programs to test alternative modalities to create opportunities for women, and applying the findings to scale up these initiatives and disseminate lessons learned from them. The emphasis here, consistent with other components of PSDI’s work, is on capturing the benefits of bringing women into the formal economy. These benefits include the creation of new women-led businesses, the enrichment of business leadership through increased participation by women, and the enhancement of women’s autonomy as economic and community actors. </w:t>
      </w:r>
    </w:p>
    <w:p w:rsidR="0094677F" w:rsidRPr="009500F4" w:rsidRDefault="0094677F" w:rsidP="0094677F"/>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w:t>
      </w:r>
      <w:r w:rsidR="00A03DE1" w:rsidRPr="009500F4">
        <w:rPr>
          <w:rFonts w:eastAsia="Calibri" w:cs="Arial"/>
          <w:szCs w:val="22"/>
          <w:lang w:eastAsia="en-US"/>
        </w:rPr>
        <w:t>TA p</w:t>
      </w:r>
      <w:r w:rsidRPr="009500F4">
        <w:rPr>
          <w:rFonts w:eastAsia="Calibri" w:cs="Arial"/>
          <w:szCs w:val="22"/>
          <w:lang w:eastAsia="en-US"/>
        </w:rPr>
        <w:t>aper</w:t>
      </w:r>
      <w:r w:rsidR="00A03DE1" w:rsidRPr="009500F4">
        <w:rPr>
          <w:rFonts w:eastAsia="Calibri" w:cs="Arial"/>
          <w:szCs w:val="22"/>
          <w:lang w:eastAsia="en-US"/>
        </w:rPr>
        <w:t xml:space="preserve"> from 2015</w:t>
      </w:r>
      <w:r w:rsidRPr="009500F4">
        <w:rPr>
          <w:rFonts w:eastAsia="Calibri" w:cs="Arial"/>
          <w:szCs w:val="22"/>
          <w:lang w:eastAsia="en-US"/>
        </w:rPr>
        <w:t xml:space="preserve"> provides indicators for the economic empowerment of women, including research, design and implementation of pilots, and replication (these targets are now being overtaken by a stronger emphasis on mainstreaming). PSDI reports that, as of mid-2016, targets in these areas were either achieved or likely to be met by the end of PSDI III.</w:t>
      </w:r>
      <w:r w:rsidRPr="009500F4">
        <w:rPr>
          <w:rFonts w:eastAsia="Calibri" w:cs="Arial"/>
          <w:sz w:val="16"/>
          <w:szCs w:val="22"/>
          <w:vertAlign w:val="superscript"/>
          <w:lang w:eastAsia="en-US"/>
        </w:rPr>
        <w:footnoteReference w:id="19"/>
      </w:r>
      <w:r w:rsidRPr="009500F4">
        <w:rPr>
          <w:rFonts w:eastAsia="Calibri" w:cs="Arial"/>
          <w:szCs w:val="22"/>
          <w:lang w:eastAsia="en-US"/>
        </w:rPr>
        <w:t xml:space="preserve"> Furthermore, PSDI reports additional project-supported achievements during 2013–2016 (Box</w:t>
      </w:r>
      <w:r w:rsidR="00EB09FB">
        <w:rPr>
          <w:rFonts w:eastAsia="Calibri" w:cs="Arial"/>
          <w:szCs w:val="22"/>
          <w:lang w:eastAsia="en-US"/>
        </w:rPr>
        <w:t> </w:t>
      </w:r>
      <w:r w:rsidRPr="009500F4">
        <w:rPr>
          <w:rFonts w:eastAsia="Calibri" w:cs="Arial"/>
          <w:szCs w:val="22"/>
          <w:lang w:eastAsia="en-US"/>
        </w:rPr>
        <w:t>2).</w:t>
      </w:r>
    </w:p>
    <w:p w:rsidR="00EB09FB" w:rsidRPr="009500F4" w:rsidRDefault="00EB09FB" w:rsidP="0094677F"/>
    <w:tbl>
      <w:tblPr>
        <w:tblStyle w:val="TableGrid"/>
        <w:tblW w:w="0" w:type="auto"/>
        <w:tblLook w:val="04A0" w:firstRow="1" w:lastRow="0" w:firstColumn="1" w:lastColumn="0" w:noHBand="0" w:noVBand="1"/>
      </w:tblPr>
      <w:tblGrid>
        <w:gridCol w:w="9350"/>
      </w:tblGrid>
      <w:tr w:rsidR="0094677F" w:rsidRPr="007B27E8" w:rsidTr="00D6162F">
        <w:trPr>
          <w:trHeight w:val="4580"/>
        </w:trPr>
        <w:tc>
          <w:tcPr>
            <w:tcW w:w="9350" w:type="dxa"/>
          </w:tcPr>
          <w:p w:rsidR="0094677F" w:rsidRPr="00D6162F" w:rsidRDefault="003F08DD" w:rsidP="00D6162F">
            <w:pPr>
              <w:jc w:val="center"/>
              <w:rPr>
                <w:sz w:val="20"/>
                <w:szCs w:val="20"/>
              </w:rPr>
            </w:pPr>
            <w:r>
              <w:rPr>
                <w:b/>
                <w:sz w:val="20"/>
                <w:szCs w:val="20"/>
              </w:rPr>
              <w:lastRenderedPageBreak/>
              <w:t>Box 1</w:t>
            </w:r>
            <w:r w:rsidR="0094677F" w:rsidRPr="00D6162F">
              <w:rPr>
                <w:b/>
                <w:sz w:val="20"/>
                <w:szCs w:val="20"/>
              </w:rPr>
              <w:t>: Economic Empowerment of Women – Illustrative Activities and Results</w:t>
            </w:r>
          </w:p>
          <w:p w:rsidR="0094677F" w:rsidRPr="007B27E8" w:rsidRDefault="0094677F" w:rsidP="00D6162F">
            <w:pPr>
              <w:rPr>
                <w:sz w:val="18"/>
                <w:szCs w:val="18"/>
              </w:rPr>
            </w:pPr>
          </w:p>
          <w:p w:rsidR="0094677F" w:rsidRPr="007B27E8" w:rsidRDefault="0094677F" w:rsidP="00D6162F">
            <w:pPr>
              <w:numPr>
                <w:ilvl w:val="0"/>
                <w:numId w:val="38"/>
              </w:numPr>
              <w:rPr>
                <w:sz w:val="18"/>
                <w:szCs w:val="18"/>
              </w:rPr>
            </w:pPr>
            <w:r w:rsidRPr="007B27E8">
              <w:rPr>
                <w:sz w:val="18"/>
                <w:szCs w:val="18"/>
              </w:rPr>
              <w:t>Women Business Leadership Program designed and implemented in Tonga and replicated in Fiji. In Tonga, 16 women undertook the course, 24 mentors and advocates supported these women, and an informal women’s network was formed. In Fiji, there were 30 participants from 20 companies and government departments.</w:t>
            </w:r>
          </w:p>
          <w:p w:rsidR="0094677F" w:rsidRPr="007B27E8" w:rsidRDefault="0094677F" w:rsidP="00D6162F">
            <w:pPr>
              <w:numPr>
                <w:ilvl w:val="0"/>
                <w:numId w:val="38"/>
              </w:numPr>
              <w:rPr>
                <w:sz w:val="18"/>
                <w:szCs w:val="18"/>
              </w:rPr>
            </w:pPr>
            <w:r w:rsidRPr="007B27E8">
              <w:rPr>
                <w:sz w:val="18"/>
                <w:szCs w:val="18"/>
              </w:rPr>
              <w:t>Corporate Governance Pilot Program designed and implemented in Solomon Islands, and replicated in Vanuatu. The program in Solomon Islands was replicated by the Solomon Islands Chamber of Commerce and Industry, using trainers that the Pacific Private Sector Development Initiative (PSDI) had trained.</w:t>
            </w:r>
          </w:p>
          <w:p w:rsidR="0094677F" w:rsidRPr="007B27E8" w:rsidRDefault="0094677F" w:rsidP="00D6162F">
            <w:pPr>
              <w:numPr>
                <w:ilvl w:val="0"/>
                <w:numId w:val="38"/>
              </w:numPr>
              <w:rPr>
                <w:sz w:val="18"/>
                <w:szCs w:val="18"/>
              </w:rPr>
            </w:pPr>
            <w:r w:rsidRPr="007B27E8">
              <w:rPr>
                <w:sz w:val="18"/>
                <w:szCs w:val="18"/>
              </w:rPr>
              <w:t>Papua New Guinea: A pilot program, in partnership with the Nationwide Microbank (now known as MiBank) and the National Fisheries Authority got underway to assist women in the informal fisheries sector. The objective is to provide financing, skills training, business mentoring, and access to markets to over 200 women involved in fisheries.</w:t>
            </w:r>
          </w:p>
          <w:p w:rsidR="0094677F" w:rsidRPr="007B27E8" w:rsidRDefault="0094677F" w:rsidP="00D6162F">
            <w:pPr>
              <w:numPr>
                <w:ilvl w:val="0"/>
                <w:numId w:val="38"/>
              </w:numPr>
              <w:rPr>
                <w:sz w:val="18"/>
                <w:szCs w:val="18"/>
              </w:rPr>
            </w:pPr>
            <w:r w:rsidRPr="007B27E8">
              <w:rPr>
                <w:sz w:val="18"/>
                <w:szCs w:val="18"/>
              </w:rPr>
              <w:t>In Solomon Islands, PSDI worked with the West Are’Are Rokotanikeni Association and the Ministry of Mines, Energy and Rural Electrification, to develop a pilot to train women on solar panel maintenance in South West Malaita. The pilot created three women-owned community companies and has been replicated in other provinces as part of a larger energy project assisted by the Asian Development Bank.</w:t>
            </w:r>
          </w:p>
          <w:p w:rsidR="0094677F" w:rsidRPr="007B27E8" w:rsidRDefault="0094677F" w:rsidP="00D6162F">
            <w:pPr>
              <w:numPr>
                <w:ilvl w:val="0"/>
                <w:numId w:val="38"/>
              </w:numPr>
              <w:rPr>
                <w:sz w:val="18"/>
                <w:szCs w:val="18"/>
              </w:rPr>
            </w:pPr>
            <w:r w:rsidRPr="007B27E8">
              <w:rPr>
                <w:i/>
                <w:sz w:val="18"/>
                <w:szCs w:val="18"/>
              </w:rPr>
              <w:t>Women and Business in the Pacific</w:t>
            </w:r>
            <w:r w:rsidRPr="007B27E8">
              <w:rPr>
                <w:sz w:val="18"/>
                <w:szCs w:val="18"/>
              </w:rPr>
              <w:t xml:space="preserve">, a study of constraints faced by women across seven Pacific island countries, drafted, and specific chapters on the economic empowerment of women included in six private sector assessments. </w:t>
            </w:r>
          </w:p>
          <w:p w:rsidR="0094677F" w:rsidRPr="007B27E8" w:rsidRDefault="0094677F" w:rsidP="00D6162F">
            <w:pPr>
              <w:rPr>
                <w:sz w:val="18"/>
                <w:szCs w:val="18"/>
              </w:rPr>
            </w:pPr>
          </w:p>
          <w:p w:rsidR="0094677F" w:rsidRPr="00D6162F" w:rsidRDefault="0094677F" w:rsidP="00D6162F">
            <w:pPr>
              <w:rPr>
                <w:sz w:val="18"/>
                <w:szCs w:val="18"/>
              </w:rPr>
            </w:pPr>
            <w:r w:rsidRPr="00D6162F">
              <w:rPr>
                <w:sz w:val="18"/>
                <w:szCs w:val="18"/>
              </w:rPr>
              <w:t>Source:</w:t>
            </w:r>
            <w:r w:rsidRPr="007B27E8">
              <w:rPr>
                <w:sz w:val="18"/>
                <w:szCs w:val="18"/>
              </w:rPr>
              <w:t xml:space="preserve"> </w:t>
            </w:r>
            <w:r w:rsidRPr="00D6162F">
              <w:rPr>
                <w:sz w:val="18"/>
                <w:szCs w:val="18"/>
              </w:rPr>
              <w:t>Private Sector Development Initiative annual progress reports.</w:t>
            </w:r>
          </w:p>
        </w:tc>
      </w:tr>
    </w:tbl>
    <w:p w:rsidR="0094677F" w:rsidRPr="009500F4" w:rsidRDefault="0094677F" w:rsidP="0094677F"/>
    <w:p w:rsidR="007A5780" w:rsidRPr="006017DF" w:rsidRDefault="003F08DD" w:rsidP="006017DF">
      <w:pPr>
        <w:numPr>
          <w:ilvl w:val="0"/>
          <w:numId w:val="10"/>
        </w:numPr>
        <w:tabs>
          <w:tab w:val="left" w:pos="567"/>
        </w:tabs>
        <w:ind w:left="0" w:firstLine="0"/>
        <w:rPr>
          <w:rFonts w:eastAsia="Calibri" w:cs="Arial"/>
          <w:szCs w:val="22"/>
          <w:lang w:eastAsia="en-US"/>
        </w:rPr>
      </w:pPr>
      <w:r>
        <w:rPr>
          <w:rFonts w:eastAsia="Calibri" w:cs="Arial"/>
          <w:szCs w:val="22"/>
          <w:lang w:eastAsia="en-US"/>
        </w:rPr>
        <w:t>The list detailed in Box 1</w:t>
      </w:r>
      <w:r w:rsidR="0094677F" w:rsidRPr="006017DF">
        <w:rPr>
          <w:rFonts w:eastAsia="Calibri" w:cs="Arial"/>
          <w:szCs w:val="22"/>
          <w:lang w:eastAsia="en-US"/>
        </w:rPr>
        <w:t xml:space="preserve"> suggests a significant level of activity in this component, with some evidence that the initiatives have attracted interest, are effectively delivered, and are targeted for impact. While this component is achieving its indicator metrics, the evidence of actual impacts (as for most of PSDI) is at best indirect. The gender equity barrier is an especially difficult one to break through, and major progress is likely to be generational. One clear trend from 2016 into 2017 is a tapering off of activities with a gender focus. This may be due to such factors as the management changes in PLCO adopted in 2016, a shift in emphasis from pilots to mainstreaming, and the move by the senior consultant responsible for this component to a part-time PSDI role.</w:t>
      </w:r>
    </w:p>
    <w:p w:rsidR="0094677F" w:rsidRPr="009500F4" w:rsidRDefault="0094677F" w:rsidP="0094677F">
      <w:pPr>
        <w:rPr>
          <w:rFonts w:cs="Arial"/>
          <w:sz w:val="20"/>
          <w:szCs w:val="20"/>
        </w:rPr>
      </w:pPr>
    </w:p>
    <w:p w:rsidR="00CA4CD7" w:rsidRPr="009500F4" w:rsidRDefault="0094677F" w:rsidP="00170139">
      <w:pPr>
        <w:keepNext/>
        <w:spacing w:after="160"/>
        <w:ind w:left="1080"/>
        <w:outlineLvl w:val="1"/>
        <w:rPr>
          <w:rFonts w:eastAsia="Times New Roman" w:cs="Arial"/>
          <w:b/>
          <w:bCs/>
          <w:iCs/>
          <w:szCs w:val="22"/>
          <w:lang w:eastAsia="en-US"/>
        </w:rPr>
      </w:pPr>
      <w:bookmarkStart w:id="128" w:name="_Toc494271713"/>
      <w:bookmarkStart w:id="129" w:name="_Toc494367939"/>
      <w:bookmarkStart w:id="130" w:name="_Toc494378783"/>
      <w:bookmarkStart w:id="131" w:name="_Toc494378865"/>
      <w:r w:rsidRPr="009500F4">
        <w:rPr>
          <w:rFonts w:eastAsia="Times New Roman" w:cs="Arial"/>
          <w:b/>
          <w:bCs/>
          <w:iCs/>
          <w:szCs w:val="22"/>
          <w:lang w:eastAsia="en-US"/>
        </w:rPr>
        <w:t>5</w:t>
      </w:r>
      <w:r w:rsidR="008F198D" w:rsidRPr="009500F4">
        <w:rPr>
          <w:rFonts w:eastAsia="Times New Roman" w:cs="Arial"/>
          <w:b/>
          <w:bCs/>
          <w:iCs/>
          <w:szCs w:val="22"/>
          <w:lang w:eastAsia="en-US"/>
        </w:rPr>
        <w:t xml:space="preserve">. </w:t>
      </w:r>
      <w:r w:rsidR="00386F3B" w:rsidRPr="009500F4">
        <w:rPr>
          <w:rFonts w:eastAsia="Times New Roman" w:cs="Arial"/>
          <w:b/>
          <w:bCs/>
          <w:iCs/>
          <w:szCs w:val="22"/>
          <w:lang w:eastAsia="en-US"/>
        </w:rPr>
        <w:tab/>
      </w:r>
      <w:r w:rsidR="00CA4CD7" w:rsidRPr="009500F4">
        <w:rPr>
          <w:rFonts w:eastAsia="Times New Roman" w:cs="Arial"/>
          <w:b/>
          <w:bCs/>
          <w:iCs/>
          <w:szCs w:val="22"/>
          <w:lang w:eastAsia="en-US"/>
        </w:rPr>
        <w:t xml:space="preserve">Competition </w:t>
      </w:r>
      <w:r w:rsidR="00B63300" w:rsidRPr="009500F4">
        <w:rPr>
          <w:rFonts w:eastAsia="Times New Roman" w:cs="Arial"/>
          <w:b/>
          <w:bCs/>
          <w:iCs/>
          <w:szCs w:val="22"/>
          <w:lang w:eastAsia="en-US"/>
        </w:rPr>
        <w:t xml:space="preserve">Policy </w:t>
      </w:r>
      <w:r w:rsidR="00CA4CD7" w:rsidRPr="009500F4">
        <w:rPr>
          <w:rFonts w:eastAsia="Times New Roman" w:cs="Arial"/>
          <w:b/>
          <w:bCs/>
          <w:iCs/>
          <w:szCs w:val="22"/>
          <w:lang w:eastAsia="en-US"/>
        </w:rPr>
        <w:t>and Consumer Protection</w:t>
      </w:r>
      <w:bookmarkEnd w:id="128"/>
      <w:bookmarkEnd w:id="129"/>
      <w:bookmarkEnd w:id="130"/>
      <w:bookmarkEnd w:id="131"/>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Support in this area is important </w:t>
      </w:r>
      <w:r w:rsidR="00B63300" w:rsidRPr="009500F4">
        <w:rPr>
          <w:rFonts w:eastAsia="Calibri" w:cs="Arial"/>
          <w:szCs w:val="22"/>
          <w:lang w:eastAsia="en-US"/>
        </w:rPr>
        <w:t xml:space="preserve">to </w:t>
      </w:r>
      <w:r w:rsidRPr="009500F4">
        <w:rPr>
          <w:rFonts w:eastAsia="Calibri" w:cs="Arial"/>
          <w:szCs w:val="22"/>
          <w:lang w:eastAsia="en-US"/>
        </w:rPr>
        <w:t xml:space="preserve">govern markets and build trust in a </w:t>
      </w:r>
      <w:r w:rsidR="00B63300" w:rsidRPr="009500F4">
        <w:rPr>
          <w:rFonts w:eastAsia="Calibri" w:cs="Arial"/>
          <w:szCs w:val="22"/>
          <w:lang w:eastAsia="en-US"/>
        </w:rPr>
        <w:t xml:space="preserve">region </w:t>
      </w:r>
      <w:r w:rsidRPr="009500F4">
        <w:rPr>
          <w:rFonts w:eastAsia="Calibri" w:cs="Arial"/>
          <w:szCs w:val="22"/>
          <w:lang w:eastAsia="en-US"/>
        </w:rPr>
        <w:t xml:space="preserve">such as the Pacific. However, it represents a step beyond the basic legal foundations addressed in the </w:t>
      </w:r>
      <w:r w:rsidR="00B63300" w:rsidRPr="009500F4">
        <w:rPr>
          <w:rFonts w:eastAsia="Calibri" w:cs="Arial"/>
          <w:szCs w:val="22"/>
          <w:lang w:eastAsia="en-US"/>
        </w:rPr>
        <w:t xml:space="preserve">growing finance and </w:t>
      </w:r>
      <w:r w:rsidRPr="009500F4">
        <w:rPr>
          <w:rFonts w:eastAsia="Calibri" w:cs="Arial"/>
          <w:szCs w:val="22"/>
          <w:lang w:eastAsia="en-US"/>
        </w:rPr>
        <w:t xml:space="preserve">business law components. On the one hand, it could be argued that competition </w:t>
      </w:r>
      <w:r w:rsidR="00B63300" w:rsidRPr="009500F4">
        <w:rPr>
          <w:rFonts w:eastAsia="Calibri" w:cs="Arial"/>
          <w:szCs w:val="22"/>
          <w:lang w:eastAsia="en-US"/>
        </w:rPr>
        <w:t xml:space="preserve">policy </w:t>
      </w:r>
      <w:r w:rsidRPr="009500F4">
        <w:rPr>
          <w:rFonts w:eastAsia="Calibri" w:cs="Arial"/>
          <w:szCs w:val="22"/>
          <w:lang w:eastAsia="en-US"/>
        </w:rPr>
        <w:t xml:space="preserve">and consumer protection work should be sequenced to follow the basic business and finance frameworks. On the other hand, small Pacific </w:t>
      </w:r>
      <w:r w:rsidR="00B63300" w:rsidRPr="009500F4">
        <w:rPr>
          <w:rFonts w:eastAsia="Calibri" w:cs="Arial"/>
          <w:szCs w:val="22"/>
          <w:lang w:eastAsia="en-US"/>
        </w:rPr>
        <w:t xml:space="preserve">island economies </w:t>
      </w:r>
      <w:r w:rsidRPr="009500F4">
        <w:rPr>
          <w:rFonts w:eastAsia="Calibri" w:cs="Arial"/>
          <w:szCs w:val="22"/>
          <w:lang w:eastAsia="en-US"/>
        </w:rPr>
        <w:t>are vulnerable to being captured by monopolists</w:t>
      </w:r>
      <w:r w:rsidR="00B63300" w:rsidRPr="009500F4">
        <w:rPr>
          <w:rFonts w:eastAsia="Calibri" w:cs="Arial"/>
          <w:szCs w:val="22"/>
          <w:lang w:eastAsia="en-US"/>
        </w:rPr>
        <w:t>,</w:t>
      </w:r>
      <w:r w:rsidRPr="009500F4">
        <w:rPr>
          <w:rFonts w:eastAsia="Calibri" w:cs="Arial"/>
          <w:szCs w:val="22"/>
          <w:lang w:eastAsia="en-US"/>
        </w:rPr>
        <w:t xml:space="preserve"> to the detriment of consumers. Even apart from immediate harms, such a market dynamic could entrench ad</w:t>
      </w:r>
      <w:r w:rsidR="000C15E8">
        <w:rPr>
          <w:rFonts w:eastAsia="Calibri" w:cs="Arial"/>
          <w:szCs w:val="22"/>
          <w:lang w:eastAsia="en-US"/>
        </w:rPr>
        <w:t>verse practices and norms.</w:t>
      </w:r>
    </w:p>
    <w:p w:rsidR="00EB420F" w:rsidRPr="009500F4" w:rsidRDefault="00EB420F" w:rsidP="00CA4CD7"/>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work in this area includes preparing competition and consumer policies, helping produce draft laws, establishing regulatory offices, and improving the capacity of regulators. PSDI advocates the development of a tailored policy framework </w:t>
      </w:r>
      <w:r w:rsidR="00B63300" w:rsidRPr="009500F4">
        <w:rPr>
          <w:rFonts w:eastAsia="Calibri" w:cs="Arial"/>
          <w:szCs w:val="22"/>
          <w:lang w:eastAsia="en-US"/>
        </w:rPr>
        <w:t xml:space="preserve">that sets </w:t>
      </w:r>
      <w:r w:rsidRPr="009500F4">
        <w:rPr>
          <w:rFonts w:eastAsia="Calibri" w:cs="Arial"/>
          <w:szCs w:val="22"/>
          <w:lang w:eastAsia="en-US"/>
        </w:rPr>
        <w:t xml:space="preserve">the broad parameters for market governance, before </w:t>
      </w:r>
      <w:r w:rsidR="00B63300" w:rsidRPr="009500F4">
        <w:rPr>
          <w:rFonts w:eastAsia="Calibri" w:cs="Arial"/>
          <w:szCs w:val="22"/>
          <w:lang w:eastAsia="en-US"/>
        </w:rPr>
        <w:t xml:space="preserve">specific </w:t>
      </w:r>
      <w:r w:rsidRPr="009500F4">
        <w:rPr>
          <w:rFonts w:eastAsia="Calibri" w:cs="Arial"/>
          <w:szCs w:val="22"/>
          <w:lang w:eastAsia="en-US"/>
        </w:rPr>
        <w:t>laws are drafted to defi</w:t>
      </w:r>
      <w:r w:rsidR="000C15E8">
        <w:rPr>
          <w:rFonts w:eastAsia="Calibri" w:cs="Arial"/>
          <w:szCs w:val="22"/>
          <w:lang w:eastAsia="en-US"/>
        </w:rPr>
        <w:t>ne and deter adverse practices.</w:t>
      </w:r>
    </w:p>
    <w:p w:rsidR="00EB420F" w:rsidRPr="009500F4" w:rsidRDefault="00EB420F" w:rsidP="00CA4CD7"/>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TA </w:t>
      </w:r>
      <w:r w:rsidR="00A03DE1" w:rsidRPr="009500F4">
        <w:rPr>
          <w:rFonts w:eastAsia="Calibri" w:cs="Arial"/>
          <w:szCs w:val="22"/>
          <w:lang w:eastAsia="en-US"/>
        </w:rPr>
        <w:t>p</w:t>
      </w:r>
      <w:r w:rsidRPr="009500F4">
        <w:rPr>
          <w:rFonts w:eastAsia="Calibri" w:cs="Arial"/>
          <w:szCs w:val="22"/>
          <w:lang w:eastAsia="en-US"/>
        </w:rPr>
        <w:t>aper</w:t>
      </w:r>
      <w:r w:rsidR="00A03DE1" w:rsidRPr="009500F4">
        <w:rPr>
          <w:rFonts w:eastAsia="Calibri" w:cs="Arial"/>
          <w:szCs w:val="22"/>
          <w:lang w:eastAsia="en-US"/>
        </w:rPr>
        <w:t xml:space="preserve"> from 2015</w:t>
      </w:r>
      <w:r w:rsidRPr="009500F4">
        <w:rPr>
          <w:rFonts w:eastAsia="Calibri" w:cs="Arial"/>
          <w:szCs w:val="22"/>
          <w:lang w:eastAsia="en-US"/>
        </w:rPr>
        <w:t xml:space="preserve"> provides indicators for the competition </w:t>
      </w:r>
      <w:r w:rsidR="00B63300" w:rsidRPr="009500F4">
        <w:rPr>
          <w:rFonts w:eastAsia="Calibri" w:cs="Arial"/>
          <w:szCs w:val="22"/>
          <w:lang w:eastAsia="en-US"/>
        </w:rPr>
        <w:t xml:space="preserve">policy </w:t>
      </w:r>
      <w:r w:rsidRPr="009500F4">
        <w:rPr>
          <w:rFonts w:eastAsia="Calibri" w:cs="Arial"/>
          <w:szCs w:val="22"/>
          <w:lang w:eastAsia="en-US"/>
        </w:rPr>
        <w:t xml:space="preserve">and consumer protection </w:t>
      </w:r>
      <w:r w:rsidR="00B63300" w:rsidRPr="009500F4">
        <w:rPr>
          <w:rFonts w:eastAsia="Calibri" w:cs="Arial"/>
          <w:szCs w:val="22"/>
          <w:lang w:eastAsia="en-US"/>
        </w:rPr>
        <w:t>component of PSDI III</w:t>
      </w:r>
      <w:r w:rsidRPr="009500F4">
        <w:rPr>
          <w:rFonts w:eastAsia="Calibri" w:cs="Arial"/>
          <w:szCs w:val="22"/>
          <w:lang w:eastAsia="en-US"/>
        </w:rPr>
        <w:t xml:space="preserve">. PSDI reports that, as of mid-2016, targets in these areas were either achieved or likely to be met by the end of PSDI III (Table 7). (Note that the adoption of laws and regulations in this area is not mentioned explicitly in the table, but </w:t>
      </w:r>
      <w:r w:rsidR="00B63300" w:rsidRPr="009500F4">
        <w:rPr>
          <w:rFonts w:eastAsia="Calibri" w:cs="Arial"/>
          <w:szCs w:val="22"/>
          <w:lang w:eastAsia="en-US"/>
        </w:rPr>
        <w:t xml:space="preserve">this </w:t>
      </w:r>
      <w:r w:rsidRPr="009500F4">
        <w:rPr>
          <w:rFonts w:eastAsia="Calibri" w:cs="Arial"/>
          <w:szCs w:val="22"/>
          <w:lang w:eastAsia="en-US"/>
        </w:rPr>
        <w:t>appears to be subsumed within the competition commissions component).</w:t>
      </w:r>
    </w:p>
    <w:p w:rsidR="00CA4CD7" w:rsidRDefault="00CA4CD7" w:rsidP="00CA4CD7"/>
    <w:p w:rsidR="000D639E" w:rsidRDefault="000D639E" w:rsidP="00CA4CD7"/>
    <w:p w:rsidR="000D639E" w:rsidRPr="009500F4" w:rsidRDefault="000D639E" w:rsidP="00CA4CD7"/>
    <w:p w:rsidR="007A5780" w:rsidRPr="00D6162F" w:rsidRDefault="00CA4CD7" w:rsidP="00170139">
      <w:pPr>
        <w:jc w:val="center"/>
        <w:rPr>
          <w:rFonts w:cs="Arial"/>
          <w:bCs/>
          <w:sz w:val="20"/>
          <w:szCs w:val="20"/>
        </w:rPr>
      </w:pPr>
      <w:r w:rsidRPr="00D6162F">
        <w:rPr>
          <w:rFonts w:cs="Arial"/>
          <w:b/>
          <w:bCs/>
          <w:sz w:val="20"/>
          <w:szCs w:val="20"/>
        </w:rPr>
        <w:t xml:space="preserve">Table 7: Competition and Consumer Protection </w:t>
      </w:r>
      <w:r w:rsidR="00B662C0" w:rsidRPr="00D6162F">
        <w:rPr>
          <w:rFonts w:cs="Arial"/>
          <w:b/>
          <w:bCs/>
          <w:sz w:val="20"/>
          <w:szCs w:val="20"/>
        </w:rPr>
        <w:t>O</w:t>
      </w:r>
      <w:r w:rsidRPr="00D6162F">
        <w:rPr>
          <w:rFonts w:cs="Arial"/>
          <w:b/>
          <w:bCs/>
          <w:sz w:val="20"/>
          <w:szCs w:val="20"/>
        </w:rPr>
        <w:t>utcomes</w:t>
      </w:r>
      <w:r w:rsidR="006C4DF8" w:rsidRPr="00D6162F">
        <w:rPr>
          <w:rFonts w:cs="Arial"/>
          <w:b/>
          <w:bCs/>
          <w:sz w:val="20"/>
          <w:szCs w:val="20"/>
        </w:rPr>
        <w:t xml:space="preserve">, </w:t>
      </w:r>
      <w:r w:rsidRPr="00D6162F">
        <w:rPr>
          <w:rFonts w:cs="Arial"/>
          <w:b/>
          <w:bCs/>
          <w:sz w:val="20"/>
          <w:szCs w:val="20"/>
        </w:rPr>
        <w:t>2014</w:t>
      </w:r>
      <w:r w:rsidR="006C4DF8" w:rsidRPr="00D6162F">
        <w:rPr>
          <w:rFonts w:cs="Arial"/>
          <w:b/>
          <w:bCs/>
          <w:sz w:val="20"/>
          <w:szCs w:val="20"/>
        </w:rPr>
        <w:t>–</w:t>
      </w:r>
      <w:r w:rsidR="007A5780" w:rsidRPr="00D6162F">
        <w:rPr>
          <w:rFonts w:cs="Arial"/>
          <w:b/>
          <w:bCs/>
          <w:sz w:val="20"/>
          <w:szCs w:val="20"/>
        </w:rPr>
        <w:t>20</w:t>
      </w:r>
      <w:r w:rsidRPr="00D6162F">
        <w:rPr>
          <w:rFonts w:cs="Arial"/>
          <w:b/>
          <w:bCs/>
          <w:sz w:val="20"/>
          <w:szCs w:val="20"/>
        </w:rPr>
        <w:t>1</w:t>
      </w:r>
      <w:r w:rsidR="00B63300" w:rsidRPr="00D6162F">
        <w:rPr>
          <w:rFonts w:cs="Arial"/>
          <w:b/>
          <w:bCs/>
          <w:sz w:val="20"/>
          <w:szCs w:val="20"/>
        </w:rPr>
        <w:t>7</w:t>
      </w:r>
    </w:p>
    <w:p w:rsidR="00CA4CD7" w:rsidRPr="001143BF" w:rsidRDefault="00CA4CD7" w:rsidP="00C930F2">
      <w:pPr>
        <w:rPr>
          <w:rFonts w:cs="Arial"/>
          <w:bCs/>
          <w:sz w:val="10"/>
          <w:szCs w:val="10"/>
        </w:rPr>
      </w:pPr>
    </w:p>
    <w:tbl>
      <w:tblPr>
        <w:tblStyle w:val="TableGrid"/>
        <w:tblW w:w="0" w:type="auto"/>
        <w:tblLayout w:type="fixed"/>
        <w:tblLook w:val="04A0" w:firstRow="1" w:lastRow="0" w:firstColumn="1" w:lastColumn="0" w:noHBand="0" w:noVBand="1"/>
      </w:tblPr>
      <w:tblGrid>
        <w:gridCol w:w="2337"/>
        <w:gridCol w:w="2338"/>
        <w:gridCol w:w="2337"/>
        <w:gridCol w:w="2338"/>
      </w:tblGrid>
      <w:tr w:rsidR="00532496" w:rsidRPr="009500F4" w:rsidTr="00170139">
        <w:trPr>
          <w:trHeight w:val="305"/>
        </w:trPr>
        <w:tc>
          <w:tcPr>
            <w:tcW w:w="2337" w:type="dxa"/>
            <w:tcBorders>
              <w:left w:val="nil"/>
              <w:right w:val="nil"/>
            </w:tcBorders>
            <w:shd w:val="clear" w:color="auto" w:fill="FFFFFF" w:themeFill="background1"/>
            <w:noWrap/>
            <w:hideMark/>
          </w:tcPr>
          <w:p w:rsidR="00532496" w:rsidRPr="009500F4" w:rsidRDefault="00532496" w:rsidP="00CA4CD7">
            <w:pPr>
              <w:jc w:val="center"/>
              <w:rPr>
                <w:rFonts w:eastAsia="Times New Roman"/>
                <w:b/>
                <w:bCs/>
                <w:sz w:val="18"/>
                <w:szCs w:val="18"/>
              </w:rPr>
            </w:pPr>
            <w:r w:rsidRPr="009500F4">
              <w:rPr>
                <w:rFonts w:eastAsia="Times New Roman"/>
                <w:b/>
                <w:bCs/>
                <w:sz w:val="18"/>
                <w:szCs w:val="18"/>
              </w:rPr>
              <w:lastRenderedPageBreak/>
              <w:t>Key Indicators</w:t>
            </w:r>
          </w:p>
        </w:tc>
        <w:tc>
          <w:tcPr>
            <w:tcW w:w="2338" w:type="dxa"/>
            <w:tcBorders>
              <w:left w:val="nil"/>
              <w:right w:val="nil"/>
            </w:tcBorders>
            <w:shd w:val="clear" w:color="auto" w:fill="FFFFFF" w:themeFill="background1"/>
            <w:noWrap/>
            <w:hideMark/>
          </w:tcPr>
          <w:p w:rsidR="00532496" w:rsidRPr="009500F4" w:rsidRDefault="00532496" w:rsidP="00CA4CD7">
            <w:pPr>
              <w:jc w:val="center"/>
              <w:rPr>
                <w:rFonts w:eastAsia="Times New Roman"/>
                <w:b/>
                <w:bCs/>
                <w:sz w:val="18"/>
                <w:szCs w:val="18"/>
              </w:rPr>
            </w:pPr>
            <w:r w:rsidRPr="009500F4">
              <w:rPr>
                <w:rFonts w:eastAsia="Times New Roman"/>
                <w:b/>
                <w:bCs/>
                <w:sz w:val="18"/>
                <w:szCs w:val="18"/>
              </w:rPr>
              <w:t>FY2015 Results</w:t>
            </w:r>
          </w:p>
        </w:tc>
        <w:tc>
          <w:tcPr>
            <w:tcW w:w="2337" w:type="dxa"/>
            <w:tcBorders>
              <w:left w:val="nil"/>
              <w:right w:val="nil"/>
            </w:tcBorders>
            <w:shd w:val="clear" w:color="auto" w:fill="FFFFFF" w:themeFill="background1"/>
            <w:noWrap/>
            <w:hideMark/>
          </w:tcPr>
          <w:p w:rsidR="00532496" w:rsidRPr="009500F4" w:rsidRDefault="00532496" w:rsidP="00CA4CD7">
            <w:pPr>
              <w:jc w:val="center"/>
              <w:rPr>
                <w:rFonts w:eastAsia="Times New Roman"/>
                <w:b/>
                <w:bCs/>
                <w:sz w:val="18"/>
                <w:szCs w:val="18"/>
              </w:rPr>
            </w:pPr>
            <w:r w:rsidRPr="009500F4">
              <w:rPr>
                <w:rFonts w:eastAsia="Times New Roman"/>
                <w:b/>
                <w:bCs/>
                <w:sz w:val="18"/>
                <w:szCs w:val="18"/>
              </w:rPr>
              <w:t>FY2016 Results</w:t>
            </w:r>
          </w:p>
        </w:tc>
        <w:tc>
          <w:tcPr>
            <w:tcW w:w="2338" w:type="dxa"/>
            <w:tcBorders>
              <w:left w:val="nil"/>
              <w:right w:val="nil"/>
            </w:tcBorders>
            <w:shd w:val="clear" w:color="auto" w:fill="FFFFFF" w:themeFill="background1"/>
          </w:tcPr>
          <w:p w:rsidR="00532496" w:rsidRPr="009500F4" w:rsidRDefault="0042365A" w:rsidP="00CA4CD7">
            <w:pPr>
              <w:jc w:val="center"/>
              <w:rPr>
                <w:rFonts w:eastAsia="Times New Roman"/>
                <w:b/>
                <w:bCs/>
                <w:sz w:val="18"/>
                <w:szCs w:val="18"/>
              </w:rPr>
            </w:pPr>
            <w:r w:rsidRPr="009500F4">
              <w:rPr>
                <w:b/>
                <w:bCs/>
                <w:sz w:val="18"/>
                <w:szCs w:val="18"/>
              </w:rPr>
              <w:t>FY2017 Results</w:t>
            </w:r>
          </w:p>
        </w:tc>
      </w:tr>
      <w:tr w:rsidR="00532496" w:rsidRPr="009500F4" w:rsidTr="00170139">
        <w:trPr>
          <w:trHeight w:val="1529"/>
        </w:trPr>
        <w:tc>
          <w:tcPr>
            <w:tcW w:w="2337" w:type="dxa"/>
            <w:tcBorders>
              <w:left w:val="nil"/>
              <w:right w:val="nil"/>
            </w:tcBorders>
            <w:hideMark/>
          </w:tcPr>
          <w:p w:rsidR="00532496" w:rsidRPr="009500F4" w:rsidRDefault="00532496" w:rsidP="00813EB8">
            <w:pPr>
              <w:jc w:val="left"/>
              <w:rPr>
                <w:sz w:val="18"/>
                <w:szCs w:val="18"/>
              </w:rPr>
            </w:pPr>
            <w:r w:rsidRPr="009500F4">
              <w:rPr>
                <w:sz w:val="18"/>
                <w:szCs w:val="18"/>
              </w:rPr>
              <w:t>Competition commissions in place and issuing judgements in at</w:t>
            </w:r>
            <w:r w:rsidR="00ED2A8D" w:rsidRPr="009500F4">
              <w:rPr>
                <w:sz w:val="18"/>
                <w:szCs w:val="18"/>
              </w:rPr>
              <w:t xml:space="preserve"> least </w:t>
            </w:r>
            <w:r w:rsidR="00B63300" w:rsidRPr="009500F4">
              <w:rPr>
                <w:sz w:val="18"/>
                <w:szCs w:val="18"/>
              </w:rPr>
              <w:t xml:space="preserve">2 </w:t>
            </w:r>
            <w:r w:rsidR="00ED2A8D" w:rsidRPr="009500F4">
              <w:rPr>
                <w:sz w:val="18"/>
                <w:szCs w:val="18"/>
              </w:rPr>
              <w:t>Pacific DMCs by 2018</w:t>
            </w:r>
          </w:p>
        </w:tc>
        <w:tc>
          <w:tcPr>
            <w:tcW w:w="2338" w:type="dxa"/>
            <w:tcBorders>
              <w:left w:val="nil"/>
              <w:right w:val="nil"/>
            </w:tcBorders>
            <w:hideMark/>
          </w:tcPr>
          <w:p w:rsidR="00BA7C5E" w:rsidRPr="009500F4" w:rsidRDefault="00532496" w:rsidP="00813EB8">
            <w:pPr>
              <w:jc w:val="left"/>
              <w:rPr>
                <w:sz w:val="18"/>
                <w:szCs w:val="18"/>
              </w:rPr>
            </w:pPr>
            <w:r w:rsidRPr="009500F4">
              <w:rPr>
                <w:sz w:val="18"/>
                <w:szCs w:val="18"/>
              </w:rPr>
              <w:t>Completed assessment of competition &amp; regulatory framework in Samoa.</w:t>
            </w:r>
          </w:p>
          <w:p w:rsidR="00BA7C5E" w:rsidRPr="009500F4" w:rsidRDefault="00BA7C5E" w:rsidP="00813EB8">
            <w:pPr>
              <w:jc w:val="left"/>
              <w:rPr>
                <w:sz w:val="18"/>
                <w:szCs w:val="18"/>
              </w:rPr>
            </w:pPr>
          </w:p>
          <w:p w:rsidR="00532496" w:rsidRPr="009500F4" w:rsidRDefault="00532496" w:rsidP="00813EB8">
            <w:pPr>
              <w:jc w:val="left"/>
              <w:rPr>
                <w:sz w:val="18"/>
                <w:szCs w:val="18"/>
              </w:rPr>
            </w:pPr>
            <w:r w:rsidRPr="009500F4">
              <w:rPr>
                <w:sz w:val="18"/>
                <w:szCs w:val="18"/>
              </w:rPr>
              <w:t xml:space="preserve">Assessments underway in PNG, </w:t>
            </w:r>
            <w:r w:rsidR="00B63300" w:rsidRPr="009500F4">
              <w:rPr>
                <w:sz w:val="18"/>
                <w:szCs w:val="18"/>
              </w:rPr>
              <w:t>Solomon Islands</w:t>
            </w:r>
            <w:r w:rsidRPr="009500F4">
              <w:rPr>
                <w:sz w:val="18"/>
                <w:szCs w:val="18"/>
              </w:rPr>
              <w:t xml:space="preserve">, </w:t>
            </w:r>
            <w:r w:rsidR="00EC32AF" w:rsidRPr="009500F4">
              <w:rPr>
                <w:sz w:val="18"/>
                <w:szCs w:val="18"/>
              </w:rPr>
              <w:t>Timor-Leste</w:t>
            </w:r>
            <w:r w:rsidRPr="009500F4">
              <w:rPr>
                <w:sz w:val="18"/>
                <w:szCs w:val="18"/>
              </w:rPr>
              <w:t xml:space="preserve">, </w:t>
            </w:r>
            <w:r w:rsidR="00B63300" w:rsidRPr="009500F4">
              <w:rPr>
                <w:sz w:val="18"/>
                <w:szCs w:val="18"/>
              </w:rPr>
              <w:t>Tonga</w:t>
            </w:r>
            <w:r w:rsidRPr="009500F4">
              <w:rPr>
                <w:sz w:val="18"/>
                <w:szCs w:val="18"/>
              </w:rPr>
              <w:t xml:space="preserve">, </w:t>
            </w:r>
            <w:r w:rsidR="00444F9D">
              <w:rPr>
                <w:sz w:val="18"/>
                <w:szCs w:val="18"/>
              </w:rPr>
              <w:t xml:space="preserve">Vanuatu, </w:t>
            </w:r>
            <w:r w:rsidR="00B63300" w:rsidRPr="009500F4">
              <w:rPr>
                <w:sz w:val="18"/>
                <w:szCs w:val="18"/>
              </w:rPr>
              <w:t>and r</w:t>
            </w:r>
            <w:r w:rsidRPr="009500F4">
              <w:rPr>
                <w:sz w:val="18"/>
                <w:szCs w:val="18"/>
              </w:rPr>
              <w:t>egional</w:t>
            </w:r>
            <w:r w:rsidR="00B63300" w:rsidRPr="009500F4">
              <w:rPr>
                <w:sz w:val="18"/>
                <w:szCs w:val="18"/>
              </w:rPr>
              <w:t>ly</w:t>
            </w:r>
            <w:r w:rsidRPr="009500F4">
              <w:rPr>
                <w:sz w:val="18"/>
                <w:szCs w:val="18"/>
              </w:rPr>
              <w:t>.</w:t>
            </w:r>
          </w:p>
        </w:tc>
        <w:tc>
          <w:tcPr>
            <w:tcW w:w="2337" w:type="dxa"/>
            <w:tcBorders>
              <w:left w:val="nil"/>
              <w:right w:val="nil"/>
            </w:tcBorders>
            <w:hideMark/>
          </w:tcPr>
          <w:p w:rsidR="00BA7C5E" w:rsidRPr="009500F4" w:rsidRDefault="00532496" w:rsidP="00813EB8">
            <w:pPr>
              <w:jc w:val="left"/>
              <w:rPr>
                <w:sz w:val="18"/>
                <w:szCs w:val="18"/>
              </w:rPr>
            </w:pPr>
            <w:r w:rsidRPr="009500F4">
              <w:rPr>
                <w:sz w:val="18"/>
                <w:szCs w:val="18"/>
              </w:rPr>
              <w:t xml:space="preserve">Planned support for CCC in </w:t>
            </w:r>
            <w:r w:rsidR="00B63300" w:rsidRPr="009500F4">
              <w:rPr>
                <w:sz w:val="18"/>
                <w:szCs w:val="18"/>
              </w:rPr>
              <w:t xml:space="preserve">Fiji </w:t>
            </w:r>
            <w:r w:rsidR="001143BF">
              <w:rPr>
                <w:sz w:val="18"/>
                <w:szCs w:val="18"/>
              </w:rPr>
              <w:t>and</w:t>
            </w:r>
            <w:r w:rsidRPr="009500F4">
              <w:rPr>
                <w:sz w:val="18"/>
                <w:szCs w:val="18"/>
              </w:rPr>
              <w:t xml:space="preserve"> </w:t>
            </w:r>
            <w:r w:rsidR="00B63300" w:rsidRPr="009500F4">
              <w:rPr>
                <w:sz w:val="18"/>
                <w:szCs w:val="18"/>
              </w:rPr>
              <w:t>Samoa</w:t>
            </w:r>
            <w:r w:rsidR="00BA7C5E" w:rsidRPr="009500F4">
              <w:rPr>
                <w:sz w:val="18"/>
                <w:szCs w:val="18"/>
              </w:rPr>
              <w:t>.</w:t>
            </w:r>
          </w:p>
          <w:p w:rsidR="00BA7C5E" w:rsidRPr="009500F4" w:rsidRDefault="00BA7C5E" w:rsidP="00813EB8">
            <w:pPr>
              <w:jc w:val="left"/>
              <w:rPr>
                <w:sz w:val="18"/>
                <w:szCs w:val="18"/>
              </w:rPr>
            </w:pPr>
          </w:p>
          <w:p w:rsidR="00532496" w:rsidRPr="009500F4" w:rsidRDefault="00532496" w:rsidP="00813EB8">
            <w:pPr>
              <w:jc w:val="left"/>
              <w:rPr>
                <w:sz w:val="18"/>
                <w:szCs w:val="18"/>
              </w:rPr>
            </w:pPr>
            <w:r w:rsidRPr="009500F4">
              <w:rPr>
                <w:sz w:val="18"/>
                <w:szCs w:val="18"/>
              </w:rPr>
              <w:t xml:space="preserve">Completed assessments in </w:t>
            </w:r>
            <w:r w:rsidR="00B63300" w:rsidRPr="009500F4">
              <w:rPr>
                <w:sz w:val="18"/>
                <w:szCs w:val="18"/>
              </w:rPr>
              <w:t>Timor-Leste</w:t>
            </w:r>
            <w:r w:rsidR="00444F9D">
              <w:rPr>
                <w:sz w:val="18"/>
                <w:szCs w:val="18"/>
              </w:rPr>
              <w:t xml:space="preserve"> and Vanuatu</w:t>
            </w:r>
            <w:r w:rsidRPr="009500F4">
              <w:rPr>
                <w:sz w:val="18"/>
                <w:szCs w:val="18"/>
              </w:rPr>
              <w:t>.</w:t>
            </w:r>
          </w:p>
        </w:tc>
        <w:tc>
          <w:tcPr>
            <w:tcW w:w="2338" w:type="dxa"/>
            <w:tcBorders>
              <w:left w:val="nil"/>
              <w:right w:val="nil"/>
            </w:tcBorders>
          </w:tcPr>
          <w:p w:rsidR="00532496" w:rsidRPr="009500F4" w:rsidRDefault="00444F9D" w:rsidP="00813EB8">
            <w:pPr>
              <w:jc w:val="left"/>
              <w:rPr>
                <w:sz w:val="18"/>
                <w:szCs w:val="18"/>
              </w:rPr>
            </w:pPr>
            <w:r>
              <w:rPr>
                <w:sz w:val="18"/>
                <w:szCs w:val="18"/>
              </w:rPr>
              <w:t>Continued to support Fiji, PNG, and Samoa</w:t>
            </w:r>
            <w:r w:rsidR="00CC48D2" w:rsidRPr="00CC48D2">
              <w:rPr>
                <w:sz w:val="18"/>
                <w:szCs w:val="18"/>
              </w:rPr>
              <w:t>.</w:t>
            </w:r>
          </w:p>
        </w:tc>
      </w:tr>
      <w:tr w:rsidR="00ED2A8D" w:rsidRPr="009500F4" w:rsidTr="00170139">
        <w:trPr>
          <w:trHeight w:val="1529"/>
        </w:trPr>
        <w:tc>
          <w:tcPr>
            <w:tcW w:w="2337" w:type="dxa"/>
            <w:tcBorders>
              <w:left w:val="nil"/>
              <w:right w:val="nil"/>
            </w:tcBorders>
          </w:tcPr>
          <w:p w:rsidR="00ED2A8D" w:rsidRPr="009500F4" w:rsidRDefault="00ED2A8D" w:rsidP="00813EB8">
            <w:pPr>
              <w:jc w:val="left"/>
              <w:rPr>
                <w:sz w:val="18"/>
                <w:szCs w:val="18"/>
              </w:rPr>
            </w:pPr>
            <w:r w:rsidRPr="009500F4">
              <w:rPr>
                <w:sz w:val="18"/>
                <w:szCs w:val="18"/>
              </w:rPr>
              <w:t>PNG: ICCC capacity development program in technical and cross- cutting areas implemented.</w:t>
            </w:r>
          </w:p>
        </w:tc>
        <w:tc>
          <w:tcPr>
            <w:tcW w:w="2338" w:type="dxa"/>
            <w:tcBorders>
              <w:left w:val="nil"/>
              <w:right w:val="nil"/>
            </w:tcBorders>
          </w:tcPr>
          <w:p w:rsidR="00ED2A8D" w:rsidRPr="009500F4" w:rsidRDefault="00ED2A8D" w:rsidP="00ED2A8D">
            <w:pPr>
              <w:jc w:val="left"/>
              <w:rPr>
                <w:sz w:val="18"/>
                <w:szCs w:val="18"/>
              </w:rPr>
            </w:pPr>
            <w:r w:rsidRPr="009500F4">
              <w:rPr>
                <w:sz w:val="18"/>
                <w:szCs w:val="18"/>
              </w:rPr>
              <w:t xml:space="preserve">Supported PNG </w:t>
            </w:r>
            <w:r w:rsidR="00E939A5" w:rsidRPr="009500F4">
              <w:rPr>
                <w:sz w:val="18"/>
                <w:szCs w:val="18"/>
              </w:rPr>
              <w:t>ICCC</w:t>
            </w:r>
            <w:r w:rsidRPr="009500F4">
              <w:rPr>
                <w:sz w:val="18"/>
                <w:szCs w:val="18"/>
              </w:rPr>
              <w:t>.</w:t>
            </w:r>
          </w:p>
          <w:p w:rsidR="00ED2A8D" w:rsidRPr="009500F4" w:rsidRDefault="00ED2A8D" w:rsidP="00813EB8">
            <w:pPr>
              <w:jc w:val="left"/>
              <w:rPr>
                <w:sz w:val="18"/>
                <w:szCs w:val="18"/>
              </w:rPr>
            </w:pPr>
          </w:p>
        </w:tc>
        <w:tc>
          <w:tcPr>
            <w:tcW w:w="2337" w:type="dxa"/>
            <w:tcBorders>
              <w:left w:val="nil"/>
              <w:right w:val="nil"/>
            </w:tcBorders>
          </w:tcPr>
          <w:p w:rsidR="00ED2A8D" w:rsidRPr="009500F4" w:rsidRDefault="00ED2A8D" w:rsidP="00ED2A8D">
            <w:pPr>
              <w:jc w:val="left"/>
              <w:rPr>
                <w:sz w:val="18"/>
                <w:szCs w:val="18"/>
              </w:rPr>
            </w:pPr>
            <w:r w:rsidRPr="009500F4">
              <w:rPr>
                <w:sz w:val="18"/>
                <w:szCs w:val="18"/>
              </w:rPr>
              <w:t>Continued to support PNG ICCC</w:t>
            </w:r>
            <w:r w:rsidR="00BA7C5E" w:rsidRPr="009500F4">
              <w:rPr>
                <w:sz w:val="18"/>
                <w:szCs w:val="18"/>
              </w:rPr>
              <w:t>.</w:t>
            </w:r>
          </w:p>
          <w:p w:rsidR="00ED2A8D" w:rsidRPr="009500F4" w:rsidRDefault="00ED2A8D" w:rsidP="00813EB8">
            <w:pPr>
              <w:jc w:val="left"/>
              <w:rPr>
                <w:sz w:val="18"/>
                <w:szCs w:val="18"/>
              </w:rPr>
            </w:pPr>
          </w:p>
        </w:tc>
        <w:tc>
          <w:tcPr>
            <w:tcW w:w="2338" w:type="dxa"/>
            <w:tcBorders>
              <w:left w:val="nil"/>
              <w:right w:val="nil"/>
            </w:tcBorders>
          </w:tcPr>
          <w:p w:rsidR="00ED2A8D" w:rsidRPr="009500F4" w:rsidRDefault="00444F9D" w:rsidP="00813EB8">
            <w:pPr>
              <w:jc w:val="left"/>
              <w:rPr>
                <w:sz w:val="18"/>
                <w:szCs w:val="18"/>
              </w:rPr>
            </w:pPr>
            <w:r w:rsidRPr="00444F9D">
              <w:rPr>
                <w:sz w:val="18"/>
                <w:szCs w:val="18"/>
              </w:rPr>
              <w:t>Continued to support PNG ICCC.</w:t>
            </w:r>
          </w:p>
        </w:tc>
      </w:tr>
    </w:tbl>
    <w:p w:rsidR="00BA7C5E" w:rsidRPr="009500F4" w:rsidRDefault="00AF6547" w:rsidP="00BA7C5E">
      <w:pPr>
        <w:rPr>
          <w:rFonts w:eastAsia="Times New Roman" w:cs="Arial"/>
          <w:sz w:val="16"/>
          <w:szCs w:val="16"/>
          <w:lang w:val="en-AU" w:eastAsia="en-US"/>
        </w:rPr>
      </w:pPr>
      <w:r w:rsidRPr="009500F4">
        <w:rPr>
          <w:sz w:val="16"/>
          <w:szCs w:val="16"/>
        </w:rPr>
        <w:t xml:space="preserve">CCC = Competition and Consumer Commission, </w:t>
      </w:r>
      <w:r w:rsidR="00BA7C5E" w:rsidRPr="009500F4">
        <w:rPr>
          <w:sz w:val="16"/>
          <w:szCs w:val="16"/>
        </w:rPr>
        <w:t>DMC = developing member country, FY = fiscal year</w:t>
      </w:r>
      <w:r w:rsidR="00E939A5" w:rsidRPr="009500F4">
        <w:rPr>
          <w:sz w:val="16"/>
          <w:szCs w:val="16"/>
        </w:rPr>
        <w:t xml:space="preserve"> </w:t>
      </w:r>
      <w:r w:rsidR="00E939A5" w:rsidRPr="009500F4">
        <w:rPr>
          <w:rFonts w:cs="Arial"/>
          <w:sz w:val="16"/>
          <w:szCs w:val="16"/>
        </w:rPr>
        <w:t>(</w:t>
      </w:r>
      <w:r w:rsidR="00E939A5" w:rsidRPr="009500F4">
        <w:rPr>
          <w:rFonts w:eastAsia="Ideal Sans Light" w:cs="Arial"/>
          <w:sz w:val="16"/>
          <w:szCs w:val="16"/>
          <w:lang w:val="en-AU" w:eastAsia="en-US"/>
        </w:rPr>
        <w:t>FY before a calendar year denotes the year in which the fiscal year ends)</w:t>
      </w:r>
      <w:r w:rsidR="00BA7C5E" w:rsidRPr="009500F4">
        <w:rPr>
          <w:sz w:val="16"/>
          <w:szCs w:val="16"/>
        </w:rPr>
        <w:t xml:space="preserve">, ICCC = </w:t>
      </w:r>
      <w:bookmarkStart w:id="132" w:name="_Hlk495755034"/>
      <w:r w:rsidR="00BA7C5E" w:rsidRPr="009500F4">
        <w:rPr>
          <w:sz w:val="16"/>
          <w:szCs w:val="16"/>
        </w:rPr>
        <w:t>Independent Consumer and Competition Commission</w:t>
      </w:r>
      <w:bookmarkEnd w:id="132"/>
      <w:r w:rsidR="00BA7C5E" w:rsidRPr="009500F4">
        <w:rPr>
          <w:sz w:val="16"/>
          <w:szCs w:val="16"/>
        </w:rPr>
        <w:t>, PNG = Papua New Guinea.</w:t>
      </w:r>
    </w:p>
    <w:p w:rsidR="00BA7C5E" w:rsidRPr="009500F4" w:rsidRDefault="00BA7C5E" w:rsidP="00BA7C5E">
      <w:pPr>
        <w:rPr>
          <w:sz w:val="16"/>
          <w:szCs w:val="16"/>
        </w:rPr>
      </w:pPr>
      <w:r w:rsidRPr="009500F4">
        <w:rPr>
          <w:sz w:val="16"/>
          <w:szCs w:val="16"/>
        </w:rPr>
        <w:t>Source: Private Sector Development Initiative.</w:t>
      </w:r>
    </w:p>
    <w:p w:rsidR="00BA7C5E" w:rsidRPr="009500F4" w:rsidRDefault="00BA7C5E" w:rsidP="00CA4CD7"/>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large increase of funding for </w:t>
      </w:r>
      <w:r w:rsidR="00742E28" w:rsidRPr="009500F4">
        <w:rPr>
          <w:rFonts w:eastAsia="Calibri" w:cs="Arial"/>
          <w:szCs w:val="22"/>
          <w:lang w:eastAsia="en-US"/>
        </w:rPr>
        <w:t>PNG</w:t>
      </w:r>
      <w:r w:rsidRPr="009500F4">
        <w:rPr>
          <w:rFonts w:eastAsia="Calibri" w:cs="Arial"/>
          <w:szCs w:val="22"/>
          <w:lang w:eastAsia="en-US"/>
        </w:rPr>
        <w:t xml:space="preserve"> in 2015 has augmented both activity and expectations of PSDI </w:t>
      </w:r>
      <w:r w:rsidR="00E939A5" w:rsidRPr="009500F4">
        <w:rPr>
          <w:rFonts w:eastAsia="Calibri" w:cs="Arial"/>
          <w:szCs w:val="22"/>
          <w:lang w:eastAsia="en-US"/>
        </w:rPr>
        <w:t>in the country</w:t>
      </w:r>
      <w:r w:rsidRPr="009500F4">
        <w:rPr>
          <w:rFonts w:eastAsia="Calibri" w:cs="Arial"/>
          <w:szCs w:val="22"/>
          <w:lang w:eastAsia="en-US"/>
        </w:rPr>
        <w:t>. PNG receives the bulk of PSDI resources for competition</w:t>
      </w:r>
      <w:r w:rsidR="00E939A5" w:rsidRPr="009500F4">
        <w:rPr>
          <w:rFonts w:eastAsia="Calibri" w:cs="Arial"/>
          <w:szCs w:val="22"/>
          <w:lang w:eastAsia="en-US"/>
        </w:rPr>
        <w:t xml:space="preserve"> policy</w:t>
      </w:r>
      <w:r w:rsidRPr="009500F4">
        <w:rPr>
          <w:rFonts w:eastAsia="Calibri" w:cs="Arial"/>
          <w:szCs w:val="22"/>
          <w:lang w:eastAsia="en-US"/>
        </w:rPr>
        <w:t xml:space="preserve"> and consumer protection work (65% for 2015-</w:t>
      </w:r>
      <w:r w:rsidR="00A03DE1" w:rsidRPr="009500F4">
        <w:rPr>
          <w:rFonts w:eastAsia="Calibri" w:cs="Arial"/>
          <w:szCs w:val="22"/>
          <w:lang w:eastAsia="en-US"/>
        </w:rPr>
        <w:t>20</w:t>
      </w:r>
      <w:r w:rsidRPr="009500F4">
        <w:rPr>
          <w:rFonts w:eastAsia="Calibri" w:cs="Arial"/>
          <w:szCs w:val="22"/>
          <w:lang w:eastAsia="en-US"/>
        </w:rPr>
        <w:t>16).</w:t>
      </w:r>
      <w:r w:rsidR="000C15E8" w:rsidRPr="009500F4">
        <w:rPr>
          <w:rFonts w:eastAsia="Calibri" w:cs="Arial"/>
          <w:szCs w:val="22"/>
          <w:vertAlign w:val="superscript"/>
          <w:lang w:eastAsia="en-US"/>
        </w:rPr>
        <w:footnoteReference w:id="20"/>
      </w:r>
      <w:r w:rsidRPr="009500F4">
        <w:rPr>
          <w:rFonts w:eastAsia="Calibri" w:cs="Arial"/>
          <w:szCs w:val="22"/>
          <w:lang w:eastAsia="en-US"/>
        </w:rPr>
        <w:t xml:space="preserve"> Issues papers have been produced and consultations held, while PSDI has collaborated with the </w:t>
      </w:r>
      <w:r w:rsidR="00E939A5" w:rsidRPr="009500F4">
        <w:rPr>
          <w:rFonts w:eastAsia="Calibri" w:cs="Arial"/>
          <w:szCs w:val="22"/>
          <w:lang w:eastAsia="en-US"/>
        </w:rPr>
        <w:t>Independent Consumer and Competition Commission</w:t>
      </w:r>
      <w:r w:rsidRPr="009500F4">
        <w:rPr>
          <w:rFonts w:eastAsia="Calibri" w:cs="Arial"/>
          <w:szCs w:val="22"/>
          <w:lang w:eastAsia="en-US"/>
        </w:rPr>
        <w:t xml:space="preserve"> (ICCC) to formulate policy and build capacity. The commission described PSDI’s work as “wonderful”</w:t>
      </w:r>
      <w:r w:rsidR="00E939A5" w:rsidRPr="009500F4">
        <w:rPr>
          <w:rFonts w:eastAsia="Calibri" w:cs="Arial"/>
          <w:szCs w:val="22"/>
          <w:lang w:eastAsia="en-US"/>
        </w:rPr>
        <w:t>,</w:t>
      </w:r>
      <w:r w:rsidRPr="009500F4">
        <w:rPr>
          <w:rFonts w:eastAsia="Calibri" w:cs="Arial"/>
          <w:szCs w:val="22"/>
          <w:lang w:eastAsia="en-US"/>
        </w:rPr>
        <w:t xml:space="preserve"> comparing it favorably to the prior DFAT program taken over by PSDI. In particular, the framework review process helped the commission to understand the depth of the issues, to think through their implications, and to move toward a more thorough reform than the “band-aid” initially envisioned by the ICCC. The PSDI capacity evaluation involved workshops for ICCC staff, and led to a plan for training and support. A similar PSDI approach in Solomon</w:t>
      </w:r>
      <w:r w:rsidR="00E939A5" w:rsidRPr="009500F4">
        <w:rPr>
          <w:rFonts w:eastAsia="Calibri" w:cs="Arial"/>
          <w:szCs w:val="22"/>
          <w:lang w:eastAsia="en-US"/>
        </w:rPr>
        <w:t xml:space="preserve"> Island</w:t>
      </w:r>
      <w:r w:rsidRPr="009500F4">
        <w:rPr>
          <w:rFonts w:eastAsia="Calibri" w:cs="Arial"/>
          <w:szCs w:val="22"/>
          <w:lang w:eastAsia="en-US"/>
        </w:rPr>
        <w:t>s was also very well received. In both cases, policymakers voiced some impatience with the pace of the program (as compared to the quick delivery of outputs initially hoped for), but the benefits of a deliberate, phased approach showed themselves in enhanced understanding of the issues and “ownership” of the reforms (</w:t>
      </w:r>
      <w:r w:rsidR="00E939A5" w:rsidRPr="009500F4">
        <w:rPr>
          <w:rFonts w:eastAsia="Calibri" w:cs="Arial"/>
          <w:szCs w:val="22"/>
          <w:lang w:eastAsia="en-US"/>
        </w:rPr>
        <w:t>para</w:t>
      </w:r>
      <w:r w:rsidR="009C5C14" w:rsidRPr="009500F4">
        <w:rPr>
          <w:rFonts w:eastAsia="Calibri" w:cs="Arial"/>
          <w:szCs w:val="22"/>
          <w:lang w:eastAsia="en-US"/>
        </w:rPr>
        <w:t>. 98)</w:t>
      </w:r>
      <w:r w:rsidRPr="009500F4">
        <w:rPr>
          <w:rFonts w:eastAsia="Calibri" w:cs="Arial"/>
          <w:szCs w:val="22"/>
          <w:lang w:eastAsia="en-US"/>
        </w:rPr>
        <w:t>.</w:t>
      </w:r>
    </w:p>
    <w:p w:rsidR="00205AD1" w:rsidRPr="009500F4" w:rsidRDefault="00205AD1" w:rsidP="00205AD1">
      <w:pPr>
        <w:tabs>
          <w:tab w:val="left" w:pos="567"/>
        </w:tabs>
        <w:rPr>
          <w:rFonts w:eastAsia="Calibri" w:cs="Arial"/>
          <w:szCs w:val="22"/>
          <w:lang w:eastAsia="en-US"/>
        </w:rPr>
      </w:pPr>
    </w:p>
    <w:p w:rsidR="00CA4CD7" w:rsidRPr="009500F4" w:rsidRDefault="008F198D" w:rsidP="00170139">
      <w:pPr>
        <w:keepNext/>
        <w:spacing w:after="160"/>
        <w:ind w:left="1080"/>
        <w:outlineLvl w:val="1"/>
        <w:rPr>
          <w:rFonts w:eastAsia="Times New Roman" w:cs="Arial"/>
          <w:b/>
          <w:bCs/>
          <w:iCs/>
          <w:szCs w:val="22"/>
          <w:lang w:eastAsia="en-US"/>
        </w:rPr>
      </w:pPr>
      <w:bookmarkStart w:id="133" w:name="_Toc494271716"/>
      <w:bookmarkStart w:id="134" w:name="_Toc494367942"/>
      <w:bookmarkStart w:id="135" w:name="_Toc494378786"/>
      <w:bookmarkStart w:id="136" w:name="_Toc494378868"/>
      <w:r w:rsidRPr="009500F4">
        <w:rPr>
          <w:rFonts w:eastAsia="Times New Roman" w:cs="Arial"/>
          <w:b/>
          <w:bCs/>
          <w:iCs/>
          <w:szCs w:val="22"/>
          <w:lang w:eastAsia="en-US"/>
        </w:rPr>
        <w:t>6.</w:t>
      </w:r>
      <w:r w:rsidR="00386F3B" w:rsidRPr="009500F4">
        <w:rPr>
          <w:rFonts w:eastAsia="Times New Roman" w:cs="Arial"/>
          <w:b/>
          <w:bCs/>
          <w:iCs/>
          <w:szCs w:val="22"/>
          <w:lang w:eastAsia="en-US"/>
        </w:rPr>
        <w:tab/>
      </w:r>
      <w:r w:rsidR="00CA4CD7" w:rsidRPr="009500F4">
        <w:rPr>
          <w:rFonts w:eastAsia="Times New Roman" w:cs="Arial"/>
          <w:b/>
          <w:bCs/>
          <w:iCs/>
          <w:szCs w:val="22"/>
          <w:lang w:eastAsia="en-US"/>
        </w:rPr>
        <w:t>Analytical Work, Communications, Monitoring</w:t>
      </w:r>
      <w:r w:rsidRPr="009500F4">
        <w:rPr>
          <w:rFonts w:eastAsia="Times New Roman" w:cs="Arial"/>
          <w:b/>
          <w:bCs/>
          <w:iCs/>
          <w:szCs w:val="22"/>
          <w:lang w:eastAsia="en-US"/>
        </w:rPr>
        <w:t>,</w:t>
      </w:r>
      <w:r w:rsidR="00CA4CD7" w:rsidRPr="009500F4">
        <w:rPr>
          <w:rFonts w:eastAsia="Times New Roman" w:cs="Arial"/>
          <w:b/>
          <w:bCs/>
          <w:iCs/>
          <w:szCs w:val="22"/>
          <w:lang w:eastAsia="en-US"/>
        </w:rPr>
        <w:t xml:space="preserve"> and Evaluation</w:t>
      </w:r>
      <w:bookmarkEnd w:id="133"/>
      <w:bookmarkEnd w:id="134"/>
      <w:bookmarkEnd w:id="135"/>
      <w:bookmarkEnd w:id="136"/>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As stated in the TA </w:t>
      </w:r>
      <w:r w:rsidR="00A03DE1" w:rsidRPr="009500F4">
        <w:rPr>
          <w:rFonts w:eastAsia="Calibri" w:cs="Arial"/>
          <w:szCs w:val="22"/>
          <w:lang w:eastAsia="en-US"/>
        </w:rPr>
        <w:t>p</w:t>
      </w:r>
      <w:r w:rsidRPr="009500F4">
        <w:rPr>
          <w:rFonts w:eastAsia="Calibri" w:cs="Arial"/>
          <w:szCs w:val="22"/>
          <w:lang w:eastAsia="en-US"/>
        </w:rPr>
        <w:t>aper</w:t>
      </w:r>
      <w:r w:rsidR="00A03DE1" w:rsidRPr="009500F4">
        <w:rPr>
          <w:rFonts w:eastAsia="Calibri" w:cs="Arial"/>
          <w:szCs w:val="22"/>
          <w:lang w:eastAsia="en-US"/>
        </w:rPr>
        <w:t xml:space="preserve"> from 2013</w:t>
      </w:r>
      <w:r w:rsidRPr="009500F4">
        <w:rPr>
          <w:rFonts w:eastAsia="Calibri" w:cs="Arial"/>
          <w:szCs w:val="22"/>
          <w:lang w:eastAsia="en-US"/>
        </w:rPr>
        <w:t xml:space="preserve">, “The relevance and effectiveness of the PSDI interventions rests on in-depth analysis of constraints to doing business in Pacific DMCs.” This means, first, that PSDI puts particular emphasis on its series of publications including the </w:t>
      </w:r>
      <w:r w:rsidR="00EC44E8" w:rsidRPr="009500F4">
        <w:rPr>
          <w:rFonts w:eastAsia="Calibri" w:cs="Arial"/>
          <w:szCs w:val="22"/>
          <w:lang w:eastAsia="en-US"/>
        </w:rPr>
        <w:t>p</w:t>
      </w:r>
      <w:r w:rsidRPr="009500F4">
        <w:rPr>
          <w:rFonts w:eastAsia="Calibri" w:cs="Arial"/>
          <w:szCs w:val="22"/>
          <w:lang w:eastAsia="en-US"/>
        </w:rPr>
        <w:t xml:space="preserve">rivate </w:t>
      </w:r>
      <w:r w:rsidR="00EC44E8" w:rsidRPr="009500F4">
        <w:rPr>
          <w:rFonts w:eastAsia="Calibri" w:cs="Arial"/>
          <w:szCs w:val="22"/>
          <w:lang w:eastAsia="en-US"/>
        </w:rPr>
        <w:t>s</w:t>
      </w:r>
      <w:r w:rsidRPr="009500F4">
        <w:rPr>
          <w:rFonts w:eastAsia="Calibri" w:cs="Arial"/>
          <w:szCs w:val="22"/>
          <w:lang w:eastAsia="en-US"/>
        </w:rPr>
        <w:t xml:space="preserve">ector </w:t>
      </w:r>
      <w:r w:rsidR="00EC44E8" w:rsidRPr="009500F4">
        <w:rPr>
          <w:rFonts w:eastAsia="Calibri" w:cs="Arial"/>
          <w:szCs w:val="22"/>
          <w:lang w:eastAsia="en-US"/>
        </w:rPr>
        <w:t>a</w:t>
      </w:r>
      <w:r w:rsidRPr="009500F4">
        <w:rPr>
          <w:rFonts w:eastAsia="Calibri" w:cs="Arial"/>
          <w:szCs w:val="22"/>
          <w:lang w:eastAsia="en-US"/>
        </w:rPr>
        <w:t>ssessments</w:t>
      </w:r>
      <w:r w:rsidR="008B570D" w:rsidRPr="009500F4">
        <w:rPr>
          <w:rFonts w:eastAsia="Calibri" w:cs="Arial"/>
          <w:szCs w:val="22"/>
          <w:lang w:eastAsia="en-US"/>
        </w:rPr>
        <w:t xml:space="preserve"> (PSAs)</w:t>
      </w:r>
      <w:r w:rsidRPr="009500F4">
        <w:rPr>
          <w:rFonts w:eastAsia="Calibri" w:cs="Arial"/>
          <w:szCs w:val="22"/>
          <w:lang w:eastAsia="en-US"/>
        </w:rPr>
        <w:t xml:space="preserve">, </w:t>
      </w:r>
      <w:r w:rsidR="00EC44E8" w:rsidRPr="009500F4">
        <w:rPr>
          <w:rFonts w:eastAsia="Calibri" w:cs="Arial"/>
          <w:szCs w:val="22"/>
          <w:lang w:eastAsia="en-US"/>
        </w:rPr>
        <w:t>the “</w:t>
      </w:r>
      <w:r w:rsidRPr="009500F4">
        <w:rPr>
          <w:rFonts w:eastAsia="Calibri" w:cs="Arial"/>
          <w:szCs w:val="22"/>
          <w:lang w:eastAsia="en-US"/>
        </w:rPr>
        <w:t>Finding Balance</w:t>
      </w:r>
      <w:r w:rsidR="00EC44E8" w:rsidRPr="009500F4">
        <w:rPr>
          <w:rFonts w:eastAsia="Calibri" w:cs="Arial"/>
          <w:szCs w:val="22"/>
          <w:lang w:eastAsia="en-US"/>
        </w:rPr>
        <w:t>”</w:t>
      </w:r>
      <w:r w:rsidRPr="009500F4">
        <w:rPr>
          <w:rFonts w:eastAsia="Calibri" w:cs="Arial"/>
          <w:szCs w:val="22"/>
          <w:lang w:eastAsia="en-US"/>
        </w:rPr>
        <w:t xml:space="preserve"> </w:t>
      </w:r>
      <w:r w:rsidR="00EC44E8" w:rsidRPr="009500F4">
        <w:rPr>
          <w:rFonts w:eastAsia="Calibri" w:cs="Arial"/>
          <w:szCs w:val="22"/>
          <w:lang w:eastAsia="en-US"/>
        </w:rPr>
        <w:t>series</w:t>
      </w:r>
      <w:r w:rsidRPr="009500F4">
        <w:rPr>
          <w:rFonts w:eastAsia="Calibri" w:cs="Arial"/>
          <w:szCs w:val="22"/>
          <w:lang w:eastAsia="en-US"/>
        </w:rPr>
        <w:t xml:space="preserve">, and the other thematic and country-focused studies. This work facilitates the choice of policy priorities by PDMC counterparts, and guides </w:t>
      </w:r>
      <w:r w:rsidR="00EC44E8" w:rsidRPr="009500F4">
        <w:rPr>
          <w:rFonts w:eastAsia="Calibri" w:cs="Arial"/>
          <w:szCs w:val="22"/>
          <w:lang w:eastAsia="en-US"/>
        </w:rPr>
        <w:t>PSDI</w:t>
      </w:r>
      <w:r w:rsidRPr="009500F4">
        <w:rPr>
          <w:rFonts w:eastAsia="Calibri" w:cs="Arial"/>
          <w:szCs w:val="22"/>
          <w:lang w:eastAsia="en-US"/>
        </w:rPr>
        <w:t>’s agenda. Also, as PSDI</w:t>
      </w:r>
      <w:r w:rsidR="008B570D" w:rsidRPr="009500F4">
        <w:rPr>
          <w:rFonts w:eastAsia="Calibri" w:cs="Arial"/>
          <w:szCs w:val="22"/>
          <w:lang w:eastAsia="en-US"/>
        </w:rPr>
        <w:t>’s operations have</w:t>
      </w:r>
      <w:r w:rsidRPr="009500F4">
        <w:rPr>
          <w:rFonts w:eastAsia="Calibri" w:cs="Arial"/>
          <w:szCs w:val="22"/>
          <w:lang w:eastAsia="en-US"/>
        </w:rPr>
        <w:t xml:space="preserve"> expanded </w:t>
      </w:r>
      <w:r w:rsidR="00EC44E8" w:rsidRPr="009500F4">
        <w:rPr>
          <w:rFonts w:eastAsia="Calibri" w:cs="Arial"/>
          <w:szCs w:val="22"/>
          <w:lang w:eastAsia="en-US"/>
        </w:rPr>
        <w:t xml:space="preserve">during PSDI </w:t>
      </w:r>
      <w:r w:rsidRPr="009500F4">
        <w:rPr>
          <w:rFonts w:eastAsia="Calibri" w:cs="Arial"/>
          <w:szCs w:val="22"/>
          <w:lang w:eastAsia="en-US"/>
        </w:rPr>
        <w:t xml:space="preserve">III, M&amp;E takes on added importance. The plan is to conduct selected impact evaluations, along with knowledge-sharing across the Pacific. Annual review and strategic planning meetings with selected ADB staff and development partners help define strategy, and broader dialogue has been pursued through conferences </w:t>
      </w:r>
      <w:r w:rsidR="000C15E8">
        <w:rPr>
          <w:rFonts w:eastAsia="Calibri" w:cs="Arial"/>
          <w:szCs w:val="22"/>
          <w:lang w:eastAsia="en-US"/>
        </w:rPr>
        <w:t>and private sector roundtables.</w:t>
      </w:r>
    </w:p>
    <w:p w:rsidR="00EB420F" w:rsidRPr="009500F4" w:rsidRDefault="00EB420F" w:rsidP="00CA4CD7"/>
    <w:p w:rsidR="00CA4CD7" w:rsidRPr="000C15E8"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TA </w:t>
      </w:r>
      <w:r w:rsidR="00A03DE1" w:rsidRPr="009500F4">
        <w:rPr>
          <w:rFonts w:eastAsia="Calibri" w:cs="Arial"/>
          <w:szCs w:val="22"/>
          <w:lang w:eastAsia="en-US"/>
        </w:rPr>
        <w:t>p</w:t>
      </w:r>
      <w:r w:rsidRPr="009500F4">
        <w:rPr>
          <w:rFonts w:eastAsia="Calibri" w:cs="Arial"/>
          <w:szCs w:val="22"/>
          <w:lang w:eastAsia="en-US"/>
        </w:rPr>
        <w:t xml:space="preserve">aper </w:t>
      </w:r>
      <w:r w:rsidR="00A03DE1" w:rsidRPr="009500F4">
        <w:rPr>
          <w:rFonts w:eastAsia="Calibri" w:cs="Arial"/>
          <w:szCs w:val="22"/>
          <w:lang w:eastAsia="en-US"/>
        </w:rPr>
        <w:t xml:space="preserve">from </w:t>
      </w:r>
      <w:r w:rsidRPr="009500F4">
        <w:rPr>
          <w:rFonts w:eastAsia="Calibri" w:cs="Arial"/>
          <w:szCs w:val="22"/>
          <w:lang w:eastAsia="en-US"/>
        </w:rPr>
        <w:t xml:space="preserve">2015 provides indicators for analytical work (including production of reports such as the PSAs, knowledge management, outreach and dissemination, monitoring and evaluation, and advocacy support). PSDI reports that, as of mid-2016, targets in these areas were </w:t>
      </w:r>
      <w:r w:rsidRPr="000C15E8">
        <w:rPr>
          <w:rFonts w:eastAsia="Calibri" w:cs="Arial"/>
          <w:szCs w:val="22"/>
          <w:lang w:eastAsia="en-US"/>
        </w:rPr>
        <w:t>either achieved or likely to be met by the end of PSDI III.</w:t>
      </w:r>
      <w:r w:rsidRPr="000C15E8">
        <w:rPr>
          <w:rFonts w:eastAsia="Calibri" w:cs="Arial"/>
          <w:szCs w:val="22"/>
          <w:vertAlign w:val="superscript"/>
          <w:lang w:eastAsia="en-US"/>
        </w:rPr>
        <w:footnoteReference w:id="21"/>
      </w:r>
    </w:p>
    <w:p w:rsidR="00EB420F" w:rsidRPr="009500F4" w:rsidRDefault="00EB420F" w:rsidP="00CA4CD7"/>
    <w:p w:rsidR="00205AD1" w:rsidRPr="009500F4" w:rsidRDefault="00CA4CD7" w:rsidP="00205AD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According to PSDI information, the PSAs have been influential in the formulation of economic policies in </w:t>
      </w:r>
      <w:r w:rsidR="008B570D" w:rsidRPr="009500F4">
        <w:rPr>
          <w:rFonts w:eastAsia="Calibri" w:cs="Arial"/>
          <w:szCs w:val="22"/>
          <w:lang w:eastAsia="en-US"/>
        </w:rPr>
        <w:t xml:space="preserve">the </w:t>
      </w:r>
      <w:r w:rsidRPr="009500F4">
        <w:rPr>
          <w:rFonts w:eastAsia="Calibri" w:cs="Arial"/>
          <w:szCs w:val="22"/>
          <w:lang w:eastAsia="en-US"/>
        </w:rPr>
        <w:t xml:space="preserve">Pacific </w:t>
      </w:r>
      <w:r w:rsidR="008B570D" w:rsidRPr="009500F4">
        <w:rPr>
          <w:rFonts w:eastAsia="Calibri" w:cs="Arial"/>
          <w:szCs w:val="22"/>
          <w:lang w:eastAsia="en-US"/>
        </w:rPr>
        <w:t>DMCs</w:t>
      </w:r>
      <w:r w:rsidRPr="009500F4">
        <w:rPr>
          <w:rFonts w:eastAsia="Calibri" w:cs="Arial"/>
          <w:szCs w:val="22"/>
          <w:lang w:eastAsia="en-US"/>
        </w:rPr>
        <w:t>. The</w:t>
      </w:r>
      <w:r w:rsidR="008B570D" w:rsidRPr="009500F4">
        <w:rPr>
          <w:rFonts w:eastAsia="Calibri" w:cs="Arial"/>
          <w:szCs w:val="22"/>
          <w:lang w:eastAsia="en-US"/>
        </w:rPr>
        <w:t xml:space="preserve"> </w:t>
      </w:r>
      <w:bookmarkStart w:id="137" w:name="_Hlk495757212"/>
      <w:r w:rsidR="008B570D" w:rsidRPr="009500F4">
        <w:rPr>
          <w:rFonts w:eastAsia="Calibri" w:cs="Arial"/>
          <w:szCs w:val="22"/>
          <w:lang w:eastAsia="en-US"/>
        </w:rPr>
        <w:t>assessments</w:t>
      </w:r>
      <w:r w:rsidRPr="009500F4">
        <w:rPr>
          <w:rFonts w:eastAsia="Calibri" w:cs="Arial"/>
          <w:szCs w:val="22"/>
          <w:lang w:eastAsia="en-US"/>
        </w:rPr>
        <w:t xml:space="preserve"> </w:t>
      </w:r>
      <w:bookmarkEnd w:id="137"/>
      <w:r w:rsidRPr="009500F4">
        <w:rPr>
          <w:rFonts w:eastAsia="Calibri" w:cs="Arial"/>
          <w:szCs w:val="22"/>
          <w:lang w:eastAsia="en-US"/>
        </w:rPr>
        <w:t>also provide the basis for private</w:t>
      </w:r>
      <w:r w:rsidR="008B570D" w:rsidRPr="009500F4">
        <w:rPr>
          <w:rFonts w:eastAsia="Calibri" w:cs="Arial"/>
          <w:szCs w:val="22"/>
          <w:lang w:eastAsia="en-US"/>
        </w:rPr>
        <w:t>-</w:t>
      </w:r>
      <w:r w:rsidRPr="009500F4">
        <w:rPr>
          <w:rFonts w:eastAsia="Calibri" w:cs="Arial"/>
          <w:szCs w:val="22"/>
          <w:lang w:eastAsia="en-US"/>
        </w:rPr>
        <w:t xml:space="preserve">sector-oriented reforms in ADB budget support programs. The opinion of PSDI stakeholders on the PSAs is more mixed. All seem to recognize that these </w:t>
      </w:r>
      <w:r w:rsidR="008B570D" w:rsidRPr="009500F4">
        <w:rPr>
          <w:rFonts w:eastAsia="Calibri" w:cs="Arial"/>
          <w:szCs w:val="22"/>
          <w:lang w:eastAsia="en-US"/>
        </w:rPr>
        <w:t>assessments</w:t>
      </w:r>
      <w:r w:rsidRPr="009500F4">
        <w:rPr>
          <w:rFonts w:eastAsia="Calibri" w:cs="Arial"/>
          <w:szCs w:val="22"/>
          <w:lang w:eastAsia="en-US"/>
        </w:rPr>
        <w:t xml:space="preserve"> have been helpful in presenting information and analysis on the </w:t>
      </w:r>
      <w:r w:rsidR="008B570D" w:rsidRPr="009500F4">
        <w:rPr>
          <w:rFonts w:eastAsia="Calibri" w:cs="Arial"/>
          <w:szCs w:val="22"/>
          <w:lang w:eastAsia="en-US"/>
        </w:rPr>
        <w:t xml:space="preserve">broadly understood </w:t>
      </w:r>
      <w:r w:rsidRPr="009500F4">
        <w:rPr>
          <w:rFonts w:eastAsia="Calibri" w:cs="Arial"/>
          <w:szCs w:val="22"/>
          <w:lang w:eastAsia="en-US"/>
        </w:rPr>
        <w:t>business</w:t>
      </w:r>
      <w:r w:rsidR="008B570D" w:rsidRPr="009500F4">
        <w:rPr>
          <w:rFonts w:eastAsia="Calibri" w:cs="Arial"/>
          <w:szCs w:val="22"/>
          <w:lang w:eastAsia="en-US"/>
        </w:rPr>
        <w:t>-</w:t>
      </w:r>
      <w:r w:rsidRPr="009500F4">
        <w:rPr>
          <w:rFonts w:eastAsia="Calibri" w:cs="Arial"/>
          <w:szCs w:val="22"/>
          <w:lang w:eastAsia="en-US"/>
        </w:rPr>
        <w:t>enabling environment</w:t>
      </w:r>
      <w:r w:rsidR="008B570D" w:rsidRPr="009500F4">
        <w:rPr>
          <w:rFonts w:eastAsia="Calibri" w:cs="Arial"/>
          <w:szCs w:val="22"/>
          <w:lang w:eastAsia="en-US"/>
        </w:rPr>
        <w:t xml:space="preserve"> in each Pacific DMC</w:t>
      </w:r>
      <w:r w:rsidRPr="009500F4">
        <w:rPr>
          <w:rFonts w:eastAsia="Calibri" w:cs="Arial"/>
          <w:szCs w:val="22"/>
          <w:lang w:eastAsia="en-US"/>
        </w:rPr>
        <w:t>, and thereby</w:t>
      </w:r>
      <w:r w:rsidR="008B570D" w:rsidRPr="009500F4">
        <w:rPr>
          <w:rFonts w:eastAsia="Calibri" w:cs="Arial"/>
          <w:szCs w:val="22"/>
          <w:lang w:eastAsia="en-US"/>
        </w:rPr>
        <w:t xml:space="preserve"> have</w:t>
      </w:r>
      <w:r w:rsidRPr="009500F4">
        <w:rPr>
          <w:rFonts w:eastAsia="Calibri" w:cs="Arial"/>
          <w:szCs w:val="22"/>
          <w:lang w:eastAsia="en-US"/>
        </w:rPr>
        <w:t xml:space="preserve"> inform</w:t>
      </w:r>
      <w:r w:rsidR="008B570D" w:rsidRPr="009500F4">
        <w:rPr>
          <w:rFonts w:eastAsia="Calibri" w:cs="Arial"/>
          <w:szCs w:val="22"/>
          <w:lang w:eastAsia="en-US"/>
        </w:rPr>
        <w:t>ed</w:t>
      </w:r>
      <w:r w:rsidRPr="009500F4">
        <w:rPr>
          <w:rFonts w:eastAsia="Calibri" w:cs="Arial"/>
          <w:szCs w:val="22"/>
          <w:lang w:eastAsia="en-US"/>
        </w:rPr>
        <w:t xml:space="preserve"> policymakers’ reform choices. </w:t>
      </w:r>
      <w:r w:rsidR="008B570D" w:rsidRPr="009500F4">
        <w:rPr>
          <w:rFonts w:eastAsia="Calibri" w:cs="Arial"/>
          <w:szCs w:val="22"/>
          <w:lang w:eastAsia="en-US"/>
        </w:rPr>
        <w:t xml:space="preserve">However, </w:t>
      </w:r>
      <w:r w:rsidRPr="009500F4">
        <w:rPr>
          <w:rFonts w:eastAsia="Calibri" w:cs="Arial"/>
          <w:szCs w:val="22"/>
          <w:lang w:eastAsia="en-US"/>
        </w:rPr>
        <w:t xml:space="preserve">several interviewees suggested that the PSAs have outlived their usefulness, and that it would be more cost-effective for PSDI to do more focused studies rather than updating the PSAs. By contrast, the </w:t>
      </w:r>
      <w:r w:rsidR="008B570D" w:rsidRPr="009500F4">
        <w:rPr>
          <w:rFonts w:eastAsia="Calibri" w:cs="Arial"/>
          <w:szCs w:val="22"/>
          <w:lang w:eastAsia="en-US"/>
        </w:rPr>
        <w:t>“</w:t>
      </w:r>
      <w:r w:rsidRPr="009500F4">
        <w:rPr>
          <w:rFonts w:eastAsia="Calibri" w:cs="Arial"/>
          <w:szCs w:val="22"/>
          <w:lang w:eastAsia="en-US"/>
        </w:rPr>
        <w:t>Finding Balance</w:t>
      </w:r>
      <w:r w:rsidR="008B570D" w:rsidRPr="009500F4">
        <w:rPr>
          <w:rFonts w:eastAsia="Calibri" w:cs="Arial"/>
          <w:szCs w:val="22"/>
          <w:lang w:eastAsia="en-US"/>
        </w:rPr>
        <w:t>”</w:t>
      </w:r>
      <w:r w:rsidRPr="009500F4">
        <w:rPr>
          <w:rFonts w:eastAsia="Calibri" w:cs="Arial"/>
          <w:szCs w:val="22"/>
          <w:lang w:eastAsia="en-US"/>
        </w:rPr>
        <w:t xml:space="preserve"> studies are widely valued for their more focused analysis, especially the internati</w:t>
      </w:r>
      <w:r w:rsidR="00205AD1" w:rsidRPr="009500F4">
        <w:rPr>
          <w:rFonts w:eastAsia="Calibri" w:cs="Arial"/>
          <w:szCs w:val="22"/>
          <w:lang w:eastAsia="en-US"/>
        </w:rPr>
        <w:t>onal benchmarking they provide.</w:t>
      </w:r>
    </w:p>
    <w:p w:rsidR="00205AD1" w:rsidRPr="009500F4" w:rsidRDefault="00205AD1" w:rsidP="00205AD1">
      <w:pPr>
        <w:tabs>
          <w:tab w:val="left" w:pos="567"/>
        </w:tabs>
        <w:rPr>
          <w:rFonts w:eastAsia="Calibri" w:cs="Arial"/>
          <w:szCs w:val="22"/>
          <w:lang w:eastAsia="en-US"/>
        </w:rPr>
      </w:pPr>
    </w:p>
    <w:p w:rsidR="00CA4CD7" w:rsidRPr="009500F4" w:rsidRDefault="008F198D" w:rsidP="00170139">
      <w:pPr>
        <w:keepNext/>
        <w:spacing w:after="160"/>
        <w:outlineLvl w:val="1"/>
        <w:rPr>
          <w:rFonts w:eastAsia="Times New Roman" w:cs="Arial"/>
          <w:b/>
          <w:bCs/>
          <w:iCs/>
          <w:sz w:val="24"/>
          <w:lang w:eastAsia="en-US"/>
        </w:rPr>
      </w:pPr>
      <w:bookmarkStart w:id="138" w:name="_Toc494271717"/>
      <w:bookmarkStart w:id="139" w:name="_Toc494367943"/>
      <w:bookmarkStart w:id="140" w:name="_Toc494378787"/>
      <w:bookmarkStart w:id="141" w:name="_Toc494378869"/>
      <w:r w:rsidRPr="009500F4">
        <w:rPr>
          <w:rFonts w:eastAsia="Times New Roman" w:cs="Arial"/>
          <w:b/>
          <w:bCs/>
          <w:iCs/>
          <w:sz w:val="24"/>
          <w:lang w:eastAsia="en-US"/>
        </w:rPr>
        <w:t>B.</w:t>
      </w:r>
      <w:r w:rsidR="00386F3B" w:rsidRPr="009500F4">
        <w:rPr>
          <w:rFonts w:eastAsia="Times New Roman" w:cs="Arial"/>
          <w:b/>
          <w:bCs/>
          <w:iCs/>
          <w:sz w:val="24"/>
          <w:lang w:eastAsia="en-US"/>
        </w:rPr>
        <w:tab/>
      </w:r>
      <w:r w:rsidR="00CA4CD7" w:rsidRPr="009500F4">
        <w:rPr>
          <w:rFonts w:eastAsia="Times New Roman" w:cs="Arial"/>
          <w:b/>
          <w:bCs/>
          <w:iCs/>
          <w:sz w:val="24"/>
          <w:lang w:eastAsia="en-US"/>
        </w:rPr>
        <w:t>Relevance and Sustainability</w:t>
      </w:r>
      <w:bookmarkEnd w:id="138"/>
      <w:bookmarkEnd w:id="139"/>
      <w:bookmarkEnd w:id="140"/>
      <w:bookmarkEnd w:id="141"/>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Are the kinds of activities and results mentioned above relevant to the overall objective of PSDI and to the context in the Pacific DMCs? Initiatives with high relevance are likely to be those based on sound analysis and consultation, or those that have otherwise been adapted mid-steam in light of contextual factors. The question of sustainability is closely related, in that a program that is not relevant could hardly generate the necessary ongoing stream of implementation activity and resources.</w:t>
      </w:r>
    </w:p>
    <w:p w:rsidR="00205AD1" w:rsidRPr="009500F4" w:rsidRDefault="00205AD1" w:rsidP="00205AD1">
      <w:pPr>
        <w:tabs>
          <w:tab w:val="left" w:pos="567"/>
        </w:tabs>
        <w:rPr>
          <w:rFonts w:eastAsia="Calibri" w:cs="Arial"/>
          <w:szCs w:val="22"/>
          <w:lang w:eastAsia="en-US"/>
        </w:rPr>
      </w:pPr>
    </w:p>
    <w:p w:rsidR="00CA4CD7" w:rsidRPr="009500F4" w:rsidRDefault="008F198D" w:rsidP="00170139">
      <w:pPr>
        <w:keepNext/>
        <w:spacing w:after="160"/>
        <w:ind w:left="1080"/>
        <w:outlineLvl w:val="1"/>
        <w:rPr>
          <w:rFonts w:eastAsia="Times New Roman" w:cs="Arial"/>
          <w:b/>
          <w:bCs/>
          <w:iCs/>
          <w:szCs w:val="22"/>
          <w:lang w:eastAsia="en-US"/>
        </w:rPr>
      </w:pPr>
      <w:bookmarkStart w:id="142" w:name="_Toc494271718"/>
      <w:bookmarkStart w:id="143" w:name="_Toc494367944"/>
      <w:bookmarkStart w:id="144" w:name="_Toc494378788"/>
      <w:bookmarkStart w:id="145" w:name="_Toc494378870"/>
      <w:r w:rsidRPr="009500F4">
        <w:rPr>
          <w:rFonts w:eastAsia="Times New Roman" w:cs="Arial"/>
          <w:b/>
          <w:bCs/>
          <w:iCs/>
          <w:szCs w:val="22"/>
          <w:lang w:eastAsia="en-US"/>
        </w:rPr>
        <w:t>1.</w:t>
      </w:r>
      <w:r w:rsidR="00386F3B" w:rsidRPr="009500F4">
        <w:rPr>
          <w:rFonts w:eastAsia="Times New Roman" w:cs="Arial"/>
          <w:b/>
          <w:bCs/>
          <w:iCs/>
          <w:szCs w:val="22"/>
          <w:lang w:eastAsia="en-US"/>
        </w:rPr>
        <w:tab/>
      </w:r>
      <w:r w:rsidR="00CA4CD7" w:rsidRPr="009500F4">
        <w:rPr>
          <w:rFonts w:eastAsia="Times New Roman" w:cs="Arial"/>
          <w:b/>
          <w:bCs/>
          <w:iCs/>
          <w:szCs w:val="22"/>
          <w:lang w:eastAsia="en-US"/>
        </w:rPr>
        <w:t>Financing Growth</w:t>
      </w:r>
      <w:bookmarkEnd w:id="142"/>
      <w:bookmarkEnd w:id="143"/>
      <w:bookmarkEnd w:id="144"/>
      <w:bookmarkEnd w:id="145"/>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PSDI’s work on secured transactions and the financial sector fits the general template of TA interventions on market-enabling reform. Yet, the relevance and sustainability of the </w:t>
      </w:r>
      <w:r w:rsidR="008B570D" w:rsidRPr="009500F4">
        <w:rPr>
          <w:rFonts w:eastAsia="Calibri" w:cs="Arial"/>
          <w:szCs w:val="22"/>
          <w:lang w:eastAsia="en-US"/>
        </w:rPr>
        <w:t>f</w:t>
      </w:r>
      <w:r w:rsidRPr="009500F4">
        <w:rPr>
          <w:rFonts w:eastAsia="Calibri" w:cs="Arial"/>
          <w:szCs w:val="22"/>
          <w:lang w:eastAsia="en-US"/>
        </w:rPr>
        <w:t xml:space="preserve">inancing </w:t>
      </w:r>
      <w:r w:rsidR="008B570D" w:rsidRPr="009500F4">
        <w:rPr>
          <w:rFonts w:eastAsia="Calibri" w:cs="Arial"/>
          <w:szCs w:val="22"/>
          <w:lang w:eastAsia="en-US"/>
        </w:rPr>
        <w:t>g</w:t>
      </w:r>
      <w:r w:rsidRPr="009500F4">
        <w:rPr>
          <w:rFonts w:eastAsia="Calibri" w:cs="Arial"/>
          <w:szCs w:val="22"/>
          <w:lang w:eastAsia="en-US"/>
        </w:rPr>
        <w:t xml:space="preserve">rowth program in </w:t>
      </w:r>
      <w:r w:rsidR="008B570D" w:rsidRPr="009500F4">
        <w:rPr>
          <w:rFonts w:eastAsia="Calibri" w:cs="Arial"/>
          <w:szCs w:val="22"/>
          <w:lang w:eastAsia="en-US"/>
        </w:rPr>
        <w:t xml:space="preserve">this </w:t>
      </w:r>
      <w:r w:rsidRPr="009500F4">
        <w:rPr>
          <w:rFonts w:eastAsia="Calibri" w:cs="Arial"/>
          <w:szCs w:val="22"/>
          <w:lang w:eastAsia="en-US"/>
        </w:rPr>
        <w:t xml:space="preserve">context is demonstrable. Evidence comes from </w:t>
      </w:r>
      <w:r w:rsidR="001D0C7D" w:rsidRPr="009500F4">
        <w:rPr>
          <w:rFonts w:eastAsia="Calibri" w:cs="Arial"/>
          <w:szCs w:val="22"/>
          <w:lang w:eastAsia="en-US"/>
        </w:rPr>
        <w:t xml:space="preserve">the </w:t>
      </w:r>
      <w:r w:rsidRPr="009500F4">
        <w:rPr>
          <w:rFonts w:eastAsia="Calibri" w:cs="Arial"/>
          <w:szCs w:val="22"/>
          <w:lang w:eastAsia="en-US"/>
        </w:rPr>
        <w:t>substantial and steady demand</w:t>
      </w:r>
      <w:r w:rsidR="001D0C7D" w:rsidRPr="009500F4">
        <w:rPr>
          <w:rFonts w:eastAsia="Calibri" w:cs="Arial"/>
          <w:szCs w:val="22"/>
          <w:lang w:eastAsia="en-US"/>
        </w:rPr>
        <w:t xml:space="preserve"> from counterparts</w:t>
      </w:r>
      <w:r w:rsidRPr="009500F4">
        <w:rPr>
          <w:rFonts w:eastAsia="Calibri" w:cs="Arial"/>
          <w:szCs w:val="22"/>
          <w:lang w:eastAsia="en-US"/>
        </w:rPr>
        <w:t xml:space="preserve"> for PSDI assistance through most of </w:t>
      </w:r>
      <w:r w:rsidR="008B570D" w:rsidRPr="009500F4">
        <w:rPr>
          <w:rFonts w:eastAsia="Calibri" w:cs="Arial"/>
          <w:szCs w:val="22"/>
          <w:lang w:eastAsia="en-US"/>
        </w:rPr>
        <w:t xml:space="preserve">PSDI </w:t>
      </w:r>
      <w:r w:rsidRPr="009500F4">
        <w:rPr>
          <w:rFonts w:eastAsia="Calibri" w:cs="Arial"/>
          <w:szCs w:val="22"/>
          <w:lang w:eastAsia="en-US"/>
        </w:rPr>
        <w:t xml:space="preserve">III, the outcomes discussed </w:t>
      </w:r>
      <w:r w:rsidR="001D0C7D" w:rsidRPr="009500F4">
        <w:rPr>
          <w:rFonts w:eastAsia="Calibri" w:cs="Arial"/>
          <w:szCs w:val="22"/>
          <w:lang w:eastAsia="en-US"/>
        </w:rPr>
        <w:t>in paras.</w:t>
      </w:r>
      <w:r w:rsidR="009C5C14" w:rsidRPr="009500F4">
        <w:rPr>
          <w:rFonts w:eastAsia="Calibri" w:cs="Arial"/>
          <w:szCs w:val="22"/>
          <w:lang w:eastAsia="en-US"/>
        </w:rPr>
        <w:t xml:space="preserve"> 46</w:t>
      </w:r>
      <w:r w:rsidR="001D0C7D" w:rsidRPr="009500F4">
        <w:rPr>
          <w:rFonts w:eastAsia="Calibri" w:cs="Arial"/>
          <w:szCs w:val="22"/>
          <w:lang w:eastAsia="en-US"/>
        </w:rPr>
        <w:t>–</w:t>
      </w:r>
      <w:r w:rsidR="009C5C14" w:rsidRPr="009500F4">
        <w:rPr>
          <w:rFonts w:eastAsia="Calibri" w:cs="Arial"/>
          <w:szCs w:val="22"/>
          <w:lang w:eastAsia="en-US"/>
        </w:rPr>
        <w:t>55,</w:t>
      </w:r>
      <w:r w:rsidRPr="009500F4">
        <w:rPr>
          <w:rFonts w:eastAsia="Calibri" w:cs="Arial"/>
          <w:szCs w:val="22"/>
          <w:lang w:eastAsia="en-US"/>
        </w:rPr>
        <w:t xml:space="preserve"> and the ways in which assistance has been tailored and supplemented in the interest of producing lasting results.</w:t>
      </w:r>
    </w:p>
    <w:p w:rsidR="00EB420F" w:rsidRPr="009500F4" w:rsidRDefault="00EB420F" w:rsidP="00CA4CD7"/>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In the area of secured transactions, PSDI has developed special expertise over the years. The potential of </w:t>
      </w:r>
      <w:r w:rsidR="003731BA" w:rsidRPr="009500F4">
        <w:rPr>
          <w:rFonts w:eastAsia="Calibri" w:cs="Arial"/>
          <w:szCs w:val="22"/>
          <w:lang w:eastAsia="en-US"/>
        </w:rPr>
        <w:t xml:space="preserve">using </w:t>
      </w:r>
      <w:r w:rsidRPr="009500F4">
        <w:rPr>
          <w:rFonts w:eastAsia="Calibri" w:cs="Arial"/>
          <w:szCs w:val="22"/>
          <w:lang w:eastAsia="en-US"/>
        </w:rPr>
        <w:t>moveable</w:t>
      </w:r>
      <w:r w:rsidR="003731BA" w:rsidRPr="009500F4">
        <w:rPr>
          <w:rFonts w:eastAsia="Calibri" w:cs="Arial"/>
          <w:szCs w:val="22"/>
          <w:lang w:eastAsia="en-US"/>
        </w:rPr>
        <w:t xml:space="preserve"> assets to obtain</w:t>
      </w:r>
      <w:r w:rsidRPr="009500F4">
        <w:rPr>
          <w:rFonts w:eastAsia="Calibri" w:cs="Arial"/>
          <w:szCs w:val="22"/>
          <w:lang w:eastAsia="en-US"/>
        </w:rPr>
        <w:t xml:space="preserve"> finance</w:t>
      </w:r>
      <w:r w:rsidR="003731BA" w:rsidRPr="009500F4">
        <w:rPr>
          <w:rFonts w:eastAsia="Calibri" w:cs="Arial"/>
          <w:szCs w:val="22"/>
          <w:lang w:eastAsia="en-US"/>
        </w:rPr>
        <w:t>, particularly by SMEs</w:t>
      </w:r>
      <w:r w:rsidRPr="009500F4">
        <w:rPr>
          <w:rFonts w:eastAsia="Calibri" w:cs="Arial"/>
          <w:szCs w:val="22"/>
          <w:lang w:eastAsia="en-US"/>
        </w:rPr>
        <w:t xml:space="preserve"> in Pacific </w:t>
      </w:r>
      <w:r w:rsidR="00E96438" w:rsidRPr="009500F4">
        <w:rPr>
          <w:rFonts w:eastAsia="Calibri" w:cs="Arial"/>
          <w:szCs w:val="22"/>
          <w:lang w:eastAsia="en-US"/>
        </w:rPr>
        <w:t>DMCs</w:t>
      </w:r>
      <w:r w:rsidR="003731BA" w:rsidRPr="009500F4">
        <w:rPr>
          <w:rFonts w:eastAsia="Calibri" w:cs="Arial"/>
          <w:szCs w:val="22"/>
          <w:lang w:eastAsia="en-US"/>
        </w:rPr>
        <w:t>,</w:t>
      </w:r>
      <w:r w:rsidRPr="009500F4">
        <w:rPr>
          <w:rFonts w:eastAsia="Calibri" w:cs="Arial"/>
          <w:szCs w:val="22"/>
          <w:lang w:eastAsia="en-US"/>
        </w:rPr>
        <w:t xml:space="preserve"> justifies this focus. </w:t>
      </w:r>
      <w:r w:rsidR="009F5C95" w:rsidRPr="009500F4">
        <w:rPr>
          <w:rFonts w:eastAsia="Calibri" w:cs="Arial"/>
          <w:szCs w:val="22"/>
          <w:lang w:eastAsia="en-US"/>
        </w:rPr>
        <w:t xml:space="preserve">However, </w:t>
      </w:r>
      <w:r w:rsidRPr="009500F4">
        <w:rPr>
          <w:rFonts w:eastAsia="Calibri" w:cs="Arial"/>
          <w:szCs w:val="22"/>
          <w:lang w:eastAsia="en-US"/>
        </w:rPr>
        <w:t xml:space="preserve">the growth of this kind of credit appears constrained by risk-aversion in the financial sector, abetted by a lack of ready models and experience in using them. Thus, PSDI has encouraged the use of secured transactions </w:t>
      </w:r>
      <w:r w:rsidR="000A290C" w:rsidRPr="009500F4">
        <w:rPr>
          <w:rFonts w:eastAsia="Calibri" w:cs="Arial"/>
          <w:szCs w:val="22"/>
          <w:lang w:eastAsia="en-US"/>
        </w:rPr>
        <w:t xml:space="preserve">for </w:t>
      </w:r>
      <w:r w:rsidRPr="009500F4">
        <w:rPr>
          <w:rFonts w:eastAsia="Calibri" w:cs="Arial"/>
          <w:szCs w:val="22"/>
          <w:lang w:eastAsia="en-US"/>
        </w:rPr>
        <w:t>value</w:t>
      </w:r>
      <w:r w:rsidR="000A290C" w:rsidRPr="009500F4">
        <w:rPr>
          <w:rFonts w:eastAsia="Calibri" w:cs="Arial"/>
          <w:szCs w:val="22"/>
          <w:lang w:eastAsia="en-US"/>
        </w:rPr>
        <w:t>-</w:t>
      </w:r>
      <w:r w:rsidRPr="009500F4">
        <w:rPr>
          <w:rFonts w:eastAsia="Calibri" w:cs="Arial"/>
          <w:szCs w:val="22"/>
          <w:lang w:eastAsia="en-US"/>
        </w:rPr>
        <w:t>chain finance</w:t>
      </w:r>
      <w:r w:rsidR="000A290C" w:rsidRPr="009500F4">
        <w:rPr>
          <w:rFonts w:eastAsia="Calibri" w:cs="Arial"/>
          <w:szCs w:val="22"/>
          <w:lang w:eastAsia="en-US"/>
        </w:rPr>
        <w:t xml:space="preserve"> in agriculture</w:t>
      </w:r>
      <w:r w:rsidRPr="009500F4">
        <w:rPr>
          <w:rFonts w:eastAsia="Calibri" w:cs="Arial"/>
          <w:szCs w:val="22"/>
          <w:lang w:eastAsia="en-US"/>
        </w:rPr>
        <w:t>, given the importance of fruit, palm nuts, coconuts</w:t>
      </w:r>
      <w:r w:rsidR="000A290C" w:rsidRPr="009500F4">
        <w:rPr>
          <w:rFonts w:eastAsia="Calibri" w:cs="Arial"/>
          <w:szCs w:val="22"/>
          <w:lang w:eastAsia="en-US"/>
        </w:rPr>
        <w:t>,</w:t>
      </w:r>
      <w:r w:rsidRPr="009500F4">
        <w:rPr>
          <w:rFonts w:eastAsia="Calibri" w:cs="Arial"/>
          <w:szCs w:val="22"/>
          <w:lang w:eastAsia="en-US"/>
        </w:rPr>
        <w:t xml:space="preserve"> and other crops to Pacific </w:t>
      </w:r>
      <w:r w:rsidR="000A290C" w:rsidRPr="009500F4">
        <w:rPr>
          <w:rFonts w:eastAsia="Calibri" w:cs="Arial"/>
          <w:szCs w:val="22"/>
          <w:lang w:eastAsia="en-US"/>
        </w:rPr>
        <w:t xml:space="preserve">island </w:t>
      </w:r>
      <w:r w:rsidRPr="009500F4">
        <w:rPr>
          <w:rFonts w:eastAsia="Calibri" w:cs="Arial"/>
          <w:szCs w:val="22"/>
          <w:lang w:eastAsia="en-US"/>
        </w:rPr>
        <w:t xml:space="preserve">economies. This means promoting the use of credit based on </w:t>
      </w:r>
      <w:r w:rsidR="000A290C" w:rsidRPr="009500F4">
        <w:rPr>
          <w:rFonts w:eastAsia="Calibri" w:cs="Arial"/>
          <w:szCs w:val="22"/>
          <w:lang w:eastAsia="en-US"/>
        </w:rPr>
        <w:t xml:space="preserve">offering </w:t>
      </w:r>
      <w:r w:rsidRPr="009500F4">
        <w:rPr>
          <w:rFonts w:eastAsia="Calibri" w:cs="Arial"/>
          <w:szCs w:val="22"/>
          <w:lang w:eastAsia="en-US"/>
        </w:rPr>
        <w:t>crop</w:t>
      </w:r>
      <w:r w:rsidR="000A290C" w:rsidRPr="009500F4">
        <w:rPr>
          <w:rFonts w:eastAsia="Calibri" w:cs="Arial"/>
          <w:szCs w:val="22"/>
          <w:lang w:eastAsia="en-US"/>
        </w:rPr>
        <w:t>s as security</w:t>
      </w:r>
      <w:r w:rsidRPr="009500F4">
        <w:rPr>
          <w:rFonts w:eastAsia="Calibri" w:cs="Arial"/>
          <w:szCs w:val="22"/>
          <w:lang w:eastAsia="en-US"/>
        </w:rPr>
        <w:t>, and eventually the development of warehouse finance. PSDI is looking to support pilot credit programs for high-value crop production, such as coffee in PNG and cocoa in Solomon</w:t>
      </w:r>
      <w:r w:rsidR="000A290C" w:rsidRPr="009500F4">
        <w:rPr>
          <w:rFonts w:eastAsia="Calibri" w:cs="Arial"/>
          <w:szCs w:val="22"/>
          <w:lang w:eastAsia="en-US"/>
        </w:rPr>
        <w:t xml:space="preserve"> Island</w:t>
      </w:r>
      <w:r w:rsidRPr="009500F4">
        <w:rPr>
          <w:rFonts w:eastAsia="Calibri" w:cs="Arial"/>
          <w:szCs w:val="22"/>
          <w:lang w:eastAsia="en-US"/>
        </w:rPr>
        <w:t xml:space="preserve">s. In Tonga, PSDI spotted the potential for such a pilot in </w:t>
      </w:r>
      <w:r w:rsidR="000A290C" w:rsidRPr="009500F4">
        <w:rPr>
          <w:rFonts w:eastAsia="Calibri" w:cs="Arial"/>
          <w:szCs w:val="22"/>
          <w:lang w:eastAsia="en-US"/>
        </w:rPr>
        <w:t xml:space="preserve">the </w:t>
      </w:r>
      <w:r w:rsidRPr="009500F4">
        <w:rPr>
          <w:rFonts w:eastAsia="Calibri" w:cs="Arial"/>
          <w:szCs w:val="22"/>
          <w:lang w:eastAsia="en-US"/>
        </w:rPr>
        <w:t xml:space="preserve">production of vanilla, </w:t>
      </w:r>
      <w:r w:rsidR="00DA64B4" w:rsidRPr="009500F4">
        <w:rPr>
          <w:rFonts w:eastAsia="Calibri" w:cs="Arial"/>
          <w:szCs w:val="22"/>
          <w:lang w:eastAsia="en-US"/>
        </w:rPr>
        <w:t xml:space="preserve">in light of </w:t>
      </w:r>
      <w:r w:rsidRPr="009500F4">
        <w:rPr>
          <w:rFonts w:eastAsia="Calibri" w:cs="Arial"/>
          <w:szCs w:val="22"/>
          <w:lang w:eastAsia="en-US"/>
        </w:rPr>
        <w:t xml:space="preserve">existing demand </w:t>
      </w:r>
      <w:r w:rsidR="000A290C" w:rsidRPr="009500F4">
        <w:rPr>
          <w:rFonts w:eastAsia="Calibri" w:cs="Arial"/>
          <w:szCs w:val="22"/>
          <w:lang w:eastAsia="en-US"/>
        </w:rPr>
        <w:t xml:space="preserve">for the commodity </w:t>
      </w:r>
      <w:r w:rsidRPr="009500F4">
        <w:rPr>
          <w:rFonts w:eastAsia="Calibri" w:cs="Arial"/>
          <w:szCs w:val="22"/>
          <w:lang w:eastAsia="en-US"/>
        </w:rPr>
        <w:t xml:space="preserve">by Australian brands. Based on this experience, the </w:t>
      </w:r>
      <w:r w:rsidR="000A290C" w:rsidRPr="009500F4">
        <w:rPr>
          <w:rFonts w:eastAsia="Calibri" w:cs="Arial"/>
          <w:szCs w:val="22"/>
          <w:lang w:eastAsia="en-US"/>
        </w:rPr>
        <w:t xml:space="preserve">association of vanilla </w:t>
      </w:r>
      <w:r w:rsidRPr="009500F4">
        <w:rPr>
          <w:rFonts w:eastAsia="Calibri" w:cs="Arial"/>
          <w:szCs w:val="22"/>
          <w:lang w:eastAsia="en-US"/>
        </w:rPr>
        <w:t xml:space="preserve">growers </w:t>
      </w:r>
      <w:r w:rsidR="000A290C" w:rsidRPr="009500F4">
        <w:rPr>
          <w:rFonts w:eastAsia="Calibri" w:cs="Arial"/>
          <w:szCs w:val="22"/>
          <w:lang w:eastAsia="en-US"/>
        </w:rPr>
        <w:t>in Tonga</w:t>
      </w:r>
      <w:r w:rsidRPr="009500F4">
        <w:rPr>
          <w:rFonts w:eastAsia="Calibri" w:cs="Arial"/>
          <w:szCs w:val="22"/>
          <w:lang w:eastAsia="en-US"/>
        </w:rPr>
        <w:t xml:space="preserve"> has now reportedly taken the lead in pursuing a bigger </w:t>
      </w:r>
      <w:r w:rsidR="000A290C" w:rsidRPr="009500F4">
        <w:rPr>
          <w:rFonts w:eastAsia="Calibri" w:cs="Arial"/>
          <w:szCs w:val="22"/>
          <w:lang w:eastAsia="en-US"/>
        </w:rPr>
        <w:t xml:space="preserve">credit </w:t>
      </w:r>
      <w:r w:rsidRPr="009500F4">
        <w:rPr>
          <w:rFonts w:eastAsia="Calibri" w:cs="Arial"/>
          <w:szCs w:val="22"/>
          <w:lang w:eastAsia="en-US"/>
        </w:rPr>
        <w:t>package, with PSDI working alongside.</w:t>
      </w:r>
    </w:p>
    <w:p w:rsidR="00DB103E" w:rsidRPr="009500F4" w:rsidRDefault="00DB103E" w:rsidP="00DF2784">
      <w:pPr>
        <w:tabs>
          <w:tab w:val="left" w:pos="567"/>
        </w:tabs>
        <w:rPr>
          <w:rFonts w:eastAsia="Calibri" w:cs="Arial"/>
          <w:szCs w:val="22"/>
          <w:lang w:eastAsia="en-US"/>
        </w:rPr>
      </w:pPr>
    </w:p>
    <w:p w:rsidR="00CA4CD7" w:rsidRPr="009500F4" w:rsidRDefault="00DB103E" w:rsidP="00170139">
      <w:pPr>
        <w:numPr>
          <w:ilvl w:val="0"/>
          <w:numId w:val="10"/>
        </w:numPr>
        <w:tabs>
          <w:tab w:val="left" w:pos="567"/>
        </w:tabs>
        <w:ind w:left="0" w:firstLine="0"/>
      </w:pPr>
      <w:r w:rsidRPr="009500F4">
        <w:t xml:space="preserve">PSDI has also done well to adapt its programs to the specific </w:t>
      </w:r>
      <w:r w:rsidR="00CA4CD7" w:rsidRPr="009500F4">
        <w:t>context</w:t>
      </w:r>
      <w:r w:rsidRPr="009500F4">
        <w:t xml:space="preserve"> of the Pacific region.</w:t>
      </w:r>
    </w:p>
    <w:p w:rsidR="00EB420F" w:rsidRPr="009500F4" w:rsidRDefault="00EB420F" w:rsidP="00CA4CD7"/>
    <w:p w:rsidR="00EB420F"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In its work with </w:t>
      </w:r>
      <w:r w:rsidR="000A290C" w:rsidRPr="009500F4">
        <w:rPr>
          <w:rFonts w:eastAsia="Calibri" w:cs="Arial"/>
          <w:szCs w:val="22"/>
          <w:lang w:eastAsia="en-US"/>
        </w:rPr>
        <w:t>institutions</w:t>
      </w:r>
      <w:r w:rsidR="000A290C" w:rsidRPr="009500F4" w:rsidDel="000A290C">
        <w:rPr>
          <w:rFonts w:eastAsia="Calibri" w:cs="Arial"/>
          <w:szCs w:val="22"/>
          <w:lang w:eastAsia="en-US"/>
        </w:rPr>
        <w:t xml:space="preserve"> </w:t>
      </w:r>
      <w:r w:rsidR="000A290C" w:rsidRPr="009500F4">
        <w:rPr>
          <w:rFonts w:eastAsia="Calibri" w:cs="Arial"/>
          <w:szCs w:val="22"/>
          <w:lang w:eastAsia="en-US"/>
        </w:rPr>
        <w:t xml:space="preserve">in the finance </w:t>
      </w:r>
      <w:r w:rsidRPr="009500F4">
        <w:rPr>
          <w:rFonts w:eastAsia="Calibri" w:cs="Arial"/>
          <w:szCs w:val="22"/>
          <w:lang w:eastAsia="en-US"/>
        </w:rPr>
        <w:t xml:space="preserve">sector, PSDI has seized opportunities to </w:t>
      </w:r>
      <w:r w:rsidR="00DB103E" w:rsidRPr="009500F4">
        <w:rPr>
          <w:rFonts w:eastAsia="Calibri" w:cs="Arial"/>
          <w:szCs w:val="22"/>
          <w:lang w:eastAsia="en-US"/>
        </w:rPr>
        <w:t xml:space="preserve">evolve </w:t>
      </w:r>
      <w:r w:rsidR="00DA64B4" w:rsidRPr="009500F4">
        <w:rPr>
          <w:rFonts w:eastAsia="Calibri" w:cs="Arial"/>
          <w:szCs w:val="22"/>
          <w:lang w:eastAsia="en-US"/>
        </w:rPr>
        <w:t>its efforts</w:t>
      </w:r>
      <w:r w:rsidRPr="009500F4">
        <w:rPr>
          <w:rFonts w:eastAsia="Calibri" w:cs="Arial"/>
          <w:szCs w:val="22"/>
          <w:lang w:eastAsia="en-US"/>
        </w:rPr>
        <w:t xml:space="preserve"> in light of local conditions. In particular, Pacific DMCs have a shortage of second-tier financial institutions such as nonbank credit providers and microfinance banks. Such institutions might provide the “downscaling” of services to SMEs and micro</w:t>
      </w:r>
      <w:r w:rsidR="00DB103E" w:rsidRPr="009500F4">
        <w:rPr>
          <w:rFonts w:eastAsia="Calibri" w:cs="Arial"/>
          <w:szCs w:val="22"/>
          <w:lang w:eastAsia="en-US"/>
        </w:rPr>
        <w:t xml:space="preserve"> </w:t>
      </w:r>
      <w:r w:rsidRPr="009500F4">
        <w:rPr>
          <w:rFonts w:eastAsia="Calibri" w:cs="Arial"/>
          <w:szCs w:val="22"/>
          <w:lang w:eastAsia="en-US"/>
        </w:rPr>
        <w:t xml:space="preserve">entrepreneurs that the banks have largely shied away from. At the same time, there are </w:t>
      </w:r>
      <w:r w:rsidR="00DB103E" w:rsidRPr="009500F4">
        <w:rPr>
          <w:rFonts w:eastAsia="Calibri" w:cs="Arial"/>
          <w:szCs w:val="22"/>
          <w:lang w:eastAsia="en-US"/>
        </w:rPr>
        <w:t xml:space="preserve">national </w:t>
      </w:r>
      <w:r w:rsidRPr="009500F4">
        <w:rPr>
          <w:rFonts w:eastAsia="Calibri" w:cs="Arial"/>
          <w:szCs w:val="22"/>
          <w:lang w:eastAsia="en-US"/>
        </w:rPr>
        <w:t>development banks and other government-owned institutions that require some form of commercialization and governance reform</w:t>
      </w:r>
      <w:r w:rsidR="00DB103E" w:rsidRPr="009500F4">
        <w:rPr>
          <w:rFonts w:eastAsia="Calibri" w:cs="Arial"/>
          <w:szCs w:val="22"/>
          <w:lang w:eastAsia="en-US"/>
        </w:rPr>
        <w:t>s</w:t>
      </w:r>
      <w:r w:rsidRPr="009500F4">
        <w:rPr>
          <w:rFonts w:eastAsia="Calibri" w:cs="Arial"/>
          <w:szCs w:val="22"/>
          <w:lang w:eastAsia="en-US"/>
        </w:rPr>
        <w:t xml:space="preserve"> in order to become sustainable. In the case of Timor</w:t>
      </w:r>
      <w:r w:rsidR="00DB103E" w:rsidRPr="009500F4">
        <w:rPr>
          <w:rFonts w:eastAsia="Calibri" w:cs="Arial"/>
          <w:szCs w:val="22"/>
          <w:lang w:eastAsia="en-US"/>
        </w:rPr>
        <w:t>-Leste</w:t>
      </w:r>
      <w:r w:rsidRPr="009500F4">
        <w:rPr>
          <w:rFonts w:eastAsia="Calibri" w:cs="Arial"/>
          <w:szCs w:val="22"/>
          <w:lang w:eastAsia="en-US"/>
        </w:rPr>
        <w:t xml:space="preserve">, PSDI reportedly worked with </w:t>
      </w:r>
      <w:r w:rsidRPr="009500F4">
        <w:rPr>
          <w:rFonts w:eastAsia="Calibri" w:cs="Arial"/>
          <w:szCs w:val="22"/>
          <w:lang w:eastAsia="en-US"/>
        </w:rPr>
        <w:lastRenderedPageBreak/>
        <w:t xml:space="preserve">the Ministry of Finance to persuade </w:t>
      </w:r>
      <w:r w:rsidR="00DB103E" w:rsidRPr="009500F4">
        <w:rPr>
          <w:rFonts w:eastAsia="Calibri" w:cs="Arial"/>
          <w:szCs w:val="22"/>
          <w:lang w:eastAsia="en-US"/>
        </w:rPr>
        <w:t xml:space="preserve">the </w:t>
      </w:r>
      <w:r w:rsidRPr="009500F4">
        <w:rPr>
          <w:rFonts w:eastAsia="Calibri" w:cs="Arial"/>
          <w:szCs w:val="22"/>
          <w:lang w:eastAsia="en-US"/>
        </w:rPr>
        <w:t>government</w:t>
      </w:r>
      <w:r w:rsidR="00DB103E" w:rsidRPr="009500F4">
        <w:rPr>
          <w:rFonts w:eastAsia="Calibri" w:cs="Arial"/>
          <w:szCs w:val="22"/>
          <w:lang w:eastAsia="en-US"/>
        </w:rPr>
        <w:t>’s</w:t>
      </w:r>
      <w:r w:rsidRPr="009500F4">
        <w:rPr>
          <w:rFonts w:eastAsia="Calibri" w:cs="Arial"/>
          <w:szCs w:val="22"/>
          <w:lang w:eastAsia="en-US"/>
        </w:rPr>
        <w:t xml:space="preserve"> leadership that its plan to establish a </w:t>
      </w:r>
      <w:r w:rsidR="00DB103E" w:rsidRPr="009500F4">
        <w:rPr>
          <w:rFonts w:eastAsia="Calibri" w:cs="Arial"/>
          <w:szCs w:val="22"/>
          <w:lang w:eastAsia="en-US"/>
        </w:rPr>
        <w:t xml:space="preserve">national </w:t>
      </w:r>
      <w:r w:rsidRPr="009500F4">
        <w:rPr>
          <w:rFonts w:eastAsia="Calibri" w:cs="Arial"/>
          <w:szCs w:val="22"/>
          <w:lang w:eastAsia="en-US"/>
        </w:rPr>
        <w:t xml:space="preserve">development bank should be abandoned as impractical. PSDI has also moved into working with provident funds, which need investment vehicles, and advising on policy and legislation to enable digital financial services (as in Fiji). </w:t>
      </w:r>
      <w:r w:rsidR="00DB103E" w:rsidRPr="009500F4">
        <w:rPr>
          <w:rFonts w:eastAsia="Calibri" w:cs="Arial"/>
          <w:szCs w:val="22"/>
          <w:lang w:eastAsia="en-US"/>
        </w:rPr>
        <w:t>Finally</w:t>
      </w:r>
      <w:r w:rsidRPr="009500F4">
        <w:rPr>
          <w:rFonts w:eastAsia="Calibri" w:cs="Arial"/>
          <w:szCs w:val="22"/>
          <w:lang w:eastAsia="en-US"/>
        </w:rPr>
        <w:t>,</w:t>
      </w:r>
      <w:r w:rsidR="00DB103E" w:rsidRPr="009500F4">
        <w:rPr>
          <w:rFonts w:eastAsia="Calibri" w:cs="Arial"/>
          <w:szCs w:val="22"/>
          <w:lang w:eastAsia="en-US"/>
        </w:rPr>
        <w:t xml:space="preserve"> PSDI continues to liaise with</w:t>
      </w:r>
      <w:r w:rsidRPr="009500F4">
        <w:rPr>
          <w:rFonts w:eastAsia="Calibri" w:cs="Arial"/>
          <w:szCs w:val="22"/>
          <w:lang w:eastAsia="en-US"/>
        </w:rPr>
        <w:t xml:space="preserve"> the insurance industry</w:t>
      </w:r>
      <w:r w:rsidR="00DB103E" w:rsidRPr="009500F4">
        <w:rPr>
          <w:rFonts w:eastAsia="Calibri" w:cs="Arial"/>
          <w:szCs w:val="22"/>
          <w:lang w:eastAsia="en-US"/>
        </w:rPr>
        <w:t>, which remains</w:t>
      </w:r>
      <w:r w:rsidRPr="009500F4">
        <w:rPr>
          <w:rFonts w:eastAsia="Calibri" w:cs="Arial"/>
          <w:szCs w:val="22"/>
          <w:lang w:eastAsia="en-US"/>
        </w:rPr>
        <w:t xml:space="preserve"> underdeveloped in a region where households, farms, and companies face high levels of risk</w:t>
      </w:r>
      <w:r w:rsidR="00DB103E" w:rsidRPr="009500F4">
        <w:rPr>
          <w:rFonts w:eastAsia="Calibri" w:cs="Arial"/>
          <w:szCs w:val="22"/>
          <w:lang w:eastAsia="en-US"/>
        </w:rPr>
        <w:t>, most particularly from natural disasters</w:t>
      </w:r>
      <w:r w:rsidRPr="009500F4">
        <w:rPr>
          <w:rFonts w:eastAsia="Calibri" w:cs="Arial"/>
          <w:szCs w:val="22"/>
          <w:lang w:eastAsia="en-US"/>
        </w:rPr>
        <w:t>. PSDI supports the development of policies and products, particularly for business</w:t>
      </w:r>
      <w:r w:rsidR="00DB103E" w:rsidRPr="009500F4">
        <w:rPr>
          <w:rFonts w:eastAsia="Calibri" w:cs="Arial"/>
          <w:szCs w:val="22"/>
          <w:lang w:eastAsia="en-US"/>
        </w:rPr>
        <w:t xml:space="preserve"> insurance</w:t>
      </w:r>
      <w:r w:rsidRPr="009500F4">
        <w:rPr>
          <w:rFonts w:eastAsia="Calibri" w:cs="Arial"/>
          <w:szCs w:val="22"/>
          <w:lang w:eastAsia="en-US"/>
        </w:rPr>
        <w:t xml:space="preserve"> and life insurance, while seeking to encourage the broader evolution of financing frameworks</w:t>
      </w:r>
      <w:r w:rsidR="00DB103E" w:rsidRPr="009500F4">
        <w:rPr>
          <w:rFonts w:eastAsia="Calibri" w:cs="Arial"/>
          <w:szCs w:val="22"/>
          <w:lang w:eastAsia="en-US"/>
        </w:rPr>
        <w:t xml:space="preserve"> to address disaster risks</w:t>
      </w:r>
      <w:r w:rsidRPr="009500F4">
        <w:rPr>
          <w:rFonts w:eastAsia="Calibri" w:cs="Arial"/>
          <w:szCs w:val="22"/>
          <w:lang w:eastAsia="en-US"/>
        </w:rPr>
        <w:t>.</w:t>
      </w:r>
    </w:p>
    <w:p w:rsidR="00EB420F" w:rsidRPr="009500F4" w:rsidRDefault="00EB420F" w:rsidP="00EB420F">
      <w:pPr>
        <w:tabs>
          <w:tab w:val="left" w:pos="567"/>
        </w:tabs>
        <w:rPr>
          <w:rFonts w:eastAsia="Calibri" w:cs="Arial"/>
          <w:szCs w:val="22"/>
          <w:lang w:eastAsia="en-US"/>
        </w:rPr>
      </w:pPr>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In PNG, some smaller banks and nonbank lenders appear interested in SME finance and secured lending, though the larger banks </w:t>
      </w:r>
      <w:r w:rsidR="00325B49" w:rsidRPr="009500F4">
        <w:rPr>
          <w:rFonts w:eastAsia="Calibri" w:cs="Arial"/>
          <w:szCs w:val="22"/>
          <w:lang w:eastAsia="en-US"/>
        </w:rPr>
        <w:t xml:space="preserve">(with the exception of Bank South Pacific) </w:t>
      </w:r>
      <w:r w:rsidRPr="009500F4">
        <w:rPr>
          <w:rFonts w:eastAsia="Calibri" w:cs="Arial"/>
          <w:szCs w:val="22"/>
          <w:lang w:eastAsia="en-US"/>
        </w:rPr>
        <w:t xml:space="preserve">have failed to move into this market. Additionally, PNG has no second-tier license for deposit-taking institutions that could address the middle and lower end of the market for business finance. In this context, PSDI has taken on a key role in the Microfinance Expansion Project, working with MiBank, a </w:t>
      </w:r>
      <w:r w:rsidR="00325B49" w:rsidRPr="009500F4">
        <w:rPr>
          <w:rFonts w:eastAsia="Calibri" w:cs="Arial"/>
          <w:szCs w:val="22"/>
          <w:lang w:eastAsia="en-US"/>
        </w:rPr>
        <w:t xml:space="preserve">microfinance institution </w:t>
      </w:r>
      <w:r w:rsidRPr="009500F4">
        <w:rPr>
          <w:rFonts w:eastAsia="Calibri" w:cs="Arial"/>
          <w:szCs w:val="22"/>
          <w:lang w:eastAsia="en-US"/>
        </w:rPr>
        <w:t xml:space="preserve">that has transformed into a commercial bank under state ownership. MiBank reports that PSDI has done a lot of “hand-holding,” helping it to address structural and regulatory issues. Importantly, </w:t>
      </w:r>
      <w:r w:rsidR="00325B49" w:rsidRPr="009500F4">
        <w:rPr>
          <w:rFonts w:eastAsia="Calibri" w:cs="Arial"/>
          <w:szCs w:val="22"/>
          <w:lang w:eastAsia="en-US"/>
        </w:rPr>
        <w:t xml:space="preserve">PNG’s </w:t>
      </w:r>
      <w:r w:rsidRPr="009500F4">
        <w:rPr>
          <w:rFonts w:eastAsia="Calibri" w:cs="Arial"/>
          <w:szCs w:val="22"/>
          <w:lang w:eastAsia="en-US"/>
        </w:rPr>
        <w:t>central bank has exercised forbearance, allowing MiBank to operate while it gradually works to meet bank</w:t>
      </w:r>
      <w:r w:rsidR="00325B49" w:rsidRPr="009500F4">
        <w:rPr>
          <w:rFonts w:eastAsia="Calibri" w:cs="Arial"/>
          <w:szCs w:val="22"/>
          <w:lang w:eastAsia="en-US"/>
        </w:rPr>
        <w:t>ing</w:t>
      </w:r>
      <w:r w:rsidRPr="009500F4">
        <w:rPr>
          <w:rFonts w:eastAsia="Calibri" w:cs="Arial"/>
          <w:szCs w:val="22"/>
          <w:lang w:eastAsia="en-US"/>
        </w:rPr>
        <w:t xml:space="preserve"> regulatory standards. PSDI has helped MiBank gain entrée to the major suppliers in key sectors, who have traditionally dealt only with the large banks, and to policy discussions on payment systems and mobile money interoperability. PSDI has</w:t>
      </w:r>
      <w:r w:rsidR="00325B49" w:rsidRPr="009500F4">
        <w:rPr>
          <w:rFonts w:eastAsia="Calibri" w:cs="Arial"/>
          <w:szCs w:val="22"/>
          <w:lang w:eastAsia="en-US"/>
        </w:rPr>
        <w:t xml:space="preserve"> also</w:t>
      </w:r>
      <w:r w:rsidRPr="009500F4">
        <w:rPr>
          <w:rFonts w:eastAsia="Calibri" w:cs="Arial"/>
          <w:szCs w:val="22"/>
          <w:lang w:eastAsia="en-US"/>
        </w:rPr>
        <w:t xml:space="preserve"> worked with MiBank to set up a franchise model for service agencies (co-branded by local government)</w:t>
      </w:r>
      <w:r w:rsidR="00325B49" w:rsidRPr="009500F4">
        <w:rPr>
          <w:rFonts w:eastAsia="Calibri" w:cs="Arial"/>
          <w:szCs w:val="22"/>
          <w:lang w:eastAsia="en-US"/>
        </w:rPr>
        <w:t>,</w:t>
      </w:r>
      <w:r w:rsidRPr="009500F4">
        <w:rPr>
          <w:rFonts w:eastAsia="Calibri" w:cs="Arial"/>
          <w:szCs w:val="22"/>
          <w:lang w:eastAsia="en-US"/>
        </w:rPr>
        <w:t xml:space="preserve"> operating under a branch in Esa-ala district</w:t>
      </w:r>
      <w:r w:rsidR="00325B49" w:rsidRPr="009500F4">
        <w:rPr>
          <w:rFonts w:eastAsia="Calibri" w:cs="Arial"/>
          <w:szCs w:val="22"/>
          <w:lang w:eastAsia="en-US"/>
        </w:rPr>
        <w:t>,</w:t>
      </w:r>
      <w:r w:rsidRPr="009500F4">
        <w:rPr>
          <w:rFonts w:eastAsia="Calibri" w:cs="Arial"/>
          <w:szCs w:val="22"/>
          <w:lang w:eastAsia="en-US"/>
        </w:rPr>
        <w:t xml:space="preserve"> </w:t>
      </w:r>
      <w:r w:rsidR="00325B49" w:rsidRPr="009500F4">
        <w:rPr>
          <w:rFonts w:eastAsia="Calibri" w:cs="Arial"/>
          <w:szCs w:val="22"/>
          <w:lang w:eastAsia="en-US"/>
        </w:rPr>
        <w:t>as well as contributing to a</w:t>
      </w:r>
      <w:r w:rsidRPr="009500F4">
        <w:rPr>
          <w:rFonts w:eastAsia="Calibri" w:cs="Arial"/>
          <w:szCs w:val="22"/>
          <w:lang w:eastAsia="en-US"/>
        </w:rPr>
        <w:t xml:space="preserve"> </w:t>
      </w:r>
      <w:r w:rsidR="00325B49" w:rsidRPr="009500F4">
        <w:rPr>
          <w:rFonts w:eastAsia="Calibri" w:cs="Arial"/>
          <w:szCs w:val="22"/>
          <w:lang w:eastAsia="en-US"/>
        </w:rPr>
        <w:t xml:space="preserve">move </w:t>
      </w:r>
      <w:r w:rsidRPr="009500F4">
        <w:rPr>
          <w:rFonts w:eastAsia="Calibri" w:cs="Arial"/>
          <w:szCs w:val="22"/>
          <w:lang w:eastAsia="en-US"/>
        </w:rPr>
        <w:t xml:space="preserve">into a fully mobile </w:t>
      </w:r>
      <w:r w:rsidR="00325B49" w:rsidRPr="009500F4">
        <w:rPr>
          <w:rFonts w:eastAsia="Calibri" w:cs="Arial"/>
          <w:szCs w:val="22"/>
          <w:lang w:eastAsia="en-US"/>
        </w:rPr>
        <w:t xml:space="preserve">banking </w:t>
      </w:r>
      <w:r w:rsidRPr="009500F4">
        <w:rPr>
          <w:rFonts w:eastAsia="Calibri" w:cs="Arial"/>
          <w:szCs w:val="22"/>
          <w:lang w:eastAsia="en-US"/>
        </w:rPr>
        <w:t>platform</w:t>
      </w:r>
      <w:r w:rsidR="00325B49" w:rsidRPr="009500F4">
        <w:rPr>
          <w:rFonts w:eastAsia="Calibri" w:cs="Arial"/>
          <w:szCs w:val="22"/>
          <w:lang w:eastAsia="en-US"/>
        </w:rPr>
        <w:t xml:space="preserve"> called MiCash</w:t>
      </w:r>
      <w:r w:rsidRPr="009500F4">
        <w:rPr>
          <w:rFonts w:eastAsia="Calibri" w:cs="Arial"/>
          <w:szCs w:val="22"/>
          <w:lang w:eastAsia="en-US"/>
        </w:rPr>
        <w:t>. Figures on overall use of MiCash reflect the bank’s growing outreach</w:t>
      </w:r>
      <w:r w:rsidR="00325B49" w:rsidRPr="009500F4">
        <w:rPr>
          <w:rFonts w:eastAsia="Calibri" w:cs="Arial"/>
          <w:szCs w:val="22"/>
          <w:lang w:eastAsia="en-US"/>
        </w:rPr>
        <w:t xml:space="preserve"> (Table 8)</w:t>
      </w:r>
      <w:r w:rsidRPr="009500F4">
        <w:rPr>
          <w:rFonts w:eastAsia="Calibri" w:cs="Arial"/>
          <w:szCs w:val="22"/>
          <w:lang w:eastAsia="en-US"/>
        </w:rPr>
        <w:t>.</w:t>
      </w:r>
    </w:p>
    <w:p w:rsidR="00325B49" w:rsidRPr="009500F4" w:rsidRDefault="00325B49" w:rsidP="00C930F2"/>
    <w:p w:rsidR="00DF2784" w:rsidRPr="00D6162F" w:rsidRDefault="00CA4CD7" w:rsidP="00170139">
      <w:pPr>
        <w:jc w:val="center"/>
        <w:rPr>
          <w:b/>
          <w:sz w:val="20"/>
          <w:szCs w:val="20"/>
        </w:rPr>
      </w:pPr>
      <w:r w:rsidRPr="00D6162F">
        <w:rPr>
          <w:b/>
          <w:sz w:val="20"/>
          <w:szCs w:val="20"/>
        </w:rPr>
        <w:t>Table 8</w:t>
      </w:r>
      <w:r w:rsidR="00F249C6" w:rsidRPr="00D6162F">
        <w:rPr>
          <w:b/>
          <w:sz w:val="20"/>
          <w:szCs w:val="20"/>
        </w:rPr>
        <w:t xml:space="preserve">: </w:t>
      </w:r>
      <w:r w:rsidRPr="00D6162F">
        <w:rPr>
          <w:b/>
          <w:sz w:val="20"/>
          <w:szCs w:val="20"/>
        </w:rPr>
        <w:t>MiCash Users</w:t>
      </w:r>
    </w:p>
    <w:p w:rsidR="007A5780" w:rsidRPr="009500F4" w:rsidRDefault="00CA4CD7" w:rsidP="00DF2784">
      <w:pPr>
        <w:jc w:val="center"/>
        <w:rPr>
          <w:b/>
          <w:sz w:val="18"/>
          <w:szCs w:val="18"/>
        </w:rPr>
      </w:pPr>
      <w:r w:rsidRPr="009500F4">
        <w:rPr>
          <w:sz w:val="18"/>
          <w:szCs w:val="18"/>
        </w:rPr>
        <w:t>(year-on-year change)</w:t>
      </w:r>
    </w:p>
    <w:p w:rsidR="00CA4CD7" w:rsidRPr="001143BF" w:rsidRDefault="00CA4CD7" w:rsidP="00C930F2">
      <w:pPr>
        <w:rPr>
          <w:sz w:val="10"/>
          <w:szCs w:val="10"/>
        </w:rPr>
      </w:pPr>
    </w:p>
    <w:tbl>
      <w:tblPr>
        <w:tblStyle w:val="TableGrid1"/>
        <w:tblW w:w="5000" w:type="pct"/>
        <w:tblLook w:val="04A0" w:firstRow="1" w:lastRow="0" w:firstColumn="1" w:lastColumn="0" w:noHBand="0" w:noVBand="1"/>
      </w:tblPr>
      <w:tblGrid>
        <w:gridCol w:w="1872"/>
        <w:gridCol w:w="1872"/>
        <w:gridCol w:w="1872"/>
        <w:gridCol w:w="1872"/>
        <w:gridCol w:w="1872"/>
      </w:tblGrid>
      <w:tr w:rsidR="00813EB8" w:rsidRPr="009500F4" w:rsidTr="00170139">
        <w:trPr>
          <w:trHeight w:val="289"/>
        </w:trPr>
        <w:tc>
          <w:tcPr>
            <w:tcW w:w="1000" w:type="pct"/>
            <w:tcBorders>
              <w:left w:val="nil"/>
              <w:bottom w:val="single" w:sz="4" w:space="0" w:color="auto"/>
              <w:right w:val="nil"/>
            </w:tcBorders>
            <w:shd w:val="clear" w:color="auto" w:fill="FFFFFF" w:themeFill="background1"/>
            <w:noWrap/>
            <w:hideMark/>
          </w:tcPr>
          <w:p w:rsidR="00CA4CD7" w:rsidRPr="009500F4" w:rsidRDefault="00CA4CD7" w:rsidP="00CA4CD7">
            <w:pPr>
              <w:rPr>
                <w:b/>
                <w:bCs/>
                <w:sz w:val="18"/>
                <w:szCs w:val="18"/>
              </w:rPr>
            </w:pPr>
            <w:r w:rsidRPr="009500F4">
              <w:rPr>
                <w:b/>
                <w:bCs/>
                <w:sz w:val="18"/>
                <w:szCs w:val="18"/>
              </w:rPr>
              <w:t>Year</w:t>
            </w:r>
          </w:p>
        </w:tc>
        <w:tc>
          <w:tcPr>
            <w:tcW w:w="1000" w:type="pct"/>
            <w:tcBorders>
              <w:left w:val="nil"/>
              <w:bottom w:val="single" w:sz="4" w:space="0" w:color="auto"/>
              <w:right w:val="nil"/>
            </w:tcBorders>
            <w:shd w:val="clear" w:color="auto" w:fill="FFFFFF" w:themeFill="background1"/>
            <w:noWrap/>
            <w:hideMark/>
          </w:tcPr>
          <w:p w:rsidR="00CA4CD7" w:rsidRPr="009500F4" w:rsidRDefault="00CA4CD7">
            <w:pPr>
              <w:rPr>
                <w:b/>
                <w:bCs/>
                <w:sz w:val="18"/>
                <w:szCs w:val="18"/>
              </w:rPr>
            </w:pPr>
            <w:r w:rsidRPr="009500F4">
              <w:rPr>
                <w:b/>
                <w:bCs/>
                <w:sz w:val="18"/>
                <w:szCs w:val="18"/>
              </w:rPr>
              <w:t>Male</w:t>
            </w:r>
          </w:p>
        </w:tc>
        <w:tc>
          <w:tcPr>
            <w:tcW w:w="1000" w:type="pct"/>
            <w:tcBorders>
              <w:left w:val="nil"/>
              <w:bottom w:val="single" w:sz="4" w:space="0" w:color="auto"/>
              <w:right w:val="nil"/>
            </w:tcBorders>
            <w:shd w:val="clear" w:color="auto" w:fill="FFFFFF" w:themeFill="background1"/>
            <w:noWrap/>
            <w:hideMark/>
          </w:tcPr>
          <w:p w:rsidR="00CA4CD7" w:rsidRPr="009500F4" w:rsidRDefault="00CA4CD7">
            <w:pPr>
              <w:rPr>
                <w:b/>
                <w:bCs/>
                <w:sz w:val="18"/>
                <w:szCs w:val="18"/>
              </w:rPr>
            </w:pPr>
            <w:r w:rsidRPr="009500F4">
              <w:rPr>
                <w:b/>
                <w:bCs/>
                <w:sz w:val="18"/>
                <w:szCs w:val="18"/>
              </w:rPr>
              <w:t>% change</w:t>
            </w:r>
          </w:p>
        </w:tc>
        <w:tc>
          <w:tcPr>
            <w:tcW w:w="1000" w:type="pct"/>
            <w:tcBorders>
              <w:left w:val="nil"/>
              <w:bottom w:val="single" w:sz="4" w:space="0" w:color="auto"/>
              <w:right w:val="nil"/>
            </w:tcBorders>
            <w:shd w:val="clear" w:color="auto" w:fill="FFFFFF" w:themeFill="background1"/>
            <w:noWrap/>
            <w:hideMark/>
          </w:tcPr>
          <w:p w:rsidR="00CA4CD7" w:rsidRPr="009500F4" w:rsidRDefault="00CA4CD7">
            <w:pPr>
              <w:rPr>
                <w:b/>
                <w:bCs/>
                <w:sz w:val="18"/>
                <w:szCs w:val="18"/>
              </w:rPr>
            </w:pPr>
            <w:r w:rsidRPr="009500F4">
              <w:rPr>
                <w:b/>
                <w:bCs/>
                <w:sz w:val="18"/>
                <w:szCs w:val="18"/>
              </w:rPr>
              <w:t>Female</w:t>
            </w:r>
          </w:p>
        </w:tc>
        <w:tc>
          <w:tcPr>
            <w:tcW w:w="1000" w:type="pct"/>
            <w:tcBorders>
              <w:left w:val="nil"/>
              <w:bottom w:val="single" w:sz="4" w:space="0" w:color="auto"/>
              <w:right w:val="nil"/>
            </w:tcBorders>
            <w:shd w:val="clear" w:color="auto" w:fill="FFFFFF" w:themeFill="background1"/>
            <w:noWrap/>
            <w:hideMark/>
          </w:tcPr>
          <w:p w:rsidR="00CA4CD7" w:rsidRPr="009500F4" w:rsidRDefault="00CA4CD7">
            <w:pPr>
              <w:rPr>
                <w:b/>
                <w:bCs/>
                <w:sz w:val="18"/>
                <w:szCs w:val="18"/>
              </w:rPr>
            </w:pPr>
            <w:r w:rsidRPr="009500F4">
              <w:rPr>
                <w:b/>
                <w:bCs/>
                <w:sz w:val="18"/>
                <w:szCs w:val="18"/>
              </w:rPr>
              <w:t>% change</w:t>
            </w:r>
          </w:p>
        </w:tc>
      </w:tr>
      <w:tr w:rsidR="00813EB8" w:rsidRPr="009500F4" w:rsidTr="00170139">
        <w:trPr>
          <w:trHeight w:val="289"/>
        </w:trPr>
        <w:tc>
          <w:tcPr>
            <w:tcW w:w="1000" w:type="pct"/>
            <w:tcBorders>
              <w:left w:val="nil"/>
              <w:bottom w:val="nil"/>
              <w:right w:val="nil"/>
            </w:tcBorders>
            <w:noWrap/>
            <w:hideMark/>
          </w:tcPr>
          <w:p w:rsidR="00CA4CD7" w:rsidRPr="009500F4" w:rsidRDefault="00CA4CD7" w:rsidP="00CA4CD7">
            <w:pPr>
              <w:rPr>
                <w:sz w:val="18"/>
                <w:szCs w:val="18"/>
              </w:rPr>
            </w:pPr>
            <w:r w:rsidRPr="009500F4">
              <w:rPr>
                <w:sz w:val="18"/>
                <w:szCs w:val="18"/>
              </w:rPr>
              <w:t>2012</w:t>
            </w:r>
          </w:p>
        </w:tc>
        <w:tc>
          <w:tcPr>
            <w:tcW w:w="1000" w:type="pct"/>
            <w:tcBorders>
              <w:left w:val="nil"/>
              <w:bottom w:val="nil"/>
              <w:right w:val="nil"/>
            </w:tcBorders>
            <w:noWrap/>
            <w:hideMark/>
          </w:tcPr>
          <w:p w:rsidR="00CA4CD7" w:rsidRPr="009500F4" w:rsidRDefault="00CA4CD7" w:rsidP="00CA4CD7">
            <w:pPr>
              <w:rPr>
                <w:sz w:val="18"/>
                <w:szCs w:val="18"/>
              </w:rPr>
            </w:pPr>
            <w:r w:rsidRPr="009500F4">
              <w:rPr>
                <w:sz w:val="18"/>
                <w:szCs w:val="18"/>
              </w:rPr>
              <w:t>2,374</w:t>
            </w:r>
          </w:p>
        </w:tc>
        <w:tc>
          <w:tcPr>
            <w:tcW w:w="1000" w:type="pct"/>
            <w:tcBorders>
              <w:left w:val="nil"/>
              <w:bottom w:val="nil"/>
              <w:right w:val="nil"/>
            </w:tcBorders>
            <w:noWrap/>
            <w:hideMark/>
          </w:tcPr>
          <w:p w:rsidR="00CA4CD7" w:rsidRPr="009500F4" w:rsidRDefault="00CA4CD7" w:rsidP="00CA4CD7">
            <w:pPr>
              <w:rPr>
                <w:sz w:val="18"/>
                <w:szCs w:val="18"/>
              </w:rPr>
            </w:pPr>
            <w:r w:rsidRPr="009500F4">
              <w:rPr>
                <w:sz w:val="18"/>
                <w:szCs w:val="18"/>
              </w:rPr>
              <w:t> </w:t>
            </w:r>
          </w:p>
        </w:tc>
        <w:tc>
          <w:tcPr>
            <w:tcW w:w="1000" w:type="pct"/>
            <w:tcBorders>
              <w:left w:val="nil"/>
              <w:bottom w:val="nil"/>
              <w:right w:val="nil"/>
            </w:tcBorders>
            <w:noWrap/>
            <w:hideMark/>
          </w:tcPr>
          <w:p w:rsidR="00CA4CD7" w:rsidRPr="009500F4" w:rsidRDefault="00CA4CD7" w:rsidP="00CA4CD7">
            <w:pPr>
              <w:rPr>
                <w:sz w:val="18"/>
                <w:szCs w:val="18"/>
              </w:rPr>
            </w:pPr>
            <w:r w:rsidRPr="009500F4">
              <w:rPr>
                <w:sz w:val="18"/>
                <w:szCs w:val="18"/>
              </w:rPr>
              <w:t>1,291</w:t>
            </w:r>
          </w:p>
        </w:tc>
        <w:tc>
          <w:tcPr>
            <w:tcW w:w="1000" w:type="pct"/>
            <w:tcBorders>
              <w:left w:val="nil"/>
              <w:bottom w:val="nil"/>
              <w:right w:val="nil"/>
            </w:tcBorders>
            <w:noWrap/>
            <w:hideMark/>
          </w:tcPr>
          <w:p w:rsidR="00CA4CD7" w:rsidRPr="009500F4" w:rsidRDefault="00CA4CD7" w:rsidP="00CA4CD7">
            <w:pPr>
              <w:rPr>
                <w:sz w:val="18"/>
                <w:szCs w:val="18"/>
              </w:rPr>
            </w:pPr>
            <w:r w:rsidRPr="009500F4">
              <w:rPr>
                <w:sz w:val="18"/>
                <w:szCs w:val="18"/>
              </w:rPr>
              <w:t> </w:t>
            </w:r>
          </w:p>
        </w:tc>
      </w:tr>
      <w:tr w:rsidR="00813EB8" w:rsidRPr="009500F4" w:rsidTr="00170139">
        <w:trPr>
          <w:trHeight w:val="300"/>
        </w:trPr>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2013</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10,597</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346</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6,224</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382</w:t>
            </w:r>
          </w:p>
        </w:tc>
      </w:tr>
      <w:tr w:rsidR="00813EB8" w:rsidRPr="009500F4" w:rsidTr="00170139">
        <w:trPr>
          <w:trHeight w:val="300"/>
        </w:trPr>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2014</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14,822</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40</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9,253</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49</w:t>
            </w:r>
          </w:p>
        </w:tc>
      </w:tr>
      <w:tr w:rsidR="00813EB8" w:rsidRPr="009500F4" w:rsidTr="00170139">
        <w:trPr>
          <w:trHeight w:val="300"/>
        </w:trPr>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2015</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19,219</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30</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11,325</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22</w:t>
            </w:r>
          </w:p>
        </w:tc>
      </w:tr>
      <w:tr w:rsidR="00813EB8" w:rsidRPr="009500F4" w:rsidTr="00170139">
        <w:trPr>
          <w:trHeight w:val="300"/>
        </w:trPr>
        <w:tc>
          <w:tcPr>
            <w:tcW w:w="1000" w:type="pct"/>
            <w:tcBorders>
              <w:top w:val="nil"/>
              <w:left w:val="nil"/>
              <w:right w:val="nil"/>
            </w:tcBorders>
            <w:noWrap/>
            <w:hideMark/>
          </w:tcPr>
          <w:p w:rsidR="00CA4CD7" w:rsidRPr="009500F4" w:rsidRDefault="00CA4CD7" w:rsidP="00CA4CD7">
            <w:pPr>
              <w:rPr>
                <w:sz w:val="18"/>
                <w:szCs w:val="18"/>
              </w:rPr>
            </w:pPr>
            <w:r w:rsidRPr="009500F4">
              <w:rPr>
                <w:sz w:val="18"/>
                <w:szCs w:val="18"/>
              </w:rPr>
              <w:t>2016</w:t>
            </w:r>
          </w:p>
        </w:tc>
        <w:tc>
          <w:tcPr>
            <w:tcW w:w="1000" w:type="pct"/>
            <w:tcBorders>
              <w:top w:val="nil"/>
              <w:left w:val="nil"/>
              <w:right w:val="nil"/>
            </w:tcBorders>
            <w:noWrap/>
            <w:hideMark/>
          </w:tcPr>
          <w:p w:rsidR="00CA4CD7" w:rsidRPr="009500F4" w:rsidRDefault="00CA4CD7" w:rsidP="00CA4CD7">
            <w:pPr>
              <w:rPr>
                <w:sz w:val="18"/>
                <w:szCs w:val="18"/>
              </w:rPr>
            </w:pPr>
            <w:r w:rsidRPr="009500F4">
              <w:rPr>
                <w:sz w:val="18"/>
                <w:szCs w:val="18"/>
              </w:rPr>
              <w:t>25,537</w:t>
            </w:r>
          </w:p>
        </w:tc>
        <w:tc>
          <w:tcPr>
            <w:tcW w:w="1000" w:type="pct"/>
            <w:tcBorders>
              <w:top w:val="nil"/>
              <w:left w:val="nil"/>
              <w:right w:val="nil"/>
            </w:tcBorders>
            <w:noWrap/>
            <w:hideMark/>
          </w:tcPr>
          <w:p w:rsidR="00CA4CD7" w:rsidRPr="009500F4" w:rsidRDefault="00CA4CD7" w:rsidP="00CA4CD7">
            <w:pPr>
              <w:rPr>
                <w:sz w:val="18"/>
                <w:szCs w:val="18"/>
              </w:rPr>
            </w:pPr>
            <w:r w:rsidRPr="009500F4">
              <w:rPr>
                <w:sz w:val="18"/>
                <w:szCs w:val="18"/>
              </w:rPr>
              <w:t>33</w:t>
            </w:r>
          </w:p>
        </w:tc>
        <w:tc>
          <w:tcPr>
            <w:tcW w:w="1000" w:type="pct"/>
            <w:tcBorders>
              <w:top w:val="nil"/>
              <w:left w:val="nil"/>
              <w:right w:val="nil"/>
            </w:tcBorders>
            <w:noWrap/>
            <w:hideMark/>
          </w:tcPr>
          <w:p w:rsidR="00CA4CD7" w:rsidRPr="009500F4" w:rsidRDefault="00CA4CD7" w:rsidP="00CA4CD7">
            <w:pPr>
              <w:rPr>
                <w:sz w:val="18"/>
                <w:szCs w:val="18"/>
              </w:rPr>
            </w:pPr>
            <w:r w:rsidRPr="009500F4">
              <w:rPr>
                <w:sz w:val="18"/>
                <w:szCs w:val="18"/>
              </w:rPr>
              <w:t>14,495</w:t>
            </w:r>
          </w:p>
        </w:tc>
        <w:tc>
          <w:tcPr>
            <w:tcW w:w="1000" w:type="pct"/>
            <w:tcBorders>
              <w:top w:val="nil"/>
              <w:left w:val="nil"/>
              <w:right w:val="nil"/>
            </w:tcBorders>
            <w:noWrap/>
            <w:hideMark/>
          </w:tcPr>
          <w:p w:rsidR="00CA4CD7" w:rsidRPr="009500F4" w:rsidRDefault="00CA4CD7" w:rsidP="00CA4CD7">
            <w:pPr>
              <w:rPr>
                <w:sz w:val="18"/>
                <w:szCs w:val="18"/>
              </w:rPr>
            </w:pPr>
            <w:r w:rsidRPr="009500F4">
              <w:rPr>
                <w:sz w:val="18"/>
                <w:szCs w:val="18"/>
              </w:rPr>
              <w:t>28</w:t>
            </w:r>
          </w:p>
        </w:tc>
      </w:tr>
    </w:tbl>
    <w:p w:rsidR="00AF6547" w:rsidRPr="009500F4" w:rsidRDefault="00AF6547" w:rsidP="00AF6547">
      <w:pPr>
        <w:rPr>
          <w:sz w:val="16"/>
          <w:szCs w:val="16"/>
        </w:rPr>
      </w:pPr>
      <w:r w:rsidRPr="009500F4">
        <w:rPr>
          <w:sz w:val="16"/>
          <w:szCs w:val="16"/>
        </w:rPr>
        <w:t>Source: Private Sector Development Initiative.</w:t>
      </w:r>
    </w:p>
    <w:p w:rsidR="00AF6547" w:rsidRPr="009500F4" w:rsidRDefault="00AF6547" w:rsidP="00CA4CD7"/>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Similarly, in Timor</w:t>
      </w:r>
      <w:r w:rsidR="00DE0120" w:rsidRPr="009500F4">
        <w:rPr>
          <w:rFonts w:eastAsia="Calibri" w:cs="Arial"/>
          <w:szCs w:val="22"/>
          <w:lang w:eastAsia="en-US"/>
        </w:rPr>
        <w:t>-Leste</w:t>
      </w:r>
      <w:r w:rsidRPr="009500F4">
        <w:rPr>
          <w:rFonts w:eastAsia="Calibri" w:cs="Arial"/>
          <w:szCs w:val="22"/>
          <w:lang w:eastAsia="en-US"/>
        </w:rPr>
        <w:t>, PSDI has supported the transformation of BNCTL from a</w:t>
      </w:r>
      <w:r w:rsidR="00DE0120" w:rsidRPr="009500F4">
        <w:rPr>
          <w:rFonts w:eastAsia="Calibri" w:cs="Arial"/>
          <w:szCs w:val="22"/>
          <w:lang w:eastAsia="en-US"/>
        </w:rPr>
        <w:t xml:space="preserve"> microfinance institution</w:t>
      </w:r>
      <w:r w:rsidRPr="009500F4">
        <w:rPr>
          <w:rFonts w:eastAsia="Calibri" w:cs="Arial"/>
          <w:szCs w:val="22"/>
          <w:lang w:eastAsia="en-US"/>
        </w:rPr>
        <w:t xml:space="preserve"> to a commercial bank</w:t>
      </w:r>
      <w:r w:rsidR="00DE0120" w:rsidRPr="009500F4">
        <w:rPr>
          <w:rFonts w:eastAsia="Calibri" w:cs="Arial"/>
          <w:szCs w:val="22"/>
          <w:lang w:eastAsia="en-US"/>
        </w:rPr>
        <w:t>. As with the PNG example,</w:t>
      </w:r>
      <w:r w:rsidRPr="009500F4">
        <w:rPr>
          <w:rFonts w:eastAsia="Calibri" w:cs="Arial"/>
          <w:szCs w:val="22"/>
          <w:lang w:eastAsia="en-US"/>
        </w:rPr>
        <w:t xml:space="preserve"> </w:t>
      </w:r>
      <w:r w:rsidR="00DE0120" w:rsidRPr="009500F4">
        <w:rPr>
          <w:rFonts w:eastAsia="Calibri" w:cs="Arial"/>
          <w:szCs w:val="22"/>
          <w:lang w:eastAsia="en-US"/>
        </w:rPr>
        <w:t>the bank is</w:t>
      </w:r>
      <w:r w:rsidRPr="009500F4">
        <w:rPr>
          <w:rFonts w:eastAsia="Calibri" w:cs="Arial"/>
          <w:szCs w:val="22"/>
          <w:lang w:eastAsia="en-US"/>
        </w:rPr>
        <w:t xml:space="preserve"> state-owned. Timor</w:t>
      </w:r>
      <w:r w:rsidR="00DE0120" w:rsidRPr="009500F4">
        <w:rPr>
          <w:rFonts w:eastAsia="Calibri" w:cs="Arial"/>
          <w:szCs w:val="22"/>
          <w:lang w:eastAsia="en-US"/>
        </w:rPr>
        <w:t>-Leste</w:t>
      </w:r>
      <w:r w:rsidRPr="009500F4">
        <w:rPr>
          <w:rFonts w:eastAsia="Calibri" w:cs="Arial"/>
          <w:szCs w:val="22"/>
          <w:lang w:eastAsia="en-US"/>
        </w:rPr>
        <w:t xml:space="preserve"> offers a second-tier banking license, but BNCTL </w:t>
      </w:r>
      <w:r w:rsidR="00DE0120" w:rsidRPr="009500F4">
        <w:rPr>
          <w:rFonts w:eastAsia="Calibri" w:cs="Arial"/>
          <w:szCs w:val="22"/>
          <w:lang w:eastAsia="en-US"/>
        </w:rPr>
        <w:t xml:space="preserve">eventually </w:t>
      </w:r>
      <w:r w:rsidRPr="009500F4">
        <w:rPr>
          <w:rFonts w:eastAsia="Calibri" w:cs="Arial"/>
          <w:szCs w:val="22"/>
          <w:lang w:eastAsia="en-US"/>
        </w:rPr>
        <w:t xml:space="preserve">exceeded the loan and deposit ceilings and needed to become a bank. PSDI’s assistance has helped BNCTL to move toward commercial viability (Table 9), strengthen its corporate governance, and begin attracting the interest of investors. In tandem, PSDI has been working with </w:t>
      </w:r>
      <w:r w:rsidR="00DE0120" w:rsidRPr="009500F4">
        <w:rPr>
          <w:rFonts w:eastAsia="Calibri" w:cs="Arial"/>
          <w:szCs w:val="22"/>
          <w:lang w:eastAsia="en-US"/>
        </w:rPr>
        <w:t>Timor-Leste’s</w:t>
      </w:r>
      <w:r w:rsidRPr="009500F4">
        <w:rPr>
          <w:rFonts w:eastAsia="Calibri" w:cs="Arial"/>
          <w:szCs w:val="22"/>
          <w:lang w:eastAsia="en-US"/>
        </w:rPr>
        <w:t xml:space="preserve"> central bank on regulations, including </w:t>
      </w:r>
      <w:r w:rsidR="00DE0120" w:rsidRPr="009500F4">
        <w:rPr>
          <w:rFonts w:eastAsia="Calibri" w:cs="Arial"/>
          <w:szCs w:val="22"/>
          <w:lang w:eastAsia="en-US"/>
        </w:rPr>
        <w:t xml:space="preserve">a </w:t>
      </w:r>
      <w:r w:rsidRPr="009500F4">
        <w:rPr>
          <w:rFonts w:eastAsia="Calibri" w:cs="Arial"/>
          <w:szCs w:val="22"/>
          <w:lang w:eastAsia="en-US"/>
        </w:rPr>
        <w:t>framework for digital finance</w:t>
      </w:r>
      <w:r w:rsidR="00DE0120" w:rsidRPr="009500F4">
        <w:rPr>
          <w:rFonts w:eastAsia="Calibri" w:cs="Arial"/>
          <w:szCs w:val="22"/>
          <w:lang w:eastAsia="en-US"/>
        </w:rPr>
        <w:t>, which is</w:t>
      </w:r>
      <w:r w:rsidRPr="009500F4">
        <w:rPr>
          <w:rFonts w:eastAsia="Calibri" w:cs="Arial"/>
          <w:szCs w:val="22"/>
          <w:lang w:eastAsia="en-US"/>
        </w:rPr>
        <w:t xml:space="preserve"> a critical need in the Pacific</w:t>
      </w:r>
      <w:r w:rsidR="00DE0120" w:rsidRPr="009500F4">
        <w:rPr>
          <w:rFonts w:eastAsia="Calibri" w:cs="Arial"/>
          <w:szCs w:val="22"/>
          <w:lang w:eastAsia="en-US"/>
        </w:rPr>
        <w:t>. M</w:t>
      </w:r>
      <w:r w:rsidRPr="009500F4">
        <w:rPr>
          <w:rFonts w:eastAsia="Calibri" w:cs="Arial"/>
          <w:szCs w:val="22"/>
          <w:lang w:eastAsia="en-US"/>
        </w:rPr>
        <w:t>uch of this work</w:t>
      </w:r>
      <w:r w:rsidR="00DE0120" w:rsidRPr="009500F4">
        <w:rPr>
          <w:rFonts w:eastAsia="Calibri" w:cs="Arial"/>
          <w:szCs w:val="22"/>
          <w:lang w:eastAsia="en-US"/>
        </w:rPr>
        <w:t>, however,</w:t>
      </w:r>
      <w:r w:rsidRPr="009500F4">
        <w:rPr>
          <w:rFonts w:eastAsia="Calibri" w:cs="Arial"/>
          <w:szCs w:val="22"/>
          <w:lang w:eastAsia="en-US"/>
        </w:rPr>
        <w:t xml:space="preserve"> appears to have been inherited by </w:t>
      </w:r>
      <w:r w:rsidR="00DE0120" w:rsidRPr="009500F4">
        <w:rPr>
          <w:rFonts w:eastAsia="Calibri" w:cs="Arial"/>
          <w:szCs w:val="22"/>
          <w:lang w:eastAsia="en-US"/>
        </w:rPr>
        <w:t xml:space="preserve">the International Finance Corporation </w:t>
      </w:r>
      <w:r w:rsidRPr="009500F4">
        <w:rPr>
          <w:rFonts w:eastAsia="Calibri" w:cs="Arial"/>
          <w:szCs w:val="22"/>
          <w:lang w:eastAsia="en-US"/>
        </w:rPr>
        <w:t>and others since the end of 2016.</w:t>
      </w:r>
    </w:p>
    <w:p w:rsidR="00CA4CD7" w:rsidRDefault="00CA4CD7" w:rsidP="00CA4CD7"/>
    <w:p w:rsidR="000D639E" w:rsidRPr="009500F4" w:rsidRDefault="000D639E" w:rsidP="00CA4CD7"/>
    <w:p w:rsidR="007A5780" w:rsidRPr="00D6162F" w:rsidRDefault="00CA4CD7" w:rsidP="00170139">
      <w:pPr>
        <w:jc w:val="center"/>
        <w:rPr>
          <w:rFonts w:eastAsia="Times New Roman" w:cs="Arial"/>
          <w:sz w:val="20"/>
          <w:szCs w:val="20"/>
          <w:lang w:val="en-AU" w:eastAsia="en-US"/>
        </w:rPr>
      </w:pPr>
      <w:r w:rsidRPr="00D6162F">
        <w:rPr>
          <w:b/>
          <w:sz w:val="20"/>
          <w:szCs w:val="20"/>
        </w:rPr>
        <w:t>Table 9</w:t>
      </w:r>
      <w:r w:rsidR="00AF6547" w:rsidRPr="00D6162F">
        <w:rPr>
          <w:b/>
          <w:sz w:val="20"/>
          <w:szCs w:val="20"/>
        </w:rPr>
        <w:t xml:space="preserve">: </w:t>
      </w:r>
      <w:r w:rsidRPr="00D6162F">
        <w:rPr>
          <w:b/>
          <w:sz w:val="20"/>
          <w:szCs w:val="20"/>
        </w:rPr>
        <w:t>Depositors and Borrowers</w:t>
      </w:r>
      <w:r w:rsidR="007A5780" w:rsidRPr="00D6162F">
        <w:rPr>
          <w:b/>
          <w:sz w:val="20"/>
          <w:szCs w:val="20"/>
        </w:rPr>
        <w:t>,</w:t>
      </w:r>
    </w:p>
    <w:p w:rsidR="007A5780" w:rsidRPr="009500F4" w:rsidRDefault="007A5780" w:rsidP="00170139">
      <w:pPr>
        <w:jc w:val="center"/>
        <w:rPr>
          <w:b/>
          <w:sz w:val="18"/>
          <w:szCs w:val="18"/>
        </w:rPr>
      </w:pPr>
      <w:r w:rsidRPr="00D6162F">
        <w:rPr>
          <w:b/>
          <w:sz w:val="20"/>
          <w:szCs w:val="20"/>
          <w:lang w:val="en-AU"/>
        </w:rPr>
        <w:t>Banco Nacional de Comércio de Timor-Leste</w:t>
      </w:r>
      <w:r w:rsidRPr="00D6162F">
        <w:rPr>
          <w:b/>
          <w:sz w:val="20"/>
          <w:szCs w:val="20"/>
        </w:rPr>
        <w:t xml:space="preserve"> </w:t>
      </w:r>
      <w:r w:rsidR="00B662C0" w:rsidRPr="00D6162F">
        <w:rPr>
          <w:b/>
          <w:sz w:val="20"/>
          <w:szCs w:val="20"/>
        </w:rPr>
        <w:br/>
      </w:r>
      <w:r w:rsidR="00CA4CD7" w:rsidRPr="009500F4">
        <w:rPr>
          <w:sz w:val="18"/>
          <w:szCs w:val="18"/>
        </w:rPr>
        <w:t>(year-on-year change)</w:t>
      </w:r>
    </w:p>
    <w:p w:rsidR="00CA4CD7" w:rsidRPr="001143BF" w:rsidRDefault="00CA4CD7" w:rsidP="00C930F2">
      <w:pPr>
        <w:rPr>
          <w:sz w:val="10"/>
          <w:szCs w:val="10"/>
        </w:rPr>
      </w:pPr>
    </w:p>
    <w:tbl>
      <w:tblPr>
        <w:tblStyle w:val="TableGrid1"/>
        <w:tblW w:w="5000" w:type="pct"/>
        <w:tblBorders>
          <w:bottom w:val="none" w:sz="0" w:space="0" w:color="auto"/>
        </w:tblBorders>
        <w:tblLook w:val="04A0" w:firstRow="1" w:lastRow="0" w:firstColumn="1" w:lastColumn="0" w:noHBand="0" w:noVBand="1"/>
      </w:tblPr>
      <w:tblGrid>
        <w:gridCol w:w="1872"/>
        <w:gridCol w:w="1872"/>
        <w:gridCol w:w="1872"/>
        <w:gridCol w:w="1872"/>
        <w:gridCol w:w="1872"/>
      </w:tblGrid>
      <w:tr w:rsidR="00813EB8" w:rsidRPr="009500F4" w:rsidTr="00170139">
        <w:trPr>
          <w:trHeight w:val="289"/>
        </w:trPr>
        <w:tc>
          <w:tcPr>
            <w:tcW w:w="1000" w:type="pct"/>
            <w:tcBorders>
              <w:left w:val="nil"/>
              <w:bottom w:val="single" w:sz="4" w:space="0" w:color="auto"/>
              <w:right w:val="nil"/>
            </w:tcBorders>
            <w:shd w:val="clear" w:color="auto" w:fill="FFFFFF" w:themeFill="background1"/>
            <w:noWrap/>
            <w:hideMark/>
          </w:tcPr>
          <w:p w:rsidR="00CA4CD7" w:rsidRPr="009500F4" w:rsidRDefault="00CA4CD7" w:rsidP="00CA4CD7">
            <w:pPr>
              <w:rPr>
                <w:b/>
                <w:bCs/>
                <w:sz w:val="18"/>
                <w:szCs w:val="18"/>
              </w:rPr>
            </w:pPr>
            <w:r w:rsidRPr="009500F4">
              <w:rPr>
                <w:b/>
                <w:bCs/>
                <w:sz w:val="18"/>
                <w:szCs w:val="18"/>
              </w:rPr>
              <w:t>Year</w:t>
            </w:r>
          </w:p>
        </w:tc>
        <w:tc>
          <w:tcPr>
            <w:tcW w:w="1000" w:type="pct"/>
            <w:tcBorders>
              <w:left w:val="nil"/>
              <w:bottom w:val="single" w:sz="4" w:space="0" w:color="auto"/>
              <w:right w:val="nil"/>
            </w:tcBorders>
            <w:shd w:val="clear" w:color="auto" w:fill="FFFFFF" w:themeFill="background1"/>
            <w:noWrap/>
            <w:hideMark/>
          </w:tcPr>
          <w:p w:rsidR="00CA4CD7" w:rsidRPr="009500F4" w:rsidRDefault="00CA4CD7" w:rsidP="00CA4CD7">
            <w:pPr>
              <w:rPr>
                <w:b/>
                <w:bCs/>
                <w:sz w:val="18"/>
                <w:szCs w:val="18"/>
              </w:rPr>
            </w:pPr>
            <w:r w:rsidRPr="009500F4">
              <w:rPr>
                <w:b/>
                <w:bCs/>
                <w:sz w:val="18"/>
                <w:szCs w:val="18"/>
              </w:rPr>
              <w:t>Depositors</w:t>
            </w:r>
          </w:p>
        </w:tc>
        <w:tc>
          <w:tcPr>
            <w:tcW w:w="1000" w:type="pct"/>
            <w:tcBorders>
              <w:left w:val="nil"/>
              <w:bottom w:val="single" w:sz="4" w:space="0" w:color="auto"/>
              <w:right w:val="nil"/>
            </w:tcBorders>
            <w:shd w:val="clear" w:color="auto" w:fill="FFFFFF" w:themeFill="background1"/>
            <w:noWrap/>
            <w:hideMark/>
          </w:tcPr>
          <w:p w:rsidR="00CA4CD7" w:rsidRPr="009500F4" w:rsidRDefault="00CA4CD7" w:rsidP="00CA4CD7">
            <w:pPr>
              <w:rPr>
                <w:b/>
                <w:bCs/>
                <w:sz w:val="18"/>
                <w:szCs w:val="18"/>
              </w:rPr>
            </w:pPr>
            <w:r w:rsidRPr="009500F4">
              <w:rPr>
                <w:b/>
                <w:bCs/>
                <w:sz w:val="18"/>
                <w:szCs w:val="18"/>
              </w:rPr>
              <w:t>% change</w:t>
            </w:r>
          </w:p>
        </w:tc>
        <w:tc>
          <w:tcPr>
            <w:tcW w:w="1000" w:type="pct"/>
            <w:tcBorders>
              <w:left w:val="nil"/>
              <w:bottom w:val="single" w:sz="4" w:space="0" w:color="auto"/>
              <w:right w:val="nil"/>
            </w:tcBorders>
            <w:shd w:val="clear" w:color="auto" w:fill="FFFFFF" w:themeFill="background1"/>
            <w:noWrap/>
            <w:hideMark/>
          </w:tcPr>
          <w:p w:rsidR="00CA4CD7" w:rsidRPr="009500F4" w:rsidRDefault="00CA4CD7" w:rsidP="00CA4CD7">
            <w:pPr>
              <w:rPr>
                <w:b/>
                <w:bCs/>
                <w:sz w:val="18"/>
                <w:szCs w:val="18"/>
              </w:rPr>
            </w:pPr>
            <w:r w:rsidRPr="009500F4">
              <w:rPr>
                <w:b/>
                <w:bCs/>
                <w:sz w:val="18"/>
                <w:szCs w:val="18"/>
              </w:rPr>
              <w:t>Borrowers</w:t>
            </w:r>
          </w:p>
        </w:tc>
        <w:tc>
          <w:tcPr>
            <w:tcW w:w="1000" w:type="pct"/>
            <w:tcBorders>
              <w:left w:val="nil"/>
              <w:bottom w:val="single" w:sz="4" w:space="0" w:color="auto"/>
              <w:right w:val="nil"/>
            </w:tcBorders>
            <w:shd w:val="clear" w:color="auto" w:fill="FFFFFF" w:themeFill="background1"/>
            <w:noWrap/>
            <w:hideMark/>
          </w:tcPr>
          <w:p w:rsidR="00CA4CD7" w:rsidRPr="009500F4" w:rsidRDefault="00CA4CD7" w:rsidP="00CA4CD7">
            <w:pPr>
              <w:rPr>
                <w:b/>
                <w:bCs/>
                <w:sz w:val="18"/>
                <w:szCs w:val="18"/>
              </w:rPr>
            </w:pPr>
            <w:r w:rsidRPr="009500F4">
              <w:rPr>
                <w:b/>
                <w:bCs/>
                <w:sz w:val="18"/>
                <w:szCs w:val="18"/>
              </w:rPr>
              <w:t>% change</w:t>
            </w:r>
          </w:p>
        </w:tc>
      </w:tr>
      <w:tr w:rsidR="00813EB8" w:rsidRPr="009500F4" w:rsidTr="00170139">
        <w:trPr>
          <w:trHeight w:val="289"/>
        </w:trPr>
        <w:tc>
          <w:tcPr>
            <w:tcW w:w="1000" w:type="pct"/>
            <w:tcBorders>
              <w:left w:val="nil"/>
              <w:bottom w:val="nil"/>
              <w:right w:val="nil"/>
            </w:tcBorders>
            <w:noWrap/>
            <w:hideMark/>
          </w:tcPr>
          <w:p w:rsidR="00CA4CD7" w:rsidRPr="009500F4" w:rsidRDefault="00CA4CD7" w:rsidP="00CA4CD7">
            <w:pPr>
              <w:rPr>
                <w:sz w:val="18"/>
                <w:szCs w:val="18"/>
              </w:rPr>
            </w:pPr>
            <w:r w:rsidRPr="009500F4">
              <w:rPr>
                <w:sz w:val="18"/>
                <w:szCs w:val="18"/>
              </w:rPr>
              <w:t>2011</w:t>
            </w:r>
          </w:p>
        </w:tc>
        <w:tc>
          <w:tcPr>
            <w:tcW w:w="1000" w:type="pct"/>
            <w:tcBorders>
              <w:left w:val="nil"/>
              <w:bottom w:val="nil"/>
              <w:right w:val="nil"/>
            </w:tcBorders>
            <w:noWrap/>
            <w:hideMark/>
          </w:tcPr>
          <w:p w:rsidR="00CA4CD7" w:rsidRPr="009500F4" w:rsidRDefault="00CA4CD7" w:rsidP="00CA4CD7">
            <w:pPr>
              <w:rPr>
                <w:sz w:val="18"/>
                <w:szCs w:val="18"/>
              </w:rPr>
            </w:pPr>
            <w:r w:rsidRPr="009500F4">
              <w:rPr>
                <w:sz w:val="18"/>
                <w:szCs w:val="18"/>
              </w:rPr>
              <w:t>54,047</w:t>
            </w:r>
          </w:p>
        </w:tc>
        <w:tc>
          <w:tcPr>
            <w:tcW w:w="1000" w:type="pct"/>
            <w:tcBorders>
              <w:left w:val="nil"/>
              <w:bottom w:val="nil"/>
              <w:right w:val="nil"/>
            </w:tcBorders>
            <w:noWrap/>
            <w:hideMark/>
          </w:tcPr>
          <w:p w:rsidR="00CA4CD7" w:rsidRPr="009500F4" w:rsidRDefault="00CA4CD7" w:rsidP="00CA4CD7">
            <w:pPr>
              <w:rPr>
                <w:sz w:val="18"/>
                <w:szCs w:val="18"/>
              </w:rPr>
            </w:pPr>
            <w:r w:rsidRPr="009500F4">
              <w:rPr>
                <w:sz w:val="18"/>
                <w:szCs w:val="18"/>
              </w:rPr>
              <w:t>44</w:t>
            </w:r>
          </w:p>
        </w:tc>
        <w:tc>
          <w:tcPr>
            <w:tcW w:w="1000" w:type="pct"/>
            <w:tcBorders>
              <w:left w:val="nil"/>
              <w:bottom w:val="nil"/>
              <w:right w:val="nil"/>
            </w:tcBorders>
            <w:noWrap/>
            <w:hideMark/>
          </w:tcPr>
          <w:p w:rsidR="00CA4CD7" w:rsidRPr="009500F4" w:rsidRDefault="00CA4CD7" w:rsidP="00CA4CD7">
            <w:pPr>
              <w:rPr>
                <w:sz w:val="18"/>
                <w:szCs w:val="18"/>
              </w:rPr>
            </w:pPr>
            <w:r w:rsidRPr="009500F4">
              <w:rPr>
                <w:sz w:val="18"/>
                <w:szCs w:val="18"/>
              </w:rPr>
              <w:t>11,087</w:t>
            </w:r>
          </w:p>
        </w:tc>
        <w:tc>
          <w:tcPr>
            <w:tcW w:w="1000" w:type="pct"/>
            <w:tcBorders>
              <w:left w:val="nil"/>
              <w:bottom w:val="nil"/>
              <w:right w:val="nil"/>
            </w:tcBorders>
            <w:noWrap/>
            <w:hideMark/>
          </w:tcPr>
          <w:p w:rsidR="00CA4CD7" w:rsidRPr="009500F4" w:rsidRDefault="00CA4CD7" w:rsidP="00CA4CD7">
            <w:pPr>
              <w:rPr>
                <w:sz w:val="18"/>
                <w:szCs w:val="18"/>
              </w:rPr>
            </w:pPr>
            <w:r w:rsidRPr="009500F4">
              <w:rPr>
                <w:sz w:val="18"/>
                <w:szCs w:val="18"/>
              </w:rPr>
              <w:t>30</w:t>
            </w:r>
          </w:p>
        </w:tc>
      </w:tr>
      <w:tr w:rsidR="00813EB8" w:rsidRPr="009500F4" w:rsidTr="00170139">
        <w:trPr>
          <w:trHeight w:val="289"/>
        </w:trPr>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lastRenderedPageBreak/>
              <w:t>2012</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114,374</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111</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14,190</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28</w:t>
            </w:r>
          </w:p>
        </w:tc>
      </w:tr>
      <w:tr w:rsidR="00813EB8" w:rsidRPr="009500F4" w:rsidTr="00170139">
        <w:trPr>
          <w:trHeight w:val="289"/>
        </w:trPr>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2013</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129,665</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13</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17,094</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20</w:t>
            </w:r>
          </w:p>
        </w:tc>
      </w:tr>
      <w:tr w:rsidR="00813EB8" w:rsidRPr="009500F4" w:rsidTr="00170139">
        <w:trPr>
          <w:trHeight w:val="289"/>
        </w:trPr>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2014</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150,175</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16</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17,381</w:t>
            </w:r>
          </w:p>
        </w:tc>
        <w:tc>
          <w:tcPr>
            <w:tcW w:w="1000" w:type="pct"/>
            <w:tcBorders>
              <w:top w:val="nil"/>
              <w:left w:val="nil"/>
              <w:bottom w:val="nil"/>
              <w:right w:val="nil"/>
            </w:tcBorders>
            <w:noWrap/>
            <w:hideMark/>
          </w:tcPr>
          <w:p w:rsidR="00CA4CD7" w:rsidRPr="009500F4" w:rsidRDefault="00CA4CD7" w:rsidP="00CA4CD7">
            <w:pPr>
              <w:rPr>
                <w:sz w:val="18"/>
                <w:szCs w:val="18"/>
              </w:rPr>
            </w:pPr>
            <w:r w:rsidRPr="009500F4">
              <w:rPr>
                <w:sz w:val="18"/>
                <w:szCs w:val="18"/>
              </w:rPr>
              <w:t>2</w:t>
            </w:r>
          </w:p>
        </w:tc>
      </w:tr>
      <w:tr w:rsidR="00813EB8" w:rsidRPr="009500F4" w:rsidTr="00170139">
        <w:trPr>
          <w:trHeight w:val="289"/>
        </w:trPr>
        <w:tc>
          <w:tcPr>
            <w:tcW w:w="1000" w:type="pct"/>
            <w:tcBorders>
              <w:top w:val="nil"/>
              <w:left w:val="nil"/>
              <w:bottom w:val="single" w:sz="4" w:space="0" w:color="auto"/>
              <w:right w:val="nil"/>
            </w:tcBorders>
            <w:noWrap/>
            <w:hideMark/>
          </w:tcPr>
          <w:p w:rsidR="00CA4CD7" w:rsidRPr="009500F4" w:rsidRDefault="00CA4CD7" w:rsidP="00CA4CD7">
            <w:pPr>
              <w:rPr>
                <w:sz w:val="18"/>
                <w:szCs w:val="18"/>
              </w:rPr>
            </w:pPr>
            <w:r w:rsidRPr="009500F4">
              <w:rPr>
                <w:sz w:val="18"/>
                <w:szCs w:val="18"/>
              </w:rPr>
              <w:t>2015</w:t>
            </w:r>
          </w:p>
        </w:tc>
        <w:tc>
          <w:tcPr>
            <w:tcW w:w="1000" w:type="pct"/>
            <w:tcBorders>
              <w:top w:val="nil"/>
              <w:left w:val="nil"/>
              <w:bottom w:val="single" w:sz="4" w:space="0" w:color="auto"/>
              <w:right w:val="nil"/>
            </w:tcBorders>
            <w:noWrap/>
            <w:hideMark/>
          </w:tcPr>
          <w:p w:rsidR="00CA4CD7" w:rsidRPr="009500F4" w:rsidRDefault="00CA4CD7" w:rsidP="00CA4CD7">
            <w:pPr>
              <w:rPr>
                <w:sz w:val="18"/>
                <w:szCs w:val="18"/>
              </w:rPr>
            </w:pPr>
            <w:r w:rsidRPr="009500F4">
              <w:rPr>
                <w:sz w:val="18"/>
                <w:szCs w:val="18"/>
              </w:rPr>
              <w:t>245,819</w:t>
            </w:r>
          </w:p>
        </w:tc>
        <w:tc>
          <w:tcPr>
            <w:tcW w:w="1000" w:type="pct"/>
            <w:tcBorders>
              <w:top w:val="nil"/>
              <w:left w:val="nil"/>
              <w:bottom w:val="single" w:sz="4" w:space="0" w:color="auto"/>
              <w:right w:val="nil"/>
            </w:tcBorders>
            <w:noWrap/>
            <w:hideMark/>
          </w:tcPr>
          <w:p w:rsidR="00CA4CD7" w:rsidRPr="009500F4" w:rsidRDefault="00CA4CD7" w:rsidP="00CA4CD7">
            <w:pPr>
              <w:rPr>
                <w:sz w:val="18"/>
                <w:szCs w:val="18"/>
              </w:rPr>
            </w:pPr>
            <w:r w:rsidRPr="009500F4">
              <w:rPr>
                <w:sz w:val="18"/>
                <w:szCs w:val="18"/>
              </w:rPr>
              <w:t>70</w:t>
            </w:r>
          </w:p>
        </w:tc>
        <w:tc>
          <w:tcPr>
            <w:tcW w:w="1000" w:type="pct"/>
            <w:tcBorders>
              <w:top w:val="nil"/>
              <w:left w:val="nil"/>
              <w:bottom w:val="single" w:sz="4" w:space="0" w:color="auto"/>
              <w:right w:val="nil"/>
            </w:tcBorders>
            <w:noWrap/>
            <w:hideMark/>
          </w:tcPr>
          <w:p w:rsidR="00CA4CD7" w:rsidRPr="009500F4" w:rsidRDefault="00CA4CD7" w:rsidP="00CA4CD7">
            <w:pPr>
              <w:rPr>
                <w:sz w:val="18"/>
                <w:szCs w:val="18"/>
              </w:rPr>
            </w:pPr>
            <w:r w:rsidRPr="009500F4">
              <w:rPr>
                <w:sz w:val="18"/>
                <w:szCs w:val="18"/>
              </w:rPr>
              <w:t>17,146</w:t>
            </w:r>
          </w:p>
        </w:tc>
        <w:tc>
          <w:tcPr>
            <w:tcW w:w="1000" w:type="pct"/>
            <w:tcBorders>
              <w:top w:val="nil"/>
              <w:left w:val="nil"/>
              <w:bottom w:val="single" w:sz="4" w:space="0" w:color="auto"/>
              <w:right w:val="nil"/>
            </w:tcBorders>
            <w:noWrap/>
            <w:hideMark/>
          </w:tcPr>
          <w:p w:rsidR="00CA4CD7" w:rsidRPr="009500F4" w:rsidRDefault="00CA4CD7" w:rsidP="00CA4CD7">
            <w:pPr>
              <w:rPr>
                <w:sz w:val="18"/>
                <w:szCs w:val="18"/>
              </w:rPr>
            </w:pPr>
            <w:r w:rsidRPr="009500F4">
              <w:rPr>
                <w:sz w:val="18"/>
                <w:szCs w:val="18"/>
              </w:rPr>
              <w:t>-1</w:t>
            </w:r>
          </w:p>
        </w:tc>
      </w:tr>
    </w:tbl>
    <w:p w:rsidR="00AF6547" w:rsidRPr="009500F4" w:rsidRDefault="00AF6547" w:rsidP="00AF6547">
      <w:pPr>
        <w:rPr>
          <w:sz w:val="16"/>
          <w:szCs w:val="16"/>
        </w:rPr>
      </w:pPr>
      <w:r w:rsidRPr="009500F4">
        <w:rPr>
          <w:sz w:val="16"/>
          <w:szCs w:val="16"/>
        </w:rPr>
        <w:t>Source: Private Sector Development Initiative.</w:t>
      </w:r>
    </w:p>
    <w:p w:rsidR="007A5780" w:rsidRPr="009500F4" w:rsidRDefault="007A5780" w:rsidP="00CA4CD7"/>
    <w:p w:rsidR="00CA4CD7" w:rsidRPr="009500F4" w:rsidRDefault="008F198D" w:rsidP="00170139">
      <w:pPr>
        <w:keepNext/>
        <w:spacing w:after="160"/>
        <w:ind w:left="1077"/>
        <w:outlineLvl w:val="1"/>
        <w:rPr>
          <w:rFonts w:eastAsia="Times New Roman" w:cs="Arial"/>
          <w:b/>
          <w:bCs/>
          <w:iCs/>
          <w:szCs w:val="22"/>
          <w:lang w:eastAsia="en-US"/>
        </w:rPr>
      </w:pPr>
      <w:bookmarkStart w:id="146" w:name="_Toc494271719"/>
      <w:bookmarkStart w:id="147" w:name="_Toc494367945"/>
      <w:bookmarkStart w:id="148" w:name="_Toc494378789"/>
      <w:bookmarkStart w:id="149" w:name="_Toc494378871"/>
      <w:r w:rsidRPr="009500F4">
        <w:rPr>
          <w:rFonts w:eastAsia="Times New Roman" w:cs="Arial"/>
          <w:b/>
          <w:bCs/>
          <w:iCs/>
          <w:szCs w:val="22"/>
          <w:lang w:eastAsia="en-US"/>
        </w:rPr>
        <w:t>2.</w:t>
      </w:r>
      <w:r w:rsidR="00386F3B" w:rsidRPr="009500F4">
        <w:rPr>
          <w:rFonts w:eastAsia="Times New Roman" w:cs="Arial"/>
          <w:b/>
          <w:bCs/>
          <w:iCs/>
          <w:szCs w:val="22"/>
          <w:lang w:eastAsia="en-US"/>
        </w:rPr>
        <w:tab/>
      </w:r>
      <w:r w:rsidR="00CA4CD7" w:rsidRPr="009500F4">
        <w:rPr>
          <w:rFonts w:eastAsia="Times New Roman" w:cs="Arial"/>
          <w:b/>
          <w:bCs/>
          <w:iCs/>
          <w:szCs w:val="22"/>
          <w:lang w:eastAsia="en-US"/>
        </w:rPr>
        <w:t>Business Law Reform</w:t>
      </w:r>
      <w:bookmarkEnd w:id="146"/>
      <w:bookmarkEnd w:id="147"/>
      <w:bookmarkEnd w:id="148"/>
      <w:bookmarkEnd w:id="149"/>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 aims to encourage new business formation and investment in an equitable, inclusive manner. This means (i) streamlining the legal and administrative processes related to business formation, governance, exit, and other key </w:t>
      </w:r>
      <w:r w:rsidR="000B74C5" w:rsidRPr="009500F4">
        <w:rPr>
          <w:rFonts w:eastAsia="Calibri" w:cs="Arial"/>
          <w:szCs w:val="22"/>
          <w:lang w:eastAsia="en-US"/>
        </w:rPr>
        <w:t>phases of business operation</w:t>
      </w:r>
      <w:r w:rsidRPr="009500F4">
        <w:rPr>
          <w:rFonts w:eastAsia="Calibri" w:cs="Arial"/>
          <w:szCs w:val="22"/>
          <w:lang w:eastAsia="en-US"/>
        </w:rPr>
        <w:t xml:space="preserve">; and (ii) tailoring the available company structures to fit the requirements of typical entrepreneurs </w:t>
      </w:r>
      <w:r w:rsidR="00A87346" w:rsidRPr="009500F4">
        <w:rPr>
          <w:rFonts w:eastAsia="Calibri" w:cs="Arial"/>
          <w:szCs w:val="22"/>
          <w:lang w:eastAsia="en-US"/>
        </w:rPr>
        <w:t xml:space="preserve">(including women) </w:t>
      </w:r>
      <w:r w:rsidRPr="009500F4">
        <w:rPr>
          <w:rFonts w:eastAsia="Calibri" w:cs="Arial"/>
          <w:szCs w:val="22"/>
          <w:lang w:eastAsia="en-US"/>
        </w:rPr>
        <w:t xml:space="preserve">and of communities with shared economic assets. By easing entry into the formal </w:t>
      </w:r>
      <w:r w:rsidR="00A87346" w:rsidRPr="009500F4">
        <w:rPr>
          <w:rFonts w:eastAsia="Calibri" w:cs="Arial"/>
          <w:szCs w:val="22"/>
          <w:lang w:eastAsia="en-US"/>
        </w:rPr>
        <w:t>economy</w:t>
      </w:r>
      <w:r w:rsidRPr="009500F4">
        <w:rPr>
          <w:rFonts w:eastAsia="Calibri" w:cs="Arial"/>
          <w:szCs w:val="22"/>
          <w:lang w:eastAsia="en-US"/>
        </w:rPr>
        <w:t>, PSDI hopes to enable entrepreneurs to open bank accounts, access grants, enter into contracts with other parties, and engage in import-export transactions</w:t>
      </w:r>
      <w:r w:rsidR="00EB420F" w:rsidRPr="009500F4">
        <w:rPr>
          <w:rFonts w:eastAsia="Calibri" w:cs="Arial"/>
          <w:szCs w:val="22"/>
          <w:lang w:eastAsia="en-US"/>
        </w:rPr>
        <w:t>.</w:t>
      </w:r>
    </w:p>
    <w:p w:rsidR="00EB420F" w:rsidRPr="009500F4" w:rsidRDefault="00EB420F" w:rsidP="00EB420F">
      <w:pPr>
        <w:tabs>
          <w:tab w:val="left" w:pos="567"/>
        </w:tabs>
        <w:rPr>
          <w:rFonts w:eastAsia="Calibri" w:cs="Arial"/>
          <w:szCs w:val="22"/>
          <w:lang w:eastAsia="en-US"/>
        </w:rPr>
      </w:pPr>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PSDI follows a basic “</w:t>
      </w:r>
      <w:r w:rsidR="00F8214A" w:rsidRPr="009500F4">
        <w:rPr>
          <w:rFonts w:eastAsia="Calibri" w:cs="Arial"/>
          <w:szCs w:val="22"/>
          <w:lang w:eastAsia="en-US"/>
        </w:rPr>
        <w:t>r</w:t>
      </w:r>
      <w:r w:rsidRPr="009500F4">
        <w:rPr>
          <w:rFonts w:eastAsia="Calibri" w:cs="Arial"/>
          <w:szCs w:val="22"/>
          <w:lang w:eastAsia="en-US"/>
        </w:rPr>
        <w:t>oadmap” for reform processes</w:t>
      </w:r>
      <w:r w:rsidR="00A87346" w:rsidRPr="009500F4">
        <w:rPr>
          <w:rFonts w:eastAsia="Calibri" w:cs="Arial"/>
          <w:szCs w:val="22"/>
          <w:lang w:eastAsia="en-US"/>
        </w:rPr>
        <w:t>. The roadmap is</w:t>
      </w:r>
      <w:r w:rsidRPr="009500F4">
        <w:rPr>
          <w:rFonts w:eastAsia="Calibri" w:cs="Arial"/>
          <w:szCs w:val="22"/>
          <w:lang w:eastAsia="en-US"/>
        </w:rPr>
        <w:t xml:space="preserve"> designed to enhance stakeholder understanding, capacity, and support in tandem with the </w:t>
      </w:r>
      <w:r w:rsidR="00A87346" w:rsidRPr="009500F4">
        <w:rPr>
          <w:rFonts w:eastAsia="Calibri" w:cs="Arial"/>
          <w:szCs w:val="22"/>
          <w:lang w:eastAsia="en-US"/>
        </w:rPr>
        <w:t xml:space="preserve">provision </w:t>
      </w:r>
      <w:r w:rsidRPr="009500F4">
        <w:rPr>
          <w:rFonts w:eastAsia="Calibri" w:cs="Arial"/>
          <w:szCs w:val="22"/>
          <w:lang w:eastAsia="en-US"/>
        </w:rPr>
        <w:t xml:space="preserve">of intellectual and technological </w:t>
      </w:r>
      <w:r w:rsidR="00A87346" w:rsidRPr="009500F4">
        <w:rPr>
          <w:rFonts w:eastAsia="Calibri" w:cs="Arial"/>
          <w:szCs w:val="22"/>
          <w:lang w:eastAsia="en-US"/>
        </w:rPr>
        <w:t xml:space="preserve">assistance </w:t>
      </w:r>
      <w:r w:rsidR="003F08DD">
        <w:rPr>
          <w:rFonts w:eastAsia="Calibri" w:cs="Arial"/>
          <w:szCs w:val="22"/>
          <w:lang w:eastAsia="en-US"/>
        </w:rPr>
        <w:t>(Box 2</w:t>
      </w:r>
      <w:r w:rsidR="00EB420F" w:rsidRPr="009500F4">
        <w:rPr>
          <w:rFonts w:eastAsia="Calibri" w:cs="Arial"/>
          <w:szCs w:val="22"/>
          <w:lang w:eastAsia="en-US"/>
        </w:rPr>
        <w:t>).</w:t>
      </w:r>
    </w:p>
    <w:p w:rsidR="00EB09FB" w:rsidRDefault="00EB09FB">
      <w:pPr>
        <w:jc w:val="left"/>
        <w:rPr>
          <w:rFonts w:eastAsia="Calibri" w:cs="Arial"/>
          <w:szCs w:val="22"/>
          <w:lang w:eastAsia="en-US"/>
        </w:rPr>
      </w:pPr>
    </w:p>
    <w:tbl>
      <w:tblPr>
        <w:tblStyle w:val="TableGrid"/>
        <w:tblW w:w="0" w:type="auto"/>
        <w:tblLook w:val="04A0" w:firstRow="1" w:lastRow="0" w:firstColumn="1" w:lastColumn="0" w:noHBand="0" w:noVBand="1"/>
      </w:tblPr>
      <w:tblGrid>
        <w:gridCol w:w="9350"/>
      </w:tblGrid>
      <w:tr w:rsidR="00EB09FB" w:rsidTr="00EB09FB">
        <w:tc>
          <w:tcPr>
            <w:tcW w:w="9576" w:type="dxa"/>
          </w:tcPr>
          <w:p w:rsidR="00EB09FB" w:rsidRPr="00D6162F" w:rsidRDefault="003F08DD">
            <w:pPr>
              <w:jc w:val="center"/>
              <w:rPr>
                <w:b/>
                <w:sz w:val="20"/>
                <w:szCs w:val="20"/>
              </w:rPr>
            </w:pPr>
            <w:r>
              <w:rPr>
                <w:b/>
                <w:sz w:val="20"/>
                <w:szCs w:val="20"/>
              </w:rPr>
              <w:t>Box 2</w:t>
            </w:r>
            <w:r w:rsidR="00EB09FB" w:rsidRPr="00D6162F">
              <w:rPr>
                <w:b/>
                <w:sz w:val="20"/>
                <w:szCs w:val="20"/>
              </w:rPr>
              <w:t>: Reform Roadmap Used by</w:t>
            </w:r>
          </w:p>
          <w:p w:rsidR="00EB09FB" w:rsidRPr="00D6162F" w:rsidRDefault="00EB09FB">
            <w:pPr>
              <w:jc w:val="center"/>
              <w:rPr>
                <w:sz w:val="20"/>
                <w:szCs w:val="20"/>
              </w:rPr>
            </w:pPr>
            <w:r w:rsidRPr="00D6162F">
              <w:rPr>
                <w:b/>
                <w:sz w:val="20"/>
                <w:szCs w:val="20"/>
              </w:rPr>
              <w:t>the Pacific Private Sector Development Initiative</w:t>
            </w:r>
          </w:p>
          <w:p w:rsidR="00EB09FB" w:rsidRPr="007B27E8" w:rsidRDefault="00EB09FB">
            <w:pPr>
              <w:rPr>
                <w:sz w:val="18"/>
                <w:szCs w:val="18"/>
              </w:rPr>
            </w:pPr>
          </w:p>
          <w:p w:rsidR="00EB09FB" w:rsidRPr="007B27E8" w:rsidRDefault="00EB09FB">
            <w:pPr>
              <w:rPr>
                <w:sz w:val="18"/>
                <w:szCs w:val="18"/>
              </w:rPr>
            </w:pPr>
            <w:r w:rsidRPr="007B27E8">
              <w:rPr>
                <w:sz w:val="18"/>
                <w:szCs w:val="18"/>
              </w:rPr>
              <w:t>The reform roadmap used by the Pacific Private Sector Development Initiative (PSDI) calls for work to be initiated by a formal request from the government’s cabinet or a relevant ministry. A reform taskforce is set up and generally comprises representatives from government, the finance sector, the private sector, women’s business organizations, and other key stakeholders. PSDI then prepares a diagnostic of the relevant legal and/or regulatory elements, and on this basis presents a “white paper” for policy reform. Proposals are reviewed and discussed via taskforce meetings, written submissions, and other forums. If the government decides to move forward, PSDI develops a draft policy framework for review and approval by the cabinet or council of ministers. The approved framework serves as the basis for draft legislation. PSDI usually provides technical assistance in legal drafting, particularly in specialized areas where country capacity is limited, or alternatively offers input on request by the parliamentary drafters. PSDI then supports capacity building, business-process change for the public body responsible for the law, and campaigns to raise awareness of the new law. As implementation proceeds, PSDI works with its counterparts to review the effectiveness of new rules, technology, and business processes (Annual Progress Report 2015-16, pp. 12–14).</w:t>
            </w:r>
          </w:p>
          <w:p w:rsidR="00EB09FB" w:rsidRPr="007B27E8" w:rsidRDefault="00EB09FB">
            <w:pPr>
              <w:rPr>
                <w:sz w:val="18"/>
                <w:szCs w:val="18"/>
              </w:rPr>
            </w:pPr>
          </w:p>
          <w:p w:rsidR="00EB09FB" w:rsidRDefault="00EB09FB" w:rsidP="00D6162F">
            <w:pPr>
              <w:rPr>
                <w:szCs w:val="22"/>
                <w:lang w:eastAsia="en-US"/>
              </w:rPr>
            </w:pPr>
            <w:r w:rsidRPr="00186BF3">
              <w:rPr>
                <w:sz w:val="16"/>
                <w:szCs w:val="16"/>
              </w:rPr>
              <w:t>Source: Private Sector Development Initiative.</w:t>
            </w:r>
          </w:p>
        </w:tc>
      </w:tr>
    </w:tbl>
    <w:p w:rsidR="00CA4CD7" w:rsidRPr="00813EB8" w:rsidRDefault="00CA4CD7" w:rsidP="00CA4CD7"/>
    <w:p w:rsidR="00CA4CD7" w:rsidRPr="00170139" w:rsidRDefault="00CA4CD7" w:rsidP="00170139">
      <w:pPr>
        <w:pStyle w:val="ListParagraph"/>
        <w:numPr>
          <w:ilvl w:val="1"/>
          <w:numId w:val="10"/>
        </w:numPr>
        <w:ind w:left="2342" w:hanging="357"/>
        <w:rPr>
          <w:b/>
        </w:rPr>
      </w:pPr>
      <w:r w:rsidRPr="00170139">
        <w:rPr>
          <w:b/>
        </w:rPr>
        <w:t>Registries</w:t>
      </w:r>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In the </w:t>
      </w:r>
      <w:r w:rsidR="00F8214A" w:rsidRPr="009500F4">
        <w:rPr>
          <w:rFonts w:eastAsia="Calibri" w:cs="Arial"/>
          <w:szCs w:val="22"/>
          <w:lang w:eastAsia="en-US"/>
        </w:rPr>
        <w:t>b</w:t>
      </w:r>
      <w:r w:rsidRPr="009500F4">
        <w:rPr>
          <w:rFonts w:eastAsia="Calibri" w:cs="Arial"/>
          <w:szCs w:val="22"/>
          <w:lang w:eastAsia="en-US"/>
        </w:rPr>
        <w:t xml:space="preserve">usiness </w:t>
      </w:r>
      <w:r w:rsidR="00F8214A" w:rsidRPr="009500F4">
        <w:rPr>
          <w:rFonts w:eastAsia="Calibri" w:cs="Arial"/>
          <w:szCs w:val="22"/>
          <w:lang w:eastAsia="en-US"/>
        </w:rPr>
        <w:t>l</w:t>
      </w:r>
      <w:r w:rsidRPr="009500F4">
        <w:rPr>
          <w:rFonts w:eastAsia="Calibri" w:cs="Arial"/>
          <w:szCs w:val="22"/>
          <w:lang w:eastAsia="en-US"/>
        </w:rPr>
        <w:t xml:space="preserve">aw </w:t>
      </w:r>
      <w:r w:rsidR="00F8214A" w:rsidRPr="009500F4">
        <w:rPr>
          <w:rFonts w:eastAsia="Calibri" w:cs="Arial"/>
          <w:szCs w:val="22"/>
          <w:lang w:eastAsia="en-US"/>
        </w:rPr>
        <w:t>r</w:t>
      </w:r>
      <w:r w:rsidRPr="009500F4">
        <w:rPr>
          <w:rFonts w:eastAsia="Calibri" w:cs="Arial"/>
          <w:szCs w:val="22"/>
          <w:lang w:eastAsia="en-US"/>
        </w:rPr>
        <w:t xml:space="preserve">eform area, the question of sustainability arises most sharply with the establishment of a registry (this </w:t>
      </w:r>
      <w:r w:rsidR="00180FF4" w:rsidRPr="009500F4">
        <w:rPr>
          <w:rFonts w:eastAsia="Calibri" w:cs="Arial"/>
          <w:szCs w:val="22"/>
          <w:lang w:eastAsia="en-US"/>
        </w:rPr>
        <w:t xml:space="preserve">also </w:t>
      </w:r>
      <w:r w:rsidRPr="009500F4">
        <w:rPr>
          <w:rFonts w:eastAsia="Calibri" w:cs="Arial"/>
          <w:szCs w:val="22"/>
          <w:lang w:eastAsia="en-US"/>
        </w:rPr>
        <w:t xml:space="preserve">pertains to registries set up under the </w:t>
      </w:r>
      <w:r w:rsidR="00180FF4" w:rsidRPr="009500F4">
        <w:rPr>
          <w:rFonts w:eastAsia="Calibri" w:cs="Arial"/>
          <w:szCs w:val="22"/>
          <w:lang w:eastAsia="en-US"/>
        </w:rPr>
        <w:t>f</w:t>
      </w:r>
      <w:r w:rsidRPr="009500F4">
        <w:rPr>
          <w:rFonts w:eastAsia="Calibri" w:cs="Arial"/>
          <w:szCs w:val="22"/>
          <w:lang w:eastAsia="en-US"/>
        </w:rPr>
        <w:t xml:space="preserve">inancing </w:t>
      </w:r>
      <w:r w:rsidR="00180FF4" w:rsidRPr="009500F4">
        <w:rPr>
          <w:rFonts w:eastAsia="Calibri" w:cs="Arial"/>
          <w:szCs w:val="22"/>
          <w:lang w:eastAsia="en-US"/>
        </w:rPr>
        <w:t>g</w:t>
      </w:r>
      <w:r w:rsidRPr="009500F4">
        <w:rPr>
          <w:rFonts w:eastAsia="Calibri" w:cs="Arial"/>
          <w:szCs w:val="22"/>
          <w:lang w:eastAsia="en-US"/>
        </w:rPr>
        <w:t xml:space="preserve">rowth component as discussed </w:t>
      </w:r>
      <w:r w:rsidR="00180FF4" w:rsidRPr="009500F4">
        <w:rPr>
          <w:rFonts w:eastAsia="Calibri" w:cs="Arial"/>
          <w:szCs w:val="22"/>
          <w:lang w:eastAsia="en-US"/>
        </w:rPr>
        <w:t>in para.</w:t>
      </w:r>
      <w:r w:rsidR="00973E88" w:rsidRPr="009500F4">
        <w:rPr>
          <w:rFonts w:eastAsia="Calibri" w:cs="Arial"/>
          <w:szCs w:val="22"/>
          <w:lang w:eastAsia="en-US"/>
        </w:rPr>
        <w:t xml:space="preserve"> 110</w:t>
      </w:r>
      <w:r w:rsidRPr="009500F4">
        <w:rPr>
          <w:rFonts w:eastAsia="Calibri" w:cs="Arial"/>
          <w:szCs w:val="22"/>
          <w:lang w:eastAsia="en-US"/>
        </w:rPr>
        <w:t>). Where a company registry is established, PSDI facilitates the transfer of technology through a partner</w:t>
      </w:r>
      <w:r w:rsidR="00180FF4" w:rsidRPr="009500F4">
        <w:rPr>
          <w:rFonts w:eastAsia="Calibri" w:cs="Arial"/>
          <w:szCs w:val="22"/>
          <w:lang w:eastAsia="en-US"/>
        </w:rPr>
        <w:t>,</w:t>
      </w:r>
      <w:r w:rsidRPr="009500F4">
        <w:rPr>
          <w:rFonts w:eastAsia="Calibri" w:cs="Arial"/>
          <w:szCs w:val="22"/>
          <w:lang w:eastAsia="en-US"/>
        </w:rPr>
        <w:t xml:space="preserve"> </w:t>
      </w:r>
      <w:r w:rsidR="00180FF4" w:rsidRPr="009500F4">
        <w:rPr>
          <w:rFonts w:eastAsia="Calibri" w:cs="Arial"/>
          <w:szCs w:val="22"/>
          <w:lang w:eastAsia="en-US"/>
        </w:rPr>
        <w:t>e.g.,</w:t>
      </w:r>
      <w:r w:rsidRPr="009500F4">
        <w:rPr>
          <w:rFonts w:eastAsia="Calibri" w:cs="Arial"/>
          <w:szCs w:val="22"/>
          <w:lang w:eastAsia="en-US"/>
        </w:rPr>
        <w:t xml:space="preserve"> the New Zealand Companies Office. For example, PSDI supported the development of an electronic registry in Tonga, which includes a website to facilitate the registration of companies and business names </w:t>
      </w:r>
      <w:r w:rsidR="00180FF4" w:rsidRPr="009500F4">
        <w:rPr>
          <w:rFonts w:eastAsia="Calibri" w:cs="Arial"/>
          <w:szCs w:val="22"/>
          <w:lang w:eastAsia="en-US"/>
        </w:rPr>
        <w:t xml:space="preserve">as well as </w:t>
      </w:r>
      <w:r w:rsidRPr="009500F4">
        <w:rPr>
          <w:rFonts w:eastAsia="Calibri" w:cs="Arial"/>
          <w:szCs w:val="22"/>
          <w:lang w:eastAsia="en-US"/>
        </w:rPr>
        <w:t xml:space="preserve">the licensing of businesses. </w:t>
      </w:r>
      <w:r w:rsidR="00180FF4" w:rsidRPr="009500F4">
        <w:rPr>
          <w:rFonts w:eastAsia="Calibri" w:cs="Arial"/>
          <w:szCs w:val="22"/>
          <w:lang w:eastAsia="en-US"/>
        </w:rPr>
        <w:t xml:space="preserve">This </w:t>
      </w:r>
      <w:r w:rsidRPr="009500F4">
        <w:rPr>
          <w:rFonts w:eastAsia="Calibri" w:cs="Arial"/>
          <w:szCs w:val="22"/>
          <w:lang w:eastAsia="en-US"/>
        </w:rPr>
        <w:t>online facility makes it unnecessary for applicants to travel</w:t>
      </w:r>
      <w:r w:rsidR="00EB420F" w:rsidRPr="009500F4">
        <w:rPr>
          <w:rFonts w:eastAsia="Calibri" w:cs="Arial"/>
          <w:szCs w:val="22"/>
          <w:lang w:eastAsia="en-US"/>
        </w:rPr>
        <w:t xml:space="preserve"> in person to the capital city.</w:t>
      </w:r>
    </w:p>
    <w:p w:rsidR="00EB420F" w:rsidRPr="009500F4" w:rsidRDefault="00EB420F" w:rsidP="00CA4CD7"/>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Once implementation is underway, PSDI’s approach is to conduct a phased exit, withdrawing technical and financial assistance with an eye to sustainability. Subsequent reviews by PSDI consultants and counterparts allow for necessary adjustments in rules, technology platforms, and business processes. The PSDI team tries to help the registry office and its home institution to secure sufficient revenue sources to support itself without depending on donor funds, and ideally without discretionary allocations from the </w:t>
      </w:r>
      <w:r w:rsidR="002F5FB5" w:rsidRPr="009500F4">
        <w:rPr>
          <w:rFonts w:eastAsia="Calibri" w:cs="Arial"/>
          <w:szCs w:val="22"/>
          <w:lang w:eastAsia="en-US"/>
        </w:rPr>
        <w:t xml:space="preserve">national </w:t>
      </w:r>
      <w:r w:rsidRPr="009500F4">
        <w:rPr>
          <w:rFonts w:eastAsia="Calibri" w:cs="Arial"/>
          <w:szCs w:val="22"/>
          <w:lang w:eastAsia="en-US"/>
        </w:rPr>
        <w:t xml:space="preserve">budget. This means that the system </w:t>
      </w:r>
      <w:r w:rsidRPr="009500F4">
        <w:rPr>
          <w:rFonts w:eastAsia="Calibri" w:cs="Arial"/>
          <w:szCs w:val="22"/>
          <w:lang w:eastAsia="en-US"/>
        </w:rPr>
        <w:lastRenderedPageBreak/>
        <w:t>must be in a position to set its fee schedules, and to manage this revenue, so that it covers the bulk of the registry’s costs</w:t>
      </w:r>
      <w:r w:rsidR="002F5FB5" w:rsidRPr="009500F4">
        <w:rPr>
          <w:rFonts w:eastAsia="Calibri" w:cs="Arial"/>
          <w:szCs w:val="22"/>
          <w:lang w:eastAsia="en-US"/>
        </w:rPr>
        <w:t xml:space="preserve"> (</w:t>
      </w:r>
      <w:r w:rsidR="003F08DD">
        <w:rPr>
          <w:rFonts w:eastAsia="Calibri" w:cs="Arial"/>
          <w:szCs w:val="22"/>
          <w:lang w:eastAsia="en-US"/>
        </w:rPr>
        <w:t>Box 3</w:t>
      </w:r>
      <w:r w:rsidR="002F5FB5" w:rsidRPr="009500F4">
        <w:rPr>
          <w:rFonts w:eastAsia="Calibri" w:cs="Arial"/>
          <w:szCs w:val="22"/>
          <w:lang w:eastAsia="en-US"/>
        </w:rPr>
        <w:t>)</w:t>
      </w:r>
      <w:r w:rsidRPr="009500F4">
        <w:rPr>
          <w:rFonts w:eastAsia="Calibri" w:cs="Arial"/>
          <w:szCs w:val="22"/>
          <w:lang w:eastAsia="en-US"/>
        </w:rPr>
        <w:t>.</w:t>
      </w:r>
    </w:p>
    <w:p w:rsidR="00EB420F" w:rsidRPr="009500F4" w:rsidRDefault="00EB420F" w:rsidP="00CA4CD7"/>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Timor</w:t>
      </w:r>
      <w:r w:rsidR="002F5FB5" w:rsidRPr="009500F4">
        <w:rPr>
          <w:rFonts w:eastAsia="Calibri" w:cs="Arial"/>
          <w:szCs w:val="22"/>
          <w:lang w:eastAsia="en-US"/>
        </w:rPr>
        <w:t>-Leste</w:t>
      </w:r>
      <w:r w:rsidRPr="009500F4">
        <w:rPr>
          <w:rFonts w:eastAsia="Calibri" w:cs="Arial"/>
          <w:szCs w:val="22"/>
          <w:lang w:eastAsia="en-US"/>
        </w:rPr>
        <w:t xml:space="preserve"> faces </w:t>
      </w:r>
      <w:r w:rsidR="002F5FB5" w:rsidRPr="009500F4">
        <w:rPr>
          <w:rFonts w:eastAsia="Calibri" w:cs="Arial"/>
          <w:szCs w:val="22"/>
          <w:lang w:eastAsia="en-US"/>
        </w:rPr>
        <w:t xml:space="preserve">registry </w:t>
      </w:r>
      <w:r w:rsidRPr="009500F4">
        <w:rPr>
          <w:rFonts w:eastAsia="Calibri" w:cs="Arial"/>
          <w:szCs w:val="22"/>
          <w:lang w:eastAsia="en-US"/>
        </w:rPr>
        <w:t>challenges similar to those in Solomon</w:t>
      </w:r>
      <w:r w:rsidR="002F5FB5" w:rsidRPr="009500F4">
        <w:rPr>
          <w:rFonts w:eastAsia="Calibri" w:cs="Arial"/>
          <w:szCs w:val="22"/>
          <w:lang w:eastAsia="en-US"/>
        </w:rPr>
        <w:t xml:space="preserve"> Island</w:t>
      </w:r>
      <w:r w:rsidRPr="009500F4">
        <w:rPr>
          <w:rFonts w:eastAsia="Calibri" w:cs="Arial"/>
          <w:szCs w:val="22"/>
          <w:lang w:eastAsia="en-US"/>
        </w:rPr>
        <w:t xml:space="preserve">s. </w:t>
      </w:r>
      <w:r w:rsidR="00156B5A">
        <w:rPr>
          <w:rFonts w:eastAsia="Calibri" w:cs="Arial"/>
          <w:szCs w:val="22"/>
          <w:lang w:eastAsia="en-US"/>
        </w:rPr>
        <w:t xml:space="preserve">Although not supported by PSDI, </w:t>
      </w:r>
      <w:r w:rsidRPr="009500F4">
        <w:rPr>
          <w:rFonts w:eastAsia="Calibri" w:cs="Arial"/>
          <w:szCs w:val="22"/>
          <w:lang w:eastAsia="en-US"/>
        </w:rPr>
        <w:t>Timor</w:t>
      </w:r>
      <w:r w:rsidR="00EC32AF" w:rsidRPr="009500F4">
        <w:rPr>
          <w:rFonts w:eastAsia="Calibri" w:cs="Arial"/>
          <w:szCs w:val="22"/>
          <w:lang w:eastAsia="en-US"/>
        </w:rPr>
        <w:t>-</w:t>
      </w:r>
      <w:r w:rsidR="002F5FB5" w:rsidRPr="009500F4">
        <w:rPr>
          <w:rFonts w:eastAsia="Calibri" w:cs="Arial"/>
          <w:szCs w:val="22"/>
          <w:lang w:eastAsia="en-US"/>
        </w:rPr>
        <w:t>Leste</w:t>
      </w:r>
      <w:r w:rsidRPr="009500F4">
        <w:rPr>
          <w:rFonts w:eastAsia="Calibri" w:cs="Arial"/>
          <w:szCs w:val="22"/>
          <w:lang w:eastAsia="en-US"/>
        </w:rPr>
        <w:t>’s registry system is part of a one-stop-shop (known as SERVE) aimed at bringing efficiency, convenience, and a service-orientation to several key steps in the process of business establishment and regulation. SERVE does not have access to any electronic</w:t>
      </w:r>
      <w:r w:rsidR="002F5FB5" w:rsidRPr="009500F4">
        <w:rPr>
          <w:rFonts w:eastAsia="Calibri" w:cs="Arial"/>
          <w:szCs w:val="22"/>
          <w:lang w:eastAsia="en-US"/>
        </w:rPr>
        <w:t xml:space="preserve"> system for</w:t>
      </w:r>
      <w:r w:rsidRPr="009500F4">
        <w:rPr>
          <w:rFonts w:eastAsia="Calibri" w:cs="Arial"/>
          <w:szCs w:val="22"/>
          <w:lang w:eastAsia="en-US"/>
        </w:rPr>
        <w:t xml:space="preserve"> fee payment, nor does it yet have a satisfactory agreement with</w:t>
      </w:r>
      <w:r w:rsidR="002F5FB5" w:rsidRPr="009500F4">
        <w:rPr>
          <w:rFonts w:eastAsia="Calibri" w:cs="Arial"/>
          <w:szCs w:val="22"/>
          <w:lang w:eastAsia="en-US"/>
        </w:rPr>
        <w:t xml:space="preserve"> the</w:t>
      </w:r>
      <w:r w:rsidRPr="009500F4">
        <w:rPr>
          <w:rFonts w:eastAsia="Calibri" w:cs="Arial"/>
          <w:szCs w:val="22"/>
          <w:lang w:eastAsia="en-US"/>
        </w:rPr>
        <w:t xml:space="preserve"> government on fiscal management and retention of fees.</w:t>
      </w:r>
    </w:p>
    <w:p w:rsidR="00EB09FB" w:rsidRDefault="00EB09FB" w:rsidP="00EB420F">
      <w:pPr>
        <w:tabs>
          <w:tab w:val="left" w:pos="567"/>
        </w:tabs>
        <w:rPr>
          <w:rFonts w:eastAsia="Calibri" w:cs="Arial"/>
          <w:szCs w:val="22"/>
          <w:lang w:eastAsia="en-US"/>
        </w:rPr>
      </w:pPr>
    </w:p>
    <w:tbl>
      <w:tblPr>
        <w:tblStyle w:val="TableGrid"/>
        <w:tblW w:w="0" w:type="auto"/>
        <w:tblLook w:val="04A0" w:firstRow="1" w:lastRow="0" w:firstColumn="1" w:lastColumn="0" w:noHBand="0" w:noVBand="1"/>
      </w:tblPr>
      <w:tblGrid>
        <w:gridCol w:w="9350"/>
      </w:tblGrid>
      <w:tr w:rsidR="00EB09FB" w:rsidTr="00EB09FB">
        <w:tc>
          <w:tcPr>
            <w:tcW w:w="9576" w:type="dxa"/>
          </w:tcPr>
          <w:p w:rsidR="00EB09FB" w:rsidRPr="00D6162F" w:rsidRDefault="003F08DD">
            <w:pPr>
              <w:jc w:val="center"/>
              <w:rPr>
                <w:b/>
                <w:sz w:val="20"/>
                <w:szCs w:val="20"/>
              </w:rPr>
            </w:pPr>
            <w:r>
              <w:rPr>
                <w:b/>
                <w:sz w:val="20"/>
                <w:szCs w:val="20"/>
              </w:rPr>
              <w:t>Box 3</w:t>
            </w:r>
            <w:r w:rsidR="00EB09FB" w:rsidRPr="00D6162F">
              <w:rPr>
                <w:b/>
                <w:sz w:val="20"/>
                <w:szCs w:val="20"/>
              </w:rPr>
              <w:t>: Registries in Solomon Islands</w:t>
            </w:r>
          </w:p>
          <w:p w:rsidR="00EB09FB" w:rsidRPr="007B27E8" w:rsidRDefault="00EB09FB">
            <w:pPr>
              <w:rPr>
                <w:sz w:val="18"/>
                <w:szCs w:val="18"/>
              </w:rPr>
            </w:pPr>
          </w:p>
          <w:p w:rsidR="00EB09FB" w:rsidRPr="007B27E8" w:rsidRDefault="00EB09FB">
            <w:pPr>
              <w:rPr>
                <w:sz w:val="18"/>
                <w:szCs w:val="18"/>
              </w:rPr>
            </w:pPr>
            <w:r w:rsidRPr="007B27E8">
              <w:rPr>
                <w:sz w:val="18"/>
                <w:szCs w:val="18"/>
              </w:rPr>
              <w:t>In Solomon Islands, the Pacific Private Sector Development Initiative (PSDI) supported the establishment of a new Foreign Investment Registry in 2016. This replaced a prior registry that failed to sustain itself and “broke down.” An early task for the new registry staff has been to migrate old records (in Excel format) into the current platform provided by PSDI’s New Zealand vendor. The plan is for donor support to phase out as the registry’s revenue from annual fees increases. Hopeful signs include the convenience offered by fully online registration, and the increased rate of filings (from 200 for 2016 to an equivalent number for the first half of 2017). The registry office, Company Haus, also contains the online companies registry established with PSDI support in 2010.</w:t>
            </w:r>
          </w:p>
          <w:p w:rsidR="00EB09FB" w:rsidRPr="007B27E8" w:rsidRDefault="00EB09FB">
            <w:pPr>
              <w:rPr>
                <w:sz w:val="18"/>
                <w:szCs w:val="18"/>
              </w:rPr>
            </w:pPr>
          </w:p>
          <w:p w:rsidR="00EB09FB" w:rsidRPr="007B27E8" w:rsidRDefault="00EB09FB">
            <w:pPr>
              <w:rPr>
                <w:sz w:val="18"/>
                <w:szCs w:val="18"/>
              </w:rPr>
            </w:pPr>
            <w:r w:rsidRPr="007B27E8">
              <w:rPr>
                <w:sz w:val="18"/>
                <w:szCs w:val="18"/>
              </w:rPr>
              <w:t>There are, however, some binding constraints that continue to affect Company Haus. First, registration costs and annual fees must be paid in person, since the payments system in Solomon Islands does not provide for digital payments to government (known as P2G or B2G). Second, the country does not have the digital cable “backbone” to reach the whole archipelago and bridge the digital divide. Third, Company Haus has no representative offices outside its headquarters in Honiara. These issues affect local business registrations most dramatically, requiring clients to travel to the main office, use the postal system, or send agents. Payment entails queuing up at the treasury window to pay fees in person.</w:t>
            </w:r>
          </w:p>
          <w:p w:rsidR="00EB09FB" w:rsidRPr="007B27E8" w:rsidRDefault="00EB09FB">
            <w:pPr>
              <w:rPr>
                <w:sz w:val="18"/>
                <w:szCs w:val="18"/>
              </w:rPr>
            </w:pPr>
          </w:p>
          <w:p w:rsidR="00EB09FB" w:rsidRDefault="00EB09FB" w:rsidP="00D6162F">
            <w:pPr>
              <w:rPr>
                <w:szCs w:val="22"/>
                <w:lang w:eastAsia="en-US"/>
              </w:rPr>
            </w:pPr>
            <w:r w:rsidRPr="00186BF3">
              <w:rPr>
                <w:sz w:val="16"/>
                <w:szCs w:val="16"/>
              </w:rPr>
              <w:t>Source: Consultant interviews and Private Sector Development Initiative.</w:t>
            </w:r>
          </w:p>
        </w:tc>
      </w:tr>
    </w:tbl>
    <w:p w:rsidR="00CA4CD7" w:rsidRDefault="00CA4CD7" w:rsidP="00CA4CD7"/>
    <w:p w:rsidR="00CA4CD7" w:rsidRPr="00170139" w:rsidRDefault="00CA4CD7" w:rsidP="00170139">
      <w:pPr>
        <w:pStyle w:val="ListParagraph"/>
        <w:numPr>
          <w:ilvl w:val="0"/>
          <w:numId w:val="54"/>
        </w:numPr>
        <w:ind w:left="2342" w:hanging="357"/>
        <w:rPr>
          <w:b/>
        </w:rPr>
      </w:pPr>
      <w:r w:rsidRPr="00170139">
        <w:rPr>
          <w:b/>
        </w:rPr>
        <w:t>Law Reform</w:t>
      </w:r>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In the area of legislative change, PSDI faces comparable struggles</w:t>
      </w:r>
      <w:r w:rsidR="00EF41AB" w:rsidRPr="009500F4">
        <w:rPr>
          <w:rFonts w:eastAsia="Calibri" w:cs="Arial"/>
          <w:szCs w:val="22"/>
          <w:lang w:eastAsia="en-US"/>
        </w:rPr>
        <w:t xml:space="preserve"> to those with registries,</w:t>
      </w:r>
      <w:r w:rsidRPr="009500F4">
        <w:rPr>
          <w:rFonts w:eastAsia="Calibri" w:cs="Arial"/>
          <w:szCs w:val="22"/>
          <w:lang w:eastAsia="en-US"/>
        </w:rPr>
        <w:t xml:space="preserve"> </w:t>
      </w:r>
      <w:r w:rsidR="00EF41AB" w:rsidRPr="009500F4">
        <w:rPr>
          <w:rFonts w:eastAsia="Calibri" w:cs="Arial"/>
          <w:szCs w:val="22"/>
          <w:lang w:eastAsia="en-US"/>
        </w:rPr>
        <w:t xml:space="preserve">but </w:t>
      </w:r>
      <w:r w:rsidRPr="009500F4">
        <w:rPr>
          <w:rFonts w:eastAsia="Calibri" w:cs="Arial"/>
          <w:szCs w:val="22"/>
          <w:lang w:eastAsia="en-US"/>
        </w:rPr>
        <w:t xml:space="preserve">is finding practical ways to sustain progress. The PSAs and other analytical work </w:t>
      </w:r>
      <w:r w:rsidR="00EF41AB" w:rsidRPr="009500F4">
        <w:rPr>
          <w:rFonts w:eastAsia="Calibri" w:cs="Arial"/>
          <w:szCs w:val="22"/>
          <w:lang w:eastAsia="en-US"/>
        </w:rPr>
        <w:t xml:space="preserve">provide </w:t>
      </w:r>
      <w:r w:rsidRPr="009500F4">
        <w:rPr>
          <w:rFonts w:eastAsia="Calibri" w:cs="Arial"/>
          <w:szCs w:val="22"/>
          <w:lang w:eastAsia="en-US"/>
        </w:rPr>
        <w:t xml:space="preserve">a broad </w:t>
      </w:r>
      <w:r w:rsidR="00EF41AB" w:rsidRPr="009500F4">
        <w:rPr>
          <w:rFonts w:eastAsia="Calibri" w:cs="Arial"/>
          <w:szCs w:val="22"/>
          <w:lang w:eastAsia="en-US"/>
        </w:rPr>
        <w:t xml:space="preserve">understanding </w:t>
      </w:r>
      <w:r w:rsidRPr="009500F4">
        <w:rPr>
          <w:rFonts w:eastAsia="Calibri" w:cs="Arial"/>
          <w:szCs w:val="22"/>
          <w:lang w:eastAsia="en-US"/>
        </w:rPr>
        <w:t>of reform needs, with the specifics filled in by country choices. This enables PSDI to be responsive</w:t>
      </w:r>
      <w:r w:rsidR="00EF41AB" w:rsidRPr="009500F4">
        <w:rPr>
          <w:rFonts w:eastAsia="Calibri" w:cs="Arial"/>
          <w:szCs w:val="22"/>
          <w:lang w:eastAsia="en-US"/>
        </w:rPr>
        <w:t>,</w:t>
      </w:r>
      <w:r w:rsidRPr="009500F4">
        <w:rPr>
          <w:rFonts w:eastAsia="Calibri" w:cs="Arial"/>
          <w:szCs w:val="22"/>
          <w:lang w:eastAsia="en-US"/>
        </w:rPr>
        <w:t xml:space="preserve"> while also furnishing a strategic framework for policy discussion and decision. In practice, the emphasis is more on responsiveness than strategic clarity. This has prompted a few complaints from donors and country counterparts about lax planning, but it has allowed PSDI to move quickly on emerging priorities and thereby </w:t>
      </w:r>
      <w:r w:rsidR="00EF41AB" w:rsidRPr="009500F4">
        <w:rPr>
          <w:rFonts w:eastAsia="Calibri" w:cs="Arial"/>
          <w:szCs w:val="22"/>
          <w:lang w:eastAsia="en-US"/>
        </w:rPr>
        <w:t xml:space="preserve">achieve </w:t>
      </w:r>
      <w:r w:rsidRPr="009500F4">
        <w:rPr>
          <w:rFonts w:eastAsia="Calibri" w:cs="Arial"/>
          <w:szCs w:val="22"/>
          <w:lang w:eastAsia="en-US"/>
        </w:rPr>
        <w:t xml:space="preserve">important </w:t>
      </w:r>
      <w:r w:rsidR="00EF41AB" w:rsidRPr="009500F4">
        <w:rPr>
          <w:rFonts w:eastAsia="Calibri" w:cs="Arial"/>
          <w:szCs w:val="22"/>
          <w:lang w:eastAsia="en-US"/>
        </w:rPr>
        <w:t>results</w:t>
      </w:r>
      <w:r w:rsidR="000C15E8">
        <w:rPr>
          <w:rFonts w:eastAsia="Calibri" w:cs="Arial"/>
          <w:szCs w:val="22"/>
          <w:lang w:eastAsia="en-US"/>
        </w:rPr>
        <w:t>.</w:t>
      </w:r>
    </w:p>
    <w:p w:rsidR="00EB420F" w:rsidRPr="009500F4" w:rsidRDefault="00EB420F" w:rsidP="00EB420F">
      <w:pPr>
        <w:tabs>
          <w:tab w:val="left" w:pos="567"/>
        </w:tabs>
        <w:rPr>
          <w:rFonts w:eastAsia="Calibri" w:cs="Arial"/>
          <w:szCs w:val="22"/>
          <w:lang w:eastAsia="en-US"/>
        </w:rPr>
      </w:pPr>
    </w:p>
    <w:p w:rsidR="00CA4CD7" w:rsidRPr="009500F4" w:rsidRDefault="00CA4CD7" w:rsidP="00EB420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Across the whole </w:t>
      </w:r>
      <w:r w:rsidR="00EF41AB" w:rsidRPr="009500F4">
        <w:rPr>
          <w:rFonts w:eastAsia="Calibri" w:cs="Arial"/>
          <w:szCs w:val="22"/>
          <w:lang w:eastAsia="en-US"/>
        </w:rPr>
        <w:t xml:space="preserve">of its </w:t>
      </w:r>
      <w:r w:rsidRPr="009500F4">
        <w:rPr>
          <w:rFonts w:eastAsia="Calibri" w:cs="Arial"/>
          <w:szCs w:val="22"/>
          <w:lang w:eastAsia="en-US"/>
        </w:rPr>
        <w:t xml:space="preserve">portfolio, </w:t>
      </w:r>
      <w:r w:rsidR="005D23EF" w:rsidRPr="009500F4">
        <w:rPr>
          <w:rFonts w:eastAsia="Calibri" w:cs="Arial"/>
          <w:szCs w:val="22"/>
          <w:lang w:eastAsia="en-US"/>
        </w:rPr>
        <w:t>PSDI has adopted an approach that</w:t>
      </w:r>
      <w:r w:rsidRPr="009500F4">
        <w:rPr>
          <w:rFonts w:eastAsia="Calibri" w:cs="Arial"/>
          <w:szCs w:val="22"/>
          <w:lang w:eastAsia="en-US"/>
        </w:rPr>
        <w:t xml:space="preserve"> has led to substantive innovations to address country priorities in fields not strictly part of </w:t>
      </w:r>
      <w:r w:rsidR="005D23EF" w:rsidRPr="009500F4">
        <w:rPr>
          <w:rFonts w:eastAsia="Calibri" w:cs="Arial"/>
          <w:szCs w:val="22"/>
          <w:lang w:eastAsia="en-US"/>
        </w:rPr>
        <w:t xml:space="preserve">its </w:t>
      </w:r>
      <w:r w:rsidRPr="009500F4">
        <w:rPr>
          <w:rFonts w:eastAsia="Calibri" w:cs="Arial"/>
          <w:szCs w:val="22"/>
          <w:lang w:eastAsia="en-US"/>
        </w:rPr>
        <w:t xml:space="preserve">original design. </w:t>
      </w:r>
      <w:r w:rsidR="005D23EF" w:rsidRPr="009500F4">
        <w:rPr>
          <w:rFonts w:eastAsia="Calibri" w:cs="Arial"/>
          <w:szCs w:val="22"/>
          <w:lang w:eastAsia="en-US"/>
        </w:rPr>
        <w:t>A</w:t>
      </w:r>
      <w:r w:rsidRPr="009500F4">
        <w:rPr>
          <w:rFonts w:eastAsia="Calibri" w:cs="Arial"/>
          <w:szCs w:val="22"/>
          <w:lang w:eastAsia="en-US"/>
        </w:rPr>
        <w:t xml:space="preserve"> good example of innovation</w:t>
      </w:r>
      <w:r w:rsidR="00EF41AB" w:rsidRPr="009500F4">
        <w:rPr>
          <w:rFonts w:eastAsia="Calibri" w:cs="Arial"/>
          <w:szCs w:val="22"/>
          <w:lang w:eastAsia="en-US"/>
        </w:rPr>
        <w:t xml:space="preserve"> in business law</w:t>
      </w:r>
      <w:r w:rsidRPr="009500F4">
        <w:rPr>
          <w:rFonts w:eastAsia="Calibri" w:cs="Arial"/>
          <w:szCs w:val="22"/>
          <w:lang w:eastAsia="en-US"/>
        </w:rPr>
        <w:t xml:space="preserve"> is the</w:t>
      </w:r>
      <w:r w:rsidR="005D23EF" w:rsidRPr="009500F4">
        <w:rPr>
          <w:rFonts w:eastAsia="Calibri" w:cs="Arial"/>
          <w:szCs w:val="22"/>
          <w:lang w:eastAsia="en-US"/>
        </w:rPr>
        <w:t xml:space="preserve"> reform for</w:t>
      </w:r>
      <w:r w:rsidRPr="009500F4">
        <w:rPr>
          <w:rFonts w:eastAsia="Calibri" w:cs="Arial"/>
          <w:szCs w:val="22"/>
          <w:lang w:eastAsia="en-US"/>
        </w:rPr>
        <w:t xml:space="preserve"> </w:t>
      </w:r>
      <w:r w:rsidR="005D23EF" w:rsidRPr="009500F4">
        <w:rPr>
          <w:rFonts w:eastAsia="Calibri" w:cs="Arial"/>
          <w:szCs w:val="22"/>
          <w:lang w:eastAsia="en-US"/>
        </w:rPr>
        <w:t>c</w:t>
      </w:r>
      <w:r w:rsidRPr="009500F4">
        <w:rPr>
          <w:rFonts w:eastAsia="Calibri" w:cs="Arial"/>
          <w:szCs w:val="22"/>
          <w:lang w:eastAsia="en-US"/>
        </w:rPr>
        <w:t xml:space="preserve">ommunity </w:t>
      </w:r>
      <w:r w:rsidR="005D23EF" w:rsidRPr="009500F4">
        <w:rPr>
          <w:rFonts w:eastAsia="Calibri" w:cs="Arial"/>
          <w:szCs w:val="22"/>
          <w:lang w:eastAsia="en-US"/>
        </w:rPr>
        <w:t>c</w:t>
      </w:r>
      <w:r w:rsidRPr="009500F4">
        <w:rPr>
          <w:rFonts w:eastAsia="Calibri" w:cs="Arial"/>
          <w:szCs w:val="22"/>
          <w:lang w:eastAsia="en-US"/>
        </w:rPr>
        <w:t>ompan</w:t>
      </w:r>
      <w:r w:rsidR="005D23EF" w:rsidRPr="009500F4">
        <w:rPr>
          <w:rFonts w:eastAsia="Calibri" w:cs="Arial"/>
          <w:szCs w:val="22"/>
          <w:lang w:eastAsia="en-US"/>
        </w:rPr>
        <w:t>ies</w:t>
      </w:r>
      <w:r w:rsidRPr="009500F4">
        <w:rPr>
          <w:rFonts w:eastAsia="Calibri" w:cs="Arial"/>
          <w:szCs w:val="22"/>
          <w:lang w:eastAsia="en-US"/>
        </w:rPr>
        <w:t xml:space="preserve"> adopted in Solomon Islands and Vanuatu. This vehicle is designed specifically to enable the use of community assets (e.g.</w:t>
      </w:r>
      <w:r w:rsidR="00EF41AB" w:rsidRPr="009500F4">
        <w:rPr>
          <w:rFonts w:eastAsia="Calibri" w:cs="Arial"/>
          <w:szCs w:val="22"/>
          <w:lang w:eastAsia="en-US"/>
        </w:rPr>
        <w:t>,</w:t>
      </w:r>
      <w:r w:rsidRPr="009500F4">
        <w:rPr>
          <w:rFonts w:eastAsia="Calibri" w:cs="Arial"/>
          <w:szCs w:val="22"/>
          <w:lang w:eastAsia="en-US"/>
        </w:rPr>
        <w:t xml:space="preserve"> receipt and management of funds) for business purposes, while protecting against misappropriation. </w:t>
      </w:r>
      <w:r w:rsidR="005D23EF" w:rsidRPr="009500F4">
        <w:rPr>
          <w:rFonts w:eastAsia="Calibri" w:cs="Arial"/>
          <w:szCs w:val="22"/>
          <w:lang w:eastAsia="en-US"/>
        </w:rPr>
        <w:t>I</w:t>
      </w:r>
      <w:r w:rsidRPr="009500F4">
        <w:rPr>
          <w:rFonts w:eastAsia="Calibri" w:cs="Arial"/>
          <w:szCs w:val="22"/>
          <w:lang w:eastAsia="en-US"/>
        </w:rPr>
        <w:t xml:space="preserve">t </w:t>
      </w:r>
      <w:r w:rsidR="005D23EF" w:rsidRPr="009500F4">
        <w:rPr>
          <w:rFonts w:eastAsia="Calibri" w:cs="Arial"/>
          <w:szCs w:val="22"/>
          <w:lang w:eastAsia="en-US"/>
        </w:rPr>
        <w:t xml:space="preserve">also </w:t>
      </w:r>
      <w:r w:rsidRPr="009500F4">
        <w:rPr>
          <w:rFonts w:eastAsia="Calibri" w:cs="Arial"/>
          <w:szCs w:val="22"/>
          <w:lang w:eastAsia="en-US"/>
        </w:rPr>
        <w:t>provides for greater participation by members, with the objective of improving governance. Another example</w:t>
      </w:r>
      <w:r w:rsidR="005D23EF" w:rsidRPr="009500F4">
        <w:rPr>
          <w:rFonts w:eastAsia="Calibri" w:cs="Arial"/>
          <w:szCs w:val="22"/>
          <w:lang w:eastAsia="en-US"/>
        </w:rPr>
        <w:t xml:space="preserve"> of business law innovation</w:t>
      </w:r>
      <w:r w:rsidRPr="009500F4">
        <w:rPr>
          <w:rFonts w:eastAsia="Calibri" w:cs="Arial"/>
          <w:szCs w:val="22"/>
          <w:lang w:eastAsia="en-US"/>
        </w:rPr>
        <w:t xml:space="preserve"> is the </w:t>
      </w:r>
      <w:r w:rsidR="005D23EF" w:rsidRPr="009500F4">
        <w:rPr>
          <w:rFonts w:eastAsia="Calibri" w:cs="Arial"/>
          <w:szCs w:val="22"/>
          <w:lang w:eastAsia="en-US"/>
        </w:rPr>
        <w:t xml:space="preserve">legislation adopted in Timor-Leste for </w:t>
      </w:r>
      <w:r w:rsidRPr="009500F4">
        <w:rPr>
          <w:rFonts w:eastAsia="Calibri" w:cs="Arial"/>
          <w:szCs w:val="22"/>
          <w:lang w:eastAsia="en-US"/>
        </w:rPr>
        <w:t>sole proprietorship</w:t>
      </w:r>
      <w:r w:rsidR="005D23EF" w:rsidRPr="009500F4">
        <w:rPr>
          <w:rFonts w:eastAsia="Calibri" w:cs="Arial"/>
          <w:szCs w:val="22"/>
          <w:lang w:eastAsia="en-US"/>
        </w:rPr>
        <w:t>s</w:t>
      </w:r>
      <w:r w:rsidRPr="009500F4">
        <w:rPr>
          <w:rFonts w:eastAsia="Calibri" w:cs="Arial"/>
          <w:szCs w:val="22"/>
          <w:lang w:eastAsia="en-US"/>
        </w:rPr>
        <w:t xml:space="preserve"> or single-person </w:t>
      </w:r>
      <w:r w:rsidR="005D23EF" w:rsidRPr="009500F4">
        <w:rPr>
          <w:rFonts w:eastAsia="Calibri" w:cs="Arial"/>
          <w:szCs w:val="22"/>
          <w:lang w:eastAsia="en-US"/>
        </w:rPr>
        <w:t>companies</w:t>
      </w:r>
      <w:r w:rsidRPr="009500F4">
        <w:rPr>
          <w:rFonts w:eastAsia="Calibri" w:cs="Arial"/>
          <w:szCs w:val="22"/>
          <w:lang w:eastAsia="en-US"/>
        </w:rPr>
        <w:t>.</w:t>
      </w:r>
    </w:p>
    <w:p w:rsidR="00EB420F" w:rsidRPr="009500F4" w:rsidRDefault="00EB420F" w:rsidP="00CA4CD7"/>
    <w:p w:rsidR="00CA4CD7" w:rsidRPr="009500F4" w:rsidRDefault="00CA4CD7" w:rsidP="00DE4F68">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A further strength of PSDI is its emphasis on process. In Timor</w:t>
      </w:r>
      <w:r w:rsidR="005D23EF" w:rsidRPr="009500F4">
        <w:rPr>
          <w:rFonts w:eastAsia="Calibri" w:cs="Arial"/>
          <w:szCs w:val="22"/>
          <w:lang w:eastAsia="en-US"/>
        </w:rPr>
        <w:t>-Leste</w:t>
      </w:r>
      <w:r w:rsidRPr="009500F4">
        <w:rPr>
          <w:rFonts w:eastAsia="Calibri" w:cs="Arial"/>
          <w:szCs w:val="22"/>
          <w:lang w:eastAsia="en-US"/>
        </w:rPr>
        <w:t>, the Law Reform Commission reported on the process of reforming the</w:t>
      </w:r>
      <w:r w:rsidR="00901A1C" w:rsidRPr="009500F4">
        <w:rPr>
          <w:rFonts w:eastAsia="Calibri" w:cs="Arial"/>
          <w:szCs w:val="22"/>
          <w:lang w:eastAsia="en-US"/>
        </w:rPr>
        <w:t xml:space="preserve"> country’s</w:t>
      </w:r>
      <w:r w:rsidRPr="009500F4">
        <w:rPr>
          <w:rFonts w:eastAsia="Calibri" w:cs="Arial"/>
          <w:szCs w:val="22"/>
          <w:lang w:eastAsia="en-US"/>
        </w:rPr>
        <w:t xml:space="preserve"> insolvency law. It started with PSDI’s draft of a policy paper, which was then taken over by the coordinating ministry and its own consultant. PSDI remained involved, helping to analyze policy issues and ensure an effective process. </w:t>
      </w:r>
      <w:r w:rsidR="00240903" w:rsidRPr="009500F4">
        <w:rPr>
          <w:rFonts w:eastAsia="Calibri" w:cs="Arial"/>
          <w:szCs w:val="22"/>
          <w:lang w:eastAsia="en-US"/>
        </w:rPr>
        <w:t>Because the incumbent law from Timor-Leste’s period of Indonesian government posed special complications, t</w:t>
      </w:r>
      <w:r w:rsidRPr="009500F4">
        <w:rPr>
          <w:rFonts w:eastAsia="Calibri" w:cs="Arial"/>
          <w:szCs w:val="22"/>
          <w:lang w:eastAsia="en-US"/>
        </w:rPr>
        <w:t xml:space="preserve">wo rounds of consultations were held, involving written submissions by Parliament, the private sector, bankers, lawyers, and others. </w:t>
      </w:r>
      <w:r w:rsidR="00F8214A" w:rsidRPr="009500F4">
        <w:rPr>
          <w:rFonts w:eastAsia="Calibri" w:cs="Arial"/>
          <w:szCs w:val="22"/>
          <w:lang w:eastAsia="en-US"/>
        </w:rPr>
        <w:t xml:space="preserve">The Law Reform Commission </w:t>
      </w:r>
      <w:r w:rsidRPr="009500F4">
        <w:rPr>
          <w:rFonts w:eastAsia="Calibri" w:cs="Arial"/>
          <w:szCs w:val="22"/>
          <w:lang w:eastAsia="en-US"/>
        </w:rPr>
        <w:t xml:space="preserve">noted </w:t>
      </w:r>
      <w:r w:rsidRPr="009500F4">
        <w:rPr>
          <w:rFonts w:eastAsia="Calibri" w:cs="Arial"/>
          <w:szCs w:val="22"/>
          <w:lang w:eastAsia="en-US"/>
        </w:rPr>
        <w:lastRenderedPageBreak/>
        <w:t xml:space="preserve">that the reform process, encouraged and supported by PSDI, conformed to the model that should be </w:t>
      </w:r>
      <w:r w:rsidR="00240903" w:rsidRPr="009500F4">
        <w:rPr>
          <w:rFonts w:eastAsia="Calibri" w:cs="Arial"/>
          <w:szCs w:val="22"/>
          <w:lang w:eastAsia="en-US"/>
        </w:rPr>
        <w:t xml:space="preserve">(but often is not) </w:t>
      </w:r>
      <w:r w:rsidRPr="009500F4">
        <w:rPr>
          <w:rFonts w:eastAsia="Calibri" w:cs="Arial"/>
          <w:szCs w:val="22"/>
          <w:lang w:eastAsia="en-US"/>
        </w:rPr>
        <w:t>followed in Timor</w:t>
      </w:r>
      <w:r w:rsidR="00901A1C" w:rsidRPr="009500F4">
        <w:rPr>
          <w:rFonts w:eastAsia="Calibri" w:cs="Arial"/>
          <w:szCs w:val="22"/>
          <w:lang w:eastAsia="en-US"/>
        </w:rPr>
        <w:t>-Leste</w:t>
      </w:r>
      <w:r w:rsidRPr="009500F4">
        <w:rPr>
          <w:rFonts w:eastAsia="Calibri" w:cs="Arial"/>
          <w:szCs w:val="22"/>
          <w:lang w:eastAsia="en-US"/>
        </w:rPr>
        <w:t>.</w:t>
      </w:r>
    </w:p>
    <w:p w:rsidR="00670064" w:rsidRPr="009500F4" w:rsidRDefault="00670064" w:rsidP="00CA4CD7"/>
    <w:p w:rsidR="0094677F" w:rsidRPr="009500F4" w:rsidRDefault="00CA4CD7" w:rsidP="00DE4F68">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w:t>
      </w:r>
      <w:r w:rsidR="00F8214A" w:rsidRPr="009500F4">
        <w:rPr>
          <w:rFonts w:eastAsia="Calibri" w:cs="Arial"/>
          <w:szCs w:val="22"/>
          <w:lang w:eastAsia="en-US"/>
        </w:rPr>
        <w:t xml:space="preserve">Law Reform Commission </w:t>
      </w:r>
      <w:r w:rsidRPr="009500F4">
        <w:rPr>
          <w:rFonts w:eastAsia="Calibri" w:cs="Arial"/>
          <w:szCs w:val="22"/>
          <w:lang w:eastAsia="en-US"/>
        </w:rPr>
        <w:t xml:space="preserve">also acknowledged that it needs support in institutionalizing its own approach to policymaking and legal reform. The </w:t>
      </w:r>
      <w:r w:rsidR="00240903" w:rsidRPr="009500F4">
        <w:rPr>
          <w:rFonts w:eastAsia="Calibri" w:cs="Arial"/>
          <w:szCs w:val="22"/>
          <w:lang w:eastAsia="en-US"/>
        </w:rPr>
        <w:t>c</w:t>
      </w:r>
      <w:r w:rsidRPr="009500F4">
        <w:rPr>
          <w:rFonts w:eastAsia="Calibri" w:cs="Arial"/>
          <w:szCs w:val="22"/>
          <w:lang w:eastAsia="en-US"/>
        </w:rPr>
        <w:t xml:space="preserve">ommission suggested that PSDI could assist it in developing capacities for medium- and long-term legislative planning, research and analysis, and the institutional and budgetary aspects of designing and implementing policy. Currently, business laws </w:t>
      </w:r>
      <w:r w:rsidR="00240903" w:rsidRPr="009500F4">
        <w:rPr>
          <w:rFonts w:eastAsia="Calibri" w:cs="Arial"/>
          <w:szCs w:val="22"/>
          <w:lang w:eastAsia="en-US"/>
        </w:rPr>
        <w:t xml:space="preserve">in Timor-Leste </w:t>
      </w:r>
      <w:r w:rsidRPr="009500F4">
        <w:rPr>
          <w:rFonts w:eastAsia="Calibri" w:cs="Arial"/>
          <w:szCs w:val="22"/>
          <w:lang w:eastAsia="en-US"/>
        </w:rPr>
        <w:t xml:space="preserve">are made in the absence of empirical studies of </w:t>
      </w:r>
      <w:r w:rsidR="00240903" w:rsidRPr="009500F4">
        <w:rPr>
          <w:rFonts w:eastAsia="Calibri" w:cs="Arial"/>
          <w:szCs w:val="22"/>
          <w:lang w:eastAsia="en-US"/>
        </w:rPr>
        <w:t xml:space="preserve">relevant </w:t>
      </w:r>
      <w:r w:rsidRPr="009500F4">
        <w:rPr>
          <w:rFonts w:eastAsia="Calibri" w:cs="Arial"/>
          <w:szCs w:val="22"/>
          <w:lang w:eastAsia="en-US"/>
        </w:rPr>
        <w:t xml:space="preserve">firms and transactions, analyses of </w:t>
      </w:r>
      <w:r w:rsidR="00240903" w:rsidRPr="009500F4">
        <w:rPr>
          <w:rFonts w:eastAsia="Calibri" w:cs="Arial"/>
          <w:szCs w:val="22"/>
          <w:lang w:eastAsia="en-US"/>
        </w:rPr>
        <w:t xml:space="preserve">the </w:t>
      </w:r>
      <w:r w:rsidRPr="009500F4">
        <w:rPr>
          <w:rFonts w:eastAsia="Calibri" w:cs="Arial"/>
          <w:szCs w:val="22"/>
          <w:lang w:eastAsia="en-US"/>
        </w:rPr>
        <w:t>impact</w:t>
      </w:r>
      <w:r w:rsidR="00240903" w:rsidRPr="009500F4">
        <w:rPr>
          <w:rFonts w:eastAsia="Calibri" w:cs="Arial"/>
          <w:szCs w:val="22"/>
          <w:lang w:eastAsia="en-US"/>
        </w:rPr>
        <w:t>s of proposed laws</w:t>
      </w:r>
      <w:r w:rsidRPr="009500F4">
        <w:rPr>
          <w:rFonts w:eastAsia="Calibri" w:cs="Arial"/>
          <w:szCs w:val="22"/>
          <w:lang w:eastAsia="en-US"/>
        </w:rPr>
        <w:t xml:space="preserve">, </w:t>
      </w:r>
      <w:r w:rsidR="00240903" w:rsidRPr="009500F4">
        <w:rPr>
          <w:rFonts w:eastAsia="Calibri" w:cs="Arial"/>
          <w:szCs w:val="22"/>
          <w:lang w:eastAsia="en-US"/>
        </w:rPr>
        <w:t>or—</w:t>
      </w:r>
      <w:r w:rsidRPr="009500F4">
        <w:rPr>
          <w:rFonts w:eastAsia="Calibri" w:cs="Arial"/>
          <w:szCs w:val="22"/>
          <w:lang w:eastAsia="en-US"/>
        </w:rPr>
        <w:t>indeed</w:t>
      </w:r>
      <w:r w:rsidR="00240903" w:rsidRPr="009500F4">
        <w:rPr>
          <w:rFonts w:eastAsia="Calibri" w:cs="Arial"/>
          <w:szCs w:val="22"/>
          <w:lang w:eastAsia="en-US"/>
        </w:rPr>
        <w:t>—appropriate</w:t>
      </w:r>
      <w:r w:rsidRPr="009500F4">
        <w:rPr>
          <w:rFonts w:eastAsia="Calibri" w:cs="Arial"/>
          <w:szCs w:val="22"/>
          <w:lang w:eastAsia="en-US"/>
        </w:rPr>
        <w:t xml:space="preserve"> policymaking expertise. </w:t>
      </w:r>
      <w:r w:rsidR="00240903" w:rsidRPr="009500F4">
        <w:rPr>
          <w:rFonts w:eastAsia="Calibri" w:cs="Arial"/>
          <w:szCs w:val="22"/>
          <w:lang w:eastAsia="en-US"/>
        </w:rPr>
        <w:t>Some stakeholders</w:t>
      </w:r>
      <w:r w:rsidRPr="009500F4">
        <w:rPr>
          <w:rFonts w:eastAsia="Calibri" w:cs="Arial"/>
          <w:szCs w:val="22"/>
          <w:lang w:eastAsia="en-US"/>
        </w:rPr>
        <w:t xml:space="preserve"> point out that Portuguese-trained lawyers advising </w:t>
      </w:r>
      <w:r w:rsidR="00240903" w:rsidRPr="009500F4">
        <w:rPr>
          <w:rFonts w:eastAsia="Calibri" w:cs="Arial"/>
          <w:szCs w:val="22"/>
          <w:lang w:eastAsia="en-US"/>
        </w:rPr>
        <w:t>Timor-Leste</w:t>
      </w:r>
      <w:r w:rsidRPr="009500F4">
        <w:rPr>
          <w:rFonts w:eastAsia="Calibri" w:cs="Arial"/>
          <w:szCs w:val="22"/>
          <w:lang w:eastAsia="en-US"/>
        </w:rPr>
        <w:t xml:space="preserve"> ministries take the lead in policymaking, resulting in </w:t>
      </w:r>
      <w:r w:rsidR="00240903" w:rsidRPr="009500F4">
        <w:rPr>
          <w:rFonts w:eastAsia="Calibri" w:cs="Arial"/>
          <w:szCs w:val="22"/>
          <w:lang w:eastAsia="en-US"/>
        </w:rPr>
        <w:t xml:space="preserve">an </w:t>
      </w:r>
      <w:r w:rsidRPr="009500F4">
        <w:rPr>
          <w:rFonts w:eastAsia="Calibri" w:cs="Arial"/>
          <w:szCs w:val="22"/>
          <w:lang w:eastAsia="en-US"/>
        </w:rPr>
        <w:t xml:space="preserve">overemphasis on technical legal issues </w:t>
      </w:r>
      <w:r w:rsidR="00240903" w:rsidRPr="009500F4">
        <w:rPr>
          <w:rFonts w:eastAsia="Calibri" w:cs="Arial"/>
          <w:szCs w:val="22"/>
          <w:lang w:eastAsia="en-US"/>
        </w:rPr>
        <w:t xml:space="preserve">as well as </w:t>
      </w:r>
      <w:r w:rsidRPr="009500F4">
        <w:rPr>
          <w:rFonts w:eastAsia="Calibri" w:cs="Arial"/>
          <w:szCs w:val="22"/>
          <w:lang w:eastAsia="en-US"/>
        </w:rPr>
        <w:t>undue delay</w:t>
      </w:r>
      <w:r w:rsidR="00240903" w:rsidRPr="009500F4">
        <w:rPr>
          <w:rFonts w:eastAsia="Calibri" w:cs="Arial"/>
          <w:szCs w:val="22"/>
          <w:lang w:eastAsia="en-US"/>
        </w:rPr>
        <w:t>s</w:t>
      </w:r>
      <w:r w:rsidRPr="009500F4">
        <w:rPr>
          <w:rFonts w:eastAsia="Calibri" w:cs="Arial"/>
          <w:szCs w:val="22"/>
          <w:lang w:eastAsia="en-US"/>
        </w:rPr>
        <w:t>.</w:t>
      </w:r>
    </w:p>
    <w:p w:rsidR="00CA4CD7" w:rsidRPr="009500F4" w:rsidRDefault="00CA4CD7" w:rsidP="00170139">
      <w:pPr>
        <w:tabs>
          <w:tab w:val="left" w:pos="567"/>
        </w:tabs>
        <w:rPr>
          <w:rFonts w:eastAsia="Calibri" w:cs="Arial"/>
          <w:szCs w:val="22"/>
          <w:lang w:eastAsia="en-US"/>
        </w:rPr>
      </w:pPr>
    </w:p>
    <w:p w:rsidR="0094677F" w:rsidRPr="009500F4" w:rsidRDefault="0094677F" w:rsidP="0094677F">
      <w:pPr>
        <w:keepNext/>
        <w:spacing w:after="160"/>
        <w:ind w:left="1080"/>
        <w:outlineLvl w:val="1"/>
        <w:rPr>
          <w:rFonts w:eastAsia="Times New Roman" w:cs="Arial"/>
          <w:b/>
          <w:bCs/>
          <w:iCs/>
          <w:szCs w:val="22"/>
          <w:lang w:eastAsia="en-US"/>
        </w:rPr>
      </w:pPr>
      <w:r w:rsidRPr="009500F4">
        <w:rPr>
          <w:rFonts w:eastAsia="Times New Roman" w:cs="Arial"/>
          <w:b/>
          <w:bCs/>
          <w:iCs/>
          <w:szCs w:val="22"/>
          <w:lang w:eastAsia="en-US"/>
        </w:rPr>
        <w:t xml:space="preserve">3. </w:t>
      </w:r>
      <w:r w:rsidRPr="009500F4">
        <w:rPr>
          <w:rFonts w:eastAsia="Times New Roman" w:cs="Arial"/>
          <w:b/>
          <w:bCs/>
          <w:iCs/>
          <w:szCs w:val="22"/>
          <w:lang w:eastAsia="en-US"/>
        </w:rPr>
        <w:tab/>
        <w:t>State-Owned Enterprise Reform and Public-Private Partnerships</w:t>
      </w:r>
    </w:p>
    <w:p w:rsidR="0094677F" w:rsidRPr="009500F4" w:rsidRDefault="0094677F"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The relevance of efforts to improve the performance of SOEs, which frequently are major players in the economy but are mired in inefficiency, is fairly self-evident. The status quo is not viable. For example, PSDI estimates factor productivity in SOEs in PNG as being 6% of that of SOEs in New Zealand. Given the various factors at play in Pacific island economies—the scale of public services required as well as the dependencies of state provision and accompanying attitudes referred to as “cultural”—the option of large-scale privatization or liquidation of SOEs appears to be unworkable. The question of sustainability is harder to answer. Not only do SOEs have loose internal budget constraints, drawing on state revenues and public savings, but external parties such as ADB have sought to provide the</w:t>
      </w:r>
      <w:r w:rsidR="000C15E8">
        <w:rPr>
          <w:rFonts w:eastAsia="Calibri" w:cs="Arial"/>
          <w:szCs w:val="22"/>
          <w:lang w:eastAsia="en-US"/>
        </w:rPr>
        <w:t>m loans and investment capital.</w:t>
      </w:r>
    </w:p>
    <w:p w:rsidR="0094677F" w:rsidRPr="009500F4" w:rsidRDefault="0094677F" w:rsidP="0094677F"/>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struggle to resolve the inefficiencies of SOEs focuses, to different degrees in different countries, on supporting PPPs, on privatization or the contracting out of works and/or services, or on commercialization (coupled with transparent costing of CSOs). In PNG and Timor-Leste, PSDI is working on frameworks for PPPs, based on its view that such transactions should be </w:t>
      </w:r>
      <w:r w:rsidR="00156B5A">
        <w:rPr>
          <w:rFonts w:eastAsia="Calibri" w:cs="Arial"/>
          <w:szCs w:val="22"/>
          <w:lang w:eastAsia="en-US"/>
        </w:rPr>
        <w:t xml:space="preserve">facilitated </w:t>
      </w:r>
      <w:r w:rsidRPr="009500F4">
        <w:rPr>
          <w:rFonts w:eastAsia="Calibri" w:cs="Arial"/>
          <w:szCs w:val="22"/>
          <w:lang w:eastAsia="en-US"/>
        </w:rPr>
        <w:t>once appropriate laws are in place. The premise here is not that a PPP is optimal or likely to be implemented in accord with best practice. Rather, it is more likely to bring rapid improvement in services and governance, and reduce the incidence of corruption</w:t>
      </w:r>
      <w:r w:rsidR="00156B5A">
        <w:rPr>
          <w:rFonts w:eastAsia="Calibri" w:cs="Arial"/>
          <w:szCs w:val="22"/>
          <w:lang w:eastAsia="en-US"/>
        </w:rPr>
        <w:t xml:space="preserve"> and inefficiency</w:t>
      </w:r>
      <w:r w:rsidRPr="009500F4">
        <w:rPr>
          <w:rFonts w:eastAsia="Calibri" w:cs="Arial"/>
          <w:szCs w:val="22"/>
          <w:lang w:eastAsia="en-US"/>
        </w:rPr>
        <w:t>, compared to alternatives such as the status quo or traditional public procurement. The goal is to create a sufficiently robust and transparent procurement pro</w:t>
      </w:r>
      <w:r w:rsidR="000C15E8">
        <w:rPr>
          <w:rFonts w:eastAsia="Calibri" w:cs="Arial"/>
          <w:szCs w:val="22"/>
          <w:lang w:eastAsia="en-US"/>
        </w:rPr>
        <w:t>cess that investors will trust.</w:t>
      </w:r>
    </w:p>
    <w:p w:rsidR="0094677F" w:rsidRPr="009500F4" w:rsidRDefault="0094677F" w:rsidP="0094677F"/>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In its component for SOE reform and PPPs, as in other components, PSDI has adapted its general approach to respond to local conditions (Box </w:t>
      </w:r>
      <w:r w:rsidR="003F08DD">
        <w:rPr>
          <w:rFonts w:eastAsia="Calibri" w:cs="Arial"/>
          <w:szCs w:val="22"/>
          <w:lang w:eastAsia="en-US"/>
        </w:rPr>
        <w:t>4</w:t>
      </w:r>
      <w:r w:rsidRPr="009500F4">
        <w:rPr>
          <w:rFonts w:eastAsia="Calibri" w:cs="Arial"/>
          <w:szCs w:val="22"/>
          <w:lang w:eastAsia="en-US"/>
        </w:rPr>
        <w:t xml:space="preserve">). In Tonga, the government proposed that SOEs share boards as a way of coping with the country’s shortage of skilled directors. PSDI has helped to articulate and implement this concept. In Fiji, PSDI found that the public procurement system had sufficiently strong regulations that it could be </w:t>
      </w:r>
      <w:r w:rsidR="00156B5A">
        <w:rPr>
          <w:rFonts w:eastAsia="Calibri" w:cs="Arial"/>
          <w:szCs w:val="22"/>
          <w:lang w:eastAsia="en-US"/>
        </w:rPr>
        <w:t>adapted</w:t>
      </w:r>
      <w:r w:rsidRPr="009500F4">
        <w:rPr>
          <w:rFonts w:eastAsia="Calibri" w:cs="Arial"/>
          <w:szCs w:val="22"/>
          <w:lang w:eastAsia="en-US"/>
        </w:rPr>
        <w:t xml:space="preserve"> for major arrangements to contract out works and/or services, without the need for a new PPP law. This scenario is in contrast to PNG, where public procurement systems are weak </w:t>
      </w:r>
      <w:r w:rsidR="003957D7">
        <w:rPr>
          <w:rFonts w:eastAsia="Calibri" w:cs="Arial"/>
          <w:szCs w:val="22"/>
          <w:lang w:eastAsia="en-US"/>
        </w:rPr>
        <w:t>and no PPP project development process exists, thereby providing the rationale for a new PPP law</w:t>
      </w:r>
      <w:r w:rsidRPr="009500F4">
        <w:rPr>
          <w:rFonts w:eastAsia="Calibri" w:cs="Arial"/>
          <w:szCs w:val="22"/>
          <w:lang w:eastAsia="en-US"/>
        </w:rPr>
        <w:t>.</w:t>
      </w:r>
    </w:p>
    <w:p w:rsidR="0094677F" w:rsidRDefault="0094677F" w:rsidP="0094677F"/>
    <w:p w:rsidR="000D639E" w:rsidRPr="009500F4" w:rsidRDefault="000D639E" w:rsidP="0094677F"/>
    <w:tbl>
      <w:tblPr>
        <w:tblStyle w:val="TableGrid"/>
        <w:tblW w:w="0" w:type="auto"/>
        <w:tblLook w:val="04A0" w:firstRow="1" w:lastRow="0" w:firstColumn="1" w:lastColumn="0" w:noHBand="0" w:noVBand="1"/>
      </w:tblPr>
      <w:tblGrid>
        <w:gridCol w:w="9350"/>
      </w:tblGrid>
      <w:tr w:rsidR="00EB09FB" w:rsidTr="00EB09FB">
        <w:tc>
          <w:tcPr>
            <w:tcW w:w="9576" w:type="dxa"/>
          </w:tcPr>
          <w:p w:rsidR="00EB09FB" w:rsidRPr="00D6162F" w:rsidRDefault="003F08DD" w:rsidP="00EB09FB">
            <w:pPr>
              <w:jc w:val="center"/>
              <w:rPr>
                <w:sz w:val="20"/>
                <w:szCs w:val="20"/>
              </w:rPr>
            </w:pPr>
            <w:r>
              <w:rPr>
                <w:b/>
                <w:sz w:val="20"/>
                <w:szCs w:val="20"/>
              </w:rPr>
              <w:t>Box 4</w:t>
            </w:r>
            <w:r w:rsidR="00EB09FB" w:rsidRPr="00D6162F">
              <w:rPr>
                <w:b/>
                <w:sz w:val="20"/>
                <w:szCs w:val="20"/>
              </w:rPr>
              <w:t>: Starting Small and Becoming Sustainable in Timor-Leste</w:t>
            </w:r>
          </w:p>
          <w:p w:rsidR="00EB09FB" w:rsidRPr="00334BF1" w:rsidRDefault="00EB09FB" w:rsidP="00EB09FB">
            <w:pPr>
              <w:rPr>
                <w:sz w:val="18"/>
                <w:szCs w:val="18"/>
              </w:rPr>
            </w:pPr>
          </w:p>
          <w:p w:rsidR="00EB09FB" w:rsidRPr="00334BF1" w:rsidRDefault="00EB09FB" w:rsidP="00EB09FB">
            <w:pPr>
              <w:rPr>
                <w:sz w:val="18"/>
                <w:szCs w:val="18"/>
              </w:rPr>
            </w:pPr>
            <w:r w:rsidRPr="00334BF1">
              <w:rPr>
                <w:sz w:val="18"/>
                <w:szCs w:val="18"/>
              </w:rPr>
              <w:t xml:space="preserve">In Timor-Leste, the Pacific Private Sector Development Initiative (PSDI) emphasized the need to overcome SOE inefficiency by starting with small projects and building up to larger deals when the required structures were in place. When the Ministry of State Administration brought in PSDI to help Dili municipality with the procurement of solid waste management services—as a result of a study by the Asian Development Bank (ADB)—the need for practical, small-scale solutions became evident. PSDI consultants worked with the municipality to replace the standard two-page agreement it used for waste haulers with a more complete modular document (including short- and long-term contracting options) in the local language (Tetum). PSDI also drafted a strategy and provided Dili municipality with </w:t>
            </w:r>
            <w:r w:rsidRPr="00334BF1">
              <w:rPr>
                <w:sz w:val="18"/>
                <w:szCs w:val="18"/>
              </w:rPr>
              <w:lastRenderedPageBreak/>
              <w:t>financing options to improve its solid waste system. Ministry counterparts found PSDI’s work to be “supportive, responsive, and proactive,” and learned from this experience the importance of good contracting documents. The ministry requested subsequent capacity-building for its staff.</w:t>
            </w:r>
          </w:p>
          <w:p w:rsidR="00EB09FB" w:rsidRPr="00334BF1" w:rsidRDefault="00EB09FB" w:rsidP="00EB09FB">
            <w:pPr>
              <w:rPr>
                <w:sz w:val="18"/>
                <w:szCs w:val="18"/>
              </w:rPr>
            </w:pPr>
          </w:p>
          <w:p w:rsidR="00EB09FB" w:rsidRPr="00334BF1" w:rsidRDefault="00EB09FB" w:rsidP="00EB09FB">
            <w:pPr>
              <w:rPr>
                <w:sz w:val="18"/>
                <w:szCs w:val="18"/>
              </w:rPr>
            </w:pPr>
            <w:r w:rsidRPr="00334BF1">
              <w:rPr>
                <w:sz w:val="18"/>
                <w:szCs w:val="18"/>
              </w:rPr>
              <w:t>The process was, however, not without controversy. The public–private partnership (PPP) unit of the Timor-Leste Ministry of Finance felt that it should have been informed, since it is responsible for ensuring conformity with PPP guidelines across government. Furthermore, the unit declined to enter a loan agreement with ADB to fund a subsequent phase of the project, stating that the Timorese Audit Court requires a fine line to be maintained between technical assistance and loan projects.</w:t>
            </w:r>
          </w:p>
          <w:p w:rsidR="00EB09FB" w:rsidRPr="00334BF1" w:rsidRDefault="00EB09FB" w:rsidP="00EB09FB">
            <w:pPr>
              <w:rPr>
                <w:sz w:val="18"/>
                <w:szCs w:val="18"/>
              </w:rPr>
            </w:pPr>
          </w:p>
          <w:p w:rsidR="00EB09FB" w:rsidRPr="00D6162F" w:rsidRDefault="00EB09FB" w:rsidP="00C951B3">
            <w:pPr>
              <w:rPr>
                <w:sz w:val="16"/>
                <w:szCs w:val="16"/>
              </w:rPr>
            </w:pPr>
            <w:r w:rsidRPr="00186BF3">
              <w:rPr>
                <w:sz w:val="16"/>
                <w:szCs w:val="16"/>
              </w:rPr>
              <w:t>Source: Consultant interviews and Private Sector Development Initiative.</w:t>
            </w:r>
          </w:p>
        </w:tc>
      </w:tr>
    </w:tbl>
    <w:p w:rsidR="0094677F" w:rsidRPr="00205AD1" w:rsidRDefault="0094677F" w:rsidP="0094677F">
      <w:pPr>
        <w:tabs>
          <w:tab w:val="left" w:pos="567"/>
        </w:tabs>
        <w:rPr>
          <w:rFonts w:eastAsia="Calibri" w:cs="Arial"/>
          <w:szCs w:val="22"/>
          <w:lang w:eastAsia="en-US"/>
        </w:rPr>
      </w:pPr>
    </w:p>
    <w:p w:rsidR="0094677F" w:rsidRPr="009500F4" w:rsidRDefault="0094677F" w:rsidP="0094677F">
      <w:pPr>
        <w:keepNext/>
        <w:spacing w:after="160"/>
        <w:ind w:left="1080"/>
        <w:outlineLvl w:val="1"/>
        <w:rPr>
          <w:rFonts w:eastAsia="Times New Roman" w:cs="Arial"/>
          <w:b/>
          <w:bCs/>
          <w:iCs/>
          <w:szCs w:val="22"/>
          <w:lang w:eastAsia="en-US"/>
        </w:rPr>
      </w:pPr>
      <w:r w:rsidRPr="009500F4">
        <w:rPr>
          <w:rFonts w:eastAsia="Times New Roman" w:cs="Arial"/>
          <w:b/>
          <w:bCs/>
          <w:iCs/>
          <w:szCs w:val="22"/>
          <w:lang w:eastAsia="en-US"/>
        </w:rPr>
        <w:t xml:space="preserve">4. </w:t>
      </w:r>
      <w:r w:rsidRPr="009500F4">
        <w:rPr>
          <w:rFonts w:eastAsia="Times New Roman" w:cs="Arial"/>
          <w:b/>
          <w:bCs/>
          <w:iCs/>
          <w:szCs w:val="22"/>
          <w:lang w:eastAsia="en-US"/>
        </w:rPr>
        <w:tab/>
        <w:t>Economic Empowerment of Women</w:t>
      </w:r>
    </w:p>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literature, whether produced by PSDI or others, amply demonstrates the relevance of the economic empowerment of women to the development of the private sector in Pacific DMCs. The issue is whether PSDI should place its main emphasis on standalone gender initiatives, such as PSDI’s pilot projects, or on gender mainstreaming. DFAT and ADB have moved PSDI in the latter direction, which is likely to lead to a decline in near-term impact but should produce more sustainable outcomes. DFAT became concerned that running the pilot projects was diverting PSDI’s energy away from the team’s core strengths and contributing to its lack of focus on broader indicators of gender inclusion. There may, however, be a need for flexibility. Country contexts differ, and in some of Pacific DMCs, pilot projects might be more effective than mainstreaming. The shift from pilots to mainstreaming is apparent in the </w:t>
      </w:r>
      <w:r w:rsidR="00A03DE1" w:rsidRPr="009500F4">
        <w:rPr>
          <w:rFonts w:eastAsia="Calibri" w:cs="Arial"/>
          <w:szCs w:val="22"/>
          <w:lang w:eastAsia="en-US"/>
        </w:rPr>
        <w:t>TA p</w:t>
      </w:r>
      <w:r w:rsidRPr="009500F4">
        <w:rPr>
          <w:rFonts w:eastAsia="Calibri" w:cs="Arial"/>
          <w:szCs w:val="22"/>
          <w:lang w:eastAsia="en-US"/>
        </w:rPr>
        <w:t>aper</w:t>
      </w:r>
      <w:r w:rsidR="00A03DE1" w:rsidRPr="009500F4">
        <w:rPr>
          <w:rFonts w:eastAsia="Calibri" w:cs="Arial"/>
          <w:szCs w:val="22"/>
          <w:lang w:eastAsia="en-US"/>
        </w:rPr>
        <w:t xml:space="preserve"> from 2015</w:t>
      </w:r>
      <w:r w:rsidRPr="009500F4">
        <w:rPr>
          <w:rFonts w:eastAsia="Calibri" w:cs="Arial"/>
          <w:szCs w:val="22"/>
          <w:lang w:eastAsia="en-US"/>
        </w:rPr>
        <w:t xml:space="preserve"> cover</w:t>
      </w:r>
      <w:r w:rsidR="00A03DE1" w:rsidRPr="009500F4">
        <w:rPr>
          <w:rFonts w:eastAsia="Calibri" w:cs="Arial"/>
          <w:szCs w:val="22"/>
          <w:lang w:eastAsia="en-US"/>
        </w:rPr>
        <w:t>ing</w:t>
      </w:r>
      <w:r w:rsidRPr="009500F4">
        <w:rPr>
          <w:rFonts w:eastAsia="Calibri" w:cs="Arial"/>
          <w:szCs w:val="22"/>
          <w:lang w:eastAsia="en-US"/>
        </w:rPr>
        <w:t xml:space="preserve"> the PNG supplemental funds, which should “support gender mainstreaming” in such areas as PPPs, competition p</w:t>
      </w:r>
      <w:r w:rsidR="000C15E8">
        <w:rPr>
          <w:rFonts w:eastAsia="Calibri" w:cs="Arial"/>
          <w:szCs w:val="22"/>
          <w:lang w:eastAsia="en-US"/>
        </w:rPr>
        <w:t>olicy, and consumer protection.</w:t>
      </w:r>
    </w:p>
    <w:p w:rsidR="0094677F" w:rsidRPr="009500F4" w:rsidRDefault="0094677F" w:rsidP="0094677F">
      <w:pPr>
        <w:tabs>
          <w:tab w:val="left" w:pos="567"/>
        </w:tabs>
        <w:rPr>
          <w:rFonts w:eastAsia="Calibri" w:cs="Arial"/>
          <w:szCs w:val="22"/>
          <w:lang w:eastAsia="en-US"/>
        </w:rPr>
      </w:pPr>
    </w:p>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Finance is an important focus for PSDI’s component on the economic empowerment of women. A 2014 </w:t>
      </w:r>
      <w:r w:rsidR="006070CA" w:rsidRPr="009500F4">
        <w:rPr>
          <w:rFonts w:eastAsia="Calibri" w:cs="Arial"/>
          <w:szCs w:val="22"/>
          <w:lang w:eastAsia="en-US"/>
        </w:rPr>
        <w:t>PSDI</w:t>
      </w:r>
      <w:r w:rsidRPr="009500F4">
        <w:rPr>
          <w:rFonts w:eastAsia="Calibri" w:cs="Arial"/>
          <w:szCs w:val="22"/>
          <w:lang w:eastAsia="en-US"/>
        </w:rPr>
        <w:t xml:space="preserve"> study found that, in the experience of women in Pacific DMCs, gaining access to finance was unduly difficult, mostly for the same reasons that apply to small enterprises in general.</w:t>
      </w:r>
      <w:r w:rsidR="006070CA" w:rsidRPr="009500F4">
        <w:rPr>
          <w:rStyle w:val="FootnoteReference"/>
          <w:rFonts w:eastAsia="Calibri" w:cs="Arial"/>
          <w:szCs w:val="22"/>
          <w:lang w:eastAsia="en-US"/>
        </w:rPr>
        <w:footnoteReference w:id="22"/>
      </w:r>
      <w:r w:rsidRPr="009500F4">
        <w:rPr>
          <w:rFonts w:eastAsia="Calibri" w:cs="Arial"/>
          <w:szCs w:val="22"/>
          <w:lang w:eastAsia="en-US"/>
        </w:rPr>
        <w:t xml:space="preserve"> These reasons include high interest on unsecured loans and/or micro loans, and the requirement for security of 100% (or more) of a loan’s value to be provided as land assets or cash deposits. Thus, secured transactions reform should have a gender impact and accelerate overall access to credit (several of the collateral registries are collecting gender-disaggregated data). PSDI has also conducted programs in Solomon Islands and Tonga to increase entrepreneurs’ confidence in the secured transactions framework, and to demonstrate how women’s businesses can utilize the reformed law and registry to obtain financing.</w:t>
      </w:r>
    </w:p>
    <w:p w:rsidR="0094677F" w:rsidRPr="009500F4" w:rsidRDefault="0094677F" w:rsidP="0094677F"/>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Pilot initiatives in value-chain finance have tried to broaden access to finance by linking producer groups—some of them with large numbers of women members—to sources of secured credit. In PNG, pilot projects with women coffee growers and women’s fisheries are examples of this approach. The latter pilot met with greater success than the former, and involved helping set up accounts and financing through MiBank, with related support including training in financial literacy.</w:t>
      </w:r>
    </w:p>
    <w:p w:rsidR="0094677F" w:rsidRPr="009500F4" w:rsidRDefault="0094677F" w:rsidP="0094677F"/>
    <w:p w:rsidR="0094677F" w:rsidRPr="009500F4" w:rsidRDefault="0094677F" w:rsidP="0094677F">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PSDI has followed the logic of its work on the economic empowerment of women into the realm of business leadership, launching a 1-year Women’s Business Leadership Program (2015) in Tonga. The aim of the program was to foster a cadre of women leaders in the private sector, along with supportive networks.</w:t>
      </w:r>
      <w:r w:rsidRPr="009500F4">
        <w:rPr>
          <w:rFonts w:eastAsia="Calibri" w:cs="Arial"/>
          <w:sz w:val="16"/>
          <w:szCs w:val="22"/>
          <w:vertAlign w:val="superscript"/>
          <w:lang w:eastAsia="en-US"/>
        </w:rPr>
        <w:footnoteReference w:id="23"/>
      </w:r>
      <w:r w:rsidRPr="009500F4">
        <w:rPr>
          <w:rFonts w:eastAsia="Calibri" w:cs="Arial"/>
          <w:sz w:val="16"/>
          <w:szCs w:val="22"/>
          <w:vertAlign w:val="superscript"/>
          <w:lang w:eastAsia="en-US"/>
        </w:rPr>
        <w:t xml:space="preserve"> </w:t>
      </w:r>
      <w:r w:rsidRPr="009500F4">
        <w:rPr>
          <w:rFonts w:eastAsia="Calibri" w:cs="Arial"/>
          <w:szCs w:val="22"/>
          <w:lang w:eastAsia="en-US"/>
        </w:rPr>
        <w:t xml:space="preserve">This, not surprisingly, is a difficult area in which to make rapid progress. There is a sense that both the number and proportion of women in senior posts in government and the private sector are entrenched at fairly low levels. This is especially evident in SOEs across the Pacific (Table 10). A range of factors accounts for this low level of </w:t>
      </w:r>
      <w:r w:rsidRPr="009500F4">
        <w:rPr>
          <w:rFonts w:eastAsia="Calibri" w:cs="Arial"/>
          <w:szCs w:val="22"/>
          <w:lang w:eastAsia="en-US"/>
        </w:rPr>
        <w:lastRenderedPageBreak/>
        <w:t>representation, including a lack of benefits, such as maternity leave, that would make the labor market more equitable.</w:t>
      </w:r>
    </w:p>
    <w:p w:rsidR="0094677F" w:rsidRPr="009500F4" w:rsidRDefault="0094677F" w:rsidP="0094677F"/>
    <w:p w:rsidR="0094677F" w:rsidRPr="00D6162F" w:rsidRDefault="0094677F" w:rsidP="0094677F">
      <w:pPr>
        <w:jc w:val="center"/>
        <w:rPr>
          <w:rFonts w:cs="Arial"/>
          <w:sz w:val="20"/>
          <w:szCs w:val="20"/>
        </w:rPr>
      </w:pPr>
      <w:r w:rsidRPr="00D6162F">
        <w:rPr>
          <w:rFonts w:cs="Arial"/>
          <w:b/>
          <w:sz w:val="20"/>
          <w:szCs w:val="20"/>
        </w:rPr>
        <w:t>Table 10: Women Directors of State-Owned Enterprises in the Pacific</w:t>
      </w:r>
    </w:p>
    <w:p w:rsidR="0094677F" w:rsidRPr="001143BF" w:rsidRDefault="0094677F" w:rsidP="0094677F">
      <w:pPr>
        <w:rPr>
          <w:rFonts w:cs="Arial"/>
          <w:sz w:val="10"/>
          <w:szCs w:val="10"/>
        </w:rPr>
      </w:pPr>
    </w:p>
    <w:tbl>
      <w:tblPr>
        <w:tblStyle w:val="TableGrid3"/>
        <w:tblW w:w="5000" w:type="pct"/>
        <w:tblLayout w:type="fixed"/>
        <w:tblLook w:val="04A0" w:firstRow="1" w:lastRow="0" w:firstColumn="1" w:lastColumn="0" w:noHBand="0" w:noVBand="1"/>
      </w:tblPr>
      <w:tblGrid>
        <w:gridCol w:w="3450"/>
        <w:gridCol w:w="985"/>
        <w:gridCol w:w="985"/>
        <w:gridCol w:w="985"/>
        <w:gridCol w:w="985"/>
        <w:gridCol w:w="985"/>
        <w:gridCol w:w="985"/>
      </w:tblGrid>
      <w:tr w:rsidR="00133FFA" w:rsidRPr="009500F4" w:rsidTr="00D6162F">
        <w:trPr>
          <w:trHeight w:val="300"/>
        </w:trPr>
        <w:tc>
          <w:tcPr>
            <w:tcW w:w="1842" w:type="pct"/>
            <w:tcBorders>
              <w:left w:val="nil"/>
              <w:bottom w:val="single" w:sz="4" w:space="0" w:color="auto"/>
              <w:right w:val="nil"/>
            </w:tcBorders>
            <w:shd w:val="clear" w:color="auto" w:fill="FFFFFF" w:themeFill="background1"/>
            <w:noWrap/>
            <w:hideMark/>
          </w:tcPr>
          <w:p w:rsidR="0094677F" w:rsidRPr="009500F4" w:rsidRDefault="0094677F" w:rsidP="002B3DE1">
            <w:pPr>
              <w:rPr>
                <w:rFonts w:cs="Arial"/>
                <w:b/>
                <w:bCs/>
                <w:sz w:val="18"/>
                <w:szCs w:val="18"/>
              </w:rPr>
            </w:pPr>
          </w:p>
        </w:tc>
        <w:tc>
          <w:tcPr>
            <w:tcW w:w="526" w:type="pct"/>
            <w:tcBorders>
              <w:left w:val="nil"/>
              <w:bottom w:val="single" w:sz="4" w:space="0" w:color="auto"/>
              <w:right w:val="nil"/>
            </w:tcBorders>
            <w:shd w:val="clear" w:color="auto" w:fill="FFFFFF" w:themeFill="background1"/>
            <w:noWrap/>
            <w:hideMark/>
          </w:tcPr>
          <w:p w:rsidR="0094677F" w:rsidRPr="009500F4" w:rsidRDefault="00133FFA" w:rsidP="002B3DE1">
            <w:pPr>
              <w:rPr>
                <w:rFonts w:cs="Arial"/>
                <w:b/>
                <w:bCs/>
                <w:sz w:val="18"/>
                <w:szCs w:val="18"/>
              </w:rPr>
            </w:pPr>
            <w:r>
              <w:rPr>
                <w:rFonts w:cs="Arial"/>
                <w:b/>
                <w:bCs/>
                <w:sz w:val="18"/>
                <w:szCs w:val="18"/>
              </w:rPr>
              <w:t>Fiji</w:t>
            </w:r>
          </w:p>
        </w:tc>
        <w:tc>
          <w:tcPr>
            <w:tcW w:w="526" w:type="pct"/>
            <w:tcBorders>
              <w:left w:val="nil"/>
              <w:bottom w:val="single" w:sz="4" w:space="0" w:color="auto"/>
              <w:right w:val="nil"/>
            </w:tcBorders>
            <w:shd w:val="clear" w:color="auto" w:fill="FFFFFF" w:themeFill="background1"/>
            <w:noWrap/>
            <w:hideMark/>
          </w:tcPr>
          <w:p w:rsidR="0094677F" w:rsidRPr="009500F4" w:rsidRDefault="0094677F" w:rsidP="002B3DE1">
            <w:pPr>
              <w:rPr>
                <w:rFonts w:cs="Arial"/>
                <w:b/>
                <w:bCs/>
                <w:sz w:val="18"/>
                <w:szCs w:val="18"/>
              </w:rPr>
            </w:pPr>
            <w:r w:rsidRPr="009500F4">
              <w:rPr>
                <w:rFonts w:cs="Arial"/>
                <w:b/>
                <w:bCs/>
                <w:sz w:val="18"/>
                <w:szCs w:val="18"/>
              </w:rPr>
              <w:t>RMI</w:t>
            </w:r>
          </w:p>
        </w:tc>
        <w:tc>
          <w:tcPr>
            <w:tcW w:w="526" w:type="pct"/>
            <w:tcBorders>
              <w:left w:val="nil"/>
              <w:bottom w:val="single" w:sz="4" w:space="0" w:color="auto"/>
              <w:right w:val="nil"/>
            </w:tcBorders>
            <w:shd w:val="clear" w:color="auto" w:fill="FFFFFF" w:themeFill="background1"/>
            <w:noWrap/>
            <w:hideMark/>
          </w:tcPr>
          <w:p w:rsidR="0094677F" w:rsidRPr="009500F4" w:rsidRDefault="0094677F" w:rsidP="002B3DE1">
            <w:pPr>
              <w:rPr>
                <w:rFonts w:cs="Arial"/>
                <w:b/>
                <w:bCs/>
                <w:sz w:val="18"/>
                <w:szCs w:val="18"/>
              </w:rPr>
            </w:pPr>
            <w:r w:rsidRPr="009500F4">
              <w:rPr>
                <w:rFonts w:cs="Arial"/>
                <w:b/>
                <w:bCs/>
                <w:sz w:val="18"/>
                <w:szCs w:val="18"/>
              </w:rPr>
              <w:t>PNG</w:t>
            </w:r>
          </w:p>
        </w:tc>
        <w:tc>
          <w:tcPr>
            <w:tcW w:w="526" w:type="pct"/>
            <w:tcBorders>
              <w:left w:val="nil"/>
              <w:bottom w:val="single" w:sz="4" w:space="0" w:color="auto"/>
              <w:right w:val="nil"/>
            </w:tcBorders>
            <w:shd w:val="clear" w:color="auto" w:fill="FFFFFF" w:themeFill="background1"/>
            <w:noWrap/>
            <w:hideMark/>
          </w:tcPr>
          <w:p w:rsidR="0094677F" w:rsidRPr="009500F4" w:rsidRDefault="00133FFA" w:rsidP="002B3DE1">
            <w:pPr>
              <w:rPr>
                <w:rFonts w:cs="Arial"/>
                <w:b/>
                <w:bCs/>
                <w:sz w:val="18"/>
                <w:szCs w:val="18"/>
              </w:rPr>
            </w:pPr>
            <w:r w:rsidRPr="009500F4">
              <w:rPr>
                <w:rFonts w:cs="Arial"/>
                <w:b/>
                <w:bCs/>
                <w:sz w:val="18"/>
                <w:szCs w:val="18"/>
              </w:rPr>
              <w:t>S</w:t>
            </w:r>
            <w:r>
              <w:rPr>
                <w:rFonts w:cs="Arial"/>
                <w:b/>
                <w:bCs/>
                <w:sz w:val="18"/>
                <w:szCs w:val="18"/>
              </w:rPr>
              <w:t>amoa</w:t>
            </w:r>
          </w:p>
        </w:tc>
        <w:tc>
          <w:tcPr>
            <w:tcW w:w="526" w:type="pct"/>
            <w:tcBorders>
              <w:left w:val="nil"/>
              <w:bottom w:val="single" w:sz="4" w:space="0" w:color="auto"/>
              <w:right w:val="nil"/>
            </w:tcBorders>
            <w:shd w:val="clear" w:color="auto" w:fill="FFFFFF" w:themeFill="background1"/>
            <w:noWrap/>
            <w:hideMark/>
          </w:tcPr>
          <w:p w:rsidR="00133FFA" w:rsidRDefault="00133FFA" w:rsidP="002B3DE1">
            <w:pPr>
              <w:rPr>
                <w:rFonts w:cs="Arial"/>
                <w:b/>
                <w:bCs/>
                <w:sz w:val="18"/>
                <w:szCs w:val="18"/>
              </w:rPr>
            </w:pPr>
            <w:r>
              <w:rPr>
                <w:rFonts w:cs="Arial"/>
                <w:b/>
                <w:bCs/>
                <w:sz w:val="18"/>
                <w:szCs w:val="18"/>
              </w:rPr>
              <w:t>Solomon</w:t>
            </w:r>
          </w:p>
          <w:p w:rsidR="0094677F" w:rsidRPr="009500F4" w:rsidRDefault="00133FFA" w:rsidP="002B3DE1">
            <w:pPr>
              <w:rPr>
                <w:rFonts w:cs="Arial"/>
                <w:b/>
                <w:bCs/>
                <w:sz w:val="18"/>
                <w:szCs w:val="18"/>
              </w:rPr>
            </w:pPr>
            <w:r w:rsidRPr="009500F4">
              <w:rPr>
                <w:rFonts w:cs="Arial"/>
                <w:b/>
                <w:bCs/>
                <w:sz w:val="18"/>
                <w:szCs w:val="18"/>
              </w:rPr>
              <w:t>I</w:t>
            </w:r>
            <w:r>
              <w:rPr>
                <w:rFonts w:cs="Arial"/>
                <w:b/>
                <w:bCs/>
                <w:sz w:val="18"/>
                <w:szCs w:val="18"/>
              </w:rPr>
              <w:t>slands</w:t>
            </w:r>
          </w:p>
        </w:tc>
        <w:tc>
          <w:tcPr>
            <w:tcW w:w="526" w:type="pct"/>
            <w:tcBorders>
              <w:left w:val="nil"/>
              <w:bottom w:val="single" w:sz="4" w:space="0" w:color="auto"/>
              <w:right w:val="nil"/>
            </w:tcBorders>
            <w:shd w:val="clear" w:color="auto" w:fill="FFFFFF" w:themeFill="background1"/>
            <w:noWrap/>
            <w:hideMark/>
          </w:tcPr>
          <w:p w:rsidR="0094677F" w:rsidRPr="009500F4" w:rsidRDefault="00133FFA" w:rsidP="002B3DE1">
            <w:pPr>
              <w:rPr>
                <w:rFonts w:cs="Arial"/>
                <w:b/>
                <w:bCs/>
                <w:sz w:val="18"/>
                <w:szCs w:val="18"/>
              </w:rPr>
            </w:pPr>
            <w:r w:rsidRPr="009500F4">
              <w:rPr>
                <w:rFonts w:cs="Arial"/>
                <w:b/>
                <w:bCs/>
                <w:sz w:val="18"/>
                <w:szCs w:val="18"/>
              </w:rPr>
              <w:t>T</w:t>
            </w:r>
            <w:r>
              <w:rPr>
                <w:rFonts w:cs="Arial"/>
                <w:b/>
                <w:bCs/>
                <w:sz w:val="18"/>
                <w:szCs w:val="18"/>
              </w:rPr>
              <w:t>onga</w:t>
            </w:r>
          </w:p>
        </w:tc>
      </w:tr>
      <w:tr w:rsidR="00133FFA" w:rsidRPr="009500F4" w:rsidTr="00D6162F">
        <w:trPr>
          <w:trHeight w:val="300"/>
        </w:trPr>
        <w:tc>
          <w:tcPr>
            <w:tcW w:w="1842" w:type="pct"/>
            <w:tcBorders>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Number of women directors (2015)</w:t>
            </w:r>
          </w:p>
        </w:tc>
        <w:tc>
          <w:tcPr>
            <w:tcW w:w="526" w:type="pct"/>
            <w:tcBorders>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5</w:t>
            </w:r>
          </w:p>
        </w:tc>
        <w:tc>
          <w:tcPr>
            <w:tcW w:w="526" w:type="pct"/>
            <w:tcBorders>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17</w:t>
            </w:r>
          </w:p>
        </w:tc>
        <w:tc>
          <w:tcPr>
            <w:tcW w:w="526" w:type="pct"/>
            <w:tcBorders>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15</w:t>
            </w:r>
          </w:p>
        </w:tc>
        <w:tc>
          <w:tcPr>
            <w:tcW w:w="526" w:type="pct"/>
            <w:tcBorders>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39</w:t>
            </w:r>
          </w:p>
        </w:tc>
        <w:tc>
          <w:tcPr>
            <w:tcW w:w="526" w:type="pct"/>
            <w:tcBorders>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7</w:t>
            </w:r>
          </w:p>
        </w:tc>
        <w:tc>
          <w:tcPr>
            <w:tcW w:w="526" w:type="pct"/>
            <w:tcBorders>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6</w:t>
            </w:r>
          </w:p>
        </w:tc>
      </w:tr>
      <w:tr w:rsidR="00133FFA" w:rsidRPr="009500F4" w:rsidTr="00D6162F">
        <w:trPr>
          <w:trHeight w:val="300"/>
        </w:trPr>
        <w:tc>
          <w:tcPr>
            <w:tcW w:w="1842"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Number of women directors (2012)</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6</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7</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6</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35</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8</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13</w:t>
            </w:r>
          </w:p>
        </w:tc>
      </w:tr>
      <w:tr w:rsidR="00133FFA" w:rsidRPr="009500F4" w:rsidTr="00D6162F">
        <w:trPr>
          <w:trHeight w:val="287"/>
        </w:trPr>
        <w:tc>
          <w:tcPr>
            <w:tcW w:w="1842"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 change 2012–2015</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(17)</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143</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150</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11</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(13)</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(54)</w:t>
            </w:r>
          </w:p>
        </w:tc>
      </w:tr>
      <w:tr w:rsidR="00133FFA" w:rsidRPr="009500F4" w:rsidTr="00D6162F">
        <w:trPr>
          <w:trHeight w:val="300"/>
        </w:trPr>
        <w:tc>
          <w:tcPr>
            <w:tcW w:w="1842"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 women directors as proportion of total (2015)</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5</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24</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16</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21</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13</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16</w:t>
            </w:r>
          </w:p>
        </w:tc>
      </w:tr>
      <w:tr w:rsidR="00133FFA" w:rsidRPr="009500F4" w:rsidTr="00D6162F">
        <w:trPr>
          <w:trHeight w:val="300"/>
        </w:trPr>
        <w:tc>
          <w:tcPr>
            <w:tcW w:w="1842"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 women directors as proportion of total (2012)</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10</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22</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10</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18</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13</w:t>
            </w:r>
          </w:p>
        </w:tc>
        <w:tc>
          <w:tcPr>
            <w:tcW w:w="526" w:type="pct"/>
            <w:tcBorders>
              <w:top w:val="nil"/>
              <w:left w:val="nil"/>
              <w:bottom w:val="nil"/>
              <w:right w:val="nil"/>
            </w:tcBorders>
            <w:noWrap/>
            <w:hideMark/>
          </w:tcPr>
          <w:p w:rsidR="0094677F" w:rsidRPr="009500F4" w:rsidRDefault="0094677F" w:rsidP="002B3DE1">
            <w:pPr>
              <w:rPr>
                <w:rFonts w:cs="Arial"/>
                <w:sz w:val="18"/>
                <w:szCs w:val="18"/>
              </w:rPr>
            </w:pPr>
            <w:r w:rsidRPr="009500F4">
              <w:rPr>
                <w:rFonts w:cs="Arial"/>
                <w:sz w:val="18"/>
                <w:szCs w:val="18"/>
              </w:rPr>
              <w:t>17</w:t>
            </w:r>
          </w:p>
        </w:tc>
      </w:tr>
      <w:tr w:rsidR="00133FFA" w:rsidRPr="009500F4" w:rsidTr="00D6162F">
        <w:trPr>
          <w:trHeight w:val="368"/>
        </w:trPr>
        <w:tc>
          <w:tcPr>
            <w:tcW w:w="1842" w:type="pct"/>
            <w:tcBorders>
              <w:top w:val="nil"/>
              <w:left w:val="nil"/>
              <w:right w:val="nil"/>
            </w:tcBorders>
            <w:noWrap/>
            <w:hideMark/>
          </w:tcPr>
          <w:p w:rsidR="0094677F" w:rsidRPr="009500F4" w:rsidRDefault="0094677F" w:rsidP="002B3DE1">
            <w:pPr>
              <w:rPr>
                <w:rFonts w:cs="Arial"/>
                <w:sz w:val="18"/>
                <w:szCs w:val="18"/>
              </w:rPr>
            </w:pPr>
            <w:r w:rsidRPr="009500F4">
              <w:rPr>
                <w:rFonts w:cs="Arial"/>
                <w:sz w:val="18"/>
                <w:szCs w:val="18"/>
              </w:rPr>
              <w:t>% change 2012–2015</w:t>
            </w:r>
          </w:p>
        </w:tc>
        <w:tc>
          <w:tcPr>
            <w:tcW w:w="526" w:type="pct"/>
            <w:tcBorders>
              <w:top w:val="nil"/>
              <w:left w:val="nil"/>
              <w:right w:val="nil"/>
            </w:tcBorders>
            <w:noWrap/>
            <w:hideMark/>
          </w:tcPr>
          <w:p w:rsidR="0094677F" w:rsidRPr="009500F4" w:rsidRDefault="0094677F" w:rsidP="002B3DE1">
            <w:pPr>
              <w:rPr>
                <w:rFonts w:cs="Arial"/>
                <w:sz w:val="18"/>
                <w:szCs w:val="18"/>
              </w:rPr>
            </w:pPr>
            <w:r w:rsidRPr="009500F4">
              <w:rPr>
                <w:rFonts w:cs="Arial"/>
                <w:sz w:val="18"/>
                <w:szCs w:val="18"/>
              </w:rPr>
              <w:t>(50)</w:t>
            </w:r>
          </w:p>
        </w:tc>
        <w:tc>
          <w:tcPr>
            <w:tcW w:w="526" w:type="pct"/>
            <w:tcBorders>
              <w:top w:val="nil"/>
              <w:left w:val="nil"/>
              <w:right w:val="nil"/>
            </w:tcBorders>
            <w:noWrap/>
            <w:hideMark/>
          </w:tcPr>
          <w:p w:rsidR="0094677F" w:rsidRPr="009500F4" w:rsidRDefault="0094677F" w:rsidP="002B3DE1">
            <w:pPr>
              <w:rPr>
                <w:rFonts w:cs="Arial"/>
                <w:sz w:val="18"/>
                <w:szCs w:val="18"/>
              </w:rPr>
            </w:pPr>
            <w:r w:rsidRPr="009500F4">
              <w:rPr>
                <w:rFonts w:cs="Arial"/>
                <w:sz w:val="18"/>
                <w:szCs w:val="18"/>
              </w:rPr>
              <w:t>9</w:t>
            </w:r>
          </w:p>
        </w:tc>
        <w:tc>
          <w:tcPr>
            <w:tcW w:w="526" w:type="pct"/>
            <w:tcBorders>
              <w:top w:val="nil"/>
              <w:left w:val="nil"/>
              <w:right w:val="nil"/>
            </w:tcBorders>
            <w:noWrap/>
            <w:hideMark/>
          </w:tcPr>
          <w:p w:rsidR="0094677F" w:rsidRPr="009500F4" w:rsidRDefault="0094677F" w:rsidP="002B3DE1">
            <w:pPr>
              <w:rPr>
                <w:rFonts w:cs="Arial"/>
                <w:sz w:val="18"/>
                <w:szCs w:val="18"/>
              </w:rPr>
            </w:pPr>
            <w:r w:rsidRPr="009500F4">
              <w:rPr>
                <w:rFonts w:cs="Arial"/>
                <w:sz w:val="18"/>
                <w:szCs w:val="18"/>
              </w:rPr>
              <w:t>60</w:t>
            </w:r>
          </w:p>
        </w:tc>
        <w:tc>
          <w:tcPr>
            <w:tcW w:w="526" w:type="pct"/>
            <w:tcBorders>
              <w:top w:val="nil"/>
              <w:left w:val="nil"/>
              <w:right w:val="nil"/>
            </w:tcBorders>
            <w:noWrap/>
            <w:hideMark/>
          </w:tcPr>
          <w:p w:rsidR="0094677F" w:rsidRPr="009500F4" w:rsidRDefault="0094677F" w:rsidP="002B3DE1">
            <w:pPr>
              <w:rPr>
                <w:rFonts w:cs="Arial"/>
                <w:sz w:val="18"/>
                <w:szCs w:val="18"/>
              </w:rPr>
            </w:pPr>
            <w:r w:rsidRPr="009500F4">
              <w:rPr>
                <w:rFonts w:cs="Arial"/>
                <w:sz w:val="18"/>
                <w:szCs w:val="18"/>
              </w:rPr>
              <w:t>17</w:t>
            </w:r>
          </w:p>
        </w:tc>
        <w:tc>
          <w:tcPr>
            <w:tcW w:w="526" w:type="pct"/>
            <w:tcBorders>
              <w:top w:val="nil"/>
              <w:left w:val="nil"/>
              <w:right w:val="nil"/>
            </w:tcBorders>
            <w:noWrap/>
            <w:hideMark/>
          </w:tcPr>
          <w:p w:rsidR="0094677F" w:rsidRPr="009500F4" w:rsidRDefault="0094677F" w:rsidP="002B3DE1">
            <w:pPr>
              <w:rPr>
                <w:rFonts w:cs="Arial"/>
                <w:sz w:val="18"/>
                <w:szCs w:val="18"/>
              </w:rPr>
            </w:pPr>
            <w:r w:rsidRPr="009500F4">
              <w:rPr>
                <w:rFonts w:cs="Arial"/>
                <w:sz w:val="18"/>
                <w:szCs w:val="18"/>
              </w:rPr>
              <w:t>0</w:t>
            </w:r>
          </w:p>
        </w:tc>
        <w:tc>
          <w:tcPr>
            <w:tcW w:w="526" w:type="pct"/>
            <w:tcBorders>
              <w:top w:val="nil"/>
              <w:left w:val="nil"/>
              <w:right w:val="nil"/>
            </w:tcBorders>
            <w:noWrap/>
            <w:hideMark/>
          </w:tcPr>
          <w:p w:rsidR="0094677F" w:rsidRPr="009500F4" w:rsidRDefault="0094677F" w:rsidP="002B3DE1">
            <w:pPr>
              <w:rPr>
                <w:rFonts w:cs="Arial"/>
                <w:sz w:val="18"/>
                <w:szCs w:val="18"/>
              </w:rPr>
            </w:pPr>
            <w:r w:rsidRPr="009500F4">
              <w:rPr>
                <w:rFonts w:cs="Arial"/>
                <w:sz w:val="18"/>
                <w:szCs w:val="18"/>
              </w:rPr>
              <w:t>(6)</w:t>
            </w:r>
          </w:p>
        </w:tc>
      </w:tr>
    </w:tbl>
    <w:p w:rsidR="0094677F" w:rsidRPr="009500F4" w:rsidRDefault="0094677F" w:rsidP="0094677F">
      <w:pPr>
        <w:rPr>
          <w:rFonts w:eastAsia="Times New Roman" w:cs="Arial"/>
          <w:sz w:val="16"/>
          <w:szCs w:val="16"/>
          <w:lang w:val="en-AU" w:eastAsia="en-US"/>
        </w:rPr>
      </w:pPr>
      <w:r w:rsidRPr="009500F4">
        <w:rPr>
          <w:rFonts w:ascii="ArialMT" w:hAnsi="ArialMT" w:cs="ArialMT"/>
          <w:sz w:val="18"/>
          <w:szCs w:val="18"/>
          <w:lang w:val="en-AU" w:eastAsia="en-US"/>
        </w:rPr>
        <w:t xml:space="preserve">( ) = negative, </w:t>
      </w:r>
      <w:r w:rsidRPr="009500F4">
        <w:rPr>
          <w:sz w:val="16"/>
          <w:szCs w:val="16"/>
        </w:rPr>
        <w:t>PNG = Papua New Guinea, RMI = Republic of the Marshall Islands.</w:t>
      </w:r>
    </w:p>
    <w:p w:rsidR="0094677F" w:rsidRPr="009500F4" w:rsidRDefault="0094677F" w:rsidP="0094677F">
      <w:pPr>
        <w:rPr>
          <w:sz w:val="18"/>
          <w:szCs w:val="18"/>
        </w:rPr>
      </w:pPr>
      <w:r w:rsidRPr="009500F4">
        <w:rPr>
          <w:sz w:val="16"/>
          <w:szCs w:val="16"/>
        </w:rPr>
        <w:t>Source: Private Sector Development Initiative.</w:t>
      </w:r>
    </w:p>
    <w:p w:rsidR="00205AD1" w:rsidRPr="009500F4" w:rsidRDefault="00205AD1" w:rsidP="00205AD1">
      <w:pPr>
        <w:tabs>
          <w:tab w:val="left" w:pos="567"/>
        </w:tabs>
        <w:rPr>
          <w:rFonts w:eastAsia="Calibri" w:cs="Arial"/>
          <w:szCs w:val="22"/>
          <w:lang w:eastAsia="en-US"/>
        </w:rPr>
      </w:pPr>
    </w:p>
    <w:p w:rsidR="00CA4CD7" w:rsidRPr="009500F4" w:rsidRDefault="0094677F" w:rsidP="00170139">
      <w:pPr>
        <w:keepNext/>
        <w:spacing w:after="160"/>
        <w:ind w:left="1077"/>
        <w:outlineLvl w:val="1"/>
        <w:rPr>
          <w:rFonts w:eastAsia="Times New Roman" w:cs="Arial"/>
          <w:b/>
          <w:bCs/>
          <w:iCs/>
          <w:szCs w:val="22"/>
          <w:lang w:eastAsia="en-US"/>
        </w:rPr>
      </w:pPr>
      <w:bookmarkStart w:id="150" w:name="_Toc494271720"/>
      <w:bookmarkStart w:id="151" w:name="_Toc494367946"/>
      <w:bookmarkStart w:id="152" w:name="_Toc494378790"/>
      <w:bookmarkStart w:id="153" w:name="_Toc494378872"/>
      <w:r w:rsidRPr="009500F4">
        <w:rPr>
          <w:rFonts w:eastAsia="Times New Roman" w:cs="Arial"/>
          <w:b/>
          <w:bCs/>
          <w:iCs/>
          <w:szCs w:val="22"/>
          <w:lang w:eastAsia="en-US"/>
        </w:rPr>
        <w:t>5</w:t>
      </w:r>
      <w:r w:rsidR="001143BF">
        <w:rPr>
          <w:rFonts w:eastAsia="Times New Roman" w:cs="Arial"/>
          <w:b/>
          <w:bCs/>
          <w:iCs/>
          <w:szCs w:val="22"/>
          <w:lang w:eastAsia="en-US"/>
        </w:rPr>
        <w:t>.</w:t>
      </w:r>
      <w:r w:rsidR="00386F3B" w:rsidRPr="009500F4">
        <w:rPr>
          <w:rFonts w:eastAsia="Times New Roman" w:cs="Arial"/>
          <w:b/>
          <w:bCs/>
          <w:iCs/>
          <w:szCs w:val="22"/>
          <w:lang w:eastAsia="en-US"/>
        </w:rPr>
        <w:tab/>
      </w:r>
      <w:r w:rsidR="00CA4CD7" w:rsidRPr="009500F4">
        <w:rPr>
          <w:rFonts w:eastAsia="Times New Roman" w:cs="Arial"/>
          <w:b/>
          <w:bCs/>
          <w:iCs/>
          <w:szCs w:val="22"/>
          <w:lang w:eastAsia="en-US"/>
        </w:rPr>
        <w:t xml:space="preserve">Competition </w:t>
      </w:r>
      <w:r w:rsidR="00240903" w:rsidRPr="009500F4">
        <w:rPr>
          <w:rFonts w:eastAsia="Times New Roman" w:cs="Arial"/>
          <w:b/>
          <w:bCs/>
          <w:iCs/>
          <w:szCs w:val="22"/>
          <w:lang w:eastAsia="en-US"/>
        </w:rPr>
        <w:t xml:space="preserve">Policy </w:t>
      </w:r>
      <w:r w:rsidR="00CA4CD7" w:rsidRPr="009500F4">
        <w:rPr>
          <w:rFonts w:eastAsia="Times New Roman" w:cs="Arial"/>
          <w:b/>
          <w:bCs/>
          <w:iCs/>
          <w:szCs w:val="22"/>
          <w:lang w:eastAsia="en-US"/>
        </w:rPr>
        <w:t>and Consumer Protection</w:t>
      </w:r>
      <w:bookmarkEnd w:id="150"/>
      <w:bookmarkEnd w:id="151"/>
      <w:bookmarkEnd w:id="152"/>
      <w:bookmarkEnd w:id="153"/>
    </w:p>
    <w:p w:rsidR="0022466A" w:rsidRPr="009500F4" w:rsidRDefault="0022466A" w:rsidP="00DE4F68">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PSDI’s </w:t>
      </w:r>
      <w:r w:rsidR="00CA4CD7" w:rsidRPr="009500F4">
        <w:rPr>
          <w:rFonts w:eastAsia="Calibri" w:cs="Arial"/>
          <w:szCs w:val="22"/>
          <w:lang w:eastAsia="en-US"/>
        </w:rPr>
        <w:t>competition component uses two main strategies to ensure that its work is relevant and sustainable.</w:t>
      </w:r>
    </w:p>
    <w:p w:rsidR="0022466A" w:rsidRPr="009500F4" w:rsidRDefault="0022466A" w:rsidP="00170139">
      <w:pPr>
        <w:tabs>
          <w:tab w:val="left" w:pos="567"/>
        </w:tabs>
        <w:rPr>
          <w:rFonts w:eastAsia="Calibri" w:cs="Arial"/>
          <w:szCs w:val="22"/>
          <w:lang w:eastAsia="en-US"/>
        </w:rPr>
      </w:pPr>
    </w:p>
    <w:p w:rsidR="00CA4CD7" w:rsidRPr="009500F4" w:rsidRDefault="0022466A" w:rsidP="00DE4F68">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Under the f</w:t>
      </w:r>
      <w:r w:rsidR="00CA4CD7" w:rsidRPr="009500F4">
        <w:rPr>
          <w:rFonts w:eastAsia="Calibri" w:cs="Arial"/>
          <w:szCs w:val="22"/>
          <w:lang w:eastAsia="en-US"/>
        </w:rPr>
        <w:t>irst</w:t>
      </w:r>
      <w:r w:rsidRPr="009500F4">
        <w:rPr>
          <w:rFonts w:eastAsia="Calibri" w:cs="Arial"/>
          <w:szCs w:val="22"/>
          <w:lang w:eastAsia="en-US"/>
        </w:rPr>
        <w:t xml:space="preserve"> strategy</w:t>
      </w:r>
      <w:r w:rsidR="00CA4CD7" w:rsidRPr="009500F4">
        <w:rPr>
          <w:rFonts w:eastAsia="Calibri" w:cs="Arial"/>
          <w:szCs w:val="22"/>
          <w:lang w:eastAsia="en-US"/>
        </w:rPr>
        <w:t xml:space="preserve">, </w:t>
      </w:r>
      <w:r w:rsidRPr="009500F4">
        <w:rPr>
          <w:rFonts w:eastAsia="Calibri" w:cs="Arial"/>
          <w:szCs w:val="22"/>
          <w:lang w:eastAsia="en-US"/>
        </w:rPr>
        <w:t xml:space="preserve">PSDI </w:t>
      </w:r>
      <w:r w:rsidR="00CA4CD7" w:rsidRPr="009500F4">
        <w:rPr>
          <w:rFonts w:eastAsia="Calibri" w:cs="Arial"/>
          <w:szCs w:val="22"/>
          <w:lang w:eastAsia="en-US"/>
        </w:rPr>
        <w:t xml:space="preserve">acts on the basis of clear expressions of demand. Across all components, PSDI usually insists on background discussions with government counterparts to reach consensus, followed by a formal request by the relevant authority, </w:t>
      </w:r>
      <w:r w:rsidRPr="009500F4">
        <w:rPr>
          <w:rFonts w:eastAsia="Calibri" w:cs="Arial"/>
          <w:szCs w:val="22"/>
          <w:lang w:eastAsia="en-US"/>
        </w:rPr>
        <w:t xml:space="preserve">which is </w:t>
      </w:r>
      <w:r w:rsidR="00CA4CD7" w:rsidRPr="009500F4">
        <w:rPr>
          <w:rFonts w:eastAsia="Calibri" w:cs="Arial"/>
          <w:szCs w:val="22"/>
          <w:lang w:eastAsia="en-US"/>
        </w:rPr>
        <w:t>often the</w:t>
      </w:r>
      <w:r w:rsidRPr="009500F4">
        <w:rPr>
          <w:rFonts w:eastAsia="Calibri" w:cs="Arial"/>
          <w:szCs w:val="22"/>
          <w:lang w:eastAsia="en-US"/>
        </w:rPr>
        <w:t xml:space="preserve"> country’s</w:t>
      </w:r>
      <w:r w:rsidR="00CA4CD7" w:rsidRPr="009500F4">
        <w:rPr>
          <w:rFonts w:eastAsia="Calibri" w:cs="Arial"/>
          <w:szCs w:val="22"/>
          <w:lang w:eastAsia="en-US"/>
        </w:rPr>
        <w:t xml:space="preserve"> </w:t>
      </w:r>
      <w:r w:rsidRPr="009500F4">
        <w:rPr>
          <w:rFonts w:eastAsia="Calibri" w:cs="Arial"/>
          <w:szCs w:val="22"/>
          <w:lang w:eastAsia="en-US"/>
        </w:rPr>
        <w:t>m</w:t>
      </w:r>
      <w:r w:rsidR="00CA4CD7" w:rsidRPr="009500F4">
        <w:rPr>
          <w:rFonts w:eastAsia="Calibri" w:cs="Arial"/>
          <w:szCs w:val="22"/>
          <w:lang w:eastAsia="en-US"/>
        </w:rPr>
        <w:t xml:space="preserve">inistry of </w:t>
      </w:r>
      <w:r w:rsidRPr="009500F4">
        <w:rPr>
          <w:rFonts w:eastAsia="Calibri" w:cs="Arial"/>
          <w:szCs w:val="22"/>
          <w:lang w:eastAsia="en-US"/>
        </w:rPr>
        <w:t>f</w:t>
      </w:r>
      <w:r w:rsidR="00CA4CD7" w:rsidRPr="009500F4">
        <w:rPr>
          <w:rFonts w:eastAsia="Calibri" w:cs="Arial"/>
          <w:szCs w:val="22"/>
          <w:lang w:eastAsia="en-US"/>
        </w:rPr>
        <w:t>inance. The political salience of competition and consumer issues (relative to companies and secured transactions laws) means that governments have an interest in making public commitments. In Solomon</w:t>
      </w:r>
      <w:r w:rsidRPr="009500F4">
        <w:rPr>
          <w:rFonts w:eastAsia="Calibri" w:cs="Arial"/>
          <w:szCs w:val="22"/>
          <w:lang w:eastAsia="en-US"/>
        </w:rPr>
        <w:t xml:space="preserve"> Island</w:t>
      </w:r>
      <w:r w:rsidR="00CA4CD7" w:rsidRPr="009500F4">
        <w:rPr>
          <w:rFonts w:eastAsia="Calibri" w:cs="Arial"/>
          <w:szCs w:val="22"/>
          <w:lang w:eastAsia="en-US"/>
        </w:rPr>
        <w:t xml:space="preserve">s, competition reform was advanced as part of an electoral campaign, while in PNG it was incorporated in the budget speech by which government put forward its </w:t>
      </w:r>
      <w:r w:rsidRPr="009500F4">
        <w:rPr>
          <w:rFonts w:eastAsia="Calibri" w:cs="Arial"/>
          <w:szCs w:val="22"/>
          <w:lang w:eastAsia="en-US"/>
        </w:rPr>
        <w:t xml:space="preserve">economic </w:t>
      </w:r>
      <w:r w:rsidR="00CA4CD7" w:rsidRPr="009500F4">
        <w:rPr>
          <w:rFonts w:eastAsia="Calibri" w:cs="Arial"/>
          <w:szCs w:val="22"/>
          <w:lang w:eastAsia="en-US"/>
        </w:rPr>
        <w:t xml:space="preserve">program in </w:t>
      </w:r>
      <w:r w:rsidRPr="009500F4">
        <w:rPr>
          <w:rFonts w:eastAsia="Calibri" w:cs="Arial"/>
          <w:szCs w:val="22"/>
          <w:lang w:eastAsia="en-US"/>
        </w:rPr>
        <w:t>Parliament</w:t>
      </w:r>
      <w:r w:rsidR="00CA4CD7" w:rsidRPr="009500F4">
        <w:rPr>
          <w:rFonts w:eastAsia="Calibri" w:cs="Arial"/>
          <w:szCs w:val="22"/>
          <w:lang w:eastAsia="en-US"/>
        </w:rPr>
        <w:t xml:space="preserve">. Government interest may be driven by policy dialogue with donors </w:t>
      </w:r>
      <w:r w:rsidRPr="009500F4">
        <w:rPr>
          <w:rFonts w:eastAsia="Calibri" w:cs="Arial"/>
          <w:szCs w:val="22"/>
          <w:lang w:eastAsia="en-US"/>
        </w:rPr>
        <w:t>and/</w:t>
      </w:r>
      <w:r w:rsidR="00CA4CD7" w:rsidRPr="009500F4">
        <w:rPr>
          <w:rFonts w:eastAsia="Calibri" w:cs="Arial"/>
          <w:szCs w:val="22"/>
          <w:lang w:eastAsia="en-US"/>
        </w:rPr>
        <w:t>or multilateral</w:t>
      </w:r>
      <w:r w:rsidRPr="009500F4">
        <w:rPr>
          <w:rFonts w:eastAsia="Calibri" w:cs="Arial"/>
          <w:szCs w:val="22"/>
          <w:lang w:eastAsia="en-US"/>
        </w:rPr>
        <w:t xml:space="preserve"> development organizations</w:t>
      </w:r>
      <w:r w:rsidR="00CA4CD7" w:rsidRPr="009500F4">
        <w:rPr>
          <w:rFonts w:eastAsia="Calibri" w:cs="Arial"/>
          <w:szCs w:val="22"/>
          <w:lang w:eastAsia="en-US"/>
        </w:rPr>
        <w:t xml:space="preserve"> on public financial management, combined with concerns about the effects of adverse private sector competition on SOEs and public procurement.</w:t>
      </w:r>
    </w:p>
    <w:p w:rsidR="00670064" w:rsidRPr="009500F4" w:rsidRDefault="00670064" w:rsidP="00DE4F68">
      <w:pPr>
        <w:tabs>
          <w:tab w:val="left" w:pos="567"/>
        </w:tabs>
        <w:rPr>
          <w:rFonts w:eastAsia="Calibri" w:cs="Arial"/>
          <w:szCs w:val="22"/>
          <w:lang w:eastAsia="en-US"/>
        </w:rPr>
      </w:pPr>
    </w:p>
    <w:p w:rsidR="00CA4CD7" w:rsidRPr="009500F4" w:rsidRDefault="0022466A" w:rsidP="00DE4F68">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Under the second strategy, </w:t>
      </w:r>
      <w:r w:rsidR="00CA4CD7" w:rsidRPr="009500F4">
        <w:rPr>
          <w:rFonts w:eastAsia="Calibri" w:cs="Arial"/>
          <w:szCs w:val="22"/>
          <w:lang w:eastAsia="en-US"/>
        </w:rPr>
        <w:t xml:space="preserve">PSDI insists on following a methodical process of policy development, legal drafting, and institution-building. This is especially important </w:t>
      </w:r>
      <w:r w:rsidR="00F21973" w:rsidRPr="009500F4">
        <w:rPr>
          <w:rFonts w:eastAsia="Calibri" w:cs="Arial"/>
          <w:szCs w:val="22"/>
          <w:lang w:eastAsia="en-US"/>
        </w:rPr>
        <w:t>in</w:t>
      </w:r>
      <w:r w:rsidRPr="009500F4">
        <w:rPr>
          <w:rFonts w:eastAsia="Calibri" w:cs="Arial"/>
          <w:szCs w:val="22"/>
          <w:lang w:eastAsia="en-US"/>
        </w:rPr>
        <w:t xml:space="preserve"> developing sound competition policy</w:t>
      </w:r>
      <w:r w:rsidR="00CA4CD7" w:rsidRPr="009500F4">
        <w:rPr>
          <w:rFonts w:eastAsia="Calibri" w:cs="Arial"/>
          <w:szCs w:val="22"/>
          <w:lang w:eastAsia="en-US"/>
        </w:rPr>
        <w:t>, given the political commitments</w:t>
      </w:r>
      <w:r w:rsidRPr="009500F4">
        <w:rPr>
          <w:rFonts w:eastAsia="Calibri" w:cs="Arial"/>
          <w:szCs w:val="22"/>
          <w:lang w:eastAsia="en-US"/>
        </w:rPr>
        <w:t xml:space="preserve"> involved</w:t>
      </w:r>
      <w:r w:rsidR="00CA4CD7" w:rsidRPr="009500F4">
        <w:rPr>
          <w:rFonts w:eastAsia="Calibri" w:cs="Arial"/>
          <w:szCs w:val="22"/>
          <w:lang w:eastAsia="en-US"/>
        </w:rPr>
        <w:t xml:space="preserve"> and the </w:t>
      </w:r>
      <w:r w:rsidRPr="009500F4">
        <w:rPr>
          <w:rFonts w:eastAsia="Calibri" w:cs="Arial"/>
          <w:szCs w:val="22"/>
          <w:lang w:eastAsia="en-US"/>
        </w:rPr>
        <w:t xml:space="preserve">inclination </w:t>
      </w:r>
      <w:r w:rsidR="00CA4CD7" w:rsidRPr="009500F4">
        <w:rPr>
          <w:rFonts w:eastAsia="Calibri" w:cs="Arial"/>
          <w:szCs w:val="22"/>
          <w:lang w:eastAsia="en-US"/>
        </w:rPr>
        <w:t xml:space="preserve">of governments to demonstrate those commitments by </w:t>
      </w:r>
      <w:r w:rsidR="00F21973" w:rsidRPr="009500F4">
        <w:rPr>
          <w:rFonts w:eastAsia="Calibri" w:cs="Arial"/>
          <w:szCs w:val="22"/>
          <w:lang w:eastAsia="en-US"/>
        </w:rPr>
        <w:t xml:space="preserve">expediently passing </w:t>
      </w:r>
      <w:r w:rsidR="00CA4CD7" w:rsidRPr="009500F4">
        <w:rPr>
          <w:rFonts w:eastAsia="Calibri" w:cs="Arial"/>
          <w:szCs w:val="22"/>
          <w:lang w:eastAsia="en-US"/>
        </w:rPr>
        <w:t xml:space="preserve">legislation and </w:t>
      </w:r>
      <w:r w:rsidR="00F21973" w:rsidRPr="009500F4">
        <w:rPr>
          <w:rFonts w:eastAsia="Calibri" w:cs="Arial"/>
          <w:szCs w:val="22"/>
          <w:lang w:eastAsia="en-US"/>
        </w:rPr>
        <w:t xml:space="preserve">acquiring </w:t>
      </w:r>
      <w:r w:rsidR="00CA4CD7" w:rsidRPr="009500F4">
        <w:rPr>
          <w:rFonts w:eastAsia="Calibri" w:cs="Arial"/>
          <w:szCs w:val="22"/>
          <w:lang w:eastAsia="en-US"/>
        </w:rPr>
        <w:t xml:space="preserve">aid to set up a competition regulator. Imposing a more deliberative process has the benefit of building understanding and ownership of the policy, and improving the result (Box </w:t>
      </w:r>
      <w:r w:rsidR="003F08DD">
        <w:rPr>
          <w:rFonts w:eastAsia="Calibri" w:cs="Arial"/>
          <w:szCs w:val="22"/>
          <w:lang w:eastAsia="en-US"/>
        </w:rPr>
        <w:t>5</w:t>
      </w:r>
      <w:r w:rsidR="00CA4CD7" w:rsidRPr="009500F4">
        <w:rPr>
          <w:rFonts w:eastAsia="Calibri" w:cs="Arial"/>
          <w:szCs w:val="22"/>
          <w:lang w:eastAsia="en-US"/>
        </w:rPr>
        <w:t xml:space="preserve">). </w:t>
      </w:r>
      <w:r w:rsidR="00F21973" w:rsidRPr="009500F4">
        <w:rPr>
          <w:rFonts w:eastAsia="Calibri" w:cs="Arial"/>
          <w:szCs w:val="22"/>
          <w:lang w:eastAsia="en-US"/>
        </w:rPr>
        <w:t>I</w:t>
      </w:r>
      <w:r w:rsidR="00CA4CD7" w:rsidRPr="009500F4">
        <w:rPr>
          <w:rFonts w:eastAsia="Calibri" w:cs="Arial"/>
          <w:szCs w:val="22"/>
          <w:lang w:eastAsia="en-US"/>
        </w:rPr>
        <w:t xml:space="preserve">t </w:t>
      </w:r>
      <w:r w:rsidR="00F21973" w:rsidRPr="009500F4">
        <w:rPr>
          <w:rFonts w:eastAsia="Calibri" w:cs="Arial"/>
          <w:szCs w:val="22"/>
          <w:lang w:eastAsia="en-US"/>
        </w:rPr>
        <w:t xml:space="preserve">does, however, </w:t>
      </w:r>
      <w:r w:rsidR="00CA4CD7" w:rsidRPr="009500F4">
        <w:rPr>
          <w:rFonts w:eastAsia="Calibri" w:cs="Arial"/>
          <w:szCs w:val="22"/>
          <w:lang w:eastAsia="en-US"/>
        </w:rPr>
        <w:t xml:space="preserve">often </w:t>
      </w:r>
      <w:r w:rsidR="00F21973" w:rsidRPr="009500F4">
        <w:rPr>
          <w:rFonts w:eastAsia="Calibri" w:cs="Arial"/>
          <w:szCs w:val="22"/>
          <w:lang w:eastAsia="en-US"/>
        </w:rPr>
        <w:t xml:space="preserve">lead to </w:t>
      </w:r>
      <w:r w:rsidR="00CA4CD7" w:rsidRPr="009500F4">
        <w:rPr>
          <w:rFonts w:eastAsia="Calibri" w:cs="Arial"/>
          <w:szCs w:val="22"/>
          <w:lang w:eastAsia="en-US"/>
        </w:rPr>
        <w:t>impatience on the government side, generating complaints about the slow pace</w:t>
      </w:r>
      <w:r w:rsidR="00F21973" w:rsidRPr="009500F4">
        <w:rPr>
          <w:rFonts w:eastAsia="Calibri" w:cs="Arial"/>
          <w:szCs w:val="22"/>
          <w:lang w:eastAsia="en-US"/>
        </w:rPr>
        <w:t xml:space="preserve"> of the process,</w:t>
      </w:r>
      <w:r w:rsidR="00CA4CD7" w:rsidRPr="009500F4">
        <w:rPr>
          <w:rFonts w:eastAsia="Calibri" w:cs="Arial"/>
          <w:szCs w:val="22"/>
          <w:lang w:eastAsia="en-US"/>
        </w:rPr>
        <w:t xml:space="preserve"> as </w:t>
      </w:r>
      <w:r w:rsidR="00F21973" w:rsidRPr="009500F4">
        <w:rPr>
          <w:rFonts w:eastAsia="Calibri" w:cs="Arial"/>
          <w:szCs w:val="22"/>
          <w:lang w:eastAsia="en-US"/>
        </w:rPr>
        <w:t xml:space="preserve">was the case </w:t>
      </w:r>
      <w:r w:rsidR="00CA4CD7" w:rsidRPr="009500F4">
        <w:rPr>
          <w:rFonts w:eastAsia="Calibri" w:cs="Arial"/>
          <w:szCs w:val="22"/>
          <w:lang w:eastAsia="en-US"/>
        </w:rPr>
        <w:t>in Solomon Islands.</w:t>
      </w:r>
    </w:p>
    <w:p w:rsidR="00670064" w:rsidRPr="009500F4" w:rsidRDefault="00670064" w:rsidP="00CA4CD7"/>
    <w:p w:rsidR="00CA4CD7" w:rsidRPr="009500F4" w:rsidRDefault="00CA4CD7" w:rsidP="00DE4F68">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prospect of creating a visible legacy in the form of a </w:t>
      </w:r>
      <w:r w:rsidR="00F21973" w:rsidRPr="009500F4">
        <w:rPr>
          <w:rFonts w:eastAsia="Calibri" w:cs="Arial"/>
          <w:szCs w:val="22"/>
          <w:lang w:eastAsia="en-US"/>
        </w:rPr>
        <w:t xml:space="preserve">competition </w:t>
      </w:r>
      <w:r w:rsidRPr="009500F4">
        <w:rPr>
          <w:rFonts w:eastAsia="Calibri" w:cs="Arial"/>
          <w:szCs w:val="22"/>
          <w:lang w:eastAsia="en-US"/>
        </w:rPr>
        <w:t>commission adds to the pressure</w:t>
      </w:r>
      <w:r w:rsidR="00CE046C" w:rsidRPr="009500F4">
        <w:rPr>
          <w:rFonts w:eastAsia="Calibri" w:cs="Arial"/>
          <w:szCs w:val="22"/>
          <w:lang w:eastAsia="en-US"/>
        </w:rPr>
        <w:t xml:space="preserve"> for PSDI</w:t>
      </w:r>
      <w:r w:rsidRPr="009500F4">
        <w:rPr>
          <w:rFonts w:eastAsia="Calibri" w:cs="Arial"/>
          <w:szCs w:val="22"/>
          <w:lang w:eastAsia="en-US"/>
        </w:rPr>
        <w:t xml:space="preserve"> </w:t>
      </w:r>
      <w:r w:rsidR="00F21973" w:rsidRPr="009500F4">
        <w:rPr>
          <w:rFonts w:eastAsia="Calibri" w:cs="Arial"/>
          <w:szCs w:val="22"/>
          <w:lang w:eastAsia="en-US"/>
        </w:rPr>
        <w:t xml:space="preserve">to deliver </w:t>
      </w:r>
      <w:r w:rsidRPr="009500F4">
        <w:rPr>
          <w:rFonts w:eastAsia="Calibri" w:cs="Arial"/>
          <w:szCs w:val="22"/>
          <w:lang w:eastAsia="en-US"/>
        </w:rPr>
        <w:t xml:space="preserve">quick results. </w:t>
      </w:r>
      <w:r w:rsidR="00CE046C" w:rsidRPr="009500F4">
        <w:rPr>
          <w:rFonts w:eastAsia="Calibri" w:cs="Arial"/>
          <w:szCs w:val="22"/>
          <w:lang w:eastAsia="en-US"/>
        </w:rPr>
        <w:t xml:space="preserve">The option of setting up a fully fledged commission can prove wasteful and unsustainable, particularly in the smaller and poorer Pacific DMCs. </w:t>
      </w:r>
      <w:r w:rsidRPr="009500F4">
        <w:rPr>
          <w:rFonts w:eastAsia="Calibri" w:cs="Arial"/>
          <w:szCs w:val="22"/>
          <w:lang w:eastAsia="en-US"/>
        </w:rPr>
        <w:t>In Solomon</w:t>
      </w:r>
      <w:r w:rsidR="00F8214A" w:rsidRPr="009500F4">
        <w:rPr>
          <w:rFonts w:eastAsia="Calibri" w:cs="Arial"/>
          <w:szCs w:val="22"/>
          <w:lang w:eastAsia="en-US"/>
        </w:rPr>
        <w:t xml:space="preserve"> Islands</w:t>
      </w:r>
      <w:r w:rsidRPr="009500F4">
        <w:rPr>
          <w:rFonts w:eastAsia="Calibri" w:cs="Arial"/>
          <w:szCs w:val="22"/>
          <w:lang w:eastAsia="en-US"/>
        </w:rPr>
        <w:t xml:space="preserve">, PSDI managed to </w:t>
      </w:r>
      <w:r w:rsidR="00F21973" w:rsidRPr="009500F4">
        <w:rPr>
          <w:rFonts w:eastAsia="Calibri" w:cs="Arial"/>
          <w:szCs w:val="22"/>
          <w:lang w:eastAsia="en-US"/>
        </w:rPr>
        <w:t>forestall</w:t>
      </w:r>
      <w:r w:rsidRPr="009500F4">
        <w:rPr>
          <w:rFonts w:eastAsia="Calibri" w:cs="Arial"/>
          <w:szCs w:val="22"/>
          <w:lang w:eastAsia="en-US"/>
        </w:rPr>
        <w:t xml:space="preserve"> </w:t>
      </w:r>
      <w:r w:rsidR="00F21973" w:rsidRPr="009500F4">
        <w:rPr>
          <w:rFonts w:eastAsia="Calibri" w:cs="Arial"/>
          <w:szCs w:val="22"/>
          <w:lang w:eastAsia="en-US"/>
        </w:rPr>
        <w:t xml:space="preserve">the </w:t>
      </w:r>
      <w:r w:rsidRPr="009500F4">
        <w:rPr>
          <w:rFonts w:eastAsia="Calibri" w:cs="Arial"/>
          <w:szCs w:val="22"/>
          <w:lang w:eastAsia="en-US"/>
        </w:rPr>
        <w:t>government’s push for an independent competition commission. According to the plan</w:t>
      </w:r>
      <w:r w:rsidR="00CE046C" w:rsidRPr="009500F4">
        <w:rPr>
          <w:rFonts w:eastAsia="Calibri" w:cs="Arial"/>
          <w:szCs w:val="22"/>
          <w:lang w:eastAsia="en-US"/>
        </w:rPr>
        <w:t xml:space="preserve"> proposed by PSDI</w:t>
      </w:r>
      <w:r w:rsidRPr="009500F4">
        <w:rPr>
          <w:rFonts w:eastAsia="Calibri" w:cs="Arial"/>
          <w:szCs w:val="22"/>
          <w:lang w:eastAsia="en-US"/>
        </w:rPr>
        <w:t>, the role of commission</w:t>
      </w:r>
      <w:r w:rsidR="00CE046C" w:rsidRPr="009500F4">
        <w:rPr>
          <w:rFonts w:eastAsia="Calibri" w:cs="Arial"/>
          <w:szCs w:val="22"/>
          <w:lang w:eastAsia="en-US"/>
        </w:rPr>
        <w:t>er</w:t>
      </w:r>
      <w:r w:rsidRPr="009500F4">
        <w:rPr>
          <w:rFonts w:eastAsia="Calibri" w:cs="Arial"/>
          <w:szCs w:val="22"/>
          <w:lang w:eastAsia="en-US"/>
        </w:rPr>
        <w:t xml:space="preserve"> will be given to an official in the Consumer Affairs Department of the </w:t>
      </w:r>
      <w:r w:rsidR="00F21973" w:rsidRPr="009500F4">
        <w:rPr>
          <w:rFonts w:eastAsia="Calibri" w:cs="Arial"/>
          <w:szCs w:val="22"/>
          <w:lang w:eastAsia="en-US"/>
        </w:rPr>
        <w:t>country’s</w:t>
      </w:r>
      <w:r w:rsidR="00F21973" w:rsidRPr="009500F4">
        <w:rPr>
          <w:rFonts w:eastAsia="Calibri" w:cs="Arial"/>
          <w:szCs w:val="22"/>
          <w:lang w:val="en-GB" w:eastAsia="en-US"/>
        </w:rPr>
        <w:t xml:space="preserve"> </w:t>
      </w:r>
      <w:r w:rsidR="00F21973" w:rsidRPr="009500F4">
        <w:t>Ministry of Commerce, Industry, Labour and Immigration</w:t>
      </w:r>
      <w:r w:rsidRPr="009500F4">
        <w:rPr>
          <w:rFonts w:eastAsia="Calibri" w:cs="Arial"/>
          <w:szCs w:val="22"/>
          <w:lang w:eastAsia="en-US"/>
        </w:rPr>
        <w:t xml:space="preserve">. In Samoa, </w:t>
      </w:r>
      <w:r w:rsidR="00CE046C" w:rsidRPr="009500F4">
        <w:rPr>
          <w:rFonts w:eastAsia="Calibri" w:cs="Arial"/>
          <w:szCs w:val="22"/>
          <w:lang w:eastAsia="en-US"/>
        </w:rPr>
        <w:t xml:space="preserve">the </w:t>
      </w:r>
      <w:r w:rsidRPr="009500F4">
        <w:rPr>
          <w:rFonts w:eastAsia="Calibri" w:cs="Arial"/>
          <w:szCs w:val="22"/>
          <w:lang w:eastAsia="en-US"/>
        </w:rPr>
        <w:t xml:space="preserve">government has </w:t>
      </w:r>
      <w:r w:rsidR="00CE046C" w:rsidRPr="009500F4">
        <w:rPr>
          <w:rFonts w:eastAsia="Calibri" w:cs="Arial"/>
          <w:szCs w:val="22"/>
          <w:lang w:eastAsia="en-US"/>
        </w:rPr>
        <w:t xml:space="preserve">also </w:t>
      </w:r>
      <w:r w:rsidRPr="009500F4">
        <w:rPr>
          <w:rFonts w:eastAsia="Calibri" w:cs="Arial"/>
          <w:szCs w:val="22"/>
          <w:lang w:eastAsia="en-US"/>
        </w:rPr>
        <w:t>pressed for a full</w:t>
      </w:r>
      <w:r w:rsidR="00CE046C" w:rsidRPr="009500F4">
        <w:rPr>
          <w:rFonts w:eastAsia="Calibri" w:cs="Arial"/>
          <w:szCs w:val="22"/>
          <w:lang w:eastAsia="en-US"/>
        </w:rPr>
        <w:t xml:space="preserve">y </w:t>
      </w:r>
      <w:r w:rsidRPr="009500F4">
        <w:rPr>
          <w:rFonts w:eastAsia="Calibri" w:cs="Arial"/>
          <w:szCs w:val="22"/>
          <w:lang w:eastAsia="en-US"/>
        </w:rPr>
        <w:t xml:space="preserve">independent </w:t>
      </w:r>
      <w:r w:rsidR="00CE046C" w:rsidRPr="009500F4">
        <w:rPr>
          <w:rFonts w:eastAsia="Calibri" w:cs="Arial"/>
          <w:szCs w:val="22"/>
          <w:lang w:eastAsia="en-US"/>
        </w:rPr>
        <w:t xml:space="preserve">competition </w:t>
      </w:r>
      <w:r w:rsidRPr="009500F4">
        <w:rPr>
          <w:rFonts w:eastAsia="Calibri" w:cs="Arial"/>
          <w:szCs w:val="22"/>
          <w:lang w:eastAsia="en-US"/>
        </w:rPr>
        <w:t xml:space="preserve">commission. Here, PSDI achieved a compromise whereby one or more members of the new commission will be seconded from </w:t>
      </w:r>
      <w:r w:rsidR="00CE046C" w:rsidRPr="009500F4">
        <w:rPr>
          <w:rFonts w:eastAsia="Calibri" w:cs="Arial"/>
          <w:szCs w:val="22"/>
          <w:lang w:eastAsia="en-US"/>
        </w:rPr>
        <w:t xml:space="preserve">government </w:t>
      </w:r>
      <w:r w:rsidRPr="009500F4">
        <w:rPr>
          <w:rFonts w:eastAsia="Calibri" w:cs="Arial"/>
          <w:szCs w:val="22"/>
          <w:lang w:eastAsia="en-US"/>
        </w:rPr>
        <w:t>agencies rather than hired</w:t>
      </w:r>
      <w:r w:rsidR="00CE046C" w:rsidRPr="009500F4">
        <w:rPr>
          <w:rFonts w:eastAsia="Calibri" w:cs="Arial"/>
          <w:szCs w:val="22"/>
          <w:lang w:eastAsia="en-US"/>
        </w:rPr>
        <w:t xml:space="preserve"> </w:t>
      </w:r>
      <w:r w:rsidR="00CE046C" w:rsidRPr="009500F4">
        <w:rPr>
          <w:rFonts w:eastAsia="Calibri" w:cs="Arial"/>
          <w:szCs w:val="22"/>
          <w:lang w:eastAsia="en-US"/>
        </w:rPr>
        <w:lastRenderedPageBreak/>
        <w:t>from external sources</w:t>
      </w:r>
      <w:r w:rsidRPr="009500F4">
        <w:rPr>
          <w:rFonts w:eastAsia="Calibri" w:cs="Arial"/>
          <w:szCs w:val="22"/>
          <w:lang w:eastAsia="en-US"/>
        </w:rPr>
        <w:t xml:space="preserve">. </w:t>
      </w:r>
      <w:r w:rsidR="00CE046C" w:rsidRPr="009500F4">
        <w:rPr>
          <w:rFonts w:eastAsia="Calibri" w:cs="Arial"/>
          <w:szCs w:val="22"/>
          <w:lang w:eastAsia="en-US"/>
        </w:rPr>
        <w:t xml:space="preserve">With PSDI’s help, </w:t>
      </w:r>
      <w:r w:rsidRPr="009500F4">
        <w:rPr>
          <w:rFonts w:eastAsia="Calibri" w:cs="Arial"/>
          <w:szCs w:val="22"/>
          <w:lang w:eastAsia="en-US"/>
        </w:rPr>
        <w:t xml:space="preserve">Tonga took another </w:t>
      </w:r>
      <w:r w:rsidR="00CE046C" w:rsidRPr="009500F4">
        <w:rPr>
          <w:rFonts w:eastAsia="Calibri" w:cs="Arial"/>
          <w:szCs w:val="22"/>
          <w:lang w:eastAsia="en-US"/>
        </w:rPr>
        <w:t xml:space="preserve">approach by </w:t>
      </w:r>
      <w:r w:rsidRPr="009500F4">
        <w:rPr>
          <w:rFonts w:eastAsia="Calibri" w:cs="Arial"/>
          <w:szCs w:val="22"/>
          <w:lang w:eastAsia="en-US"/>
        </w:rPr>
        <w:t>developing a plan for a multi-sector regulator with a range of functions</w:t>
      </w:r>
      <w:r w:rsidR="00CE046C" w:rsidRPr="009500F4">
        <w:rPr>
          <w:rFonts w:eastAsia="Calibri" w:cs="Arial"/>
          <w:szCs w:val="22"/>
          <w:lang w:eastAsia="en-US"/>
        </w:rPr>
        <w:t>,</w:t>
      </w:r>
      <w:r w:rsidRPr="009500F4">
        <w:rPr>
          <w:rFonts w:eastAsia="Calibri" w:cs="Arial"/>
          <w:szCs w:val="22"/>
          <w:lang w:eastAsia="en-US"/>
        </w:rPr>
        <w:t xml:space="preserve"> including competition </w:t>
      </w:r>
      <w:r w:rsidR="00CE046C" w:rsidRPr="009500F4">
        <w:rPr>
          <w:rFonts w:eastAsia="Calibri" w:cs="Arial"/>
          <w:szCs w:val="22"/>
          <w:lang w:eastAsia="en-US"/>
        </w:rPr>
        <w:t xml:space="preserve">policy </w:t>
      </w:r>
      <w:r w:rsidR="00C951B3" w:rsidRPr="009500F4">
        <w:rPr>
          <w:rFonts w:eastAsia="Calibri" w:cs="Arial"/>
          <w:szCs w:val="22"/>
          <w:lang w:eastAsia="en-US"/>
        </w:rPr>
        <w:t>and consumer protection.</w:t>
      </w:r>
    </w:p>
    <w:p w:rsidR="00CA4CD7" w:rsidRPr="009500F4" w:rsidRDefault="00CA4CD7" w:rsidP="00C930F2">
      <w:pPr>
        <w:rPr>
          <w:szCs w:val="22"/>
        </w:rPr>
      </w:pPr>
    </w:p>
    <w:tbl>
      <w:tblPr>
        <w:tblStyle w:val="TableGrid"/>
        <w:tblW w:w="0" w:type="auto"/>
        <w:tblLook w:val="04A0" w:firstRow="1" w:lastRow="0" w:firstColumn="1" w:lastColumn="0" w:noHBand="0" w:noVBand="1"/>
      </w:tblPr>
      <w:tblGrid>
        <w:gridCol w:w="9350"/>
      </w:tblGrid>
      <w:tr w:rsidR="006E77D8" w:rsidTr="006E77D8">
        <w:tc>
          <w:tcPr>
            <w:tcW w:w="9576" w:type="dxa"/>
          </w:tcPr>
          <w:p w:rsidR="006E77D8" w:rsidRPr="00DC7711" w:rsidRDefault="003F08DD" w:rsidP="006E77D8">
            <w:pPr>
              <w:jc w:val="center"/>
              <w:rPr>
                <w:sz w:val="20"/>
                <w:szCs w:val="20"/>
              </w:rPr>
            </w:pPr>
            <w:r>
              <w:rPr>
                <w:b/>
                <w:sz w:val="20"/>
                <w:szCs w:val="20"/>
              </w:rPr>
              <w:t>Box 5</w:t>
            </w:r>
            <w:r w:rsidR="006E77D8" w:rsidRPr="00DC7711">
              <w:rPr>
                <w:b/>
                <w:sz w:val="20"/>
                <w:szCs w:val="20"/>
              </w:rPr>
              <w:t>: The Competition Reform Process in Papua New Guinea</w:t>
            </w:r>
          </w:p>
          <w:p w:rsidR="006E77D8" w:rsidRPr="00D6162F" w:rsidRDefault="006E77D8" w:rsidP="006E77D8">
            <w:pPr>
              <w:rPr>
                <w:sz w:val="18"/>
                <w:szCs w:val="18"/>
              </w:rPr>
            </w:pPr>
          </w:p>
          <w:p w:rsidR="006E77D8" w:rsidRPr="00334BF1" w:rsidRDefault="006E77D8" w:rsidP="006E77D8">
            <w:pPr>
              <w:rPr>
                <w:sz w:val="18"/>
                <w:szCs w:val="18"/>
              </w:rPr>
            </w:pPr>
            <w:r w:rsidRPr="00334BF1">
              <w:rPr>
                <w:sz w:val="18"/>
                <w:szCs w:val="18"/>
              </w:rPr>
              <w:t>In Papua New Guinea, a decision was made in 2012 to review the country’s laws on competition and consumer issues. The review alerted policymakers that a wider range of issues and potential changes than originally planned would need to be considered. A consultant engaged by the Pacific Private Sector Development Initiative (PSDI) helped the country’s Independent Consumer &amp; Competition Commission (ICCC) and Treasury officials to “break down” the competition policy issues into three segments, each addressed in a separate analytical paper, and to decide where and how to start the reform process. This led to broad public consultations (starting in 2014) and the submission of a draft policy framework to Treasury (still under consideration). The ICCC now sees itself as more able to direct policy development, and has established a relationship with PSDI in which the latter helps to frame the issues for ICCC decision-making and then drafts policies for its consideration.</w:t>
            </w:r>
          </w:p>
          <w:p w:rsidR="006E77D8" w:rsidRPr="00334BF1" w:rsidRDefault="006E77D8" w:rsidP="006E77D8">
            <w:pPr>
              <w:rPr>
                <w:sz w:val="18"/>
                <w:szCs w:val="18"/>
              </w:rPr>
            </w:pPr>
          </w:p>
          <w:p w:rsidR="006E77D8" w:rsidRDefault="006E77D8" w:rsidP="00CA4CD7">
            <w:r w:rsidRPr="00186BF3">
              <w:rPr>
                <w:sz w:val="16"/>
                <w:szCs w:val="16"/>
              </w:rPr>
              <w:t>Source: Consultant interviews and Private Sector Development Initiative.</w:t>
            </w:r>
          </w:p>
        </w:tc>
      </w:tr>
    </w:tbl>
    <w:p w:rsidR="00895766" w:rsidRPr="009500F4" w:rsidRDefault="00895766" w:rsidP="00CA4CD7"/>
    <w:p w:rsidR="00CA4CD7" w:rsidRPr="009500F4" w:rsidRDefault="008F198D" w:rsidP="00170139">
      <w:pPr>
        <w:keepNext/>
        <w:spacing w:after="160"/>
        <w:ind w:left="1080"/>
        <w:outlineLvl w:val="1"/>
        <w:rPr>
          <w:rFonts w:eastAsia="Times New Roman" w:cs="Arial"/>
          <w:b/>
          <w:bCs/>
          <w:iCs/>
          <w:szCs w:val="22"/>
          <w:lang w:eastAsia="en-US"/>
        </w:rPr>
      </w:pPr>
      <w:bookmarkStart w:id="154" w:name="_Toc494271723"/>
      <w:bookmarkStart w:id="155" w:name="_Toc494367949"/>
      <w:bookmarkStart w:id="156" w:name="_Toc494378793"/>
      <w:bookmarkStart w:id="157" w:name="_Toc494378875"/>
      <w:r w:rsidRPr="009500F4">
        <w:rPr>
          <w:rFonts w:eastAsia="Times New Roman" w:cs="Arial"/>
          <w:b/>
          <w:bCs/>
          <w:iCs/>
          <w:szCs w:val="22"/>
          <w:lang w:eastAsia="en-US"/>
        </w:rPr>
        <w:t>6.</w:t>
      </w:r>
      <w:r w:rsidR="00386F3B" w:rsidRPr="009500F4">
        <w:rPr>
          <w:rFonts w:eastAsia="Times New Roman" w:cs="Arial"/>
          <w:b/>
          <w:bCs/>
          <w:iCs/>
          <w:szCs w:val="22"/>
          <w:lang w:eastAsia="en-US"/>
        </w:rPr>
        <w:tab/>
      </w:r>
      <w:r w:rsidR="00CA4CD7" w:rsidRPr="009500F4">
        <w:rPr>
          <w:rFonts w:eastAsia="Times New Roman" w:cs="Arial"/>
          <w:b/>
          <w:bCs/>
          <w:iCs/>
          <w:szCs w:val="22"/>
          <w:lang w:eastAsia="en-US"/>
        </w:rPr>
        <w:t>Analytical Work, Communications, Monitoring</w:t>
      </w:r>
      <w:r w:rsidRPr="009500F4">
        <w:rPr>
          <w:rFonts w:eastAsia="Times New Roman" w:cs="Arial"/>
          <w:b/>
          <w:bCs/>
          <w:iCs/>
          <w:szCs w:val="22"/>
          <w:lang w:eastAsia="en-US"/>
        </w:rPr>
        <w:t>,</w:t>
      </w:r>
      <w:r w:rsidR="00CA4CD7" w:rsidRPr="009500F4">
        <w:rPr>
          <w:rFonts w:eastAsia="Times New Roman" w:cs="Arial"/>
          <w:b/>
          <w:bCs/>
          <w:iCs/>
          <w:szCs w:val="22"/>
          <w:lang w:eastAsia="en-US"/>
        </w:rPr>
        <w:t xml:space="preserve"> and Evaluation</w:t>
      </w:r>
      <w:bookmarkEnd w:id="154"/>
      <w:bookmarkEnd w:id="155"/>
      <w:bookmarkEnd w:id="156"/>
      <w:bookmarkEnd w:id="157"/>
    </w:p>
    <w:p w:rsidR="00CA4CD7" w:rsidRPr="009500F4" w:rsidRDefault="00CA4CD7" w:rsidP="004F752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PSDI’s analytical work can be fairly scrutinized on </w:t>
      </w:r>
      <w:r w:rsidR="00021E4C" w:rsidRPr="009500F4">
        <w:rPr>
          <w:rFonts w:eastAsia="Calibri" w:cs="Arial"/>
          <w:szCs w:val="22"/>
          <w:lang w:eastAsia="en-US"/>
        </w:rPr>
        <w:t xml:space="preserve">the </w:t>
      </w:r>
      <w:r w:rsidRPr="009500F4">
        <w:rPr>
          <w:rFonts w:eastAsia="Calibri" w:cs="Arial"/>
          <w:szCs w:val="22"/>
          <w:lang w:eastAsia="en-US"/>
        </w:rPr>
        <w:t xml:space="preserve">grounds of relevance. Sustainability, on the other hand, does not (yet) appear to be a useful criterion since this component is about outputs and uptake, and is almost entirely dependent on continued external funding. There is no plan </w:t>
      </w:r>
      <w:r w:rsidR="00021E4C" w:rsidRPr="009500F4">
        <w:rPr>
          <w:rFonts w:eastAsia="Calibri" w:cs="Arial"/>
          <w:szCs w:val="22"/>
          <w:lang w:eastAsia="en-US"/>
        </w:rPr>
        <w:t>for PSDI’s analytical</w:t>
      </w:r>
      <w:r w:rsidRPr="009500F4">
        <w:rPr>
          <w:rFonts w:eastAsia="Calibri" w:cs="Arial"/>
          <w:szCs w:val="22"/>
          <w:lang w:eastAsia="en-US"/>
        </w:rPr>
        <w:t xml:space="preserve"> work </w:t>
      </w:r>
      <w:r w:rsidR="00021E4C" w:rsidRPr="009500F4">
        <w:rPr>
          <w:rFonts w:eastAsia="Calibri" w:cs="Arial"/>
          <w:szCs w:val="22"/>
          <w:lang w:eastAsia="en-US"/>
        </w:rPr>
        <w:t xml:space="preserve">to be </w:t>
      </w:r>
      <w:r w:rsidRPr="009500F4">
        <w:rPr>
          <w:rFonts w:eastAsia="Calibri" w:cs="Arial"/>
          <w:szCs w:val="22"/>
          <w:lang w:eastAsia="en-US"/>
        </w:rPr>
        <w:t>taken over by the P</w:t>
      </w:r>
      <w:r w:rsidR="00021E4C" w:rsidRPr="009500F4">
        <w:rPr>
          <w:rFonts w:eastAsia="Calibri" w:cs="Arial"/>
          <w:szCs w:val="22"/>
          <w:lang w:eastAsia="en-US"/>
        </w:rPr>
        <w:t xml:space="preserve">acific </w:t>
      </w:r>
      <w:r w:rsidRPr="009500F4">
        <w:rPr>
          <w:rFonts w:eastAsia="Calibri" w:cs="Arial"/>
          <w:szCs w:val="22"/>
          <w:lang w:eastAsia="en-US"/>
        </w:rPr>
        <w:t>DMCs themselves</w:t>
      </w:r>
      <w:r w:rsidR="006215D5" w:rsidRPr="009500F4">
        <w:rPr>
          <w:rFonts w:eastAsia="Calibri" w:cs="Arial"/>
          <w:szCs w:val="22"/>
          <w:lang w:eastAsia="en-US"/>
        </w:rPr>
        <w:t>, nor is there a realistic prospect of this happening in the near term</w:t>
      </w:r>
      <w:r w:rsidRPr="009500F4">
        <w:rPr>
          <w:rFonts w:eastAsia="Calibri" w:cs="Arial"/>
          <w:szCs w:val="22"/>
          <w:lang w:eastAsia="en-US"/>
        </w:rPr>
        <w:t xml:space="preserve">. </w:t>
      </w:r>
      <w:r w:rsidR="00021E4C" w:rsidRPr="009500F4">
        <w:rPr>
          <w:rFonts w:eastAsia="Calibri" w:cs="Arial"/>
          <w:szCs w:val="22"/>
          <w:lang w:eastAsia="en-US"/>
        </w:rPr>
        <w:t xml:space="preserve">However, given that it is </w:t>
      </w:r>
      <w:r w:rsidRPr="009500F4">
        <w:rPr>
          <w:rFonts w:eastAsia="Calibri" w:cs="Arial"/>
          <w:szCs w:val="22"/>
          <w:lang w:eastAsia="en-US"/>
        </w:rPr>
        <w:t>over a decade since</w:t>
      </w:r>
      <w:r w:rsidR="00021E4C" w:rsidRPr="009500F4">
        <w:rPr>
          <w:rFonts w:eastAsia="Calibri" w:cs="Arial"/>
          <w:szCs w:val="22"/>
          <w:lang w:eastAsia="en-US"/>
        </w:rPr>
        <w:t xml:space="preserve"> the commencement of</w:t>
      </w:r>
      <w:r w:rsidRPr="009500F4">
        <w:rPr>
          <w:rFonts w:eastAsia="Calibri" w:cs="Arial"/>
          <w:szCs w:val="22"/>
          <w:lang w:eastAsia="en-US"/>
        </w:rPr>
        <w:t xml:space="preserve"> PSDI</w:t>
      </w:r>
      <w:r w:rsidR="00021E4C" w:rsidRPr="009500F4">
        <w:rPr>
          <w:rFonts w:eastAsia="Calibri" w:cs="Arial"/>
          <w:szCs w:val="22"/>
          <w:lang w:eastAsia="en-US"/>
        </w:rPr>
        <w:t xml:space="preserve"> I,</w:t>
      </w:r>
      <w:r w:rsidRPr="009500F4">
        <w:rPr>
          <w:rFonts w:eastAsia="Calibri" w:cs="Arial"/>
          <w:szCs w:val="22"/>
          <w:lang w:eastAsia="en-US"/>
        </w:rPr>
        <w:t xml:space="preserve"> </w:t>
      </w:r>
      <w:r w:rsidR="00021E4C" w:rsidRPr="009500F4">
        <w:rPr>
          <w:rFonts w:eastAsia="Calibri" w:cs="Arial"/>
          <w:szCs w:val="22"/>
          <w:lang w:eastAsia="en-US"/>
        </w:rPr>
        <w:t xml:space="preserve">it may be time </w:t>
      </w:r>
      <w:r w:rsidRPr="009500F4">
        <w:rPr>
          <w:rFonts w:eastAsia="Calibri" w:cs="Arial"/>
          <w:szCs w:val="22"/>
          <w:lang w:eastAsia="en-US"/>
        </w:rPr>
        <w:t xml:space="preserve">to </w:t>
      </w:r>
      <w:r w:rsidR="006215D5" w:rsidRPr="009500F4">
        <w:rPr>
          <w:rFonts w:eastAsia="Calibri" w:cs="Arial"/>
          <w:szCs w:val="22"/>
          <w:lang w:eastAsia="en-US"/>
        </w:rPr>
        <w:t>reconsider how and by whom the analytical work is completed</w:t>
      </w:r>
      <w:r w:rsidRPr="009500F4">
        <w:rPr>
          <w:rFonts w:eastAsia="Calibri" w:cs="Arial"/>
          <w:szCs w:val="22"/>
          <w:lang w:eastAsia="en-US"/>
        </w:rPr>
        <w:t>.</w:t>
      </w:r>
    </w:p>
    <w:p w:rsidR="00670064" w:rsidRPr="009500F4" w:rsidRDefault="00670064" w:rsidP="00CA4CD7"/>
    <w:p w:rsidR="00EB2B0A" w:rsidRPr="009500F4" w:rsidRDefault="00CA4CD7"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The PSAs have generally been well</w:t>
      </w:r>
      <w:r w:rsidR="00021E4C" w:rsidRPr="009500F4">
        <w:rPr>
          <w:rFonts w:eastAsia="Calibri" w:cs="Arial"/>
          <w:szCs w:val="22"/>
          <w:lang w:eastAsia="en-US"/>
        </w:rPr>
        <w:t xml:space="preserve"> </w:t>
      </w:r>
      <w:r w:rsidRPr="009500F4">
        <w:rPr>
          <w:rFonts w:eastAsia="Calibri" w:cs="Arial"/>
          <w:szCs w:val="22"/>
          <w:lang w:eastAsia="en-US"/>
        </w:rPr>
        <w:t xml:space="preserve">received, although feedback on the more recent </w:t>
      </w:r>
      <w:r w:rsidR="006215D5" w:rsidRPr="009500F4">
        <w:rPr>
          <w:rFonts w:eastAsia="Calibri" w:cs="Arial"/>
          <w:szCs w:val="22"/>
          <w:lang w:eastAsia="en-US"/>
        </w:rPr>
        <w:t xml:space="preserve">assessments </w:t>
      </w:r>
      <w:r w:rsidR="009500F4">
        <w:rPr>
          <w:rFonts w:eastAsia="Calibri" w:cs="Arial"/>
          <w:szCs w:val="22"/>
          <w:lang w:eastAsia="en-US"/>
        </w:rPr>
        <w:t>has been mixed.</w:t>
      </w:r>
    </w:p>
    <w:p w:rsidR="00EB2B0A" w:rsidRPr="009500F4" w:rsidRDefault="00EB2B0A" w:rsidP="00170139"/>
    <w:p w:rsidR="00CA4CD7" w:rsidRPr="009500F4" w:rsidRDefault="00CA4CD7" w:rsidP="004F752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On the one hand, there is a clear value</w:t>
      </w:r>
      <w:r w:rsidR="006215D5" w:rsidRPr="009500F4">
        <w:rPr>
          <w:rFonts w:eastAsia="Calibri" w:cs="Arial"/>
          <w:szCs w:val="22"/>
          <w:lang w:eastAsia="en-US"/>
        </w:rPr>
        <w:t>—</w:t>
      </w:r>
      <w:r w:rsidRPr="009500F4">
        <w:rPr>
          <w:rFonts w:eastAsia="Calibri" w:cs="Arial"/>
          <w:szCs w:val="22"/>
          <w:lang w:eastAsia="en-US"/>
        </w:rPr>
        <w:t>as acknowledged by some interviewees</w:t>
      </w:r>
      <w:r w:rsidR="006215D5" w:rsidRPr="009500F4">
        <w:rPr>
          <w:rFonts w:eastAsia="Calibri" w:cs="Arial"/>
          <w:szCs w:val="22"/>
          <w:lang w:eastAsia="en-US"/>
        </w:rPr>
        <w:t xml:space="preserve"> during this review—</w:t>
      </w:r>
      <w:r w:rsidRPr="009500F4">
        <w:rPr>
          <w:rFonts w:eastAsia="Calibri" w:cs="Arial"/>
          <w:szCs w:val="22"/>
          <w:lang w:eastAsia="en-US"/>
        </w:rPr>
        <w:t xml:space="preserve">in providing </w:t>
      </w:r>
      <w:r w:rsidR="006215D5" w:rsidRPr="009500F4">
        <w:rPr>
          <w:rFonts w:eastAsia="Calibri" w:cs="Arial"/>
          <w:szCs w:val="22"/>
          <w:lang w:eastAsia="en-US"/>
        </w:rPr>
        <w:t>a singular document that outlines</w:t>
      </w:r>
      <w:r w:rsidRPr="009500F4">
        <w:rPr>
          <w:rFonts w:eastAsia="Calibri" w:cs="Arial"/>
          <w:szCs w:val="22"/>
          <w:lang w:eastAsia="en-US"/>
        </w:rPr>
        <w:t xml:space="preserve"> the full </w:t>
      </w:r>
      <w:r w:rsidR="006215D5" w:rsidRPr="009500F4">
        <w:rPr>
          <w:rFonts w:eastAsia="Calibri" w:cs="Arial"/>
          <w:szCs w:val="22"/>
          <w:lang w:eastAsia="en-US"/>
        </w:rPr>
        <w:t xml:space="preserve">spectrum </w:t>
      </w:r>
      <w:r w:rsidRPr="009500F4">
        <w:rPr>
          <w:rFonts w:eastAsia="Calibri" w:cs="Arial"/>
          <w:szCs w:val="22"/>
          <w:lang w:eastAsia="en-US"/>
        </w:rPr>
        <w:t>of private sector needs and constraints</w:t>
      </w:r>
      <w:r w:rsidR="006215D5" w:rsidRPr="009500F4">
        <w:rPr>
          <w:rFonts w:eastAsia="Calibri" w:cs="Arial"/>
          <w:szCs w:val="22"/>
          <w:lang w:eastAsia="en-US"/>
        </w:rPr>
        <w:t xml:space="preserve"> in each Pacific DMC</w:t>
      </w:r>
      <w:r w:rsidRPr="009500F4">
        <w:rPr>
          <w:rFonts w:eastAsia="Calibri" w:cs="Arial"/>
          <w:szCs w:val="22"/>
          <w:lang w:eastAsia="en-US"/>
        </w:rPr>
        <w:t xml:space="preserve">, and </w:t>
      </w:r>
      <w:r w:rsidR="006215D5" w:rsidRPr="009500F4">
        <w:rPr>
          <w:rFonts w:eastAsia="Calibri" w:cs="Arial"/>
          <w:szCs w:val="22"/>
          <w:lang w:eastAsia="en-US"/>
        </w:rPr>
        <w:t xml:space="preserve">defines </w:t>
      </w:r>
      <w:r w:rsidRPr="009500F4">
        <w:rPr>
          <w:rFonts w:eastAsia="Calibri" w:cs="Arial"/>
          <w:szCs w:val="22"/>
          <w:lang w:eastAsia="en-US"/>
        </w:rPr>
        <w:t>all the major work to be done</w:t>
      </w:r>
      <w:r w:rsidR="006215D5" w:rsidRPr="009500F4">
        <w:rPr>
          <w:rFonts w:eastAsia="Calibri" w:cs="Arial"/>
          <w:szCs w:val="22"/>
          <w:lang w:eastAsia="en-US"/>
        </w:rPr>
        <w:t xml:space="preserve"> in each </w:t>
      </w:r>
      <w:r w:rsidR="00EB2B0A" w:rsidRPr="009500F4">
        <w:rPr>
          <w:rFonts w:eastAsia="Calibri" w:cs="Arial"/>
          <w:szCs w:val="22"/>
          <w:lang w:eastAsia="en-US"/>
        </w:rPr>
        <w:t>economy</w:t>
      </w:r>
      <w:r w:rsidRPr="009500F4">
        <w:rPr>
          <w:rFonts w:eastAsia="Calibri" w:cs="Arial"/>
          <w:szCs w:val="22"/>
          <w:lang w:eastAsia="en-US"/>
        </w:rPr>
        <w:t xml:space="preserve">. </w:t>
      </w:r>
      <w:r w:rsidR="006215D5" w:rsidRPr="009500F4">
        <w:rPr>
          <w:rFonts w:eastAsia="Calibri" w:cs="Arial"/>
          <w:szCs w:val="22"/>
          <w:lang w:eastAsia="en-US"/>
        </w:rPr>
        <w:t>Such documents provide</w:t>
      </w:r>
      <w:r w:rsidRPr="009500F4">
        <w:rPr>
          <w:rFonts w:eastAsia="Calibri" w:cs="Arial"/>
          <w:szCs w:val="22"/>
          <w:lang w:eastAsia="en-US"/>
        </w:rPr>
        <w:t xml:space="preserve"> a basis for reform advocacy, while also leaving it to the Pacific DMCs to decide </w:t>
      </w:r>
      <w:r w:rsidR="006215D5" w:rsidRPr="009500F4">
        <w:rPr>
          <w:rFonts w:eastAsia="Calibri" w:cs="Arial"/>
          <w:szCs w:val="22"/>
          <w:lang w:eastAsia="en-US"/>
        </w:rPr>
        <w:t xml:space="preserve">for themselves </w:t>
      </w:r>
      <w:r w:rsidRPr="009500F4">
        <w:rPr>
          <w:rFonts w:eastAsia="Calibri" w:cs="Arial"/>
          <w:szCs w:val="22"/>
          <w:lang w:eastAsia="en-US"/>
        </w:rPr>
        <w:t>w</w:t>
      </w:r>
      <w:r w:rsidR="0047112C" w:rsidRPr="009500F4">
        <w:rPr>
          <w:rFonts w:eastAsia="Calibri" w:cs="Arial"/>
          <w:szCs w:val="22"/>
          <w:lang w:eastAsia="en-US"/>
        </w:rPr>
        <w:t>hich issues to tackle and how</w:t>
      </w:r>
      <w:r w:rsidR="006215D5" w:rsidRPr="009500F4">
        <w:rPr>
          <w:rFonts w:eastAsia="Calibri" w:cs="Arial"/>
          <w:szCs w:val="22"/>
          <w:lang w:eastAsia="en-US"/>
        </w:rPr>
        <w:t xml:space="preserve"> each should be addressed</w:t>
      </w:r>
      <w:r w:rsidR="0047112C" w:rsidRPr="009500F4">
        <w:rPr>
          <w:rFonts w:eastAsia="Calibri" w:cs="Arial"/>
          <w:szCs w:val="22"/>
          <w:lang w:eastAsia="en-US"/>
        </w:rPr>
        <w:t xml:space="preserve">. </w:t>
      </w:r>
      <w:r w:rsidR="00EB2B0A" w:rsidRPr="009500F4">
        <w:rPr>
          <w:rFonts w:eastAsia="Calibri" w:cs="Arial"/>
          <w:szCs w:val="22"/>
          <w:lang w:eastAsia="en-US"/>
        </w:rPr>
        <w:t>As stakeholders recognize, t</w:t>
      </w:r>
      <w:r w:rsidRPr="009500F4">
        <w:rPr>
          <w:rFonts w:eastAsia="Calibri" w:cs="Arial"/>
          <w:szCs w:val="22"/>
          <w:lang w:eastAsia="en-US"/>
        </w:rPr>
        <w:t xml:space="preserve">he analysis in </w:t>
      </w:r>
      <w:r w:rsidR="00EB2B0A" w:rsidRPr="009500F4">
        <w:rPr>
          <w:rFonts w:eastAsia="Calibri" w:cs="Arial"/>
          <w:szCs w:val="22"/>
          <w:lang w:eastAsia="en-US"/>
        </w:rPr>
        <w:t xml:space="preserve">each </w:t>
      </w:r>
      <w:r w:rsidRPr="009500F4">
        <w:rPr>
          <w:rFonts w:eastAsia="Calibri" w:cs="Arial"/>
          <w:szCs w:val="22"/>
          <w:lang w:eastAsia="en-US"/>
        </w:rPr>
        <w:t>PSA is te</w:t>
      </w:r>
      <w:r w:rsidR="009500F4">
        <w:rPr>
          <w:rFonts w:eastAsia="Calibri" w:cs="Arial"/>
          <w:szCs w:val="22"/>
          <w:lang w:eastAsia="en-US"/>
        </w:rPr>
        <w:t>chnically sound and persuasive.</w:t>
      </w:r>
    </w:p>
    <w:p w:rsidR="00670064" w:rsidRPr="009500F4" w:rsidRDefault="00670064" w:rsidP="00CA4CD7"/>
    <w:p w:rsidR="00CA4CD7" w:rsidRPr="009500F4" w:rsidRDefault="00EB2B0A" w:rsidP="004F752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On the other hand, </w:t>
      </w:r>
      <w:r w:rsidR="00CA4CD7" w:rsidRPr="009500F4">
        <w:rPr>
          <w:rFonts w:eastAsia="Calibri" w:cs="Arial"/>
          <w:szCs w:val="22"/>
          <w:lang w:eastAsia="en-US"/>
        </w:rPr>
        <w:t xml:space="preserve">many </w:t>
      </w:r>
      <w:r w:rsidRPr="009500F4">
        <w:rPr>
          <w:rFonts w:eastAsia="Calibri" w:cs="Arial"/>
          <w:szCs w:val="22"/>
          <w:lang w:eastAsia="en-US"/>
        </w:rPr>
        <w:t xml:space="preserve">stakeholders </w:t>
      </w:r>
      <w:r w:rsidR="00CA4CD7" w:rsidRPr="009500F4">
        <w:rPr>
          <w:rFonts w:eastAsia="Calibri" w:cs="Arial"/>
          <w:szCs w:val="22"/>
          <w:lang w:eastAsia="en-US"/>
        </w:rPr>
        <w:t xml:space="preserve">express concern that the </w:t>
      </w:r>
      <w:r w:rsidRPr="009500F4">
        <w:rPr>
          <w:rFonts w:eastAsia="Calibri" w:cs="Arial"/>
          <w:szCs w:val="22"/>
          <w:lang w:eastAsia="en-US"/>
        </w:rPr>
        <w:t xml:space="preserve">PSA </w:t>
      </w:r>
      <w:r w:rsidR="00CA4CD7" w:rsidRPr="009500F4">
        <w:rPr>
          <w:rFonts w:eastAsia="Calibri" w:cs="Arial"/>
          <w:szCs w:val="22"/>
          <w:lang w:eastAsia="en-US"/>
        </w:rPr>
        <w:t>analysis is overly broad, fails to indicate any particular reform strategy or program design, and offers too many recommendations with no clear scheme of priorities. In at least one case (Timor</w:t>
      </w:r>
      <w:r w:rsidRPr="009500F4">
        <w:rPr>
          <w:rFonts w:eastAsia="Calibri" w:cs="Arial"/>
          <w:szCs w:val="22"/>
          <w:lang w:eastAsia="en-US"/>
        </w:rPr>
        <w:t>-Leste</w:t>
      </w:r>
      <w:r w:rsidR="00CA4CD7" w:rsidRPr="009500F4">
        <w:rPr>
          <w:rFonts w:eastAsia="Calibri" w:cs="Arial"/>
          <w:szCs w:val="22"/>
          <w:lang w:eastAsia="en-US"/>
        </w:rPr>
        <w:t xml:space="preserve">), </w:t>
      </w:r>
      <w:r w:rsidRPr="009500F4">
        <w:rPr>
          <w:rFonts w:eastAsia="Calibri" w:cs="Arial"/>
          <w:szCs w:val="22"/>
          <w:lang w:eastAsia="en-US"/>
        </w:rPr>
        <w:t xml:space="preserve">the </w:t>
      </w:r>
      <w:r w:rsidR="00CA4CD7" w:rsidRPr="009500F4">
        <w:rPr>
          <w:rFonts w:eastAsia="Calibri" w:cs="Arial"/>
          <w:szCs w:val="22"/>
          <w:lang w:eastAsia="en-US"/>
        </w:rPr>
        <w:t xml:space="preserve">government requested that PSDI forgo the usual periodic </w:t>
      </w:r>
      <w:r w:rsidRPr="009500F4">
        <w:rPr>
          <w:rFonts w:eastAsia="Calibri" w:cs="Arial"/>
          <w:szCs w:val="22"/>
          <w:lang w:eastAsia="en-US"/>
        </w:rPr>
        <w:t xml:space="preserve">revision </w:t>
      </w:r>
      <w:r w:rsidR="00CA4CD7" w:rsidRPr="009500F4">
        <w:rPr>
          <w:rFonts w:eastAsia="Calibri" w:cs="Arial"/>
          <w:szCs w:val="22"/>
          <w:lang w:eastAsia="en-US"/>
        </w:rPr>
        <w:t>of the</w:t>
      </w:r>
      <w:r w:rsidRPr="009500F4">
        <w:rPr>
          <w:rFonts w:eastAsia="Calibri" w:cs="Arial"/>
          <w:szCs w:val="22"/>
          <w:lang w:eastAsia="en-US"/>
        </w:rPr>
        <w:t xml:space="preserve"> country’s</w:t>
      </w:r>
      <w:r w:rsidR="00CA4CD7" w:rsidRPr="009500F4">
        <w:rPr>
          <w:rFonts w:eastAsia="Calibri" w:cs="Arial"/>
          <w:szCs w:val="22"/>
          <w:lang w:eastAsia="en-US"/>
        </w:rPr>
        <w:t xml:space="preserve"> PSA in favor of an update </w:t>
      </w:r>
      <w:r w:rsidRPr="009500F4">
        <w:rPr>
          <w:rFonts w:eastAsia="Calibri" w:cs="Arial"/>
          <w:szCs w:val="22"/>
          <w:lang w:eastAsia="en-US"/>
        </w:rPr>
        <w:t xml:space="preserve">outlining </w:t>
      </w:r>
      <w:r w:rsidR="00CA4CD7" w:rsidRPr="009500F4">
        <w:rPr>
          <w:rFonts w:eastAsia="Calibri" w:cs="Arial"/>
          <w:szCs w:val="22"/>
          <w:lang w:eastAsia="en-US"/>
        </w:rPr>
        <w:t xml:space="preserve">short-, medium-, and long-term </w:t>
      </w:r>
      <w:r w:rsidRPr="009500F4">
        <w:rPr>
          <w:rFonts w:eastAsia="Calibri" w:cs="Arial"/>
          <w:szCs w:val="22"/>
          <w:lang w:eastAsia="en-US"/>
        </w:rPr>
        <w:t xml:space="preserve">economic </w:t>
      </w:r>
      <w:r w:rsidR="00CA4CD7" w:rsidRPr="009500F4">
        <w:rPr>
          <w:rFonts w:eastAsia="Calibri" w:cs="Arial"/>
          <w:szCs w:val="22"/>
          <w:lang w:eastAsia="en-US"/>
        </w:rPr>
        <w:t xml:space="preserve">priorities. This reflects </w:t>
      </w:r>
      <w:r w:rsidRPr="009500F4">
        <w:rPr>
          <w:rFonts w:eastAsia="Calibri" w:cs="Arial"/>
          <w:szCs w:val="22"/>
          <w:lang w:eastAsia="en-US"/>
        </w:rPr>
        <w:t xml:space="preserve">a </w:t>
      </w:r>
      <w:r w:rsidR="00CA4CD7" w:rsidRPr="009500F4">
        <w:rPr>
          <w:rFonts w:eastAsia="Calibri" w:cs="Arial"/>
          <w:szCs w:val="22"/>
          <w:lang w:eastAsia="en-US"/>
        </w:rPr>
        <w:t>view expressed by a few interviewees that the PSAs have become less useful</w:t>
      </w:r>
      <w:r w:rsidRPr="009500F4">
        <w:rPr>
          <w:rFonts w:eastAsia="Calibri" w:cs="Arial"/>
          <w:szCs w:val="22"/>
          <w:lang w:eastAsia="en-US"/>
        </w:rPr>
        <w:t xml:space="preserve"> than they once were</w:t>
      </w:r>
      <w:r w:rsidR="00CA4CD7" w:rsidRPr="009500F4">
        <w:rPr>
          <w:rFonts w:eastAsia="Calibri" w:cs="Arial"/>
          <w:szCs w:val="22"/>
          <w:lang w:eastAsia="en-US"/>
        </w:rPr>
        <w:t xml:space="preserve">, that the production schedule has </w:t>
      </w:r>
      <w:r w:rsidRPr="009500F4">
        <w:rPr>
          <w:rFonts w:eastAsia="Calibri" w:cs="Arial"/>
          <w:szCs w:val="22"/>
          <w:lang w:eastAsia="en-US"/>
        </w:rPr>
        <w:t xml:space="preserve">become </w:t>
      </w:r>
      <w:r w:rsidR="00CA4CD7" w:rsidRPr="009500F4">
        <w:rPr>
          <w:rFonts w:eastAsia="Calibri" w:cs="Arial"/>
          <w:szCs w:val="22"/>
          <w:lang w:eastAsia="en-US"/>
        </w:rPr>
        <w:t xml:space="preserve">slower, and that the exercise in some cases has been more about “getting it done” than ensuring the work is well-targeted and </w:t>
      </w:r>
      <w:r w:rsidRPr="009500F4">
        <w:rPr>
          <w:rFonts w:eastAsia="Calibri" w:cs="Arial"/>
          <w:szCs w:val="22"/>
          <w:lang w:eastAsia="en-US"/>
        </w:rPr>
        <w:t>pragmatic</w:t>
      </w:r>
      <w:r w:rsidR="00CA4CD7" w:rsidRPr="009500F4">
        <w:rPr>
          <w:rFonts w:eastAsia="Calibri" w:cs="Arial"/>
          <w:szCs w:val="22"/>
          <w:lang w:eastAsia="en-US"/>
        </w:rPr>
        <w:t>. Another weakness of the PSAs, also noted by stakeholders, is the lack of primary empirical research. There have been no enterprise surveys, detailed analys</w:t>
      </w:r>
      <w:r w:rsidRPr="009500F4">
        <w:rPr>
          <w:rFonts w:eastAsia="Calibri" w:cs="Arial"/>
          <w:szCs w:val="22"/>
          <w:lang w:eastAsia="en-US"/>
        </w:rPr>
        <w:t>e</w:t>
      </w:r>
      <w:r w:rsidR="00CA4CD7" w:rsidRPr="009500F4">
        <w:rPr>
          <w:rFonts w:eastAsia="Calibri" w:cs="Arial"/>
          <w:szCs w:val="22"/>
          <w:lang w:eastAsia="en-US"/>
        </w:rPr>
        <w:t xml:space="preserve">s of business practices, or estimates of the </w:t>
      </w:r>
      <w:r w:rsidR="00634774" w:rsidRPr="009500F4">
        <w:rPr>
          <w:rFonts w:eastAsia="Calibri" w:cs="Arial"/>
          <w:szCs w:val="22"/>
          <w:lang w:eastAsia="en-US"/>
        </w:rPr>
        <w:t>benefit-</w:t>
      </w:r>
      <w:r w:rsidR="00CA4CD7" w:rsidRPr="009500F4">
        <w:rPr>
          <w:rFonts w:eastAsia="Calibri" w:cs="Arial"/>
          <w:szCs w:val="22"/>
          <w:lang w:eastAsia="en-US"/>
        </w:rPr>
        <w:t xml:space="preserve">cost </w:t>
      </w:r>
      <w:r w:rsidRPr="009500F4">
        <w:rPr>
          <w:rFonts w:eastAsia="Calibri" w:cs="Arial"/>
          <w:szCs w:val="22"/>
          <w:lang w:eastAsia="en-US"/>
        </w:rPr>
        <w:t xml:space="preserve">ratios </w:t>
      </w:r>
      <w:r w:rsidR="00CA4CD7" w:rsidRPr="009500F4">
        <w:rPr>
          <w:rFonts w:eastAsia="Calibri" w:cs="Arial"/>
          <w:szCs w:val="22"/>
          <w:lang w:eastAsia="en-US"/>
        </w:rPr>
        <w:t xml:space="preserve">of certain strategies </w:t>
      </w:r>
      <w:r w:rsidR="00634774" w:rsidRPr="009500F4">
        <w:rPr>
          <w:rFonts w:eastAsia="Calibri" w:cs="Arial"/>
          <w:szCs w:val="22"/>
          <w:lang w:eastAsia="en-US"/>
        </w:rPr>
        <w:t>(</w:t>
      </w:r>
      <w:r w:rsidR="00CA4CD7" w:rsidRPr="009500F4">
        <w:rPr>
          <w:rFonts w:eastAsia="Calibri" w:cs="Arial"/>
          <w:szCs w:val="22"/>
          <w:lang w:eastAsia="en-US"/>
        </w:rPr>
        <w:t>such as</w:t>
      </w:r>
      <w:r w:rsidR="00634774" w:rsidRPr="009500F4">
        <w:rPr>
          <w:rFonts w:eastAsia="Calibri" w:cs="Arial"/>
          <w:szCs w:val="22"/>
          <w:lang w:eastAsia="en-US"/>
        </w:rPr>
        <w:t xml:space="preserve"> enterprises</w:t>
      </w:r>
      <w:r w:rsidR="00CA4CD7" w:rsidRPr="009500F4">
        <w:rPr>
          <w:rFonts w:eastAsia="Calibri" w:cs="Arial"/>
          <w:szCs w:val="22"/>
          <w:lang w:eastAsia="en-US"/>
        </w:rPr>
        <w:t xml:space="preserve"> remaining</w:t>
      </w:r>
      <w:r w:rsidR="00634774" w:rsidRPr="009500F4">
        <w:rPr>
          <w:rFonts w:eastAsia="Calibri" w:cs="Arial"/>
          <w:szCs w:val="22"/>
          <w:lang w:eastAsia="en-US"/>
        </w:rPr>
        <w:t xml:space="preserve"> in the</w:t>
      </w:r>
      <w:r w:rsidR="00CA4CD7" w:rsidRPr="009500F4">
        <w:rPr>
          <w:rFonts w:eastAsia="Calibri" w:cs="Arial"/>
          <w:szCs w:val="22"/>
          <w:lang w:eastAsia="en-US"/>
        </w:rPr>
        <w:t xml:space="preserve"> informal</w:t>
      </w:r>
      <w:r w:rsidR="00634774" w:rsidRPr="009500F4">
        <w:rPr>
          <w:rFonts w:eastAsia="Calibri" w:cs="Arial"/>
          <w:szCs w:val="22"/>
          <w:lang w:eastAsia="en-US"/>
        </w:rPr>
        <w:t xml:space="preserve"> economy)</w:t>
      </w:r>
      <w:r w:rsidR="00CA4CD7" w:rsidRPr="009500F4">
        <w:rPr>
          <w:rFonts w:eastAsia="Calibri" w:cs="Arial"/>
          <w:szCs w:val="22"/>
          <w:lang w:eastAsia="en-US"/>
        </w:rPr>
        <w:t xml:space="preserve">. While PSDI’s work appears to be well-informed by an understanding of </w:t>
      </w:r>
      <w:r w:rsidR="00634774" w:rsidRPr="009500F4">
        <w:rPr>
          <w:rFonts w:eastAsia="Calibri" w:cs="Arial"/>
          <w:szCs w:val="22"/>
          <w:lang w:eastAsia="en-US"/>
        </w:rPr>
        <w:t xml:space="preserve">the </w:t>
      </w:r>
      <w:r w:rsidR="00CA4CD7" w:rsidRPr="009500F4">
        <w:rPr>
          <w:rFonts w:eastAsia="Calibri" w:cs="Arial"/>
          <w:szCs w:val="22"/>
          <w:lang w:eastAsia="en-US"/>
        </w:rPr>
        <w:t>political economy</w:t>
      </w:r>
      <w:r w:rsidR="00634774" w:rsidRPr="009500F4">
        <w:rPr>
          <w:rFonts w:eastAsia="Calibri" w:cs="Arial"/>
          <w:szCs w:val="22"/>
          <w:lang w:eastAsia="en-US"/>
        </w:rPr>
        <w:t xml:space="preserve"> in Pacific DMCs</w:t>
      </w:r>
      <w:r w:rsidR="00CA4CD7" w:rsidRPr="009500F4">
        <w:rPr>
          <w:rFonts w:eastAsia="Calibri" w:cs="Arial"/>
          <w:szCs w:val="22"/>
          <w:lang w:eastAsia="en-US"/>
        </w:rPr>
        <w:t>, this receive</w:t>
      </w:r>
      <w:r w:rsidR="0047112C" w:rsidRPr="009500F4">
        <w:rPr>
          <w:rFonts w:eastAsia="Calibri" w:cs="Arial"/>
          <w:szCs w:val="22"/>
          <w:lang w:eastAsia="en-US"/>
        </w:rPr>
        <w:t>s little attention in the PSAs.</w:t>
      </w:r>
    </w:p>
    <w:p w:rsidR="00670064" w:rsidRPr="009500F4" w:rsidRDefault="00670064" w:rsidP="00CA4CD7"/>
    <w:p w:rsidR="00CA4CD7" w:rsidRPr="009500F4" w:rsidRDefault="00634774" w:rsidP="004F752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PSDI’s </w:t>
      </w:r>
      <w:r w:rsidR="00CA4CD7" w:rsidRPr="009500F4">
        <w:rPr>
          <w:rFonts w:eastAsia="Calibri" w:cs="Arial"/>
          <w:szCs w:val="22"/>
          <w:lang w:eastAsia="en-US"/>
        </w:rPr>
        <w:t xml:space="preserve">thematic and country studies provide a contrast, in particular the </w:t>
      </w:r>
      <w:r w:rsidRPr="009500F4">
        <w:rPr>
          <w:rFonts w:eastAsia="Calibri" w:cs="Arial"/>
          <w:szCs w:val="22"/>
          <w:lang w:eastAsia="en-US"/>
        </w:rPr>
        <w:t>“</w:t>
      </w:r>
      <w:r w:rsidR="00CA4CD7" w:rsidRPr="009500F4">
        <w:rPr>
          <w:rFonts w:eastAsia="Calibri" w:cs="Arial"/>
          <w:szCs w:val="22"/>
          <w:lang w:eastAsia="en-US"/>
        </w:rPr>
        <w:t>Finding Balance</w:t>
      </w:r>
      <w:r w:rsidRPr="009500F4">
        <w:rPr>
          <w:rFonts w:eastAsia="Calibri" w:cs="Arial"/>
          <w:szCs w:val="22"/>
          <w:lang w:eastAsia="en-US"/>
        </w:rPr>
        <w:t>”</w:t>
      </w:r>
      <w:r w:rsidR="00CA4CD7" w:rsidRPr="009500F4">
        <w:rPr>
          <w:rFonts w:eastAsia="Calibri" w:cs="Arial"/>
          <w:szCs w:val="22"/>
          <w:lang w:eastAsia="en-US"/>
        </w:rPr>
        <w:t xml:space="preserve"> </w:t>
      </w:r>
      <w:r w:rsidRPr="009500F4">
        <w:rPr>
          <w:rFonts w:eastAsia="Calibri" w:cs="Arial"/>
          <w:szCs w:val="22"/>
          <w:lang w:eastAsia="en-US"/>
        </w:rPr>
        <w:t>series</w:t>
      </w:r>
      <w:r w:rsidR="00CA4CD7" w:rsidRPr="009500F4">
        <w:rPr>
          <w:rFonts w:eastAsia="Calibri" w:cs="Arial"/>
          <w:szCs w:val="22"/>
          <w:lang w:eastAsia="en-US"/>
        </w:rPr>
        <w:t xml:space="preserve">. These </w:t>
      </w:r>
      <w:r w:rsidRPr="009500F4">
        <w:rPr>
          <w:rFonts w:eastAsia="Calibri" w:cs="Arial"/>
          <w:szCs w:val="22"/>
          <w:lang w:eastAsia="en-US"/>
        </w:rPr>
        <w:t xml:space="preserve">studies </w:t>
      </w:r>
      <w:r w:rsidR="00CA4CD7" w:rsidRPr="009500F4">
        <w:rPr>
          <w:rFonts w:eastAsia="Calibri" w:cs="Arial"/>
          <w:szCs w:val="22"/>
          <w:lang w:eastAsia="en-US"/>
        </w:rPr>
        <w:t>are valued for their objectivity, data analysis, and benchmarking</w:t>
      </w:r>
      <w:r w:rsidRPr="009500F4">
        <w:rPr>
          <w:rFonts w:eastAsia="Calibri" w:cs="Arial"/>
          <w:szCs w:val="22"/>
          <w:lang w:eastAsia="en-US"/>
        </w:rPr>
        <w:t>—</w:t>
      </w:r>
      <w:r w:rsidR="00CA4CD7" w:rsidRPr="009500F4">
        <w:rPr>
          <w:rFonts w:eastAsia="Calibri" w:cs="Arial"/>
          <w:szCs w:val="22"/>
          <w:lang w:eastAsia="en-US"/>
        </w:rPr>
        <w:t xml:space="preserve"> measurement of SOE performance, with its quantitative emphasis, seems to lend itself readily to </w:t>
      </w:r>
      <w:r w:rsidR="00CA4CD7" w:rsidRPr="009500F4">
        <w:rPr>
          <w:rFonts w:eastAsia="Calibri" w:cs="Arial"/>
          <w:szCs w:val="22"/>
          <w:lang w:eastAsia="en-US"/>
        </w:rPr>
        <w:lastRenderedPageBreak/>
        <w:t xml:space="preserve">benchmarking. </w:t>
      </w:r>
      <w:r w:rsidRPr="009500F4">
        <w:rPr>
          <w:rFonts w:eastAsia="Calibri" w:cs="Arial"/>
          <w:szCs w:val="22"/>
          <w:lang w:eastAsia="en-US"/>
        </w:rPr>
        <w:t xml:space="preserve">While </w:t>
      </w:r>
      <w:r w:rsidR="00CA4CD7" w:rsidRPr="009500F4">
        <w:rPr>
          <w:rFonts w:eastAsia="Calibri" w:cs="Arial"/>
          <w:szCs w:val="22"/>
          <w:lang w:eastAsia="en-US"/>
        </w:rPr>
        <w:t xml:space="preserve">a critique did emerge </w:t>
      </w:r>
      <w:r w:rsidRPr="009500F4">
        <w:rPr>
          <w:rFonts w:eastAsia="Calibri" w:cs="Arial"/>
          <w:szCs w:val="22"/>
          <w:lang w:eastAsia="en-US"/>
        </w:rPr>
        <w:t xml:space="preserve">among stakeholders </w:t>
      </w:r>
      <w:r w:rsidR="00CA4CD7" w:rsidRPr="009500F4">
        <w:rPr>
          <w:rFonts w:eastAsia="Calibri" w:cs="Arial"/>
          <w:szCs w:val="22"/>
          <w:lang w:eastAsia="en-US"/>
        </w:rPr>
        <w:t>interview</w:t>
      </w:r>
      <w:r w:rsidRPr="009500F4">
        <w:rPr>
          <w:rFonts w:eastAsia="Calibri" w:cs="Arial"/>
          <w:szCs w:val="22"/>
          <w:lang w:eastAsia="en-US"/>
        </w:rPr>
        <w:t>ed for this review</w:t>
      </w:r>
      <w:r w:rsidR="00CA4CD7" w:rsidRPr="009500F4">
        <w:rPr>
          <w:rFonts w:eastAsia="Calibri" w:cs="Arial"/>
          <w:szCs w:val="22"/>
          <w:lang w:eastAsia="en-US"/>
        </w:rPr>
        <w:t xml:space="preserve"> that the purpose of the studies is vague, and that they should focus on </w:t>
      </w:r>
      <w:r w:rsidRPr="009500F4">
        <w:rPr>
          <w:rFonts w:eastAsia="Calibri" w:cs="Arial"/>
          <w:szCs w:val="22"/>
          <w:lang w:eastAsia="en-US"/>
        </w:rPr>
        <w:t xml:space="preserve">the </w:t>
      </w:r>
      <w:r w:rsidR="00CA4CD7" w:rsidRPr="009500F4">
        <w:rPr>
          <w:rFonts w:eastAsia="Calibri" w:cs="Arial"/>
          <w:szCs w:val="22"/>
          <w:lang w:eastAsia="en-US"/>
        </w:rPr>
        <w:t>tangible outcomes of reforms</w:t>
      </w:r>
      <w:r w:rsidRPr="009500F4">
        <w:rPr>
          <w:rFonts w:eastAsia="Calibri" w:cs="Arial"/>
          <w:szCs w:val="22"/>
          <w:lang w:eastAsia="en-US"/>
        </w:rPr>
        <w:t>,</w:t>
      </w:r>
      <w:r w:rsidR="00CA4CD7" w:rsidRPr="009500F4">
        <w:rPr>
          <w:rFonts w:eastAsia="Calibri" w:cs="Arial"/>
          <w:szCs w:val="22"/>
          <w:lang w:eastAsia="en-US"/>
        </w:rPr>
        <w:t xml:space="preserve"> such as </w:t>
      </w:r>
      <w:r w:rsidRPr="009500F4">
        <w:rPr>
          <w:rFonts w:eastAsia="Calibri" w:cs="Arial"/>
          <w:szCs w:val="22"/>
          <w:lang w:eastAsia="en-US"/>
        </w:rPr>
        <w:t xml:space="preserve">the </w:t>
      </w:r>
      <w:r w:rsidR="00CA4CD7" w:rsidRPr="009500F4">
        <w:rPr>
          <w:rFonts w:eastAsia="Calibri" w:cs="Arial"/>
          <w:szCs w:val="22"/>
          <w:lang w:eastAsia="en-US"/>
        </w:rPr>
        <w:t>benefits to consumers</w:t>
      </w:r>
      <w:r w:rsidRPr="009500F4">
        <w:rPr>
          <w:rFonts w:eastAsia="Calibri" w:cs="Arial"/>
          <w:szCs w:val="22"/>
          <w:lang w:eastAsia="en-US"/>
        </w:rPr>
        <w:t>, t</w:t>
      </w:r>
      <w:r w:rsidR="00CA4CD7" w:rsidRPr="009500F4">
        <w:rPr>
          <w:rFonts w:eastAsia="Calibri" w:cs="Arial"/>
          <w:szCs w:val="22"/>
          <w:lang w:eastAsia="en-US"/>
        </w:rPr>
        <w:t xml:space="preserve">his </w:t>
      </w:r>
      <w:r w:rsidRPr="009500F4">
        <w:rPr>
          <w:rFonts w:eastAsia="Calibri" w:cs="Arial"/>
          <w:szCs w:val="22"/>
          <w:lang w:eastAsia="en-US"/>
        </w:rPr>
        <w:t>seemed</w:t>
      </w:r>
      <w:r w:rsidR="00CA4CD7" w:rsidRPr="009500F4">
        <w:rPr>
          <w:rFonts w:eastAsia="Calibri" w:cs="Arial"/>
          <w:szCs w:val="22"/>
          <w:lang w:eastAsia="en-US"/>
        </w:rPr>
        <w:t xml:space="preserve"> to be a minority opinion.</w:t>
      </w:r>
    </w:p>
    <w:p w:rsidR="00346198" w:rsidRPr="00670064" w:rsidRDefault="00346198" w:rsidP="00670064"/>
    <w:p w:rsidR="002F3387" w:rsidRPr="00E201D1" w:rsidRDefault="002F3387">
      <w:pPr>
        <w:jc w:val="left"/>
        <w:rPr>
          <w:rFonts w:eastAsia="Times New Roman"/>
          <w:bCs/>
          <w:caps/>
          <w:szCs w:val="22"/>
          <w:lang w:val="x-none" w:eastAsia="x-none"/>
        </w:rPr>
      </w:pPr>
      <w:bookmarkStart w:id="158" w:name="_Toc494378876"/>
      <w:r w:rsidRPr="00C951B3">
        <w:rPr>
          <w:rFonts w:eastAsia="Times New Roman"/>
          <w:b/>
          <w:bCs/>
          <w:caps/>
          <w:sz w:val="24"/>
          <w:szCs w:val="22"/>
          <w:lang w:val="x-none" w:eastAsia="x-none"/>
        </w:rPr>
        <w:br w:type="page"/>
      </w:r>
    </w:p>
    <w:p w:rsidR="00346198" w:rsidRPr="0006764E" w:rsidRDefault="00346198" w:rsidP="00170139">
      <w:pPr>
        <w:keepNext/>
        <w:keepLines/>
        <w:spacing w:after="100" w:afterAutospacing="1" w:line="259" w:lineRule="auto"/>
        <w:jc w:val="center"/>
        <w:outlineLvl w:val="0"/>
        <w:rPr>
          <w:rFonts w:eastAsia="Times New Roman"/>
          <w:b/>
          <w:bCs/>
          <w:szCs w:val="22"/>
          <w:lang w:val="x-none" w:eastAsia="x-none"/>
        </w:rPr>
      </w:pPr>
      <w:bookmarkStart w:id="159" w:name="_Toc494378877"/>
      <w:bookmarkEnd w:id="158"/>
      <w:r w:rsidRPr="0006764E">
        <w:rPr>
          <w:rFonts w:eastAsia="Times New Roman"/>
          <w:b/>
          <w:bCs/>
          <w:szCs w:val="22"/>
          <w:lang w:val="x-none" w:eastAsia="x-none"/>
        </w:rPr>
        <w:lastRenderedPageBreak/>
        <w:t>V.</w:t>
      </w:r>
      <w:r w:rsidRPr="0006764E">
        <w:rPr>
          <w:rFonts w:eastAsia="Times New Roman"/>
          <w:b/>
          <w:bCs/>
          <w:szCs w:val="22"/>
          <w:lang w:val="x-none" w:eastAsia="x-none"/>
        </w:rPr>
        <w:tab/>
      </w:r>
      <w:r w:rsidRPr="00170139">
        <w:rPr>
          <w:rFonts w:ascii="Arial Bold" w:eastAsia="Times New Roman" w:hAnsi="Arial Bold"/>
          <w:b/>
          <w:bCs/>
          <w:caps/>
          <w:sz w:val="24"/>
          <w:szCs w:val="22"/>
          <w:lang w:val="x-none" w:eastAsia="x-none"/>
        </w:rPr>
        <w:t>Conclusions and Recommendations</w:t>
      </w:r>
      <w:bookmarkEnd w:id="159"/>
    </w:p>
    <w:p w:rsidR="001275BB" w:rsidRDefault="001275BB" w:rsidP="00170139">
      <w:pPr>
        <w:tabs>
          <w:tab w:val="left" w:pos="567"/>
        </w:tabs>
        <w:spacing w:after="160"/>
        <w:rPr>
          <w:rFonts w:eastAsia="Calibri" w:cs="Arial"/>
          <w:color w:val="002060"/>
          <w:szCs w:val="22"/>
          <w:lang w:eastAsia="en-US"/>
        </w:rPr>
      </w:pPr>
      <w:r>
        <w:rPr>
          <w:rFonts w:eastAsia="Times New Roman" w:cs="Arial"/>
          <w:b/>
          <w:bCs/>
          <w:iCs/>
          <w:sz w:val="24"/>
          <w:lang w:eastAsia="en-US"/>
        </w:rPr>
        <w:t>A</w:t>
      </w:r>
      <w:r w:rsidRPr="00B03F41">
        <w:rPr>
          <w:rFonts w:eastAsia="Times New Roman" w:cs="Arial"/>
          <w:b/>
          <w:bCs/>
          <w:iCs/>
          <w:sz w:val="24"/>
          <w:lang w:eastAsia="en-US"/>
        </w:rPr>
        <w:t>.</w:t>
      </w:r>
      <w:r w:rsidRPr="00B03F41">
        <w:rPr>
          <w:rFonts w:eastAsia="Times New Roman" w:cs="Arial"/>
          <w:b/>
          <w:bCs/>
          <w:iCs/>
          <w:sz w:val="24"/>
          <w:lang w:eastAsia="en-US"/>
        </w:rPr>
        <w:tab/>
      </w:r>
      <w:r>
        <w:rPr>
          <w:rFonts w:eastAsia="Times New Roman" w:cs="Arial"/>
          <w:b/>
          <w:bCs/>
          <w:iCs/>
          <w:sz w:val="24"/>
          <w:lang w:eastAsia="en-US"/>
        </w:rPr>
        <w:t>Conclusions</w:t>
      </w:r>
    </w:p>
    <w:p w:rsidR="00346198" w:rsidRPr="009500F4" w:rsidRDefault="00346198" w:rsidP="00FB3CC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PSDI has provided highly relevant advisory services for the</w:t>
      </w:r>
      <w:r w:rsidR="007D266B" w:rsidRPr="009500F4">
        <w:rPr>
          <w:rFonts w:eastAsia="Calibri" w:cs="Arial"/>
          <w:szCs w:val="22"/>
          <w:lang w:eastAsia="en-US"/>
        </w:rPr>
        <w:t xml:space="preserve"> 14</w:t>
      </w:r>
      <w:r w:rsidRPr="009500F4">
        <w:rPr>
          <w:rFonts w:eastAsia="Calibri" w:cs="Arial"/>
          <w:szCs w:val="22"/>
          <w:lang w:eastAsia="en-US"/>
        </w:rPr>
        <w:t xml:space="preserve"> Pacific DMCs</w:t>
      </w:r>
      <w:r w:rsidR="007D266B" w:rsidRPr="009500F4">
        <w:rPr>
          <w:rFonts w:eastAsia="Calibri" w:cs="Arial"/>
          <w:szCs w:val="22"/>
          <w:lang w:eastAsia="en-US"/>
        </w:rPr>
        <w:t xml:space="preserve"> to the midpoint of</w:t>
      </w:r>
      <w:r w:rsidRPr="009500F4">
        <w:rPr>
          <w:rFonts w:eastAsia="Calibri" w:cs="Arial"/>
          <w:szCs w:val="22"/>
          <w:lang w:eastAsia="en-US"/>
        </w:rPr>
        <w:t xml:space="preserve"> PSDI III</w:t>
      </w:r>
      <w:r w:rsidR="007D266B" w:rsidRPr="009500F4">
        <w:rPr>
          <w:rFonts w:eastAsia="Calibri" w:cs="Arial"/>
          <w:szCs w:val="22"/>
          <w:lang w:eastAsia="en-US"/>
        </w:rPr>
        <w:t>.</w:t>
      </w:r>
      <w:r w:rsidRPr="009500F4">
        <w:rPr>
          <w:rFonts w:eastAsia="Calibri" w:cs="Arial"/>
          <w:szCs w:val="22"/>
          <w:lang w:eastAsia="en-US"/>
        </w:rPr>
        <w:t xml:space="preserve"> These advisory services have been delivered in a very challenging development environment. </w:t>
      </w:r>
      <w:r w:rsidR="007D266B" w:rsidRPr="009500F4">
        <w:rPr>
          <w:rFonts w:eastAsia="Calibri" w:cs="Arial"/>
          <w:szCs w:val="22"/>
          <w:lang w:eastAsia="en-US"/>
        </w:rPr>
        <w:t xml:space="preserve">Senior </w:t>
      </w:r>
      <w:r w:rsidRPr="009500F4">
        <w:rPr>
          <w:rFonts w:eastAsia="Calibri" w:cs="Arial"/>
          <w:szCs w:val="22"/>
          <w:lang w:eastAsia="en-US"/>
        </w:rPr>
        <w:t>PSDI consultants have successful</w:t>
      </w:r>
      <w:r w:rsidR="00C71A04" w:rsidRPr="009500F4">
        <w:rPr>
          <w:rFonts w:eastAsia="Calibri" w:cs="Arial"/>
          <w:szCs w:val="22"/>
          <w:lang w:eastAsia="en-US"/>
        </w:rPr>
        <w:t>ly</w:t>
      </w:r>
      <w:r w:rsidRPr="009500F4">
        <w:rPr>
          <w:rFonts w:eastAsia="Calibri" w:cs="Arial"/>
          <w:szCs w:val="22"/>
          <w:lang w:eastAsia="en-US"/>
        </w:rPr>
        <w:t xml:space="preserve"> promot</w:t>
      </w:r>
      <w:r w:rsidR="00C71A04" w:rsidRPr="009500F4">
        <w:rPr>
          <w:rFonts w:eastAsia="Calibri" w:cs="Arial"/>
          <w:szCs w:val="22"/>
          <w:lang w:eastAsia="en-US"/>
        </w:rPr>
        <w:t>ed</w:t>
      </w:r>
      <w:r w:rsidRPr="009500F4">
        <w:rPr>
          <w:rFonts w:eastAsia="Calibri" w:cs="Arial"/>
          <w:szCs w:val="22"/>
          <w:lang w:eastAsia="en-US"/>
        </w:rPr>
        <w:t xml:space="preserve"> </w:t>
      </w:r>
      <w:r w:rsidR="007D266B" w:rsidRPr="009500F4">
        <w:rPr>
          <w:rFonts w:eastAsia="Calibri" w:cs="Arial"/>
          <w:szCs w:val="22"/>
          <w:lang w:eastAsia="en-US"/>
        </w:rPr>
        <w:t xml:space="preserve">the </w:t>
      </w:r>
      <w:r w:rsidRPr="009500F4">
        <w:rPr>
          <w:rFonts w:eastAsia="Calibri" w:cs="Arial"/>
          <w:szCs w:val="22"/>
          <w:lang w:eastAsia="en-US"/>
        </w:rPr>
        <w:t xml:space="preserve">development </w:t>
      </w:r>
      <w:r w:rsidR="007D266B" w:rsidRPr="009500F4">
        <w:rPr>
          <w:rFonts w:eastAsia="Calibri" w:cs="Arial"/>
          <w:szCs w:val="22"/>
          <w:lang w:eastAsia="en-US"/>
        </w:rPr>
        <w:t>of</w:t>
      </w:r>
      <w:r w:rsidRPr="009500F4">
        <w:rPr>
          <w:rFonts w:eastAsia="Calibri" w:cs="Arial"/>
          <w:szCs w:val="22"/>
          <w:lang w:eastAsia="en-US"/>
        </w:rPr>
        <w:t xml:space="preserve"> private sectors</w:t>
      </w:r>
      <w:r w:rsidR="007D266B" w:rsidRPr="009500F4">
        <w:rPr>
          <w:rFonts w:eastAsia="Calibri" w:cs="Arial"/>
          <w:szCs w:val="22"/>
          <w:lang w:eastAsia="en-US"/>
        </w:rPr>
        <w:t xml:space="preserve"> in small and</w:t>
      </w:r>
      <w:r w:rsidRPr="009500F4">
        <w:rPr>
          <w:rFonts w:eastAsia="Calibri" w:cs="Arial"/>
          <w:szCs w:val="22"/>
          <w:lang w:eastAsia="en-US"/>
        </w:rPr>
        <w:t xml:space="preserve"> </w:t>
      </w:r>
      <w:r w:rsidR="007D266B" w:rsidRPr="009500F4">
        <w:rPr>
          <w:rFonts w:eastAsia="Calibri" w:cs="Arial"/>
          <w:szCs w:val="22"/>
          <w:lang w:eastAsia="en-US"/>
        </w:rPr>
        <w:t>often</w:t>
      </w:r>
      <w:r w:rsidRPr="009500F4">
        <w:rPr>
          <w:rFonts w:eastAsia="Calibri" w:cs="Arial"/>
          <w:szCs w:val="22"/>
          <w:lang w:eastAsia="en-US"/>
        </w:rPr>
        <w:t xml:space="preserve"> neglected</w:t>
      </w:r>
      <w:r w:rsidR="00C71A04" w:rsidRPr="009500F4">
        <w:rPr>
          <w:rFonts w:eastAsia="Calibri" w:cs="Arial"/>
          <w:szCs w:val="22"/>
          <w:lang w:eastAsia="en-US"/>
        </w:rPr>
        <w:t xml:space="preserve"> Pacific island</w:t>
      </w:r>
      <w:r w:rsidR="000C15E8">
        <w:rPr>
          <w:rFonts w:eastAsia="Calibri" w:cs="Arial"/>
          <w:szCs w:val="22"/>
          <w:lang w:eastAsia="en-US"/>
        </w:rPr>
        <w:t xml:space="preserve"> economies.</w:t>
      </w:r>
    </w:p>
    <w:p w:rsidR="00283346" w:rsidRPr="009500F4" w:rsidRDefault="00283346" w:rsidP="00170139">
      <w:pPr>
        <w:tabs>
          <w:tab w:val="left" w:pos="567"/>
        </w:tabs>
        <w:rPr>
          <w:rFonts w:eastAsia="Calibri" w:cs="Arial"/>
          <w:szCs w:val="22"/>
          <w:lang w:eastAsia="en-US"/>
        </w:rPr>
      </w:pPr>
    </w:p>
    <w:p w:rsidR="00283346" w:rsidRPr="009500F4" w:rsidRDefault="00283346"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The design and monitoring framework of PSDI III has been used by senior consultants and cooperating donor staff as the operating targets for PSDI.</w:t>
      </w:r>
      <w:r w:rsidRPr="009500F4">
        <w:rPr>
          <w:rFonts w:eastAsia="Calibri" w:cs="Arial"/>
          <w:szCs w:val="22"/>
          <w:vertAlign w:val="superscript"/>
          <w:lang w:eastAsia="en-US"/>
        </w:rPr>
        <w:footnoteReference w:id="24"/>
      </w:r>
      <w:r w:rsidRPr="009500F4">
        <w:rPr>
          <w:rFonts w:eastAsia="Calibri" w:cs="Arial"/>
          <w:szCs w:val="22"/>
          <w:lang w:eastAsia="en-US"/>
        </w:rPr>
        <w:t xml:space="preserve"> As noted elsewhere, the targets for </w:t>
      </w:r>
      <w:r w:rsidR="00C71A04" w:rsidRPr="009500F4">
        <w:rPr>
          <w:rFonts w:eastAsia="Calibri" w:cs="Arial"/>
          <w:szCs w:val="22"/>
          <w:lang w:eastAsia="en-US"/>
        </w:rPr>
        <w:t xml:space="preserve">the economic </w:t>
      </w:r>
      <w:r w:rsidRPr="009500F4">
        <w:rPr>
          <w:rFonts w:eastAsia="Calibri" w:cs="Arial"/>
          <w:szCs w:val="22"/>
          <w:lang w:eastAsia="en-US"/>
        </w:rPr>
        <w:t>empowerment</w:t>
      </w:r>
      <w:r w:rsidR="00C71A04" w:rsidRPr="009500F4">
        <w:rPr>
          <w:rFonts w:eastAsia="Calibri" w:cs="Arial"/>
          <w:szCs w:val="22"/>
          <w:lang w:eastAsia="en-US"/>
        </w:rPr>
        <w:t xml:space="preserve"> of women</w:t>
      </w:r>
      <w:r w:rsidRPr="009500F4">
        <w:rPr>
          <w:rFonts w:eastAsia="Calibri" w:cs="Arial"/>
          <w:szCs w:val="22"/>
          <w:lang w:eastAsia="en-US"/>
        </w:rPr>
        <w:t xml:space="preserve"> were overly ambitious and will not likely be met within PSDI III. At the same time, other </w:t>
      </w:r>
      <w:r w:rsidR="00C71A04" w:rsidRPr="009500F4">
        <w:rPr>
          <w:rFonts w:eastAsia="Calibri" w:cs="Arial"/>
          <w:szCs w:val="22"/>
          <w:lang w:eastAsia="en-US"/>
        </w:rPr>
        <w:t xml:space="preserve">components </w:t>
      </w:r>
      <w:r w:rsidRPr="009500F4">
        <w:rPr>
          <w:rFonts w:eastAsia="Calibri" w:cs="Arial"/>
          <w:szCs w:val="22"/>
          <w:lang w:eastAsia="en-US"/>
        </w:rPr>
        <w:t xml:space="preserve">were </w:t>
      </w:r>
      <w:r w:rsidR="00C71A04" w:rsidRPr="009500F4">
        <w:rPr>
          <w:rFonts w:eastAsia="Calibri" w:cs="Arial"/>
          <w:szCs w:val="22"/>
          <w:lang w:eastAsia="en-US"/>
        </w:rPr>
        <w:t xml:space="preserve">measured </w:t>
      </w:r>
      <w:r w:rsidRPr="009500F4">
        <w:rPr>
          <w:rFonts w:eastAsia="Calibri" w:cs="Arial"/>
          <w:szCs w:val="22"/>
          <w:lang w:eastAsia="en-US"/>
        </w:rPr>
        <w:t>by self-fulfilling targets that presented no challenge for their functions.</w:t>
      </w:r>
      <w:r w:rsidRPr="009500F4">
        <w:rPr>
          <w:rFonts w:eastAsia="Calibri" w:cs="Arial"/>
          <w:szCs w:val="22"/>
          <w:vertAlign w:val="superscript"/>
          <w:lang w:eastAsia="en-US"/>
        </w:rPr>
        <w:footnoteReference w:id="25"/>
      </w:r>
      <w:r w:rsidRPr="009500F4">
        <w:rPr>
          <w:rFonts w:eastAsia="Calibri" w:cs="Arial"/>
          <w:szCs w:val="22"/>
          <w:lang w:eastAsia="en-US"/>
        </w:rPr>
        <w:t xml:space="preserve"> If these targets are expected to serve both staff and donor agency objectives, they will need to be carefully revised for </w:t>
      </w:r>
      <w:r w:rsidR="00C71A04" w:rsidRPr="009500F4">
        <w:rPr>
          <w:rFonts w:eastAsia="Calibri" w:cs="Arial"/>
          <w:szCs w:val="22"/>
          <w:lang w:eastAsia="en-US"/>
        </w:rPr>
        <w:t xml:space="preserve">PSDI </w:t>
      </w:r>
      <w:r w:rsidRPr="009500F4">
        <w:rPr>
          <w:rFonts w:eastAsia="Calibri" w:cs="Arial"/>
          <w:szCs w:val="22"/>
          <w:lang w:eastAsia="en-US"/>
        </w:rPr>
        <w:t>IV to ensure</w:t>
      </w:r>
      <w:r w:rsidR="00C71A04" w:rsidRPr="009500F4">
        <w:rPr>
          <w:rFonts w:eastAsia="Calibri" w:cs="Arial"/>
          <w:szCs w:val="22"/>
          <w:lang w:eastAsia="en-US"/>
        </w:rPr>
        <w:t xml:space="preserve"> uniformity across</w:t>
      </w:r>
      <w:r w:rsidRPr="009500F4">
        <w:rPr>
          <w:rFonts w:eastAsia="Calibri" w:cs="Arial"/>
          <w:szCs w:val="22"/>
          <w:lang w:eastAsia="en-US"/>
        </w:rPr>
        <w:t xml:space="preserve"> function</w:t>
      </w:r>
      <w:r w:rsidR="00C71A04" w:rsidRPr="009500F4">
        <w:rPr>
          <w:rFonts w:eastAsia="Calibri" w:cs="Arial"/>
          <w:szCs w:val="22"/>
          <w:lang w:eastAsia="en-US"/>
        </w:rPr>
        <w:t>s</w:t>
      </w:r>
      <w:r w:rsidRPr="009500F4">
        <w:rPr>
          <w:rFonts w:eastAsia="Calibri" w:cs="Arial"/>
          <w:szCs w:val="22"/>
          <w:lang w:eastAsia="en-US"/>
        </w:rPr>
        <w:t xml:space="preserve"> and appropriate “stretch” objectives that can be effectively communicated </w:t>
      </w:r>
      <w:r w:rsidR="00C71A04" w:rsidRPr="009500F4">
        <w:rPr>
          <w:rFonts w:eastAsia="Calibri" w:cs="Arial"/>
          <w:szCs w:val="22"/>
          <w:lang w:eastAsia="en-US"/>
        </w:rPr>
        <w:t xml:space="preserve">both </w:t>
      </w:r>
      <w:r w:rsidRPr="009500F4">
        <w:rPr>
          <w:rFonts w:eastAsia="Calibri" w:cs="Arial"/>
          <w:szCs w:val="22"/>
          <w:lang w:eastAsia="en-US"/>
        </w:rPr>
        <w:t xml:space="preserve">to the donor agencies and </w:t>
      </w:r>
      <w:r w:rsidR="00C71A04" w:rsidRPr="009500F4">
        <w:rPr>
          <w:rFonts w:eastAsia="Calibri" w:cs="Arial"/>
          <w:szCs w:val="22"/>
          <w:lang w:eastAsia="en-US"/>
        </w:rPr>
        <w:t xml:space="preserve">senior </w:t>
      </w:r>
      <w:r w:rsidRPr="009500F4">
        <w:rPr>
          <w:rFonts w:eastAsia="Calibri" w:cs="Arial"/>
          <w:szCs w:val="22"/>
          <w:lang w:eastAsia="en-US"/>
        </w:rPr>
        <w:t>PSDI consultants.</w:t>
      </w:r>
    </w:p>
    <w:p w:rsidR="00AD130C" w:rsidRPr="009500F4" w:rsidRDefault="00AD130C" w:rsidP="00AD130C"/>
    <w:p w:rsidR="00951598" w:rsidRPr="000D639E" w:rsidRDefault="000D639E" w:rsidP="000D639E">
      <w:pPr>
        <w:numPr>
          <w:ilvl w:val="0"/>
          <w:numId w:val="10"/>
        </w:numPr>
        <w:tabs>
          <w:tab w:val="left" w:pos="567"/>
        </w:tabs>
        <w:ind w:left="0" w:firstLine="0"/>
        <w:rPr>
          <w:rFonts w:eastAsia="Calibri" w:cs="Arial"/>
          <w:szCs w:val="22"/>
          <w:lang w:eastAsia="en-US"/>
        </w:rPr>
      </w:pPr>
      <w:r w:rsidRPr="000D639E">
        <w:rPr>
          <w:rFonts w:eastAsia="Calibri" w:cs="Arial"/>
          <w:szCs w:val="22"/>
          <w:lang w:eastAsia="en-US"/>
        </w:rPr>
        <w:t>The changes introduced by ADB in 2016</w:t>
      </w:r>
      <w:r w:rsidR="00AD130C" w:rsidRPr="000D639E">
        <w:rPr>
          <w:rFonts w:eastAsia="Calibri" w:cs="Arial"/>
          <w:szCs w:val="22"/>
          <w:lang w:eastAsia="en-US"/>
        </w:rPr>
        <w:t xml:space="preserve"> led to controversy.</w:t>
      </w:r>
      <w:r w:rsidR="003F08DD">
        <w:rPr>
          <w:rStyle w:val="FootnoteReference"/>
          <w:rFonts w:eastAsia="Calibri" w:cs="Arial"/>
          <w:szCs w:val="22"/>
          <w:lang w:eastAsia="en-US"/>
        </w:rPr>
        <w:footnoteReference w:id="26"/>
      </w:r>
      <w:r w:rsidR="00AD130C" w:rsidRPr="000D639E">
        <w:rPr>
          <w:rFonts w:eastAsia="Calibri" w:cs="Arial"/>
          <w:szCs w:val="22"/>
          <w:lang w:eastAsia="en-US"/>
        </w:rPr>
        <w:t xml:space="preserve"> On the one hand, </w:t>
      </w:r>
      <w:r w:rsidR="00C71A04" w:rsidRPr="000D639E">
        <w:rPr>
          <w:rFonts w:eastAsia="Calibri" w:cs="Arial"/>
          <w:szCs w:val="22"/>
          <w:lang w:eastAsia="en-US"/>
        </w:rPr>
        <w:t>ADB</w:t>
      </w:r>
      <w:r w:rsidR="00AD130C" w:rsidRPr="000D639E">
        <w:rPr>
          <w:rFonts w:eastAsia="Calibri" w:cs="Arial"/>
          <w:szCs w:val="22"/>
          <w:lang w:eastAsia="en-US"/>
        </w:rPr>
        <w:t xml:space="preserve"> understandably sees the need for more accountability, more </w:t>
      </w:r>
      <w:r w:rsidR="00C71A04" w:rsidRPr="000D639E">
        <w:rPr>
          <w:rFonts w:eastAsia="Calibri" w:cs="Arial"/>
          <w:szCs w:val="22"/>
          <w:lang w:eastAsia="en-US"/>
        </w:rPr>
        <w:t>prepa</w:t>
      </w:r>
      <w:r w:rsidR="00EC32AF" w:rsidRPr="000D639E">
        <w:rPr>
          <w:rFonts w:eastAsia="Calibri" w:cs="Arial"/>
          <w:szCs w:val="22"/>
          <w:lang w:eastAsia="en-US"/>
        </w:rPr>
        <w:t>ra</w:t>
      </w:r>
      <w:r w:rsidR="00C71A04" w:rsidRPr="000D639E">
        <w:rPr>
          <w:rFonts w:eastAsia="Calibri" w:cs="Arial"/>
          <w:szCs w:val="22"/>
          <w:lang w:eastAsia="en-US"/>
        </w:rPr>
        <w:t>tory</w:t>
      </w:r>
      <w:r w:rsidR="00AD130C" w:rsidRPr="000D639E">
        <w:rPr>
          <w:rFonts w:eastAsia="Calibri" w:cs="Arial"/>
          <w:szCs w:val="22"/>
          <w:lang w:eastAsia="en-US"/>
        </w:rPr>
        <w:t xml:space="preserve"> planning and prioritization, a closer link from analytical work to program activities, and more continuity or linkage between PSDI activities and those of ADB resident missions. This view is shared to some extent </w:t>
      </w:r>
      <w:r w:rsidR="00C71A04" w:rsidRPr="000D639E">
        <w:rPr>
          <w:rFonts w:eastAsia="Calibri" w:cs="Arial"/>
          <w:szCs w:val="22"/>
          <w:lang w:eastAsia="en-US"/>
        </w:rPr>
        <w:t>with</w:t>
      </w:r>
      <w:r w:rsidR="00AD130C" w:rsidRPr="000D639E">
        <w:rPr>
          <w:rFonts w:eastAsia="Calibri" w:cs="Arial"/>
          <w:szCs w:val="22"/>
          <w:lang w:eastAsia="en-US"/>
        </w:rPr>
        <w:t>in the bilateral donor agencies. As aid providers, the</w:t>
      </w:r>
      <w:r w:rsidR="00DB6C25" w:rsidRPr="000D639E">
        <w:rPr>
          <w:rFonts w:eastAsia="Calibri" w:cs="Arial"/>
          <w:szCs w:val="22"/>
          <w:lang w:eastAsia="en-US"/>
        </w:rPr>
        <w:t>se agencies</w:t>
      </w:r>
      <w:r w:rsidR="00AD130C" w:rsidRPr="000D639E">
        <w:rPr>
          <w:rFonts w:eastAsia="Calibri" w:cs="Arial"/>
          <w:szCs w:val="22"/>
          <w:lang w:eastAsia="en-US"/>
        </w:rPr>
        <w:t xml:space="preserve"> perceive certain PSDI activities as having too much of a “fly</w:t>
      </w:r>
      <w:r w:rsidR="005C22D4" w:rsidRPr="000D639E">
        <w:rPr>
          <w:rFonts w:eastAsia="Calibri" w:cs="Arial"/>
          <w:szCs w:val="22"/>
          <w:lang w:eastAsia="en-US"/>
        </w:rPr>
        <w:t xml:space="preserve"> </w:t>
      </w:r>
      <w:r w:rsidR="00AD130C" w:rsidRPr="000D639E">
        <w:rPr>
          <w:rFonts w:eastAsia="Calibri" w:cs="Arial"/>
          <w:szCs w:val="22"/>
          <w:lang w:eastAsia="en-US"/>
        </w:rPr>
        <w:t>in</w:t>
      </w:r>
      <w:r w:rsidR="005C22D4" w:rsidRPr="000D639E">
        <w:rPr>
          <w:rFonts w:eastAsia="Calibri" w:cs="Arial"/>
          <w:szCs w:val="22"/>
          <w:lang w:eastAsia="en-US"/>
        </w:rPr>
        <w:t xml:space="preserve">, </w:t>
      </w:r>
      <w:r w:rsidR="00AD130C" w:rsidRPr="000D639E">
        <w:rPr>
          <w:rFonts w:eastAsia="Calibri" w:cs="Arial"/>
          <w:szCs w:val="22"/>
          <w:lang w:eastAsia="en-US"/>
        </w:rPr>
        <w:t>fly</w:t>
      </w:r>
      <w:r w:rsidR="005C22D4" w:rsidRPr="000D639E">
        <w:rPr>
          <w:rFonts w:eastAsia="Calibri" w:cs="Arial"/>
          <w:szCs w:val="22"/>
          <w:lang w:eastAsia="en-US"/>
        </w:rPr>
        <w:t xml:space="preserve"> </w:t>
      </w:r>
      <w:r w:rsidR="00AD130C" w:rsidRPr="000D639E">
        <w:rPr>
          <w:rFonts w:eastAsia="Calibri" w:cs="Arial"/>
          <w:szCs w:val="22"/>
          <w:lang w:eastAsia="en-US"/>
        </w:rPr>
        <w:t xml:space="preserve">out” character, and being more “siloed” than strategically linked to broader policy discussions. On the other hand, the PSDI team and some other stakeholders feared that the proposed </w:t>
      </w:r>
      <w:r w:rsidR="00DB6C25" w:rsidRPr="000D639E">
        <w:rPr>
          <w:rFonts w:eastAsia="Calibri" w:cs="Arial"/>
          <w:szCs w:val="22"/>
          <w:lang w:eastAsia="en-US"/>
        </w:rPr>
        <w:t xml:space="preserve">management </w:t>
      </w:r>
      <w:r w:rsidR="00AD130C" w:rsidRPr="000D639E">
        <w:rPr>
          <w:rFonts w:eastAsia="Calibri" w:cs="Arial"/>
          <w:szCs w:val="22"/>
          <w:lang w:eastAsia="en-US"/>
        </w:rPr>
        <w:t>changes would introduce unnecessary rigidity and hinder the progress of PSDI.</w:t>
      </w:r>
      <w:r w:rsidRPr="000D639E">
        <w:rPr>
          <w:rFonts w:eastAsia="Calibri" w:cs="Arial"/>
          <w:szCs w:val="22"/>
          <w:lang w:eastAsia="en-US"/>
        </w:rPr>
        <w:t xml:space="preserve"> Based on further consultations, </w:t>
      </w:r>
      <w:r w:rsidR="00951598" w:rsidRPr="000D639E">
        <w:rPr>
          <w:rFonts w:eastAsia="Calibri" w:cs="Arial"/>
          <w:szCs w:val="22"/>
          <w:lang w:eastAsia="en-US"/>
        </w:rPr>
        <w:t>ADB adjusted its plan so that key senior consultants could work as before under renewed contracts.</w:t>
      </w:r>
    </w:p>
    <w:p w:rsidR="00DB6C25" w:rsidRPr="000C15E8" w:rsidRDefault="00DB6C25">
      <w:pPr>
        <w:jc w:val="left"/>
        <w:rPr>
          <w:sz w:val="20"/>
          <w:szCs w:val="20"/>
        </w:rPr>
      </w:pPr>
      <w:r w:rsidRPr="000C15E8">
        <w:rPr>
          <w:sz w:val="20"/>
          <w:szCs w:val="20"/>
        </w:rPr>
        <w:br w:type="page"/>
      </w:r>
    </w:p>
    <w:p w:rsidR="00AD130C" w:rsidRDefault="00AD130C" w:rsidP="00AD130C"/>
    <w:tbl>
      <w:tblPr>
        <w:tblStyle w:val="TableGrid"/>
        <w:tblW w:w="0" w:type="auto"/>
        <w:tblLook w:val="04A0" w:firstRow="1" w:lastRow="0" w:firstColumn="1" w:lastColumn="0" w:noHBand="0" w:noVBand="1"/>
      </w:tblPr>
      <w:tblGrid>
        <w:gridCol w:w="9350"/>
      </w:tblGrid>
      <w:tr w:rsidR="007B27E8" w:rsidTr="007B27E8">
        <w:tc>
          <w:tcPr>
            <w:tcW w:w="9576" w:type="dxa"/>
          </w:tcPr>
          <w:p w:rsidR="007B27E8" w:rsidRPr="00D6162F" w:rsidRDefault="007B27E8" w:rsidP="007B27E8">
            <w:pPr>
              <w:jc w:val="center"/>
              <w:rPr>
                <w:b/>
                <w:sz w:val="20"/>
                <w:szCs w:val="20"/>
              </w:rPr>
            </w:pPr>
            <w:r w:rsidRPr="00D6162F">
              <w:rPr>
                <w:b/>
                <w:sz w:val="20"/>
                <w:szCs w:val="20"/>
              </w:rPr>
              <w:t>Box 7: The Unique Structure of the</w:t>
            </w:r>
          </w:p>
          <w:p w:rsidR="007B27E8" w:rsidRPr="00D6162F" w:rsidRDefault="007B27E8" w:rsidP="007B27E8">
            <w:pPr>
              <w:jc w:val="center"/>
              <w:rPr>
                <w:b/>
                <w:sz w:val="20"/>
                <w:szCs w:val="20"/>
              </w:rPr>
            </w:pPr>
            <w:r w:rsidRPr="00D6162F">
              <w:rPr>
                <w:b/>
                <w:sz w:val="20"/>
                <w:szCs w:val="20"/>
              </w:rPr>
              <w:t>Pacific Private Sector Development Initiative</w:t>
            </w:r>
          </w:p>
          <w:p w:rsidR="007B27E8" w:rsidRPr="00D6162F" w:rsidRDefault="007B27E8" w:rsidP="00D6162F">
            <w:pPr>
              <w:rPr>
                <w:sz w:val="18"/>
                <w:szCs w:val="18"/>
              </w:rPr>
            </w:pPr>
          </w:p>
          <w:p w:rsidR="007B27E8" w:rsidRPr="00334BF1" w:rsidRDefault="007B27E8" w:rsidP="007B27E8">
            <w:pPr>
              <w:rPr>
                <w:sz w:val="18"/>
                <w:szCs w:val="18"/>
              </w:rPr>
            </w:pPr>
            <w:r w:rsidRPr="00334BF1">
              <w:rPr>
                <w:sz w:val="18"/>
                <w:szCs w:val="18"/>
              </w:rPr>
              <w:t>The Pacific Private Sector Development Initiative (PSDI) is a unique program within the Asian Development Bank (ADB). It is comprised of, and run by, a small group of senior consultants reporting to the Pacific Liaison and Coordination Office (PLCO). Its work gains strength from the team’s high level of technical expertise and experience, its independence from the operations of ADB and the bilateral donors—Australia’s Department of Foreign Affairs and Trade (DFAT) and New Zealand’s Ministry of Foreign Affairs and Trade (MFAT)—and its demand-driven approach to technical assistance (TA).</w:t>
            </w:r>
          </w:p>
          <w:p w:rsidR="007B27E8" w:rsidRPr="00334BF1" w:rsidRDefault="007B27E8" w:rsidP="007B27E8">
            <w:pPr>
              <w:rPr>
                <w:sz w:val="18"/>
                <w:szCs w:val="18"/>
              </w:rPr>
            </w:pPr>
          </w:p>
          <w:p w:rsidR="007B27E8" w:rsidRPr="00D6162F" w:rsidRDefault="007B27E8" w:rsidP="007B27E8">
            <w:pPr>
              <w:rPr>
                <w:sz w:val="18"/>
                <w:szCs w:val="18"/>
              </w:rPr>
            </w:pPr>
            <w:r w:rsidRPr="00334BF1">
              <w:rPr>
                <w:sz w:val="18"/>
                <w:szCs w:val="18"/>
              </w:rPr>
              <w:t xml:space="preserve">This arrangement is </w:t>
            </w:r>
            <w:r w:rsidR="003F08DD">
              <w:rPr>
                <w:sz w:val="18"/>
                <w:szCs w:val="18"/>
              </w:rPr>
              <w:t>different from</w:t>
            </w:r>
            <w:r w:rsidRPr="00334BF1">
              <w:rPr>
                <w:sz w:val="18"/>
                <w:szCs w:val="18"/>
              </w:rPr>
              <w:t xml:space="preserve"> ADB’s more usual assistance packages, which are planned and managed in greater detail, and with less discretion left to the implementers.</w:t>
            </w:r>
          </w:p>
          <w:p w:rsidR="007B27E8" w:rsidRPr="00D6162F" w:rsidRDefault="007B27E8" w:rsidP="007B27E8">
            <w:pPr>
              <w:rPr>
                <w:sz w:val="18"/>
                <w:szCs w:val="18"/>
              </w:rPr>
            </w:pPr>
          </w:p>
          <w:p w:rsidR="007B27E8" w:rsidRPr="00334BF1" w:rsidRDefault="007B27E8" w:rsidP="007B27E8">
            <w:pPr>
              <w:rPr>
                <w:sz w:val="18"/>
                <w:szCs w:val="18"/>
              </w:rPr>
            </w:pPr>
            <w:r w:rsidRPr="00334BF1">
              <w:rPr>
                <w:sz w:val="18"/>
                <w:szCs w:val="18"/>
              </w:rPr>
              <w:t>At the same time, there appear to be important synergies between PSDI and ADB management and operations. The bilateral donors acknowledge their reliance on ADB’s technical and managerial capacities, along with its authority and convening power among developing member countries. Stakeholders point to the special difficulty of achieving reform in the Pacific, where coordination of TA with lending operations can be the key to success. For example, PSDI is handling key components of a joint WB-ADB Policy Matrix governing a $230 milli</w:t>
            </w:r>
            <w:r w:rsidR="00186BF3">
              <w:rPr>
                <w:sz w:val="18"/>
                <w:szCs w:val="18"/>
              </w:rPr>
              <w:t>on budget support loan in Fiji.</w:t>
            </w:r>
          </w:p>
          <w:p w:rsidR="007B27E8" w:rsidRPr="00D6162F" w:rsidRDefault="007B27E8" w:rsidP="007B27E8">
            <w:pPr>
              <w:rPr>
                <w:sz w:val="18"/>
                <w:szCs w:val="18"/>
              </w:rPr>
            </w:pPr>
          </w:p>
          <w:p w:rsidR="007B27E8" w:rsidRPr="00D6162F" w:rsidRDefault="007B27E8" w:rsidP="00AD130C">
            <w:pPr>
              <w:rPr>
                <w:sz w:val="16"/>
                <w:szCs w:val="16"/>
              </w:rPr>
            </w:pPr>
            <w:r w:rsidRPr="00186BF3">
              <w:rPr>
                <w:sz w:val="16"/>
                <w:szCs w:val="16"/>
              </w:rPr>
              <w:t>Source: Consultant interviews and Private Sector Development Initiative.</w:t>
            </w:r>
          </w:p>
        </w:tc>
      </w:tr>
    </w:tbl>
    <w:p w:rsidR="00B440D5" w:rsidRPr="00C951B3" w:rsidRDefault="00B440D5" w:rsidP="00B440D5">
      <w:pPr>
        <w:tabs>
          <w:tab w:val="left" w:pos="567"/>
        </w:tabs>
        <w:rPr>
          <w:rFonts w:eastAsia="Calibri" w:cs="Arial"/>
          <w:szCs w:val="22"/>
          <w:lang w:eastAsia="en-US"/>
        </w:rPr>
      </w:pPr>
    </w:p>
    <w:p w:rsidR="00AD130C" w:rsidRPr="00C951B3" w:rsidRDefault="00AD130C" w:rsidP="00C951B3">
      <w:pPr>
        <w:tabs>
          <w:tab w:val="left" w:pos="567"/>
        </w:tabs>
        <w:spacing w:after="160"/>
        <w:rPr>
          <w:rFonts w:eastAsia="Calibri" w:cs="Arial"/>
          <w:szCs w:val="22"/>
          <w:lang w:eastAsia="en-US"/>
        </w:rPr>
      </w:pPr>
      <w:r w:rsidRPr="00C951B3">
        <w:rPr>
          <w:rFonts w:eastAsia="Times New Roman" w:cs="Arial"/>
          <w:b/>
          <w:bCs/>
          <w:iCs/>
          <w:sz w:val="24"/>
          <w:lang w:eastAsia="en-US"/>
        </w:rPr>
        <w:t>B.</w:t>
      </w:r>
      <w:r w:rsidRPr="00C951B3">
        <w:rPr>
          <w:rFonts w:eastAsia="Times New Roman" w:cs="Arial"/>
          <w:b/>
          <w:bCs/>
          <w:iCs/>
          <w:sz w:val="24"/>
          <w:lang w:eastAsia="en-US"/>
        </w:rPr>
        <w:tab/>
        <w:t>Operational Recommendations</w:t>
      </w:r>
    </w:p>
    <w:p w:rsidR="003E12F1" w:rsidRPr="009500F4" w:rsidRDefault="00AD130C" w:rsidP="00170139">
      <w:pPr>
        <w:keepNext/>
        <w:spacing w:after="160"/>
        <w:ind w:left="1080"/>
        <w:outlineLvl w:val="1"/>
        <w:rPr>
          <w:rFonts w:eastAsia="Times New Roman" w:cs="Arial"/>
          <w:b/>
          <w:bCs/>
          <w:iCs/>
          <w:szCs w:val="22"/>
          <w:lang w:eastAsia="en-US"/>
        </w:rPr>
      </w:pPr>
      <w:bookmarkStart w:id="160" w:name="_Toc494271727"/>
      <w:bookmarkStart w:id="161" w:name="_Toc494367952"/>
      <w:bookmarkStart w:id="162" w:name="_Toc494378796"/>
      <w:bookmarkStart w:id="163" w:name="_Toc494378878"/>
      <w:r w:rsidRPr="009500F4">
        <w:rPr>
          <w:rFonts w:eastAsia="Times New Roman" w:cs="Arial"/>
          <w:b/>
          <w:bCs/>
          <w:iCs/>
          <w:szCs w:val="22"/>
          <w:lang w:eastAsia="en-US"/>
        </w:rPr>
        <w:t>1</w:t>
      </w:r>
      <w:r w:rsidR="00386F3B" w:rsidRPr="009500F4">
        <w:rPr>
          <w:rFonts w:eastAsia="Times New Roman" w:cs="Arial"/>
          <w:b/>
          <w:bCs/>
          <w:iCs/>
          <w:szCs w:val="22"/>
          <w:lang w:eastAsia="en-US"/>
        </w:rPr>
        <w:t>.</w:t>
      </w:r>
      <w:r w:rsidR="00386F3B" w:rsidRPr="009500F4">
        <w:rPr>
          <w:rFonts w:eastAsia="Times New Roman" w:cs="Arial"/>
          <w:b/>
          <w:bCs/>
          <w:iCs/>
          <w:szCs w:val="22"/>
          <w:lang w:eastAsia="en-US"/>
        </w:rPr>
        <w:tab/>
      </w:r>
      <w:r w:rsidR="003E12F1" w:rsidRPr="009500F4">
        <w:rPr>
          <w:rFonts w:eastAsia="Times New Roman" w:cs="Arial"/>
          <w:b/>
          <w:bCs/>
          <w:iCs/>
          <w:szCs w:val="22"/>
          <w:lang w:eastAsia="en-US"/>
        </w:rPr>
        <w:t>Financing Growth</w:t>
      </w:r>
      <w:bookmarkEnd w:id="160"/>
      <w:bookmarkEnd w:id="161"/>
      <w:bookmarkEnd w:id="162"/>
      <w:bookmarkEnd w:id="163"/>
    </w:p>
    <w:p w:rsidR="00A219E8" w:rsidRPr="009500F4" w:rsidRDefault="00A219E8" w:rsidP="00170139">
      <w:pPr>
        <w:tabs>
          <w:tab w:val="left" w:pos="567"/>
        </w:tabs>
        <w:ind w:left="2342" w:hanging="357"/>
        <w:rPr>
          <w:rFonts w:eastAsia="Calibri" w:cs="Arial"/>
          <w:szCs w:val="22"/>
          <w:lang w:eastAsia="en-US"/>
        </w:rPr>
      </w:pPr>
      <w:r w:rsidRPr="009500F4">
        <w:rPr>
          <w:rFonts w:eastAsia="Calibri" w:cs="Arial"/>
          <w:b/>
          <w:szCs w:val="22"/>
          <w:lang w:eastAsia="en-US"/>
        </w:rPr>
        <w:t>a.</w:t>
      </w:r>
      <w:r w:rsidR="00033D45" w:rsidRPr="009500F4">
        <w:rPr>
          <w:rFonts w:eastAsia="Calibri" w:cs="Arial"/>
          <w:b/>
          <w:szCs w:val="22"/>
          <w:lang w:eastAsia="en-US"/>
        </w:rPr>
        <w:tab/>
      </w:r>
      <w:r w:rsidR="003E12F1" w:rsidRPr="009500F4">
        <w:rPr>
          <w:rFonts w:eastAsia="Calibri" w:cs="Arial"/>
          <w:b/>
          <w:szCs w:val="22"/>
          <w:lang w:eastAsia="en-US"/>
        </w:rPr>
        <w:t xml:space="preserve">Secured </w:t>
      </w:r>
      <w:r w:rsidR="00033D45" w:rsidRPr="009500F4">
        <w:rPr>
          <w:rFonts w:eastAsia="Calibri" w:cs="Arial"/>
          <w:b/>
          <w:szCs w:val="22"/>
          <w:lang w:eastAsia="en-US"/>
        </w:rPr>
        <w:t xml:space="preserve">Transactions </w:t>
      </w:r>
      <w:r w:rsidR="00DC5178" w:rsidRPr="009500F4">
        <w:rPr>
          <w:rFonts w:eastAsia="Calibri" w:cs="Arial"/>
          <w:b/>
          <w:szCs w:val="22"/>
          <w:lang w:eastAsia="en-US"/>
        </w:rPr>
        <w:t>Reform</w:t>
      </w:r>
    </w:p>
    <w:p w:rsidR="00A219E8" w:rsidRPr="009500F4" w:rsidRDefault="00A219E8" w:rsidP="00170139">
      <w:pPr>
        <w:tabs>
          <w:tab w:val="left" w:pos="567"/>
        </w:tabs>
        <w:rPr>
          <w:rFonts w:eastAsia="Calibri" w:cs="Arial"/>
          <w:szCs w:val="22"/>
          <w:lang w:eastAsia="en-US"/>
        </w:rPr>
      </w:pPr>
    </w:p>
    <w:p w:rsidR="003E12F1" w:rsidRPr="009500F4" w:rsidRDefault="005C6913"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The high-impact potential of the financing growth</w:t>
      </w:r>
      <w:r w:rsidR="003E12F1" w:rsidRPr="009500F4">
        <w:rPr>
          <w:rFonts w:eastAsia="Calibri" w:cs="Arial"/>
          <w:szCs w:val="22"/>
          <w:lang w:eastAsia="en-US"/>
        </w:rPr>
        <w:t xml:space="preserve"> component is especially clear in the core area of secured transactions reform. </w:t>
      </w:r>
      <w:r w:rsidRPr="009500F4">
        <w:rPr>
          <w:rFonts w:eastAsia="Calibri" w:cs="Arial"/>
          <w:szCs w:val="22"/>
          <w:lang w:eastAsia="en-US"/>
        </w:rPr>
        <w:t>I</w:t>
      </w:r>
      <w:r w:rsidR="003E12F1" w:rsidRPr="009500F4">
        <w:rPr>
          <w:rFonts w:eastAsia="Calibri" w:cs="Arial"/>
          <w:szCs w:val="22"/>
          <w:lang w:eastAsia="en-US"/>
        </w:rPr>
        <w:t xml:space="preserve">t makes sense for PSDI to continue pursuing </w:t>
      </w:r>
      <w:r w:rsidR="00723C78" w:rsidRPr="009500F4">
        <w:rPr>
          <w:rFonts w:eastAsia="Calibri" w:cs="Arial"/>
          <w:szCs w:val="22"/>
          <w:lang w:eastAsia="en-US"/>
        </w:rPr>
        <w:t xml:space="preserve">these </w:t>
      </w:r>
      <w:r w:rsidR="003E12F1" w:rsidRPr="009500F4">
        <w:rPr>
          <w:rFonts w:eastAsia="Calibri" w:cs="Arial"/>
          <w:szCs w:val="22"/>
          <w:lang w:eastAsia="en-US"/>
        </w:rPr>
        <w:t>reform</w:t>
      </w:r>
      <w:r w:rsidR="00723C78" w:rsidRPr="009500F4">
        <w:rPr>
          <w:rFonts w:eastAsia="Calibri" w:cs="Arial"/>
          <w:szCs w:val="22"/>
          <w:lang w:eastAsia="en-US"/>
        </w:rPr>
        <w:t>s</w:t>
      </w:r>
      <w:r w:rsidR="003E12F1" w:rsidRPr="009500F4">
        <w:rPr>
          <w:rFonts w:eastAsia="Calibri" w:cs="Arial"/>
          <w:szCs w:val="22"/>
          <w:lang w:eastAsia="en-US"/>
        </w:rPr>
        <w:t xml:space="preserve"> across the </w:t>
      </w:r>
      <w:r w:rsidRPr="009500F4">
        <w:rPr>
          <w:rFonts w:eastAsia="Calibri" w:cs="Arial"/>
          <w:szCs w:val="22"/>
          <w:lang w:eastAsia="en-US"/>
        </w:rPr>
        <w:t>Pacific</w:t>
      </w:r>
      <w:r w:rsidR="003E12F1" w:rsidRPr="009500F4">
        <w:rPr>
          <w:rFonts w:eastAsia="Calibri" w:cs="Arial"/>
          <w:szCs w:val="22"/>
          <w:lang w:eastAsia="en-US"/>
        </w:rPr>
        <w:t xml:space="preserve">. This means </w:t>
      </w:r>
      <w:r w:rsidRPr="009500F4">
        <w:rPr>
          <w:rFonts w:eastAsia="Calibri" w:cs="Arial"/>
          <w:szCs w:val="22"/>
          <w:lang w:eastAsia="en-US"/>
        </w:rPr>
        <w:t xml:space="preserve">encouraging </w:t>
      </w:r>
      <w:r w:rsidR="003E12F1" w:rsidRPr="009500F4">
        <w:rPr>
          <w:rFonts w:eastAsia="Calibri" w:cs="Arial"/>
          <w:szCs w:val="22"/>
          <w:lang w:eastAsia="en-US"/>
        </w:rPr>
        <w:t xml:space="preserve">innovation in terms of the kinds of collateral </w:t>
      </w:r>
      <w:r w:rsidRPr="009500F4">
        <w:rPr>
          <w:rFonts w:eastAsia="Calibri" w:cs="Arial"/>
          <w:szCs w:val="22"/>
          <w:lang w:eastAsia="en-US"/>
        </w:rPr>
        <w:t xml:space="preserve">that can be </w:t>
      </w:r>
      <w:r w:rsidR="003E12F1" w:rsidRPr="009500F4">
        <w:rPr>
          <w:rFonts w:eastAsia="Calibri" w:cs="Arial"/>
          <w:szCs w:val="22"/>
          <w:lang w:eastAsia="en-US"/>
        </w:rPr>
        <w:t>used</w:t>
      </w:r>
      <w:r w:rsidRPr="009500F4">
        <w:rPr>
          <w:rFonts w:eastAsia="Calibri" w:cs="Arial"/>
          <w:szCs w:val="22"/>
          <w:lang w:eastAsia="en-US"/>
        </w:rPr>
        <w:t xml:space="preserve"> to secure loans</w:t>
      </w:r>
      <w:r w:rsidR="003E12F1" w:rsidRPr="009500F4">
        <w:rPr>
          <w:rFonts w:eastAsia="Calibri" w:cs="Arial"/>
          <w:szCs w:val="22"/>
          <w:lang w:eastAsia="en-US"/>
        </w:rPr>
        <w:t>, piloting financing models in value chain</w:t>
      </w:r>
      <w:r w:rsidR="00EC50A0" w:rsidRPr="009500F4">
        <w:rPr>
          <w:rFonts w:eastAsia="Calibri" w:cs="Arial"/>
          <w:szCs w:val="22"/>
          <w:lang w:eastAsia="en-US"/>
        </w:rPr>
        <w:t>s</w:t>
      </w:r>
      <w:r w:rsidR="003E12F1" w:rsidRPr="009500F4">
        <w:rPr>
          <w:rFonts w:eastAsia="Calibri" w:cs="Arial"/>
          <w:szCs w:val="22"/>
          <w:lang w:eastAsia="en-US"/>
        </w:rPr>
        <w:t>, and encouraging the use of instruments such as warehouse finance and factoring.</w:t>
      </w:r>
    </w:p>
    <w:p w:rsidR="003E12F1" w:rsidRPr="009500F4" w:rsidRDefault="003E12F1" w:rsidP="003E12F1">
      <w:pPr>
        <w:tabs>
          <w:tab w:val="left" w:pos="567"/>
        </w:tabs>
        <w:rPr>
          <w:rFonts w:eastAsia="Calibri" w:cs="Arial"/>
          <w:szCs w:val="22"/>
          <w:lang w:eastAsia="en-US"/>
        </w:rPr>
      </w:pPr>
    </w:p>
    <w:p w:rsidR="00F600F2"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Complementary steps are needed to ensure that secured lending can thrive. </w:t>
      </w:r>
      <w:r w:rsidR="00F600F2" w:rsidRPr="009500F4">
        <w:rPr>
          <w:rFonts w:eastAsia="Calibri" w:cs="Arial"/>
          <w:szCs w:val="22"/>
          <w:lang w:eastAsia="en-US"/>
        </w:rPr>
        <w:t xml:space="preserve">As well as establishing securities registries, this </w:t>
      </w:r>
      <w:r w:rsidRPr="009500F4">
        <w:rPr>
          <w:rFonts w:eastAsia="Calibri" w:cs="Arial"/>
          <w:szCs w:val="22"/>
          <w:lang w:eastAsia="en-US"/>
        </w:rPr>
        <w:t>means addressing mechanisms for repossession and liquidation, supporting credit information systems as appropriate, and encouraging the development of supportive inf</w:t>
      </w:r>
      <w:r w:rsidR="000C15E8">
        <w:rPr>
          <w:rFonts w:eastAsia="Calibri" w:cs="Arial"/>
          <w:szCs w:val="22"/>
          <w:lang w:eastAsia="en-US"/>
        </w:rPr>
        <w:t>rastructure such as warehouses.</w:t>
      </w:r>
    </w:p>
    <w:p w:rsidR="00DC5178" w:rsidRPr="009500F4" w:rsidRDefault="00DC5178" w:rsidP="00170139">
      <w:pPr>
        <w:tabs>
          <w:tab w:val="left" w:pos="567"/>
        </w:tabs>
        <w:rPr>
          <w:rFonts w:eastAsia="Calibri" w:cs="Arial"/>
          <w:szCs w:val="22"/>
          <w:lang w:eastAsia="en-US"/>
        </w:rPr>
      </w:pPr>
    </w:p>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On the legal front, PSDI will need to continue pushing outward from secured transactions to related areas of commercial law</w:t>
      </w:r>
      <w:r w:rsidR="00F600F2" w:rsidRPr="009500F4">
        <w:rPr>
          <w:rFonts w:eastAsia="Calibri" w:cs="Arial"/>
          <w:szCs w:val="22"/>
          <w:lang w:eastAsia="en-US"/>
        </w:rPr>
        <w:t>,</w:t>
      </w:r>
      <w:r w:rsidRPr="009500F4">
        <w:rPr>
          <w:rFonts w:eastAsia="Calibri" w:cs="Arial"/>
          <w:szCs w:val="22"/>
          <w:lang w:eastAsia="en-US"/>
        </w:rPr>
        <w:t xml:space="preserve"> including insolvency</w:t>
      </w:r>
      <w:r w:rsidR="00F600F2" w:rsidRPr="009500F4">
        <w:rPr>
          <w:rFonts w:eastAsia="Calibri" w:cs="Arial"/>
          <w:szCs w:val="22"/>
          <w:lang w:eastAsia="en-US"/>
        </w:rPr>
        <w:t xml:space="preserve"> law</w:t>
      </w:r>
      <w:r w:rsidRPr="009500F4">
        <w:rPr>
          <w:rFonts w:eastAsia="Calibri" w:cs="Arial"/>
          <w:szCs w:val="22"/>
          <w:lang w:eastAsia="en-US"/>
        </w:rPr>
        <w:t xml:space="preserve">. </w:t>
      </w:r>
      <w:r w:rsidR="00F600F2" w:rsidRPr="009500F4">
        <w:rPr>
          <w:rFonts w:eastAsia="Calibri" w:cs="Arial"/>
          <w:szCs w:val="22"/>
          <w:lang w:eastAsia="en-US"/>
        </w:rPr>
        <w:t>F</w:t>
      </w:r>
      <w:r w:rsidRPr="009500F4">
        <w:rPr>
          <w:rFonts w:eastAsia="Calibri" w:cs="Arial"/>
          <w:szCs w:val="22"/>
          <w:lang w:eastAsia="en-US"/>
        </w:rPr>
        <w:t>urther research and analysis may be warranted to understand the current slow pace of uptake in some countries, along with possible alternatives.</w:t>
      </w:r>
    </w:p>
    <w:p w:rsidR="003E12F1" w:rsidRPr="009500F4" w:rsidRDefault="003E12F1" w:rsidP="003E12F1"/>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Importantly, PSDI has taken on aspects of financial sector regulation and governance. With respect to secured transactions, there are regulatory issues to be addressed, </w:t>
      </w:r>
      <w:r w:rsidR="00DC5178" w:rsidRPr="009500F4">
        <w:rPr>
          <w:rFonts w:eastAsia="Calibri" w:cs="Arial"/>
          <w:szCs w:val="22"/>
          <w:lang w:eastAsia="en-US"/>
        </w:rPr>
        <w:t>e.g.,</w:t>
      </w:r>
      <w:r w:rsidRPr="009500F4">
        <w:rPr>
          <w:rFonts w:eastAsia="Calibri" w:cs="Arial"/>
          <w:szCs w:val="22"/>
          <w:lang w:eastAsia="en-US"/>
        </w:rPr>
        <w:t xml:space="preserve"> ensuring that secured loans are treated appropriately in terms of risk. More broadly, further work will be needed to provide licensing niches for </w:t>
      </w:r>
      <w:r w:rsidR="00DC5178" w:rsidRPr="009500F4">
        <w:rPr>
          <w:rFonts w:eastAsia="Calibri" w:cs="Arial"/>
          <w:szCs w:val="22"/>
          <w:lang w:eastAsia="en-US"/>
        </w:rPr>
        <w:t xml:space="preserve">specialist </w:t>
      </w:r>
      <w:r w:rsidRPr="009500F4">
        <w:rPr>
          <w:rFonts w:eastAsia="Calibri" w:cs="Arial"/>
          <w:szCs w:val="22"/>
          <w:lang w:eastAsia="en-US"/>
        </w:rPr>
        <w:t xml:space="preserve">banks, finance companies, cooperatives, </w:t>
      </w:r>
      <w:r w:rsidR="00DC5178" w:rsidRPr="009500F4">
        <w:rPr>
          <w:rFonts w:eastAsia="Calibri" w:cs="Arial"/>
          <w:szCs w:val="22"/>
          <w:lang w:eastAsia="en-US"/>
        </w:rPr>
        <w:t>microfinance institutions</w:t>
      </w:r>
      <w:r w:rsidRPr="009500F4">
        <w:rPr>
          <w:rFonts w:eastAsia="Calibri" w:cs="Arial"/>
          <w:szCs w:val="22"/>
          <w:lang w:eastAsia="en-US"/>
        </w:rPr>
        <w:t>, and others likely to have a stronger interest than the commercial banks in downscaling services for the SME and micro enterprise markets.</w:t>
      </w:r>
    </w:p>
    <w:p w:rsidR="00DC5178" w:rsidRPr="009500F4" w:rsidRDefault="00DC5178" w:rsidP="00170139">
      <w:pPr>
        <w:tabs>
          <w:tab w:val="left" w:pos="567"/>
        </w:tabs>
        <w:rPr>
          <w:rFonts w:eastAsia="Calibri" w:cs="Arial"/>
          <w:szCs w:val="22"/>
          <w:lang w:eastAsia="en-US"/>
        </w:rPr>
      </w:pPr>
    </w:p>
    <w:p w:rsidR="00DC5178" w:rsidRPr="009500F4" w:rsidRDefault="00DC5178" w:rsidP="00170139">
      <w:pPr>
        <w:tabs>
          <w:tab w:val="left" w:pos="567"/>
        </w:tabs>
        <w:ind w:left="2342" w:hanging="357"/>
        <w:rPr>
          <w:rFonts w:eastAsia="Calibri" w:cs="Arial"/>
          <w:b/>
          <w:szCs w:val="22"/>
          <w:lang w:eastAsia="en-US"/>
        </w:rPr>
      </w:pPr>
      <w:r w:rsidRPr="009500F4">
        <w:rPr>
          <w:rFonts w:eastAsia="Calibri" w:cs="Arial"/>
          <w:b/>
          <w:szCs w:val="22"/>
          <w:lang w:eastAsia="en-US"/>
        </w:rPr>
        <w:t>b.</w:t>
      </w:r>
      <w:r w:rsidRPr="009500F4">
        <w:rPr>
          <w:rFonts w:eastAsia="Calibri" w:cs="Arial"/>
          <w:b/>
          <w:szCs w:val="22"/>
          <w:lang w:eastAsia="en-US"/>
        </w:rPr>
        <w:tab/>
        <w:t>Financial Services</w:t>
      </w:r>
    </w:p>
    <w:p w:rsidR="003E12F1" w:rsidRPr="009500F4" w:rsidRDefault="003E12F1" w:rsidP="003E12F1"/>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In general, PSDI should continue to broaden its view of financial services. This refers not only to trade and supplier credit in the value chain (i.e.</w:t>
      </w:r>
      <w:r w:rsidR="00F600F2" w:rsidRPr="009500F4">
        <w:rPr>
          <w:rFonts w:eastAsia="Calibri" w:cs="Arial"/>
          <w:szCs w:val="22"/>
          <w:lang w:eastAsia="en-US"/>
        </w:rPr>
        <w:t>,</w:t>
      </w:r>
      <w:r w:rsidRPr="009500F4">
        <w:rPr>
          <w:rFonts w:eastAsia="Calibri" w:cs="Arial"/>
          <w:szCs w:val="22"/>
          <w:lang w:eastAsia="en-US"/>
        </w:rPr>
        <w:t xml:space="preserve"> not directly involving a bank), but </w:t>
      </w:r>
      <w:r w:rsidR="00DC5178" w:rsidRPr="009500F4">
        <w:rPr>
          <w:rFonts w:eastAsia="Calibri" w:cs="Arial"/>
          <w:szCs w:val="22"/>
          <w:lang w:eastAsia="en-US"/>
        </w:rPr>
        <w:t xml:space="preserve">also to </w:t>
      </w:r>
      <w:r w:rsidRPr="009500F4">
        <w:rPr>
          <w:rFonts w:eastAsia="Calibri" w:cs="Arial"/>
          <w:szCs w:val="22"/>
          <w:lang w:eastAsia="en-US"/>
        </w:rPr>
        <w:lastRenderedPageBreak/>
        <w:t xml:space="preserve">a broader clientele and suite of services. More empirical analysis of the shape, operations, and financing modalities used in the private sector can help set policy priorities more sharply for the </w:t>
      </w:r>
      <w:r w:rsidR="00DC5178" w:rsidRPr="009500F4">
        <w:rPr>
          <w:rFonts w:eastAsia="Calibri" w:cs="Arial"/>
          <w:szCs w:val="22"/>
          <w:lang w:eastAsia="en-US"/>
        </w:rPr>
        <w:t>financing g</w:t>
      </w:r>
      <w:r w:rsidRPr="009500F4">
        <w:rPr>
          <w:rFonts w:eastAsia="Calibri" w:cs="Arial"/>
          <w:szCs w:val="22"/>
          <w:lang w:eastAsia="en-US"/>
        </w:rPr>
        <w:t xml:space="preserve">rowth component. </w:t>
      </w:r>
    </w:p>
    <w:p w:rsidR="003E12F1" w:rsidRPr="009500F4" w:rsidRDefault="003E12F1" w:rsidP="003E12F1"/>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w:t>
      </w:r>
      <w:r w:rsidR="00DC5178" w:rsidRPr="009500F4">
        <w:rPr>
          <w:rFonts w:eastAsia="Calibri" w:cs="Arial"/>
          <w:szCs w:val="22"/>
          <w:lang w:eastAsia="en-US"/>
        </w:rPr>
        <w:t>focus of</w:t>
      </w:r>
      <w:r w:rsidRPr="009500F4">
        <w:rPr>
          <w:rFonts w:eastAsia="Calibri" w:cs="Arial"/>
          <w:szCs w:val="22"/>
          <w:lang w:eastAsia="en-US"/>
        </w:rPr>
        <w:t xml:space="preserve"> PSDI</w:t>
      </w:r>
      <w:r w:rsidR="00DC5178" w:rsidRPr="009500F4">
        <w:rPr>
          <w:rFonts w:eastAsia="Calibri" w:cs="Arial"/>
          <w:szCs w:val="22"/>
          <w:lang w:eastAsia="en-US"/>
        </w:rPr>
        <w:t xml:space="preserve"> in </w:t>
      </w:r>
      <w:r w:rsidR="00EC32AF" w:rsidRPr="009500F4">
        <w:rPr>
          <w:rFonts w:eastAsia="Calibri" w:cs="Arial"/>
          <w:szCs w:val="22"/>
          <w:lang w:eastAsia="en-US"/>
        </w:rPr>
        <w:t>expanding</w:t>
      </w:r>
      <w:r w:rsidR="00DC5178" w:rsidRPr="009500F4">
        <w:rPr>
          <w:rFonts w:eastAsia="Calibri" w:cs="Arial"/>
          <w:szCs w:val="22"/>
          <w:lang w:eastAsia="en-US"/>
        </w:rPr>
        <w:t xml:space="preserve"> access to finance has</w:t>
      </w:r>
      <w:r w:rsidRPr="009500F4">
        <w:rPr>
          <w:rFonts w:eastAsia="Calibri" w:cs="Arial"/>
          <w:szCs w:val="22"/>
          <w:lang w:eastAsia="en-US"/>
        </w:rPr>
        <w:t xml:space="preserve"> thus far been on SMEs</w:t>
      </w:r>
      <w:r w:rsidR="00DC5178" w:rsidRPr="009500F4">
        <w:rPr>
          <w:rFonts w:eastAsia="Calibri" w:cs="Arial"/>
          <w:szCs w:val="22"/>
          <w:lang w:eastAsia="en-US"/>
        </w:rPr>
        <w:t>. This is</w:t>
      </w:r>
      <w:r w:rsidRPr="009500F4">
        <w:rPr>
          <w:rFonts w:eastAsia="Calibri" w:cs="Arial"/>
          <w:szCs w:val="22"/>
          <w:lang w:eastAsia="en-US"/>
        </w:rPr>
        <w:t xml:space="preserve"> a sensible choice in light of the potential</w:t>
      </w:r>
      <w:r w:rsidR="00DC5178" w:rsidRPr="009500F4">
        <w:rPr>
          <w:rFonts w:eastAsia="Calibri" w:cs="Arial"/>
          <w:szCs w:val="22"/>
          <w:lang w:eastAsia="en-US"/>
        </w:rPr>
        <w:t xml:space="preserve"> of SMEs to generate</w:t>
      </w:r>
      <w:r w:rsidRPr="009500F4">
        <w:rPr>
          <w:rFonts w:eastAsia="Calibri" w:cs="Arial"/>
          <w:szCs w:val="22"/>
          <w:lang w:eastAsia="en-US"/>
        </w:rPr>
        <w:t xml:space="preserve"> growth, innovation, and employment beyond the subsistence level. </w:t>
      </w:r>
      <w:r w:rsidR="00DC5178" w:rsidRPr="009500F4">
        <w:rPr>
          <w:rFonts w:eastAsia="Calibri" w:cs="Arial"/>
          <w:szCs w:val="22"/>
          <w:lang w:eastAsia="en-US"/>
        </w:rPr>
        <w:t xml:space="preserve">However, </w:t>
      </w:r>
      <w:r w:rsidRPr="009500F4">
        <w:rPr>
          <w:rFonts w:eastAsia="Calibri" w:cs="Arial"/>
          <w:szCs w:val="22"/>
          <w:lang w:eastAsia="en-US"/>
        </w:rPr>
        <w:t>it may be warranted at this point for PSDI to consider the needs of micro</w:t>
      </w:r>
      <w:r w:rsidR="00DC5178" w:rsidRPr="009500F4">
        <w:rPr>
          <w:rFonts w:eastAsia="Calibri" w:cs="Arial"/>
          <w:szCs w:val="22"/>
          <w:lang w:eastAsia="en-US"/>
        </w:rPr>
        <w:t xml:space="preserve"> </w:t>
      </w:r>
      <w:r w:rsidRPr="009500F4">
        <w:rPr>
          <w:rFonts w:eastAsia="Calibri" w:cs="Arial"/>
          <w:szCs w:val="22"/>
          <w:lang w:eastAsia="en-US"/>
        </w:rPr>
        <w:t xml:space="preserve">entrepreneurs for credit </w:t>
      </w:r>
      <w:r w:rsidR="00DC5178" w:rsidRPr="009500F4">
        <w:rPr>
          <w:rFonts w:eastAsia="Calibri" w:cs="Arial"/>
          <w:szCs w:val="22"/>
          <w:lang w:eastAsia="en-US"/>
        </w:rPr>
        <w:t>and</w:t>
      </w:r>
      <w:r w:rsidRPr="009500F4">
        <w:rPr>
          <w:rFonts w:eastAsia="Calibri" w:cs="Arial"/>
          <w:szCs w:val="22"/>
          <w:lang w:eastAsia="en-US"/>
        </w:rPr>
        <w:t xml:space="preserve"> other financial services</w:t>
      </w:r>
      <w:r w:rsidR="00DC5178" w:rsidRPr="009500F4">
        <w:rPr>
          <w:rFonts w:eastAsia="Calibri" w:cs="Arial"/>
          <w:szCs w:val="22"/>
          <w:lang w:eastAsia="en-US"/>
        </w:rPr>
        <w:t xml:space="preserve">—such as savings, transfers, and insurance—that are </w:t>
      </w:r>
      <w:r w:rsidRPr="009500F4">
        <w:rPr>
          <w:rFonts w:eastAsia="Calibri" w:cs="Arial"/>
          <w:szCs w:val="22"/>
          <w:lang w:eastAsia="en-US"/>
        </w:rPr>
        <w:t xml:space="preserve">likely to be critical for households and enterprises. It is notable that the insurance sector is underdeveloped in the Pacific, where risks of business setbacks, health crises, and natural disasters are so substantial. </w:t>
      </w:r>
      <w:r w:rsidR="00DC5178" w:rsidRPr="009500F4">
        <w:rPr>
          <w:rFonts w:eastAsia="Calibri" w:cs="Arial"/>
          <w:szCs w:val="22"/>
          <w:lang w:eastAsia="en-US"/>
        </w:rPr>
        <w:t>In addition</w:t>
      </w:r>
      <w:r w:rsidRPr="009500F4">
        <w:rPr>
          <w:rFonts w:eastAsia="Calibri" w:cs="Arial"/>
          <w:szCs w:val="22"/>
          <w:lang w:eastAsia="en-US"/>
        </w:rPr>
        <w:t xml:space="preserve">, </w:t>
      </w:r>
      <w:r w:rsidR="00DC5178" w:rsidRPr="009500F4">
        <w:rPr>
          <w:rFonts w:eastAsia="Calibri" w:cs="Arial"/>
          <w:szCs w:val="22"/>
          <w:lang w:eastAsia="en-US"/>
        </w:rPr>
        <w:t xml:space="preserve">the </w:t>
      </w:r>
      <w:r w:rsidRPr="009500F4">
        <w:rPr>
          <w:rFonts w:eastAsia="Calibri" w:cs="Arial"/>
          <w:szCs w:val="22"/>
          <w:lang w:eastAsia="en-US"/>
        </w:rPr>
        <w:t>ease of money transfer has an especially high economic value for households and small entrepreneurs</w:t>
      </w:r>
      <w:r w:rsidR="00DC5178" w:rsidRPr="009500F4">
        <w:rPr>
          <w:rFonts w:eastAsia="Calibri" w:cs="Arial"/>
          <w:szCs w:val="22"/>
          <w:lang w:eastAsia="en-US"/>
        </w:rPr>
        <w:t xml:space="preserve"> in Pacific DMCs</w:t>
      </w:r>
      <w:r w:rsidRPr="009500F4">
        <w:rPr>
          <w:rFonts w:eastAsia="Calibri" w:cs="Arial"/>
          <w:szCs w:val="22"/>
          <w:lang w:eastAsia="en-US"/>
        </w:rPr>
        <w:t>. PSDI should</w:t>
      </w:r>
      <w:r w:rsidR="00DC5178" w:rsidRPr="009500F4">
        <w:rPr>
          <w:rFonts w:eastAsia="Calibri" w:cs="Arial"/>
          <w:szCs w:val="22"/>
          <w:lang w:eastAsia="en-US"/>
        </w:rPr>
        <w:t xml:space="preserve"> therefore</w:t>
      </w:r>
      <w:r w:rsidRPr="009500F4">
        <w:rPr>
          <w:rFonts w:eastAsia="Calibri" w:cs="Arial"/>
          <w:szCs w:val="22"/>
          <w:lang w:eastAsia="en-US"/>
        </w:rPr>
        <w:t xml:space="preserve"> continue </w:t>
      </w:r>
      <w:r w:rsidR="00DC5178" w:rsidRPr="009500F4">
        <w:rPr>
          <w:rFonts w:eastAsia="Calibri" w:cs="Arial"/>
          <w:szCs w:val="22"/>
          <w:lang w:eastAsia="en-US"/>
        </w:rPr>
        <w:t xml:space="preserve">to </w:t>
      </w:r>
      <w:r w:rsidRPr="009500F4">
        <w:rPr>
          <w:rFonts w:eastAsia="Calibri" w:cs="Arial"/>
          <w:szCs w:val="22"/>
          <w:lang w:eastAsia="en-US"/>
        </w:rPr>
        <w:t>deepen its involvement in the framework for digital finance, which will be critical to the future of financial services in the Pacific.</w:t>
      </w:r>
    </w:p>
    <w:p w:rsidR="003E12F1" w:rsidRPr="009500F4" w:rsidRDefault="003E12F1" w:rsidP="003E12F1">
      <w:pPr>
        <w:tabs>
          <w:tab w:val="left" w:pos="567"/>
        </w:tabs>
        <w:rPr>
          <w:rFonts w:eastAsia="Calibri" w:cs="Arial"/>
          <w:szCs w:val="22"/>
          <w:lang w:eastAsia="en-US"/>
        </w:rPr>
      </w:pPr>
    </w:p>
    <w:p w:rsidR="003E12F1" w:rsidRPr="009500F4" w:rsidRDefault="00AD130C" w:rsidP="00170139">
      <w:pPr>
        <w:keepNext/>
        <w:spacing w:after="160"/>
        <w:ind w:left="1080"/>
        <w:outlineLvl w:val="1"/>
        <w:rPr>
          <w:rFonts w:eastAsia="Times New Roman" w:cs="Arial"/>
          <w:b/>
          <w:bCs/>
          <w:iCs/>
          <w:szCs w:val="22"/>
          <w:lang w:eastAsia="en-US"/>
        </w:rPr>
      </w:pPr>
      <w:bookmarkStart w:id="164" w:name="_Toc494271728"/>
      <w:bookmarkStart w:id="165" w:name="_Toc494367953"/>
      <w:bookmarkStart w:id="166" w:name="_Toc494378797"/>
      <w:bookmarkStart w:id="167" w:name="_Toc494378879"/>
      <w:r w:rsidRPr="009500F4">
        <w:rPr>
          <w:rFonts w:eastAsia="Times New Roman" w:cs="Arial"/>
          <w:b/>
          <w:bCs/>
          <w:iCs/>
          <w:szCs w:val="22"/>
          <w:lang w:eastAsia="en-US"/>
        </w:rPr>
        <w:t>2</w:t>
      </w:r>
      <w:r w:rsidR="00386F3B" w:rsidRPr="009500F4">
        <w:rPr>
          <w:rFonts w:eastAsia="Times New Roman" w:cs="Arial"/>
          <w:b/>
          <w:bCs/>
          <w:iCs/>
          <w:szCs w:val="22"/>
          <w:lang w:eastAsia="en-US"/>
        </w:rPr>
        <w:t>.</w:t>
      </w:r>
      <w:r w:rsidR="00386F3B" w:rsidRPr="009500F4">
        <w:rPr>
          <w:rFonts w:eastAsia="Times New Roman" w:cs="Arial"/>
          <w:b/>
          <w:bCs/>
          <w:iCs/>
          <w:szCs w:val="22"/>
          <w:lang w:eastAsia="en-US"/>
        </w:rPr>
        <w:tab/>
      </w:r>
      <w:r w:rsidR="003E12F1" w:rsidRPr="009500F4">
        <w:rPr>
          <w:rFonts w:eastAsia="Times New Roman" w:cs="Arial"/>
          <w:b/>
          <w:bCs/>
          <w:iCs/>
          <w:szCs w:val="22"/>
          <w:lang w:eastAsia="en-US"/>
        </w:rPr>
        <w:t>Business Law Reform</w:t>
      </w:r>
      <w:bookmarkEnd w:id="164"/>
      <w:bookmarkEnd w:id="165"/>
      <w:bookmarkEnd w:id="166"/>
      <w:bookmarkEnd w:id="167"/>
    </w:p>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PSDI’s focus in the field of business law reform continues to be relevant. </w:t>
      </w:r>
      <w:r w:rsidR="00884AF1" w:rsidRPr="009500F4">
        <w:rPr>
          <w:rFonts w:eastAsia="Calibri" w:cs="Arial"/>
          <w:szCs w:val="22"/>
          <w:lang w:eastAsia="en-US"/>
        </w:rPr>
        <w:t>However</w:t>
      </w:r>
      <w:r w:rsidRPr="009500F4">
        <w:rPr>
          <w:rFonts w:eastAsia="Calibri" w:cs="Arial"/>
          <w:szCs w:val="22"/>
          <w:lang w:eastAsia="en-US"/>
        </w:rPr>
        <w:t xml:space="preserve">, as PSDI </w:t>
      </w:r>
      <w:r w:rsidR="00884AF1" w:rsidRPr="009500F4">
        <w:rPr>
          <w:rFonts w:eastAsia="Calibri" w:cs="Arial"/>
          <w:szCs w:val="22"/>
          <w:lang w:eastAsia="en-US"/>
        </w:rPr>
        <w:t>progresses through PSDI III and potentially into PSDI IV</w:t>
      </w:r>
      <w:r w:rsidRPr="009500F4">
        <w:rPr>
          <w:rFonts w:eastAsia="Calibri" w:cs="Arial"/>
          <w:szCs w:val="22"/>
          <w:lang w:eastAsia="en-US"/>
        </w:rPr>
        <w:t>, it should pursue deeper</w:t>
      </w:r>
      <w:r w:rsidR="004B570F" w:rsidRPr="009500F4">
        <w:rPr>
          <w:rFonts w:eastAsia="Calibri" w:cs="Arial"/>
          <w:szCs w:val="22"/>
          <w:lang w:eastAsia="en-US"/>
        </w:rPr>
        <w:t xml:space="preserve"> and</w:t>
      </w:r>
      <w:r w:rsidRPr="009500F4">
        <w:rPr>
          <w:rFonts w:eastAsia="Calibri" w:cs="Arial"/>
          <w:szCs w:val="22"/>
          <w:lang w:eastAsia="en-US"/>
        </w:rPr>
        <w:t xml:space="preserve"> longer-term institutional reforms that touch on the underlying processes of policy development, </w:t>
      </w:r>
      <w:r w:rsidR="004B570F" w:rsidRPr="009500F4">
        <w:rPr>
          <w:rFonts w:eastAsia="Calibri" w:cs="Arial"/>
          <w:szCs w:val="22"/>
          <w:lang w:eastAsia="en-US"/>
        </w:rPr>
        <w:t xml:space="preserve">the </w:t>
      </w:r>
      <w:r w:rsidRPr="009500F4">
        <w:rPr>
          <w:rFonts w:eastAsia="Calibri" w:cs="Arial"/>
          <w:szCs w:val="22"/>
          <w:lang w:eastAsia="en-US"/>
        </w:rPr>
        <w:t xml:space="preserve">framing of laws and regulations, </w:t>
      </w:r>
      <w:r w:rsidR="004B570F" w:rsidRPr="009500F4">
        <w:rPr>
          <w:rFonts w:eastAsia="Calibri" w:cs="Arial"/>
          <w:szCs w:val="22"/>
          <w:lang w:eastAsia="en-US"/>
        </w:rPr>
        <w:t xml:space="preserve">institutional </w:t>
      </w:r>
      <w:r w:rsidRPr="009500F4">
        <w:rPr>
          <w:rFonts w:eastAsia="Calibri" w:cs="Arial"/>
          <w:szCs w:val="22"/>
          <w:lang w:eastAsia="en-US"/>
        </w:rPr>
        <w:t xml:space="preserve">transparency, and the rule of law. The credibility </w:t>
      </w:r>
      <w:r w:rsidR="004B570F" w:rsidRPr="009500F4">
        <w:rPr>
          <w:rFonts w:eastAsia="Calibri" w:cs="Arial"/>
          <w:szCs w:val="22"/>
          <w:lang w:eastAsia="en-US"/>
        </w:rPr>
        <w:t>established</w:t>
      </w:r>
      <w:r w:rsidRPr="009500F4">
        <w:rPr>
          <w:rFonts w:eastAsia="Calibri" w:cs="Arial"/>
          <w:szCs w:val="22"/>
          <w:lang w:eastAsia="en-US"/>
        </w:rPr>
        <w:t xml:space="preserve"> in the course of its </w:t>
      </w:r>
      <w:r w:rsidR="004B570F" w:rsidRPr="009500F4">
        <w:rPr>
          <w:rFonts w:eastAsia="Calibri" w:cs="Arial"/>
          <w:szCs w:val="22"/>
          <w:lang w:eastAsia="en-US"/>
        </w:rPr>
        <w:t xml:space="preserve">private sector </w:t>
      </w:r>
      <w:r w:rsidRPr="009500F4">
        <w:rPr>
          <w:rFonts w:eastAsia="Calibri" w:cs="Arial"/>
          <w:szCs w:val="22"/>
          <w:lang w:eastAsia="en-US"/>
        </w:rPr>
        <w:t>work gives PSDI an advantage here.</w:t>
      </w:r>
    </w:p>
    <w:p w:rsidR="004B570F" w:rsidRPr="009500F4" w:rsidRDefault="004B570F" w:rsidP="00170139">
      <w:pPr>
        <w:tabs>
          <w:tab w:val="left" w:pos="567"/>
        </w:tabs>
        <w:rPr>
          <w:rFonts w:eastAsia="Calibri" w:cs="Arial"/>
          <w:szCs w:val="22"/>
          <w:lang w:eastAsia="en-US"/>
        </w:rPr>
      </w:pPr>
    </w:p>
    <w:p w:rsidR="004B570F" w:rsidRPr="009500F4" w:rsidRDefault="004E6B93" w:rsidP="00170139">
      <w:pPr>
        <w:tabs>
          <w:tab w:val="left" w:pos="567"/>
        </w:tabs>
        <w:ind w:left="2342" w:hanging="357"/>
        <w:rPr>
          <w:rFonts w:eastAsia="Calibri" w:cs="Arial"/>
          <w:b/>
          <w:szCs w:val="22"/>
          <w:lang w:eastAsia="en-US"/>
        </w:rPr>
      </w:pPr>
      <w:r w:rsidRPr="009500F4">
        <w:rPr>
          <w:rFonts w:eastAsia="Calibri" w:cs="Arial"/>
          <w:b/>
          <w:szCs w:val="22"/>
          <w:lang w:eastAsia="en-US"/>
        </w:rPr>
        <w:t>a</w:t>
      </w:r>
      <w:r w:rsidR="004B570F" w:rsidRPr="009500F4">
        <w:rPr>
          <w:rFonts w:eastAsia="Calibri" w:cs="Arial"/>
          <w:b/>
          <w:szCs w:val="22"/>
          <w:lang w:eastAsia="en-US"/>
        </w:rPr>
        <w:t>.</w:t>
      </w:r>
      <w:r w:rsidR="004B570F" w:rsidRPr="009500F4">
        <w:rPr>
          <w:rFonts w:eastAsia="Calibri" w:cs="Arial"/>
          <w:b/>
          <w:szCs w:val="22"/>
          <w:lang w:eastAsia="en-US"/>
        </w:rPr>
        <w:tab/>
        <w:t>Policy Processes</w:t>
      </w:r>
    </w:p>
    <w:p w:rsidR="003E12F1" w:rsidRPr="009500F4" w:rsidRDefault="003E12F1" w:rsidP="003E12F1"/>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An area of long-term reform that appears worthwhile deals with the processes of policymaking</w:t>
      </w:r>
      <w:r w:rsidR="004B570F" w:rsidRPr="009500F4">
        <w:rPr>
          <w:rFonts w:eastAsia="Calibri" w:cs="Arial"/>
          <w:szCs w:val="22"/>
          <w:lang w:eastAsia="en-US"/>
        </w:rPr>
        <w:t>. These processes</w:t>
      </w:r>
      <w:r w:rsidRPr="009500F4">
        <w:rPr>
          <w:rFonts w:eastAsia="Calibri" w:cs="Arial"/>
          <w:szCs w:val="22"/>
          <w:lang w:eastAsia="en-US"/>
        </w:rPr>
        <w:t xml:space="preserve"> includ</w:t>
      </w:r>
      <w:r w:rsidR="004B570F" w:rsidRPr="009500F4">
        <w:rPr>
          <w:rFonts w:eastAsia="Calibri" w:cs="Arial"/>
          <w:szCs w:val="22"/>
          <w:lang w:eastAsia="en-US"/>
        </w:rPr>
        <w:t>e</w:t>
      </w:r>
      <w:r w:rsidRPr="009500F4">
        <w:rPr>
          <w:rFonts w:eastAsia="Calibri" w:cs="Arial"/>
          <w:szCs w:val="22"/>
          <w:lang w:eastAsia="en-US"/>
        </w:rPr>
        <w:t xml:space="preserve"> </w:t>
      </w:r>
      <w:r w:rsidR="005D70E0" w:rsidRPr="009500F4">
        <w:rPr>
          <w:rFonts w:eastAsia="Calibri" w:cs="Arial"/>
          <w:szCs w:val="22"/>
          <w:lang w:eastAsia="en-US"/>
        </w:rPr>
        <w:t xml:space="preserve">policy </w:t>
      </w:r>
      <w:r w:rsidRPr="009500F4">
        <w:rPr>
          <w:rFonts w:eastAsia="Calibri" w:cs="Arial"/>
          <w:szCs w:val="22"/>
          <w:lang w:eastAsia="en-US"/>
        </w:rPr>
        <w:t xml:space="preserve">analysis, consultation, implementation, and review. The PSDI policy </w:t>
      </w:r>
      <w:r w:rsidR="004B570F" w:rsidRPr="009500F4">
        <w:rPr>
          <w:rFonts w:eastAsia="Calibri" w:cs="Arial"/>
          <w:szCs w:val="22"/>
          <w:lang w:eastAsia="en-US"/>
        </w:rPr>
        <w:t>r</w:t>
      </w:r>
      <w:r w:rsidRPr="009500F4">
        <w:rPr>
          <w:rFonts w:eastAsia="Calibri" w:cs="Arial"/>
          <w:szCs w:val="22"/>
          <w:lang w:eastAsia="en-US"/>
        </w:rPr>
        <w:t xml:space="preserve">oadmap </w:t>
      </w:r>
      <w:r w:rsidR="004B570F" w:rsidRPr="009500F4">
        <w:rPr>
          <w:rFonts w:eastAsia="Calibri" w:cs="Arial"/>
          <w:szCs w:val="22"/>
          <w:lang w:eastAsia="en-US"/>
        </w:rPr>
        <w:t xml:space="preserve">outlined in Box 3 </w:t>
      </w:r>
      <w:r w:rsidRPr="009500F4">
        <w:rPr>
          <w:rFonts w:eastAsia="Calibri" w:cs="Arial"/>
          <w:szCs w:val="22"/>
          <w:lang w:eastAsia="en-US"/>
        </w:rPr>
        <w:t xml:space="preserve">provides a good model. </w:t>
      </w:r>
      <w:r w:rsidR="004B570F" w:rsidRPr="009500F4">
        <w:rPr>
          <w:rFonts w:eastAsia="Calibri" w:cs="Arial"/>
          <w:szCs w:val="22"/>
          <w:lang w:eastAsia="en-US"/>
        </w:rPr>
        <w:t xml:space="preserve">However, </w:t>
      </w:r>
      <w:r w:rsidRPr="009500F4">
        <w:rPr>
          <w:rFonts w:eastAsia="Calibri" w:cs="Arial"/>
          <w:szCs w:val="22"/>
          <w:lang w:eastAsia="en-US"/>
        </w:rPr>
        <w:t xml:space="preserve">the </w:t>
      </w:r>
      <w:r w:rsidR="004B570F" w:rsidRPr="009500F4">
        <w:rPr>
          <w:rFonts w:eastAsia="Calibri" w:cs="Arial"/>
          <w:szCs w:val="22"/>
          <w:lang w:eastAsia="en-US"/>
        </w:rPr>
        <w:t>r</w:t>
      </w:r>
      <w:r w:rsidRPr="009500F4">
        <w:rPr>
          <w:rFonts w:eastAsia="Calibri" w:cs="Arial"/>
          <w:szCs w:val="22"/>
          <w:lang w:eastAsia="en-US"/>
        </w:rPr>
        <w:t>oadmap either supplements or overlaps existing mechanisms, and does not extend beyond the life of a specific</w:t>
      </w:r>
      <w:r w:rsidR="004B570F" w:rsidRPr="009500F4">
        <w:rPr>
          <w:rFonts w:eastAsia="Calibri" w:cs="Arial"/>
          <w:szCs w:val="22"/>
          <w:lang w:eastAsia="en-US"/>
        </w:rPr>
        <w:t xml:space="preserve"> reform supported by</w:t>
      </w:r>
      <w:r w:rsidRPr="009500F4">
        <w:rPr>
          <w:rFonts w:eastAsia="Calibri" w:cs="Arial"/>
          <w:szCs w:val="22"/>
          <w:lang w:eastAsia="en-US"/>
        </w:rPr>
        <w:t xml:space="preserve"> PSDI.</w:t>
      </w:r>
      <w:r w:rsidR="004B570F" w:rsidRPr="009500F4">
        <w:rPr>
          <w:rFonts w:eastAsia="Calibri" w:cs="Arial"/>
          <w:szCs w:val="22"/>
          <w:lang w:eastAsia="en-US"/>
        </w:rPr>
        <w:t xml:space="preserve"> It therefore does not necessarily reflect the processes followed in areas in which PSDI is not involved.</w:t>
      </w:r>
      <w:r w:rsidRPr="009500F4">
        <w:rPr>
          <w:rFonts w:eastAsia="Calibri" w:cs="Arial"/>
          <w:szCs w:val="22"/>
          <w:lang w:eastAsia="en-US"/>
        </w:rPr>
        <w:t xml:space="preserve"> In order to broaden impact and enhance sustainability, PSDI and its </w:t>
      </w:r>
      <w:r w:rsidR="005D70E0" w:rsidRPr="009500F4">
        <w:rPr>
          <w:rFonts w:eastAsia="Calibri" w:cs="Arial"/>
          <w:szCs w:val="22"/>
          <w:lang w:eastAsia="en-US"/>
        </w:rPr>
        <w:t xml:space="preserve">donors </w:t>
      </w:r>
      <w:r w:rsidRPr="009500F4">
        <w:rPr>
          <w:rFonts w:eastAsia="Calibri" w:cs="Arial"/>
          <w:szCs w:val="22"/>
          <w:lang w:eastAsia="en-US"/>
        </w:rPr>
        <w:t xml:space="preserve">should consider expanding its role in the development of </w:t>
      </w:r>
      <w:r w:rsidR="004B570F" w:rsidRPr="009500F4">
        <w:rPr>
          <w:rFonts w:eastAsia="Calibri" w:cs="Arial"/>
          <w:szCs w:val="22"/>
          <w:lang w:eastAsia="en-US"/>
        </w:rPr>
        <w:t xml:space="preserve">processes </w:t>
      </w:r>
      <w:r w:rsidR="005D70E0" w:rsidRPr="009500F4">
        <w:rPr>
          <w:rFonts w:eastAsia="Calibri" w:cs="Arial"/>
          <w:szCs w:val="22"/>
          <w:lang w:eastAsia="en-US"/>
        </w:rPr>
        <w:t xml:space="preserve">that help establish </w:t>
      </w:r>
      <w:r w:rsidRPr="009500F4">
        <w:rPr>
          <w:rFonts w:eastAsia="Calibri" w:cs="Arial"/>
          <w:szCs w:val="22"/>
          <w:lang w:eastAsia="en-US"/>
        </w:rPr>
        <w:t>polic</w:t>
      </w:r>
      <w:r w:rsidR="005D70E0" w:rsidRPr="009500F4">
        <w:rPr>
          <w:rFonts w:eastAsia="Calibri" w:cs="Arial"/>
          <w:szCs w:val="22"/>
          <w:lang w:eastAsia="en-US"/>
        </w:rPr>
        <w:t>ies</w:t>
      </w:r>
      <w:r w:rsidRPr="009500F4">
        <w:rPr>
          <w:rFonts w:eastAsia="Calibri" w:cs="Arial"/>
          <w:szCs w:val="22"/>
          <w:lang w:eastAsia="en-US"/>
        </w:rPr>
        <w:t xml:space="preserve"> and law</w:t>
      </w:r>
      <w:r w:rsidR="005D70E0" w:rsidRPr="009500F4">
        <w:rPr>
          <w:rFonts w:eastAsia="Calibri" w:cs="Arial"/>
          <w:szCs w:val="22"/>
          <w:lang w:eastAsia="en-US"/>
        </w:rPr>
        <w:t>s</w:t>
      </w:r>
      <w:r w:rsidRPr="009500F4">
        <w:rPr>
          <w:rFonts w:eastAsia="Calibri" w:cs="Arial"/>
          <w:szCs w:val="22"/>
          <w:lang w:eastAsia="en-US"/>
        </w:rPr>
        <w:t>. This could well extend further into rule</w:t>
      </w:r>
      <w:r w:rsidR="005D70E0" w:rsidRPr="009500F4">
        <w:rPr>
          <w:rFonts w:eastAsia="Calibri" w:cs="Arial"/>
          <w:szCs w:val="22"/>
          <w:lang w:eastAsia="en-US"/>
        </w:rPr>
        <w:t>-</w:t>
      </w:r>
      <w:r w:rsidRPr="009500F4">
        <w:rPr>
          <w:rFonts w:eastAsia="Calibri" w:cs="Arial"/>
          <w:szCs w:val="22"/>
          <w:lang w:eastAsia="en-US"/>
        </w:rPr>
        <w:t xml:space="preserve">making, regulatory review, and administrative law processes. This </w:t>
      </w:r>
      <w:r w:rsidR="005D70E0" w:rsidRPr="009500F4">
        <w:rPr>
          <w:rFonts w:eastAsia="Calibri" w:cs="Arial"/>
          <w:szCs w:val="22"/>
          <w:lang w:eastAsia="en-US"/>
        </w:rPr>
        <w:t xml:space="preserve">recommendation </w:t>
      </w:r>
      <w:r w:rsidRPr="009500F4">
        <w:rPr>
          <w:rFonts w:eastAsia="Calibri" w:cs="Arial"/>
          <w:szCs w:val="22"/>
          <w:lang w:eastAsia="en-US"/>
        </w:rPr>
        <w:t xml:space="preserve">requires </w:t>
      </w:r>
      <w:r w:rsidR="005D70E0" w:rsidRPr="009500F4">
        <w:rPr>
          <w:rFonts w:eastAsia="Calibri" w:cs="Arial"/>
          <w:szCs w:val="22"/>
          <w:lang w:eastAsia="en-US"/>
        </w:rPr>
        <w:t xml:space="preserve">effort and resources </w:t>
      </w:r>
      <w:r w:rsidRPr="009500F4">
        <w:rPr>
          <w:rFonts w:eastAsia="Calibri" w:cs="Arial"/>
          <w:szCs w:val="22"/>
          <w:lang w:eastAsia="en-US"/>
        </w:rPr>
        <w:t>at a different scale and level from discrete business law changes, but it is not dissimilar to the regulatory and business-process changes</w:t>
      </w:r>
      <w:r w:rsidR="005D70E0" w:rsidRPr="009500F4">
        <w:rPr>
          <w:rFonts w:eastAsia="Calibri" w:cs="Arial"/>
          <w:szCs w:val="22"/>
          <w:lang w:eastAsia="en-US"/>
        </w:rPr>
        <w:t xml:space="preserve"> that</w:t>
      </w:r>
      <w:r w:rsidR="000C15E8">
        <w:rPr>
          <w:rFonts w:eastAsia="Calibri" w:cs="Arial"/>
          <w:szCs w:val="22"/>
          <w:lang w:eastAsia="en-US"/>
        </w:rPr>
        <w:t xml:space="preserve"> PSDI pursues in this field.</w:t>
      </w:r>
    </w:p>
    <w:p w:rsidR="003E12F1" w:rsidRPr="009500F4" w:rsidRDefault="003E12F1" w:rsidP="003E12F1"/>
    <w:p w:rsidR="005D70E0" w:rsidRPr="009500F4" w:rsidRDefault="004E6B93" w:rsidP="00170139">
      <w:pPr>
        <w:tabs>
          <w:tab w:val="left" w:pos="567"/>
        </w:tabs>
        <w:ind w:left="2342" w:hanging="357"/>
        <w:rPr>
          <w:b/>
        </w:rPr>
      </w:pPr>
      <w:r w:rsidRPr="009500F4">
        <w:rPr>
          <w:b/>
        </w:rPr>
        <w:t>b</w:t>
      </w:r>
      <w:r w:rsidR="005D70E0" w:rsidRPr="009500F4">
        <w:rPr>
          <w:b/>
        </w:rPr>
        <w:t>.</w:t>
      </w:r>
      <w:r w:rsidR="005D70E0" w:rsidRPr="009500F4">
        <w:rPr>
          <w:b/>
        </w:rPr>
        <w:tab/>
      </w:r>
      <w:r w:rsidR="005D70E0" w:rsidRPr="009500F4">
        <w:rPr>
          <w:rFonts w:eastAsia="Calibri" w:cs="Arial"/>
          <w:b/>
          <w:szCs w:val="22"/>
          <w:lang w:eastAsia="en-US"/>
        </w:rPr>
        <w:t>Contracts and Dispute Resolution</w:t>
      </w:r>
    </w:p>
    <w:p w:rsidR="005D70E0" w:rsidRPr="009500F4" w:rsidRDefault="005D70E0" w:rsidP="003E12F1"/>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Do businesses</w:t>
      </w:r>
      <w:r w:rsidR="005D70E0" w:rsidRPr="009500F4">
        <w:rPr>
          <w:rFonts w:eastAsia="Calibri" w:cs="Arial"/>
          <w:szCs w:val="22"/>
          <w:lang w:eastAsia="en-US"/>
        </w:rPr>
        <w:t xml:space="preserve"> in Pacific DMCs</w:t>
      </w:r>
      <w:r w:rsidRPr="009500F4">
        <w:rPr>
          <w:rFonts w:eastAsia="Calibri" w:cs="Arial"/>
          <w:szCs w:val="22"/>
          <w:lang w:eastAsia="en-US"/>
        </w:rPr>
        <w:t xml:space="preserve"> have access to the necessary range of contracting instruments, e.g.</w:t>
      </w:r>
      <w:r w:rsidR="005D70E0" w:rsidRPr="009500F4">
        <w:rPr>
          <w:rFonts w:eastAsia="Calibri" w:cs="Arial"/>
          <w:szCs w:val="22"/>
          <w:lang w:eastAsia="en-US"/>
        </w:rPr>
        <w:t>,</w:t>
      </w:r>
      <w:r w:rsidRPr="009500F4">
        <w:rPr>
          <w:rFonts w:eastAsia="Calibri" w:cs="Arial"/>
          <w:szCs w:val="22"/>
          <w:lang w:eastAsia="en-US"/>
        </w:rPr>
        <w:t xml:space="preserve"> public procurements, construction agreements, distributorships and franchises, import-export contracts, licensing agreements, etc.? </w:t>
      </w:r>
      <w:r w:rsidR="005D70E0" w:rsidRPr="009500F4">
        <w:rPr>
          <w:rFonts w:eastAsia="Calibri" w:cs="Arial"/>
          <w:szCs w:val="22"/>
          <w:lang w:eastAsia="en-US"/>
        </w:rPr>
        <w:t xml:space="preserve">Consideration should be given to expanding PSDI’s mandate into the area of contract formation. </w:t>
      </w:r>
      <w:r w:rsidRPr="009500F4">
        <w:rPr>
          <w:rFonts w:eastAsia="Calibri" w:cs="Arial"/>
          <w:szCs w:val="22"/>
          <w:lang w:eastAsia="en-US"/>
        </w:rPr>
        <w:t>Developing agreement</w:t>
      </w:r>
      <w:r w:rsidR="005D70E0" w:rsidRPr="009500F4">
        <w:rPr>
          <w:rFonts w:eastAsia="Calibri" w:cs="Arial"/>
          <w:szCs w:val="22"/>
          <w:lang w:eastAsia="en-US"/>
        </w:rPr>
        <w:t xml:space="preserve"> model</w:t>
      </w:r>
      <w:r w:rsidRPr="009500F4">
        <w:rPr>
          <w:rFonts w:eastAsia="Calibri" w:cs="Arial"/>
          <w:szCs w:val="22"/>
          <w:lang w:eastAsia="en-US"/>
        </w:rPr>
        <w:t xml:space="preserve">s and </w:t>
      </w:r>
      <w:r w:rsidR="005D70E0" w:rsidRPr="009500F4">
        <w:rPr>
          <w:rFonts w:eastAsia="Calibri" w:cs="Arial"/>
          <w:szCs w:val="22"/>
          <w:lang w:eastAsia="en-US"/>
        </w:rPr>
        <w:t xml:space="preserve">delivering </w:t>
      </w:r>
      <w:r w:rsidRPr="009500F4">
        <w:rPr>
          <w:rFonts w:eastAsia="Calibri" w:cs="Arial"/>
          <w:szCs w:val="22"/>
          <w:lang w:eastAsia="en-US"/>
        </w:rPr>
        <w:t>support to business</w:t>
      </w:r>
      <w:r w:rsidR="005D70E0" w:rsidRPr="009500F4">
        <w:rPr>
          <w:rFonts w:eastAsia="Calibri" w:cs="Arial"/>
          <w:szCs w:val="22"/>
          <w:lang w:eastAsia="en-US"/>
        </w:rPr>
        <w:t>es</w:t>
      </w:r>
      <w:r w:rsidRPr="009500F4">
        <w:rPr>
          <w:rFonts w:eastAsia="Calibri" w:cs="Arial"/>
          <w:szCs w:val="22"/>
          <w:lang w:eastAsia="en-US"/>
        </w:rPr>
        <w:t xml:space="preserve"> and bar associations </w:t>
      </w:r>
      <w:r w:rsidR="005D70E0" w:rsidRPr="009500F4">
        <w:rPr>
          <w:rFonts w:eastAsia="Calibri" w:cs="Arial"/>
          <w:szCs w:val="22"/>
          <w:lang w:eastAsia="en-US"/>
        </w:rPr>
        <w:t xml:space="preserve">by disseminating information </w:t>
      </w:r>
      <w:r w:rsidRPr="009500F4">
        <w:rPr>
          <w:rFonts w:eastAsia="Calibri" w:cs="Arial"/>
          <w:szCs w:val="22"/>
          <w:lang w:eastAsia="en-US"/>
        </w:rPr>
        <w:t>and</w:t>
      </w:r>
      <w:r w:rsidR="005D70E0" w:rsidRPr="009500F4">
        <w:rPr>
          <w:rFonts w:eastAsia="Calibri" w:cs="Arial"/>
          <w:szCs w:val="22"/>
          <w:lang w:eastAsia="en-US"/>
        </w:rPr>
        <w:t xml:space="preserve"> providing</w:t>
      </w:r>
      <w:r w:rsidRPr="009500F4">
        <w:rPr>
          <w:rFonts w:eastAsia="Calibri" w:cs="Arial"/>
          <w:szCs w:val="22"/>
          <w:lang w:eastAsia="en-US"/>
        </w:rPr>
        <w:t xml:space="preserve"> training could be cost-effective ways to build relevant </w:t>
      </w:r>
      <w:r w:rsidR="005D70E0" w:rsidRPr="009500F4">
        <w:rPr>
          <w:rFonts w:eastAsia="Calibri" w:cs="Arial"/>
          <w:szCs w:val="22"/>
          <w:lang w:eastAsia="en-US"/>
        </w:rPr>
        <w:t>capacity</w:t>
      </w:r>
      <w:r w:rsidRPr="009500F4">
        <w:rPr>
          <w:rFonts w:eastAsia="Calibri" w:cs="Arial"/>
          <w:szCs w:val="22"/>
          <w:lang w:eastAsia="en-US"/>
        </w:rPr>
        <w:t>.</w:t>
      </w:r>
    </w:p>
    <w:p w:rsidR="003E12F1" w:rsidRPr="009500F4" w:rsidRDefault="003E12F1" w:rsidP="003E12F1"/>
    <w:p w:rsidR="004E6B93" w:rsidRPr="009500F4" w:rsidRDefault="005D70E0"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In the area of </w:t>
      </w:r>
      <w:r w:rsidR="003E12F1" w:rsidRPr="009500F4">
        <w:rPr>
          <w:rFonts w:eastAsia="Calibri" w:cs="Arial"/>
          <w:szCs w:val="22"/>
          <w:lang w:eastAsia="en-US"/>
        </w:rPr>
        <w:t xml:space="preserve">dispute resolution, PSDI could </w:t>
      </w:r>
      <w:r w:rsidRPr="009500F4">
        <w:rPr>
          <w:rFonts w:eastAsia="Calibri" w:cs="Arial"/>
          <w:szCs w:val="22"/>
          <w:lang w:eastAsia="en-US"/>
        </w:rPr>
        <w:t>assist</w:t>
      </w:r>
      <w:r w:rsidR="003E12F1" w:rsidRPr="009500F4">
        <w:rPr>
          <w:rFonts w:eastAsia="Calibri" w:cs="Arial"/>
          <w:szCs w:val="22"/>
          <w:lang w:eastAsia="en-US"/>
        </w:rPr>
        <w:t xml:space="preserve"> Pacific DMCs </w:t>
      </w:r>
      <w:r w:rsidRPr="009500F4">
        <w:rPr>
          <w:rFonts w:eastAsia="Calibri" w:cs="Arial"/>
          <w:szCs w:val="22"/>
          <w:lang w:eastAsia="en-US"/>
        </w:rPr>
        <w:t>by (i)</w:t>
      </w:r>
      <w:r w:rsidR="003E12F1" w:rsidRPr="009500F4">
        <w:rPr>
          <w:rFonts w:eastAsia="Calibri" w:cs="Arial"/>
          <w:szCs w:val="22"/>
          <w:lang w:eastAsia="en-US"/>
        </w:rPr>
        <w:t xml:space="preserve"> help</w:t>
      </w:r>
      <w:r w:rsidRPr="009500F4">
        <w:rPr>
          <w:rFonts w:eastAsia="Calibri" w:cs="Arial"/>
          <w:szCs w:val="22"/>
          <w:lang w:eastAsia="en-US"/>
        </w:rPr>
        <w:t>ing</w:t>
      </w:r>
      <w:r w:rsidR="003E12F1" w:rsidRPr="009500F4">
        <w:rPr>
          <w:rFonts w:eastAsia="Calibri" w:cs="Arial"/>
          <w:szCs w:val="22"/>
          <w:lang w:eastAsia="en-US"/>
        </w:rPr>
        <w:t xml:space="preserve"> to build on </w:t>
      </w:r>
      <w:r w:rsidR="004E6B93" w:rsidRPr="009500F4">
        <w:rPr>
          <w:rFonts w:eastAsia="Calibri" w:cs="Arial"/>
          <w:szCs w:val="22"/>
          <w:lang w:eastAsia="en-US"/>
        </w:rPr>
        <w:t>the</w:t>
      </w:r>
      <w:r w:rsidR="003E12F1" w:rsidRPr="009500F4">
        <w:rPr>
          <w:rFonts w:eastAsia="Calibri" w:cs="Arial"/>
          <w:szCs w:val="22"/>
          <w:lang w:eastAsia="en-US"/>
        </w:rPr>
        <w:t xml:space="preserve"> local informal mediation experience</w:t>
      </w:r>
      <w:r w:rsidR="004E6B93" w:rsidRPr="009500F4">
        <w:rPr>
          <w:rFonts w:eastAsia="Calibri" w:cs="Arial"/>
          <w:szCs w:val="22"/>
          <w:lang w:eastAsia="en-US"/>
        </w:rPr>
        <w:t xml:space="preserve"> in these countries</w:t>
      </w:r>
      <w:r w:rsidR="003E12F1" w:rsidRPr="009500F4">
        <w:rPr>
          <w:rFonts w:eastAsia="Calibri" w:cs="Arial"/>
          <w:szCs w:val="22"/>
          <w:lang w:eastAsia="en-US"/>
        </w:rPr>
        <w:t xml:space="preserve">, </w:t>
      </w:r>
      <w:r w:rsidR="004E6B93" w:rsidRPr="009500F4">
        <w:rPr>
          <w:rFonts w:eastAsia="Calibri" w:cs="Arial"/>
          <w:szCs w:val="22"/>
          <w:lang w:eastAsia="en-US"/>
        </w:rPr>
        <w:t xml:space="preserve">(ii) </w:t>
      </w:r>
      <w:r w:rsidR="003E12F1" w:rsidRPr="009500F4">
        <w:rPr>
          <w:rFonts w:eastAsia="Calibri" w:cs="Arial"/>
          <w:szCs w:val="22"/>
          <w:lang w:eastAsia="en-US"/>
        </w:rPr>
        <w:t>set</w:t>
      </w:r>
      <w:r w:rsidR="004E6B93" w:rsidRPr="009500F4">
        <w:rPr>
          <w:rFonts w:eastAsia="Calibri" w:cs="Arial"/>
          <w:szCs w:val="22"/>
          <w:lang w:eastAsia="en-US"/>
        </w:rPr>
        <w:t>ting</w:t>
      </w:r>
      <w:r w:rsidR="003E12F1" w:rsidRPr="009500F4">
        <w:rPr>
          <w:rFonts w:eastAsia="Calibri" w:cs="Arial"/>
          <w:szCs w:val="22"/>
          <w:lang w:eastAsia="en-US"/>
        </w:rPr>
        <w:t xml:space="preserve"> up arbitration forums through chambers of commerce and other institutions, and </w:t>
      </w:r>
      <w:r w:rsidR="004E6B93" w:rsidRPr="009500F4">
        <w:rPr>
          <w:rFonts w:eastAsia="Calibri" w:cs="Arial"/>
          <w:szCs w:val="22"/>
          <w:lang w:eastAsia="en-US"/>
        </w:rPr>
        <w:t xml:space="preserve">(iii) </w:t>
      </w:r>
      <w:r w:rsidR="003E12F1" w:rsidRPr="009500F4">
        <w:rPr>
          <w:rFonts w:eastAsia="Calibri" w:cs="Arial"/>
          <w:szCs w:val="22"/>
          <w:lang w:eastAsia="en-US"/>
        </w:rPr>
        <w:t>establish</w:t>
      </w:r>
      <w:r w:rsidR="004E6B93" w:rsidRPr="009500F4">
        <w:rPr>
          <w:rFonts w:eastAsia="Calibri" w:cs="Arial"/>
          <w:szCs w:val="22"/>
          <w:lang w:eastAsia="en-US"/>
        </w:rPr>
        <w:t>ing</w:t>
      </w:r>
      <w:r w:rsidR="003E12F1" w:rsidRPr="009500F4">
        <w:rPr>
          <w:rFonts w:eastAsia="Calibri" w:cs="Arial"/>
          <w:szCs w:val="22"/>
          <w:lang w:eastAsia="en-US"/>
        </w:rPr>
        <w:t xml:space="preserve"> commercial chambers in the court systems. As with the policy process recommendation, this is an area </w:t>
      </w:r>
      <w:r w:rsidR="004E6B93" w:rsidRPr="009500F4">
        <w:rPr>
          <w:rFonts w:eastAsia="Calibri" w:cs="Arial"/>
          <w:szCs w:val="22"/>
          <w:lang w:eastAsia="en-US"/>
        </w:rPr>
        <w:t xml:space="preserve">in which </w:t>
      </w:r>
      <w:r w:rsidR="003E12F1" w:rsidRPr="009500F4">
        <w:rPr>
          <w:rFonts w:eastAsia="Calibri" w:cs="Arial"/>
          <w:szCs w:val="22"/>
          <w:lang w:eastAsia="en-US"/>
        </w:rPr>
        <w:t>PSDI would seem to have some comparative advantage, although it would increase the scale and reach of the program.</w:t>
      </w:r>
      <w:r w:rsidR="003957D7">
        <w:rPr>
          <w:rFonts w:eastAsia="Calibri" w:cs="Arial"/>
          <w:szCs w:val="22"/>
          <w:lang w:eastAsia="en-US"/>
        </w:rPr>
        <w:t xml:space="preserve"> ADB’s Office of General Counsel already has technical assistance in this area, which is supported by PSDI.</w:t>
      </w:r>
    </w:p>
    <w:p w:rsidR="003E12F1" w:rsidRPr="009500F4" w:rsidRDefault="003E12F1" w:rsidP="00170139">
      <w:pPr>
        <w:tabs>
          <w:tab w:val="left" w:pos="567"/>
        </w:tabs>
        <w:rPr>
          <w:rFonts w:eastAsia="Calibri" w:cs="Arial"/>
          <w:szCs w:val="22"/>
          <w:lang w:eastAsia="en-US"/>
        </w:rPr>
      </w:pPr>
    </w:p>
    <w:p w:rsidR="004E6B93" w:rsidRPr="009500F4" w:rsidRDefault="004E6B93" w:rsidP="00170139">
      <w:pPr>
        <w:tabs>
          <w:tab w:val="left" w:pos="567"/>
        </w:tabs>
        <w:ind w:left="2342" w:hanging="357"/>
        <w:rPr>
          <w:rFonts w:eastAsia="Calibri" w:cs="Arial"/>
          <w:szCs w:val="22"/>
          <w:lang w:eastAsia="en-US"/>
        </w:rPr>
      </w:pPr>
      <w:r w:rsidRPr="009500F4">
        <w:rPr>
          <w:rFonts w:eastAsia="Calibri" w:cs="Arial"/>
          <w:b/>
          <w:szCs w:val="22"/>
          <w:lang w:eastAsia="en-US"/>
        </w:rPr>
        <w:t>c.</w:t>
      </w:r>
      <w:r w:rsidRPr="009500F4">
        <w:rPr>
          <w:rFonts w:eastAsia="Calibri" w:cs="Arial"/>
          <w:b/>
          <w:szCs w:val="22"/>
          <w:lang w:eastAsia="en-US"/>
        </w:rPr>
        <w:tab/>
        <w:t>Registries</w:t>
      </w:r>
    </w:p>
    <w:p w:rsidR="003E12F1" w:rsidRPr="009500F4" w:rsidRDefault="003E12F1" w:rsidP="003E12F1"/>
    <w:p w:rsidR="003E12F1" w:rsidRPr="009500F4" w:rsidRDefault="003E12F1" w:rsidP="00170139">
      <w:pPr>
        <w:numPr>
          <w:ilvl w:val="0"/>
          <w:numId w:val="10"/>
        </w:numPr>
        <w:tabs>
          <w:tab w:val="left" w:pos="567"/>
        </w:tabs>
        <w:spacing w:after="160"/>
        <w:ind w:left="0" w:firstLine="0"/>
        <w:rPr>
          <w:rFonts w:eastAsia="Calibri" w:cs="Arial"/>
          <w:szCs w:val="22"/>
          <w:lang w:eastAsia="en-US"/>
        </w:rPr>
      </w:pPr>
      <w:r w:rsidRPr="009500F4">
        <w:rPr>
          <w:rFonts w:eastAsia="Calibri" w:cs="Arial"/>
          <w:szCs w:val="22"/>
          <w:lang w:eastAsia="en-US"/>
        </w:rPr>
        <w:t>Some comparative analysis of the registry experience may be justified. Questions to be answered include: Are all the options for ensuring the registries’ sustainability being exploited? Do the fee structures cover only operating budgets or some investment funding as well? Are internal capacities being built to manage, troubleshoot, and lead future processes of renewal?</w:t>
      </w:r>
    </w:p>
    <w:p w:rsidR="003E12F1" w:rsidRPr="009500F4" w:rsidRDefault="00AD130C" w:rsidP="00170139">
      <w:pPr>
        <w:keepNext/>
        <w:spacing w:after="160"/>
        <w:ind w:left="1080"/>
        <w:outlineLvl w:val="1"/>
        <w:rPr>
          <w:rFonts w:eastAsia="Times New Roman" w:cs="Arial"/>
          <w:b/>
          <w:bCs/>
          <w:iCs/>
          <w:sz w:val="24"/>
          <w:lang w:eastAsia="en-US"/>
        </w:rPr>
      </w:pPr>
      <w:bookmarkStart w:id="168" w:name="_Toc494271730"/>
      <w:bookmarkStart w:id="169" w:name="_Toc494367955"/>
      <w:bookmarkStart w:id="170" w:name="_Toc494378799"/>
      <w:bookmarkStart w:id="171" w:name="_Toc494378881"/>
      <w:r w:rsidRPr="009500F4">
        <w:rPr>
          <w:rFonts w:eastAsia="Times New Roman" w:cs="Arial"/>
          <w:b/>
          <w:bCs/>
          <w:iCs/>
          <w:szCs w:val="22"/>
          <w:lang w:eastAsia="en-US"/>
        </w:rPr>
        <w:t>3</w:t>
      </w:r>
      <w:r w:rsidR="00386F3B" w:rsidRPr="009500F4">
        <w:rPr>
          <w:rFonts w:eastAsia="Times New Roman" w:cs="Arial"/>
          <w:b/>
          <w:bCs/>
          <w:iCs/>
          <w:szCs w:val="22"/>
          <w:lang w:eastAsia="en-US"/>
        </w:rPr>
        <w:t>.</w:t>
      </w:r>
      <w:r w:rsidR="00386F3B" w:rsidRPr="009500F4">
        <w:rPr>
          <w:rFonts w:eastAsia="Times New Roman" w:cs="Arial"/>
          <w:b/>
          <w:bCs/>
          <w:iCs/>
          <w:szCs w:val="22"/>
          <w:lang w:eastAsia="en-US"/>
        </w:rPr>
        <w:tab/>
      </w:r>
      <w:r w:rsidR="003E12F1" w:rsidRPr="009500F4">
        <w:rPr>
          <w:rFonts w:eastAsia="Times New Roman" w:cs="Arial"/>
          <w:b/>
          <w:bCs/>
          <w:iCs/>
          <w:szCs w:val="22"/>
          <w:lang w:eastAsia="en-US"/>
        </w:rPr>
        <w:t>State-Owned Enterprise Reform and Public-Private Partnerships</w:t>
      </w:r>
      <w:bookmarkEnd w:id="168"/>
      <w:bookmarkEnd w:id="169"/>
      <w:bookmarkEnd w:id="170"/>
      <w:bookmarkEnd w:id="171"/>
    </w:p>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PSDI should continue pursuing improved efficiency and governance in ser</w:t>
      </w:r>
      <w:r w:rsidR="008E6F74" w:rsidRPr="009500F4">
        <w:rPr>
          <w:rFonts w:eastAsia="Calibri" w:cs="Arial"/>
          <w:szCs w:val="22"/>
          <w:lang w:eastAsia="en-US"/>
        </w:rPr>
        <w:t>vice sectors dominated by SOEs.</w:t>
      </w:r>
    </w:p>
    <w:p w:rsidR="003E12F1" w:rsidRPr="009500F4" w:rsidRDefault="003E12F1" w:rsidP="003E12F1"/>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PSDI’s work </w:t>
      </w:r>
      <w:r w:rsidR="004E6B93" w:rsidRPr="009500F4">
        <w:rPr>
          <w:rFonts w:eastAsia="Calibri" w:cs="Arial"/>
          <w:szCs w:val="22"/>
          <w:lang w:eastAsia="en-US"/>
        </w:rPr>
        <w:t xml:space="preserve">for </w:t>
      </w:r>
      <w:r w:rsidRPr="009500F4">
        <w:rPr>
          <w:rFonts w:eastAsia="Calibri" w:cs="Arial"/>
          <w:szCs w:val="22"/>
          <w:lang w:eastAsia="en-US"/>
        </w:rPr>
        <w:t xml:space="preserve">this component could be coordinated with ongoing initiatives </w:t>
      </w:r>
      <w:r w:rsidR="004E6B93" w:rsidRPr="009500F4">
        <w:rPr>
          <w:rFonts w:eastAsia="Calibri" w:cs="Arial"/>
          <w:szCs w:val="22"/>
          <w:lang w:eastAsia="en-US"/>
        </w:rPr>
        <w:t xml:space="preserve">to improve </w:t>
      </w:r>
      <w:r w:rsidRPr="009500F4">
        <w:rPr>
          <w:rFonts w:eastAsia="Calibri" w:cs="Arial"/>
          <w:szCs w:val="22"/>
          <w:lang w:eastAsia="en-US"/>
        </w:rPr>
        <w:t>public sector transparency, public financial management, and anti-corruption</w:t>
      </w:r>
      <w:r w:rsidR="004E6B93" w:rsidRPr="009500F4">
        <w:rPr>
          <w:rFonts w:eastAsia="Calibri" w:cs="Arial"/>
          <w:szCs w:val="22"/>
          <w:lang w:eastAsia="en-US"/>
        </w:rPr>
        <w:t xml:space="preserve"> measures</w:t>
      </w:r>
      <w:r w:rsidRPr="009500F4">
        <w:rPr>
          <w:rFonts w:eastAsia="Calibri" w:cs="Arial"/>
          <w:szCs w:val="22"/>
          <w:lang w:eastAsia="en-US"/>
        </w:rPr>
        <w:t xml:space="preserve">. </w:t>
      </w:r>
      <w:r w:rsidR="004E6B93" w:rsidRPr="009500F4">
        <w:rPr>
          <w:rFonts w:eastAsia="Calibri" w:cs="Arial"/>
          <w:szCs w:val="22"/>
          <w:lang w:eastAsia="en-US"/>
        </w:rPr>
        <w:t xml:space="preserve">Such coordination </w:t>
      </w:r>
      <w:r w:rsidRPr="009500F4">
        <w:rPr>
          <w:rFonts w:eastAsia="Calibri" w:cs="Arial"/>
          <w:szCs w:val="22"/>
          <w:lang w:eastAsia="en-US"/>
        </w:rPr>
        <w:t>might involve joint training and programming with public sector auditors, parliamentarians, civic watchdogs, consumer advocates, and other</w:t>
      </w:r>
      <w:r w:rsidR="004E6B93" w:rsidRPr="009500F4">
        <w:rPr>
          <w:rFonts w:eastAsia="Calibri" w:cs="Arial"/>
          <w:szCs w:val="22"/>
          <w:lang w:eastAsia="en-US"/>
        </w:rPr>
        <w:t xml:space="preserve"> nongovernment organizations</w:t>
      </w:r>
      <w:r w:rsidRPr="009500F4">
        <w:rPr>
          <w:rFonts w:eastAsia="Calibri" w:cs="Arial"/>
          <w:szCs w:val="22"/>
          <w:lang w:eastAsia="en-US"/>
        </w:rPr>
        <w:t>. Bringing multiple relevant capabilities together in this fashion can help generate ideas and energy around the oversight of SOEs and PPPs.</w:t>
      </w:r>
    </w:p>
    <w:p w:rsidR="003E12F1" w:rsidRPr="009500F4" w:rsidRDefault="003E12F1" w:rsidP="003E12F1">
      <w:pPr>
        <w:tabs>
          <w:tab w:val="left" w:pos="567"/>
        </w:tabs>
        <w:rPr>
          <w:rFonts w:eastAsia="Calibri" w:cs="Arial"/>
          <w:szCs w:val="22"/>
          <w:lang w:eastAsia="en-US"/>
        </w:rPr>
      </w:pPr>
    </w:p>
    <w:p w:rsidR="003E12F1" w:rsidRPr="009500F4" w:rsidRDefault="00AD130C" w:rsidP="00170139">
      <w:pPr>
        <w:keepNext/>
        <w:spacing w:after="160"/>
        <w:ind w:left="1080"/>
        <w:outlineLvl w:val="1"/>
        <w:rPr>
          <w:rFonts w:eastAsia="Times New Roman" w:cs="Arial"/>
          <w:b/>
          <w:bCs/>
          <w:iCs/>
          <w:szCs w:val="22"/>
          <w:lang w:eastAsia="en-US"/>
        </w:rPr>
      </w:pPr>
      <w:bookmarkStart w:id="172" w:name="_Toc494271731"/>
      <w:bookmarkStart w:id="173" w:name="_Toc494367956"/>
      <w:bookmarkStart w:id="174" w:name="_Toc494378800"/>
      <w:bookmarkStart w:id="175" w:name="_Toc494378882"/>
      <w:r w:rsidRPr="009500F4">
        <w:rPr>
          <w:rFonts w:eastAsia="Times New Roman" w:cs="Arial"/>
          <w:b/>
          <w:bCs/>
          <w:iCs/>
          <w:szCs w:val="22"/>
          <w:lang w:eastAsia="en-US"/>
        </w:rPr>
        <w:t>4</w:t>
      </w:r>
      <w:r w:rsidR="00386F3B" w:rsidRPr="009500F4">
        <w:rPr>
          <w:rFonts w:eastAsia="Times New Roman" w:cs="Arial"/>
          <w:b/>
          <w:bCs/>
          <w:iCs/>
          <w:szCs w:val="22"/>
          <w:lang w:eastAsia="en-US"/>
        </w:rPr>
        <w:t>.</w:t>
      </w:r>
      <w:r w:rsidR="00386F3B" w:rsidRPr="009500F4">
        <w:rPr>
          <w:rFonts w:eastAsia="Times New Roman" w:cs="Arial"/>
          <w:b/>
          <w:bCs/>
          <w:iCs/>
          <w:szCs w:val="22"/>
          <w:lang w:eastAsia="en-US"/>
        </w:rPr>
        <w:tab/>
      </w:r>
      <w:r w:rsidR="003E12F1" w:rsidRPr="009500F4">
        <w:rPr>
          <w:rFonts w:eastAsia="Times New Roman" w:cs="Arial"/>
          <w:b/>
          <w:bCs/>
          <w:iCs/>
          <w:szCs w:val="22"/>
          <w:lang w:eastAsia="en-US"/>
        </w:rPr>
        <w:t>Economic Empowerment of Women</w:t>
      </w:r>
      <w:bookmarkEnd w:id="172"/>
      <w:bookmarkEnd w:id="173"/>
      <w:bookmarkEnd w:id="174"/>
      <w:bookmarkEnd w:id="175"/>
    </w:p>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The component</w:t>
      </w:r>
      <w:r w:rsidR="004E6B93" w:rsidRPr="009500F4">
        <w:rPr>
          <w:rFonts w:eastAsia="Calibri" w:cs="Arial"/>
          <w:szCs w:val="22"/>
          <w:lang w:eastAsia="en-US"/>
        </w:rPr>
        <w:t xml:space="preserve"> for the economic empowerment of women</w:t>
      </w:r>
      <w:r w:rsidRPr="009500F4">
        <w:rPr>
          <w:rFonts w:eastAsia="Calibri" w:cs="Arial"/>
          <w:szCs w:val="22"/>
          <w:lang w:eastAsia="en-US"/>
        </w:rPr>
        <w:t xml:space="preserve"> has fewer reform victories to its credit than </w:t>
      </w:r>
      <w:r w:rsidR="004E6B93" w:rsidRPr="009500F4">
        <w:rPr>
          <w:rFonts w:eastAsia="Calibri" w:cs="Arial"/>
          <w:szCs w:val="22"/>
          <w:lang w:eastAsia="en-US"/>
        </w:rPr>
        <w:t xml:space="preserve">do </w:t>
      </w:r>
      <w:r w:rsidRPr="009500F4">
        <w:rPr>
          <w:rFonts w:eastAsia="Calibri" w:cs="Arial"/>
          <w:szCs w:val="22"/>
          <w:lang w:eastAsia="en-US"/>
        </w:rPr>
        <w:t xml:space="preserve">other PSDI components. </w:t>
      </w:r>
      <w:r w:rsidR="004E6B93" w:rsidRPr="009500F4">
        <w:rPr>
          <w:rFonts w:eastAsia="Calibri" w:cs="Arial"/>
          <w:szCs w:val="22"/>
          <w:lang w:eastAsia="en-US"/>
        </w:rPr>
        <w:t xml:space="preserve">However, </w:t>
      </w:r>
      <w:r w:rsidR="00562C1F" w:rsidRPr="009500F4">
        <w:rPr>
          <w:rFonts w:eastAsia="Calibri" w:cs="Arial"/>
          <w:szCs w:val="22"/>
          <w:lang w:eastAsia="en-US"/>
        </w:rPr>
        <w:t>g</w:t>
      </w:r>
      <w:r w:rsidRPr="009500F4">
        <w:rPr>
          <w:rFonts w:eastAsia="Calibri" w:cs="Arial"/>
          <w:szCs w:val="22"/>
          <w:lang w:eastAsia="en-US"/>
        </w:rPr>
        <w:t>ender</w:t>
      </w:r>
      <w:r w:rsidR="00562C1F" w:rsidRPr="009500F4">
        <w:rPr>
          <w:rFonts w:eastAsia="Calibri" w:cs="Arial"/>
          <w:szCs w:val="22"/>
          <w:lang w:eastAsia="en-US"/>
        </w:rPr>
        <w:t xml:space="preserve"> equity (</w:t>
      </w:r>
      <w:r w:rsidRPr="009500F4">
        <w:rPr>
          <w:rFonts w:eastAsia="Calibri" w:cs="Arial"/>
          <w:szCs w:val="22"/>
          <w:lang w:eastAsia="en-US"/>
        </w:rPr>
        <w:t>or equal opportunity</w:t>
      </w:r>
      <w:r w:rsidR="00562C1F" w:rsidRPr="009500F4">
        <w:rPr>
          <w:rFonts w:eastAsia="Calibri" w:cs="Arial"/>
          <w:szCs w:val="22"/>
          <w:lang w:eastAsia="en-US"/>
        </w:rPr>
        <w:t>)</w:t>
      </w:r>
      <w:r w:rsidRPr="009500F4">
        <w:rPr>
          <w:rFonts w:eastAsia="Calibri" w:cs="Arial"/>
          <w:szCs w:val="22"/>
          <w:lang w:eastAsia="en-US"/>
        </w:rPr>
        <w:t xml:space="preserve"> is a cross-cutting value that can help motivate reforms in many sectors</w:t>
      </w:r>
      <w:r w:rsidR="00562C1F" w:rsidRPr="009500F4">
        <w:rPr>
          <w:rFonts w:eastAsia="Calibri" w:cs="Arial"/>
          <w:szCs w:val="22"/>
          <w:lang w:eastAsia="en-US"/>
        </w:rPr>
        <w:t>. It</w:t>
      </w:r>
      <w:r w:rsidRPr="009500F4">
        <w:rPr>
          <w:rFonts w:eastAsia="Calibri" w:cs="Arial"/>
          <w:szCs w:val="22"/>
          <w:lang w:eastAsia="en-US"/>
        </w:rPr>
        <w:t xml:space="preserve"> </w:t>
      </w:r>
      <w:r w:rsidR="00562C1F" w:rsidRPr="009500F4">
        <w:rPr>
          <w:rFonts w:eastAsia="Calibri" w:cs="Arial"/>
          <w:szCs w:val="22"/>
          <w:lang w:eastAsia="en-US"/>
        </w:rPr>
        <w:t xml:space="preserve">can </w:t>
      </w:r>
      <w:r w:rsidRPr="009500F4">
        <w:rPr>
          <w:rFonts w:eastAsia="Calibri" w:cs="Arial"/>
          <w:szCs w:val="22"/>
          <w:lang w:eastAsia="en-US"/>
        </w:rPr>
        <w:t>also serv</w:t>
      </w:r>
      <w:r w:rsidR="00562C1F" w:rsidRPr="009500F4">
        <w:rPr>
          <w:rFonts w:eastAsia="Calibri" w:cs="Arial"/>
          <w:szCs w:val="22"/>
          <w:lang w:eastAsia="en-US"/>
        </w:rPr>
        <w:t>e</w:t>
      </w:r>
      <w:r w:rsidRPr="009500F4">
        <w:rPr>
          <w:rFonts w:eastAsia="Calibri" w:cs="Arial"/>
          <w:szCs w:val="22"/>
          <w:lang w:eastAsia="en-US"/>
        </w:rPr>
        <w:t xml:space="preserve"> as a</w:t>
      </w:r>
      <w:r w:rsidR="00562C1F" w:rsidRPr="009500F4">
        <w:rPr>
          <w:rFonts w:eastAsia="Calibri" w:cs="Arial"/>
          <w:szCs w:val="22"/>
          <w:lang w:eastAsia="en-US"/>
        </w:rPr>
        <w:t>n economic</w:t>
      </w:r>
      <w:r w:rsidRPr="009500F4">
        <w:rPr>
          <w:rFonts w:eastAsia="Calibri" w:cs="Arial"/>
          <w:szCs w:val="22"/>
          <w:lang w:eastAsia="en-US"/>
        </w:rPr>
        <w:t xml:space="preserve"> “multiplier” in the sense that advances for women entrepreneurs are advances for all excluded populations, and advances for the excluded generate benefits for the economy as a whole.</w:t>
      </w:r>
    </w:p>
    <w:p w:rsidR="00950BB0" w:rsidRPr="009500F4" w:rsidRDefault="00950BB0" w:rsidP="00170139">
      <w:pPr>
        <w:tabs>
          <w:tab w:val="left" w:pos="567"/>
        </w:tabs>
        <w:rPr>
          <w:rFonts w:eastAsia="Calibri" w:cs="Arial"/>
          <w:szCs w:val="22"/>
          <w:lang w:eastAsia="en-US"/>
        </w:rPr>
      </w:pPr>
    </w:p>
    <w:p w:rsidR="008E6F74" w:rsidRPr="009500F4" w:rsidRDefault="00950BB0" w:rsidP="00170139">
      <w:pPr>
        <w:pStyle w:val="ListParagraph"/>
        <w:numPr>
          <w:ilvl w:val="0"/>
          <w:numId w:val="10"/>
        </w:numPr>
        <w:spacing w:after="0" w:line="240" w:lineRule="auto"/>
        <w:ind w:left="0" w:firstLine="0"/>
      </w:pPr>
      <w:r w:rsidRPr="009500F4">
        <w:t xml:space="preserve">The shift under PSDI III to the new component addressing the economic empowerment of women is </w:t>
      </w:r>
      <w:r w:rsidR="005458D2">
        <w:t>amply justified</w:t>
      </w:r>
      <w:r w:rsidRPr="009500F4">
        <w:t>. Since this component is falling behind its overly optimistic targets</w:t>
      </w:r>
      <w:r w:rsidR="005458D2">
        <w:t>,</w:t>
      </w:r>
      <w:r w:rsidRPr="009500F4">
        <w:rPr>
          <w:vertAlign w:val="superscript"/>
        </w:rPr>
        <w:footnoteReference w:id="27"/>
      </w:r>
      <w:r w:rsidRPr="009500F4">
        <w:t xml:space="preserve"> these activities to empower women need to be accelerated for the remainder of PSDI III.</w:t>
      </w:r>
    </w:p>
    <w:p w:rsidR="00950BB0" w:rsidRPr="009500F4" w:rsidRDefault="00950BB0" w:rsidP="00170139">
      <w:pPr>
        <w:pStyle w:val="ListParagraph"/>
        <w:spacing w:after="0" w:line="240" w:lineRule="auto"/>
        <w:ind w:left="0"/>
      </w:pPr>
    </w:p>
    <w:p w:rsidR="00950BB0" w:rsidRPr="009500F4" w:rsidRDefault="00950BB0" w:rsidP="008E6F74">
      <w:pPr>
        <w:tabs>
          <w:tab w:val="left" w:pos="567"/>
        </w:tabs>
        <w:ind w:left="2342" w:hanging="357"/>
        <w:rPr>
          <w:rFonts w:eastAsia="Calibri" w:cs="Arial"/>
          <w:szCs w:val="22"/>
          <w:lang w:eastAsia="en-US"/>
        </w:rPr>
      </w:pPr>
      <w:r w:rsidRPr="009500F4">
        <w:rPr>
          <w:rFonts w:eastAsia="Calibri" w:cs="Arial"/>
          <w:b/>
          <w:szCs w:val="22"/>
          <w:lang w:eastAsia="en-US"/>
        </w:rPr>
        <w:t>a.</w:t>
      </w:r>
      <w:r w:rsidRPr="009500F4">
        <w:rPr>
          <w:rFonts w:eastAsia="Calibri" w:cs="Arial"/>
          <w:b/>
          <w:szCs w:val="22"/>
          <w:lang w:eastAsia="en-US"/>
        </w:rPr>
        <w:tab/>
        <w:t>Access to</w:t>
      </w:r>
      <w:r w:rsidR="001B158B" w:rsidRPr="009500F4">
        <w:rPr>
          <w:rFonts w:eastAsia="Calibri" w:cs="Arial"/>
          <w:b/>
          <w:szCs w:val="22"/>
          <w:lang w:eastAsia="en-US"/>
        </w:rPr>
        <w:t xml:space="preserve"> Finance</w:t>
      </w:r>
    </w:p>
    <w:p w:rsidR="00950BB0" w:rsidRPr="009500F4" w:rsidRDefault="00950BB0" w:rsidP="00170139">
      <w:pPr>
        <w:tabs>
          <w:tab w:val="left" w:pos="567"/>
        </w:tabs>
        <w:rPr>
          <w:rFonts w:eastAsia="Calibri" w:cs="Arial"/>
          <w:szCs w:val="22"/>
          <w:lang w:eastAsia="en-US"/>
        </w:rPr>
      </w:pPr>
    </w:p>
    <w:p w:rsidR="00950BB0" w:rsidRPr="009500F4" w:rsidRDefault="00BB59B4" w:rsidP="00170139">
      <w:pPr>
        <w:pStyle w:val="ListParagraph"/>
        <w:numPr>
          <w:ilvl w:val="0"/>
          <w:numId w:val="10"/>
        </w:numPr>
        <w:tabs>
          <w:tab w:val="left" w:pos="567"/>
        </w:tabs>
        <w:spacing w:after="0" w:line="240" w:lineRule="auto"/>
        <w:ind w:left="0" w:firstLine="0"/>
      </w:pPr>
      <w:r w:rsidRPr="009500F4">
        <w:t>Over the remainder of PSDI III, a</w:t>
      </w:r>
      <w:r w:rsidR="00950BB0" w:rsidRPr="009500F4">
        <w:t xml:space="preserve">n intensified effort is needed to overcome the existing constraints </w:t>
      </w:r>
      <w:r w:rsidRPr="009500F4">
        <w:t xml:space="preserve">inhibiting </w:t>
      </w:r>
      <w:r w:rsidR="00950BB0" w:rsidRPr="009500F4">
        <w:t xml:space="preserve">women’s access to financial resources in </w:t>
      </w:r>
      <w:r w:rsidRPr="009500F4">
        <w:t>Pacific DMCs</w:t>
      </w:r>
      <w:r w:rsidR="00950BB0" w:rsidRPr="009500F4">
        <w:t xml:space="preserve">. It is particularly ironic that Pacific financial institutions are generally characterized </w:t>
      </w:r>
      <w:r w:rsidRPr="009500F4">
        <w:t xml:space="preserve">as having </w:t>
      </w:r>
      <w:r w:rsidR="00950BB0" w:rsidRPr="009500F4">
        <w:t xml:space="preserve">excess liquidity. </w:t>
      </w:r>
      <w:r w:rsidRPr="009500F4">
        <w:t>PSDI should help</w:t>
      </w:r>
      <w:r w:rsidR="00950BB0" w:rsidRPr="009500F4">
        <w:t xml:space="preserve"> design instruments that can appeal to the risk</w:t>
      </w:r>
      <w:r w:rsidRPr="009500F4">
        <w:t>-</w:t>
      </w:r>
      <w:r w:rsidR="00950BB0" w:rsidRPr="009500F4">
        <w:t>adverse commercial banks</w:t>
      </w:r>
      <w:r w:rsidRPr="009500F4">
        <w:t>,</w:t>
      </w:r>
      <w:r w:rsidR="00950BB0" w:rsidRPr="009500F4">
        <w:t xml:space="preserve"> and be promoted by their </w:t>
      </w:r>
      <w:r w:rsidRPr="009500F4">
        <w:t xml:space="preserve">respective </w:t>
      </w:r>
      <w:r w:rsidR="009500F4">
        <w:t>central banks.</w:t>
      </w:r>
    </w:p>
    <w:p w:rsidR="00562C1F" w:rsidRPr="009500F4" w:rsidRDefault="00562C1F" w:rsidP="00170139">
      <w:pPr>
        <w:tabs>
          <w:tab w:val="left" w:pos="567"/>
        </w:tabs>
        <w:rPr>
          <w:rFonts w:eastAsia="Calibri" w:cs="Arial"/>
          <w:szCs w:val="22"/>
          <w:lang w:eastAsia="en-US"/>
        </w:rPr>
      </w:pPr>
    </w:p>
    <w:p w:rsidR="00562C1F" w:rsidRPr="009500F4" w:rsidRDefault="00BB59B4" w:rsidP="00170139">
      <w:pPr>
        <w:tabs>
          <w:tab w:val="left" w:pos="567"/>
        </w:tabs>
        <w:ind w:left="2342" w:hanging="357"/>
        <w:rPr>
          <w:rFonts w:eastAsia="Calibri" w:cs="Arial"/>
          <w:szCs w:val="22"/>
          <w:lang w:eastAsia="en-US"/>
        </w:rPr>
      </w:pPr>
      <w:r w:rsidRPr="009500F4">
        <w:rPr>
          <w:rFonts w:eastAsia="Calibri" w:cs="Arial"/>
          <w:b/>
          <w:szCs w:val="22"/>
          <w:lang w:eastAsia="en-US"/>
        </w:rPr>
        <w:t>b</w:t>
      </w:r>
      <w:r w:rsidR="000C15E8">
        <w:rPr>
          <w:rFonts w:eastAsia="Calibri" w:cs="Arial"/>
          <w:b/>
          <w:szCs w:val="22"/>
          <w:lang w:eastAsia="en-US"/>
        </w:rPr>
        <w:t>.</w:t>
      </w:r>
      <w:r w:rsidR="00562C1F" w:rsidRPr="009500F4">
        <w:rPr>
          <w:rFonts w:eastAsia="Calibri" w:cs="Arial"/>
          <w:b/>
          <w:szCs w:val="22"/>
          <w:lang w:eastAsia="en-US"/>
        </w:rPr>
        <w:tab/>
        <w:t xml:space="preserve">Pilots </w:t>
      </w:r>
      <w:r w:rsidR="007E0264" w:rsidRPr="009500F4">
        <w:rPr>
          <w:rFonts w:eastAsia="Calibri" w:cs="Arial"/>
          <w:b/>
          <w:szCs w:val="22"/>
          <w:lang w:eastAsia="en-US"/>
        </w:rPr>
        <w:t>and</w:t>
      </w:r>
      <w:r w:rsidR="00562C1F" w:rsidRPr="009500F4">
        <w:rPr>
          <w:rFonts w:eastAsia="Calibri" w:cs="Arial"/>
          <w:b/>
          <w:szCs w:val="22"/>
          <w:lang w:eastAsia="en-US"/>
        </w:rPr>
        <w:t xml:space="preserve"> Mainstreaming</w:t>
      </w:r>
    </w:p>
    <w:p w:rsidR="003E12F1" w:rsidRPr="009500F4" w:rsidRDefault="003E12F1" w:rsidP="008E6F74"/>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There is no </w:t>
      </w:r>
      <w:r w:rsidR="00562C1F" w:rsidRPr="009500F4">
        <w:rPr>
          <w:rFonts w:eastAsia="Calibri" w:cs="Arial"/>
          <w:szCs w:val="22"/>
          <w:lang w:eastAsia="en-US"/>
        </w:rPr>
        <w:t xml:space="preserve">clear </w:t>
      </w:r>
      <w:r w:rsidRPr="009500F4">
        <w:rPr>
          <w:rFonts w:eastAsia="Calibri" w:cs="Arial"/>
          <w:szCs w:val="22"/>
          <w:lang w:eastAsia="en-US"/>
        </w:rPr>
        <w:t>line between standalone gender activities</w:t>
      </w:r>
      <w:r w:rsidR="00562C1F" w:rsidRPr="009500F4">
        <w:rPr>
          <w:rFonts w:eastAsia="Calibri" w:cs="Arial"/>
          <w:szCs w:val="22"/>
          <w:lang w:eastAsia="en-US"/>
        </w:rPr>
        <w:t>,</w:t>
      </w:r>
      <w:r w:rsidRPr="009500F4">
        <w:rPr>
          <w:rFonts w:eastAsia="Calibri" w:cs="Arial"/>
          <w:szCs w:val="22"/>
          <w:lang w:eastAsia="en-US"/>
        </w:rPr>
        <w:t xml:space="preserve"> such as pilot</w:t>
      </w:r>
      <w:r w:rsidR="00562C1F" w:rsidRPr="009500F4">
        <w:rPr>
          <w:rFonts w:eastAsia="Calibri" w:cs="Arial"/>
          <w:szCs w:val="22"/>
          <w:lang w:eastAsia="en-US"/>
        </w:rPr>
        <w:t xml:space="preserve"> project</w:t>
      </w:r>
      <w:r w:rsidRPr="009500F4">
        <w:rPr>
          <w:rFonts w:eastAsia="Calibri" w:cs="Arial"/>
          <w:szCs w:val="22"/>
          <w:lang w:eastAsia="en-US"/>
        </w:rPr>
        <w:t>s</w:t>
      </w:r>
      <w:r w:rsidR="00562C1F" w:rsidRPr="009500F4">
        <w:rPr>
          <w:rFonts w:eastAsia="Calibri" w:cs="Arial"/>
          <w:szCs w:val="22"/>
          <w:lang w:eastAsia="en-US"/>
        </w:rPr>
        <w:t>,</w:t>
      </w:r>
      <w:r w:rsidRPr="009500F4">
        <w:rPr>
          <w:rFonts w:eastAsia="Calibri" w:cs="Arial"/>
          <w:szCs w:val="22"/>
          <w:lang w:eastAsia="en-US"/>
        </w:rPr>
        <w:t xml:space="preserve"> and mainstreaming activities. The</w:t>
      </w:r>
      <w:r w:rsidR="00562C1F" w:rsidRPr="009500F4">
        <w:rPr>
          <w:rFonts w:eastAsia="Calibri" w:cs="Arial"/>
          <w:szCs w:val="22"/>
          <w:lang w:eastAsia="en-US"/>
        </w:rPr>
        <w:t>se activities share the same</w:t>
      </w:r>
      <w:r w:rsidRPr="009500F4">
        <w:rPr>
          <w:rFonts w:eastAsia="Calibri" w:cs="Arial"/>
          <w:szCs w:val="22"/>
          <w:lang w:eastAsia="en-US"/>
        </w:rPr>
        <w:t xml:space="preserve"> goal</w:t>
      </w:r>
      <w:r w:rsidR="00562C1F" w:rsidRPr="009500F4">
        <w:rPr>
          <w:rFonts w:eastAsia="Calibri" w:cs="Arial"/>
          <w:szCs w:val="22"/>
          <w:lang w:eastAsia="en-US"/>
        </w:rPr>
        <w:t>:</w:t>
      </w:r>
      <w:r w:rsidRPr="009500F4">
        <w:rPr>
          <w:rFonts w:eastAsia="Calibri" w:cs="Arial"/>
          <w:szCs w:val="22"/>
          <w:lang w:eastAsia="en-US"/>
        </w:rPr>
        <w:t xml:space="preserve"> better economic governance and access to opportunities for the excluded. Pilot projects are relatively low-risk, low-benefit activities, essentially output-oriented with no particular claim to sustainability. </w:t>
      </w:r>
      <w:r w:rsidR="00562C1F" w:rsidRPr="009500F4">
        <w:rPr>
          <w:rFonts w:eastAsia="Calibri" w:cs="Arial"/>
          <w:szCs w:val="22"/>
          <w:lang w:eastAsia="en-US"/>
        </w:rPr>
        <w:t>T</w:t>
      </w:r>
      <w:r w:rsidRPr="009500F4">
        <w:rPr>
          <w:rFonts w:eastAsia="Calibri" w:cs="Arial"/>
          <w:szCs w:val="22"/>
          <w:lang w:eastAsia="en-US"/>
        </w:rPr>
        <w:t>hey can</w:t>
      </w:r>
      <w:r w:rsidR="00562C1F" w:rsidRPr="009500F4">
        <w:rPr>
          <w:rFonts w:eastAsia="Calibri" w:cs="Arial"/>
          <w:szCs w:val="22"/>
          <w:lang w:eastAsia="en-US"/>
        </w:rPr>
        <w:t>, however,</w:t>
      </w:r>
      <w:r w:rsidRPr="009500F4">
        <w:rPr>
          <w:rFonts w:eastAsia="Calibri" w:cs="Arial"/>
          <w:szCs w:val="22"/>
          <w:lang w:eastAsia="en-US"/>
        </w:rPr>
        <w:t xml:space="preserve"> </w:t>
      </w:r>
      <w:r w:rsidR="00562C1F" w:rsidRPr="009500F4">
        <w:rPr>
          <w:rFonts w:eastAsia="Calibri" w:cs="Arial"/>
          <w:szCs w:val="22"/>
          <w:lang w:eastAsia="en-US"/>
        </w:rPr>
        <w:t>add</w:t>
      </w:r>
      <w:r w:rsidRPr="009500F4">
        <w:rPr>
          <w:rFonts w:eastAsia="Calibri" w:cs="Arial"/>
          <w:szCs w:val="22"/>
          <w:lang w:eastAsia="en-US"/>
        </w:rPr>
        <w:t xml:space="preserve"> momentum to mainstreaming efforts by building capacity, experience, and access</w:t>
      </w:r>
      <w:r w:rsidR="00562C1F" w:rsidRPr="009500F4">
        <w:rPr>
          <w:rFonts w:eastAsia="Calibri" w:cs="Arial"/>
          <w:szCs w:val="22"/>
          <w:lang w:eastAsia="en-US"/>
        </w:rPr>
        <w:t xml:space="preserve"> to opportunities</w:t>
      </w:r>
      <w:r w:rsidRPr="009500F4">
        <w:rPr>
          <w:rFonts w:eastAsia="Calibri" w:cs="Arial"/>
          <w:szCs w:val="22"/>
          <w:lang w:eastAsia="en-US"/>
        </w:rPr>
        <w:t xml:space="preserve"> for women as entrepreneurs and business leaders. In view of this, PSDI should consider </w:t>
      </w:r>
      <w:r w:rsidR="00562C1F" w:rsidRPr="009500F4">
        <w:rPr>
          <w:rFonts w:eastAsia="Calibri" w:cs="Arial"/>
          <w:szCs w:val="22"/>
          <w:lang w:eastAsia="en-US"/>
        </w:rPr>
        <w:t xml:space="preserve">undertaking </w:t>
      </w:r>
      <w:r w:rsidRPr="009500F4">
        <w:rPr>
          <w:rFonts w:eastAsia="Calibri" w:cs="Arial"/>
          <w:szCs w:val="22"/>
          <w:lang w:eastAsia="en-US"/>
        </w:rPr>
        <w:t>additional pilot</w:t>
      </w:r>
      <w:r w:rsidR="007E0264" w:rsidRPr="009500F4">
        <w:rPr>
          <w:rFonts w:eastAsia="Calibri" w:cs="Arial"/>
          <w:szCs w:val="22"/>
          <w:lang w:eastAsia="en-US"/>
        </w:rPr>
        <w:t xml:space="preserve"> project</w:t>
      </w:r>
      <w:r w:rsidRPr="009500F4">
        <w:rPr>
          <w:rFonts w:eastAsia="Calibri" w:cs="Arial"/>
          <w:szCs w:val="22"/>
          <w:lang w:eastAsia="en-US"/>
        </w:rPr>
        <w:t>s in support of mainstreaming objectives</w:t>
      </w:r>
      <w:r w:rsidR="00562C1F" w:rsidRPr="009500F4">
        <w:rPr>
          <w:rFonts w:eastAsia="Calibri" w:cs="Arial"/>
          <w:szCs w:val="22"/>
          <w:lang w:eastAsia="en-US"/>
        </w:rPr>
        <w:t>,</w:t>
      </w:r>
      <w:r w:rsidRPr="009500F4">
        <w:rPr>
          <w:rFonts w:eastAsia="Calibri" w:cs="Arial"/>
          <w:szCs w:val="22"/>
          <w:lang w:eastAsia="en-US"/>
        </w:rPr>
        <w:t xml:space="preserve"> or aligning its mainstreaming activities with gender</w:t>
      </w:r>
      <w:r w:rsidR="00562C1F" w:rsidRPr="009500F4">
        <w:rPr>
          <w:rFonts w:eastAsia="Calibri" w:cs="Arial"/>
          <w:szCs w:val="22"/>
          <w:lang w:eastAsia="en-US"/>
        </w:rPr>
        <w:t>-</w:t>
      </w:r>
      <w:r w:rsidRPr="009500F4">
        <w:rPr>
          <w:rFonts w:eastAsia="Calibri" w:cs="Arial"/>
          <w:szCs w:val="22"/>
          <w:lang w:eastAsia="en-US"/>
        </w:rPr>
        <w:t xml:space="preserve">equity pilots being carried out by other organizations. PSDI could </w:t>
      </w:r>
      <w:r w:rsidR="00562C1F" w:rsidRPr="009500F4">
        <w:rPr>
          <w:rFonts w:eastAsia="Calibri" w:cs="Arial"/>
          <w:szCs w:val="22"/>
          <w:lang w:eastAsia="en-US"/>
        </w:rPr>
        <w:t xml:space="preserve">perhaps </w:t>
      </w:r>
      <w:r w:rsidRPr="009500F4">
        <w:rPr>
          <w:rFonts w:eastAsia="Calibri" w:cs="Arial"/>
          <w:szCs w:val="22"/>
          <w:lang w:eastAsia="en-US"/>
        </w:rPr>
        <w:t xml:space="preserve">be accorded a voice in DFAT and MFAT </w:t>
      </w:r>
      <w:r w:rsidR="007E0264" w:rsidRPr="009500F4">
        <w:rPr>
          <w:rFonts w:eastAsia="Calibri" w:cs="Arial"/>
          <w:szCs w:val="22"/>
          <w:lang w:eastAsia="en-US"/>
        </w:rPr>
        <w:t>decision</w:t>
      </w:r>
      <w:r w:rsidRPr="009500F4">
        <w:rPr>
          <w:rFonts w:eastAsia="Calibri" w:cs="Arial"/>
          <w:szCs w:val="22"/>
          <w:lang w:eastAsia="en-US"/>
        </w:rPr>
        <w:t>-making</w:t>
      </w:r>
      <w:r w:rsidR="007E0264" w:rsidRPr="009500F4">
        <w:rPr>
          <w:rFonts w:eastAsia="Calibri" w:cs="Arial"/>
          <w:szCs w:val="22"/>
          <w:lang w:eastAsia="en-US"/>
        </w:rPr>
        <w:t xml:space="preserve"> on grants</w:t>
      </w:r>
      <w:r w:rsidRPr="009500F4">
        <w:rPr>
          <w:rFonts w:eastAsia="Calibri" w:cs="Arial"/>
          <w:szCs w:val="22"/>
          <w:lang w:eastAsia="en-US"/>
        </w:rPr>
        <w:t xml:space="preserve"> for gender </w:t>
      </w:r>
      <w:r w:rsidRPr="009500F4">
        <w:rPr>
          <w:rFonts w:eastAsia="Calibri" w:cs="Arial"/>
          <w:szCs w:val="22"/>
          <w:lang w:eastAsia="en-US"/>
        </w:rPr>
        <w:lastRenderedPageBreak/>
        <w:t>projects (e.g.</w:t>
      </w:r>
      <w:r w:rsidR="007E0264" w:rsidRPr="009500F4">
        <w:rPr>
          <w:rFonts w:eastAsia="Calibri" w:cs="Arial"/>
          <w:szCs w:val="22"/>
          <w:lang w:eastAsia="en-US"/>
        </w:rPr>
        <w:t>,</w:t>
      </w:r>
      <w:r w:rsidRPr="009500F4">
        <w:rPr>
          <w:rFonts w:eastAsia="Calibri" w:cs="Arial"/>
          <w:szCs w:val="22"/>
          <w:lang w:eastAsia="en-US"/>
        </w:rPr>
        <w:t xml:space="preserve"> for research, advocacy, </w:t>
      </w:r>
      <w:r w:rsidR="007E0264" w:rsidRPr="009500F4">
        <w:rPr>
          <w:rFonts w:eastAsia="Calibri" w:cs="Arial"/>
          <w:szCs w:val="22"/>
          <w:lang w:eastAsia="en-US"/>
        </w:rPr>
        <w:t xml:space="preserve">or </w:t>
      </w:r>
      <w:r w:rsidRPr="009500F4">
        <w:rPr>
          <w:rFonts w:eastAsia="Calibri" w:cs="Arial"/>
          <w:szCs w:val="22"/>
          <w:lang w:eastAsia="en-US"/>
        </w:rPr>
        <w:t>training) to increase synergy across the two domains of activity.</w:t>
      </w:r>
    </w:p>
    <w:p w:rsidR="007E0264" w:rsidRPr="009500F4" w:rsidRDefault="007E0264" w:rsidP="00170139">
      <w:pPr>
        <w:tabs>
          <w:tab w:val="left" w:pos="567"/>
        </w:tabs>
        <w:rPr>
          <w:rFonts w:eastAsia="Calibri" w:cs="Arial"/>
          <w:szCs w:val="22"/>
          <w:lang w:eastAsia="en-US"/>
        </w:rPr>
      </w:pPr>
    </w:p>
    <w:p w:rsidR="007E0264" w:rsidRPr="009500F4" w:rsidRDefault="00BB59B4" w:rsidP="00170139">
      <w:pPr>
        <w:tabs>
          <w:tab w:val="left" w:pos="567"/>
        </w:tabs>
        <w:ind w:left="2342" w:hanging="357"/>
        <w:rPr>
          <w:rFonts w:eastAsia="Calibri" w:cs="Arial"/>
          <w:b/>
          <w:szCs w:val="22"/>
          <w:lang w:eastAsia="en-US"/>
        </w:rPr>
      </w:pPr>
      <w:r w:rsidRPr="009500F4">
        <w:rPr>
          <w:rFonts w:eastAsia="Calibri" w:cs="Arial"/>
          <w:b/>
          <w:szCs w:val="22"/>
          <w:lang w:eastAsia="en-US"/>
        </w:rPr>
        <w:t>c</w:t>
      </w:r>
      <w:r w:rsidR="000C15E8">
        <w:rPr>
          <w:rFonts w:eastAsia="Calibri" w:cs="Arial"/>
          <w:b/>
          <w:szCs w:val="22"/>
          <w:lang w:eastAsia="en-US"/>
        </w:rPr>
        <w:t>.</w:t>
      </w:r>
      <w:r w:rsidR="00020A57">
        <w:rPr>
          <w:rFonts w:eastAsia="Calibri" w:cs="Arial"/>
          <w:b/>
          <w:szCs w:val="22"/>
          <w:lang w:eastAsia="en-US"/>
        </w:rPr>
        <w:tab/>
        <w:t>Leadership</w:t>
      </w:r>
    </w:p>
    <w:p w:rsidR="003E12F1" w:rsidRPr="009500F4" w:rsidRDefault="003E12F1" w:rsidP="003E12F1"/>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Th</w:t>
      </w:r>
      <w:r w:rsidR="007E0264" w:rsidRPr="009500F4">
        <w:rPr>
          <w:rFonts w:eastAsia="Calibri" w:cs="Arial"/>
          <w:szCs w:val="22"/>
          <w:lang w:eastAsia="en-US"/>
        </w:rPr>
        <w:t>e</w:t>
      </w:r>
      <w:r w:rsidRPr="009500F4">
        <w:rPr>
          <w:rFonts w:eastAsia="Calibri" w:cs="Arial"/>
          <w:szCs w:val="22"/>
          <w:lang w:eastAsia="en-US"/>
        </w:rPr>
        <w:t xml:space="preserve"> component</w:t>
      </w:r>
      <w:r w:rsidR="007E0264" w:rsidRPr="009500F4">
        <w:rPr>
          <w:rFonts w:eastAsia="Calibri" w:cs="Arial"/>
          <w:szCs w:val="22"/>
          <w:lang w:eastAsia="en-US"/>
        </w:rPr>
        <w:t xml:space="preserve"> for the economic empowerment of women</w:t>
      </w:r>
      <w:r w:rsidRPr="009500F4">
        <w:rPr>
          <w:rFonts w:eastAsia="Calibri" w:cs="Arial"/>
          <w:szCs w:val="22"/>
          <w:lang w:eastAsia="en-US"/>
        </w:rPr>
        <w:t xml:space="preserve"> benefited greatly from having a strong, knowledgeable advocate on the senior consulting team. In the absence of such an advocate on a full</w:t>
      </w:r>
      <w:r w:rsidR="007E0264" w:rsidRPr="009500F4">
        <w:rPr>
          <w:rFonts w:eastAsia="Calibri" w:cs="Arial"/>
          <w:szCs w:val="22"/>
          <w:lang w:eastAsia="en-US"/>
        </w:rPr>
        <w:t>-</w:t>
      </w:r>
      <w:r w:rsidRPr="009500F4">
        <w:rPr>
          <w:rFonts w:eastAsia="Calibri" w:cs="Arial"/>
          <w:szCs w:val="22"/>
          <w:lang w:eastAsia="en-US"/>
        </w:rPr>
        <w:t xml:space="preserve">time basis, there is a risk that the focus and energy that had been applied to </w:t>
      </w:r>
      <w:r w:rsidR="007E0264" w:rsidRPr="009500F4">
        <w:rPr>
          <w:rFonts w:eastAsia="Calibri" w:cs="Arial"/>
          <w:szCs w:val="22"/>
          <w:lang w:eastAsia="en-US"/>
        </w:rPr>
        <w:t xml:space="preserve">this component’s </w:t>
      </w:r>
      <w:r w:rsidRPr="009500F4">
        <w:rPr>
          <w:rFonts w:eastAsia="Calibri" w:cs="Arial"/>
          <w:szCs w:val="22"/>
          <w:lang w:eastAsia="en-US"/>
        </w:rPr>
        <w:t xml:space="preserve">activities will be lost, with other technical objectives taking priority. PSDI should </w:t>
      </w:r>
      <w:r w:rsidR="007E0264" w:rsidRPr="009500F4">
        <w:rPr>
          <w:rFonts w:eastAsia="Calibri" w:cs="Arial"/>
          <w:szCs w:val="22"/>
          <w:lang w:eastAsia="en-US"/>
        </w:rPr>
        <w:t xml:space="preserve">consider having </w:t>
      </w:r>
      <w:r w:rsidRPr="009500F4">
        <w:rPr>
          <w:rFonts w:eastAsia="Calibri" w:cs="Arial"/>
          <w:szCs w:val="22"/>
          <w:lang w:eastAsia="en-US"/>
        </w:rPr>
        <w:t>an expert</w:t>
      </w:r>
      <w:r w:rsidR="007E0264" w:rsidRPr="009500F4">
        <w:rPr>
          <w:rFonts w:eastAsia="Calibri" w:cs="Arial"/>
          <w:szCs w:val="22"/>
          <w:lang w:eastAsia="en-US"/>
        </w:rPr>
        <w:t xml:space="preserve"> in the economic empowerment of women</w:t>
      </w:r>
      <w:r w:rsidRPr="009500F4">
        <w:rPr>
          <w:rFonts w:eastAsia="Calibri" w:cs="Arial"/>
          <w:szCs w:val="22"/>
          <w:lang w:eastAsia="en-US"/>
        </w:rPr>
        <w:t xml:space="preserve"> on </w:t>
      </w:r>
      <w:r w:rsidR="007E0264" w:rsidRPr="009500F4">
        <w:rPr>
          <w:rFonts w:eastAsia="Calibri" w:cs="Arial"/>
          <w:szCs w:val="22"/>
          <w:lang w:eastAsia="en-US"/>
        </w:rPr>
        <w:t xml:space="preserve">its </w:t>
      </w:r>
      <w:r w:rsidRPr="009500F4">
        <w:rPr>
          <w:rFonts w:eastAsia="Calibri" w:cs="Arial"/>
          <w:szCs w:val="22"/>
          <w:lang w:eastAsia="en-US"/>
        </w:rPr>
        <w:t xml:space="preserve">core team. Given the </w:t>
      </w:r>
      <w:r w:rsidR="00EC32AF" w:rsidRPr="009500F4">
        <w:rPr>
          <w:rFonts w:eastAsia="Calibri" w:cs="Arial"/>
          <w:szCs w:val="22"/>
          <w:lang w:eastAsia="en-US"/>
        </w:rPr>
        <w:t>emphasis</w:t>
      </w:r>
      <w:r w:rsidR="007E0264" w:rsidRPr="009500F4">
        <w:rPr>
          <w:rFonts w:eastAsia="Calibri" w:cs="Arial"/>
          <w:szCs w:val="22"/>
          <w:lang w:eastAsia="en-US"/>
        </w:rPr>
        <w:t xml:space="preserve"> </w:t>
      </w:r>
      <w:r w:rsidRPr="009500F4">
        <w:rPr>
          <w:rFonts w:eastAsia="Calibri" w:cs="Arial"/>
          <w:szCs w:val="22"/>
          <w:lang w:eastAsia="en-US"/>
        </w:rPr>
        <w:t xml:space="preserve">on mainstreaming, this expert should be tasked with vetting technical initiatives in the other components to ensure that aspects </w:t>
      </w:r>
      <w:r w:rsidR="007E0264" w:rsidRPr="009500F4">
        <w:rPr>
          <w:rFonts w:eastAsia="Calibri" w:cs="Arial"/>
          <w:szCs w:val="22"/>
          <w:lang w:eastAsia="en-US"/>
        </w:rPr>
        <w:t xml:space="preserve">of empowering women </w:t>
      </w:r>
      <w:r w:rsidRPr="009500F4">
        <w:rPr>
          <w:rFonts w:eastAsia="Calibri" w:cs="Arial"/>
          <w:szCs w:val="22"/>
          <w:lang w:eastAsia="en-US"/>
        </w:rPr>
        <w:t>are given appropriate treatment</w:t>
      </w:r>
      <w:r w:rsidR="007E0264" w:rsidRPr="009500F4">
        <w:rPr>
          <w:rFonts w:eastAsia="Calibri" w:cs="Arial"/>
          <w:szCs w:val="22"/>
          <w:lang w:eastAsia="en-US"/>
        </w:rPr>
        <w:t xml:space="preserve"> across PSDI’s scope of works</w:t>
      </w:r>
      <w:r w:rsidRPr="009500F4">
        <w:rPr>
          <w:rFonts w:eastAsia="Calibri" w:cs="Arial"/>
          <w:szCs w:val="22"/>
          <w:lang w:eastAsia="en-US"/>
        </w:rPr>
        <w:t>.</w:t>
      </w:r>
    </w:p>
    <w:p w:rsidR="007E0264" w:rsidRPr="009500F4" w:rsidRDefault="007E0264" w:rsidP="00170139">
      <w:pPr>
        <w:tabs>
          <w:tab w:val="left" w:pos="567"/>
        </w:tabs>
        <w:rPr>
          <w:rFonts w:eastAsia="Calibri" w:cs="Arial"/>
          <w:szCs w:val="22"/>
          <w:lang w:eastAsia="en-US"/>
        </w:rPr>
      </w:pPr>
    </w:p>
    <w:p w:rsidR="007E0264" w:rsidRPr="009500F4" w:rsidRDefault="00BB59B4" w:rsidP="00170139">
      <w:pPr>
        <w:tabs>
          <w:tab w:val="left" w:pos="567"/>
        </w:tabs>
        <w:ind w:left="2342" w:hanging="357"/>
        <w:rPr>
          <w:rFonts w:eastAsia="Calibri" w:cs="Arial"/>
          <w:b/>
          <w:szCs w:val="22"/>
          <w:lang w:eastAsia="en-US"/>
        </w:rPr>
      </w:pPr>
      <w:r w:rsidRPr="009500F4">
        <w:rPr>
          <w:rFonts w:eastAsia="Calibri" w:cs="Arial"/>
          <w:b/>
          <w:szCs w:val="22"/>
          <w:lang w:eastAsia="en-US"/>
        </w:rPr>
        <w:t>d</w:t>
      </w:r>
      <w:r w:rsidR="000C15E8">
        <w:rPr>
          <w:rFonts w:eastAsia="Calibri" w:cs="Arial"/>
          <w:b/>
          <w:szCs w:val="22"/>
          <w:lang w:eastAsia="en-US"/>
        </w:rPr>
        <w:t>.</w:t>
      </w:r>
      <w:r w:rsidR="007E0264" w:rsidRPr="009500F4">
        <w:rPr>
          <w:rFonts w:eastAsia="Calibri" w:cs="Arial"/>
          <w:b/>
          <w:szCs w:val="22"/>
          <w:lang w:eastAsia="en-US"/>
        </w:rPr>
        <w:tab/>
        <w:t>Metrics</w:t>
      </w:r>
    </w:p>
    <w:p w:rsidR="003E12F1" w:rsidRPr="009500F4" w:rsidRDefault="003E12F1" w:rsidP="003E12F1"/>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Consideration should be given to developing more explicit and relevant metrics</w:t>
      </w:r>
      <w:r w:rsidR="007E0264" w:rsidRPr="009500F4">
        <w:rPr>
          <w:rFonts w:eastAsia="Calibri" w:cs="Arial"/>
          <w:szCs w:val="22"/>
          <w:lang w:eastAsia="en-US"/>
        </w:rPr>
        <w:t xml:space="preserve"> on the economic empowerment of women</w:t>
      </w:r>
      <w:r w:rsidRPr="009500F4">
        <w:rPr>
          <w:rFonts w:eastAsia="Calibri" w:cs="Arial"/>
          <w:szCs w:val="22"/>
          <w:lang w:eastAsia="en-US"/>
        </w:rPr>
        <w:t xml:space="preserve"> in the M&amp;E systems for each PSDI technical component.</w:t>
      </w:r>
    </w:p>
    <w:p w:rsidR="001D0C7D" w:rsidRPr="009500F4" w:rsidRDefault="001D0C7D" w:rsidP="00170139">
      <w:pPr>
        <w:tabs>
          <w:tab w:val="left" w:pos="567"/>
        </w:tabs>
        <w:rPr>
          <w:rFonts w:eastAsia="Calibri" w:cs="Arial"/>
          <w:szCs w:val="22"/>
          <w:lang w:eastAsia="en-US"/>
        </w:rPr>
      </w:pPr>
    </w:p>
    <w:p w:rsidR="001D0C7D" w:rsidRPr="009500F4" w:rsidRDefault="00AD130C" w:rsidP="00170139">
      <w:pPr>
        <w:keepNext/>
        <w:spacing w:after="160"/>
        <w:ind w:left="1080"/>
        <w:outlineLvl w:val="1"/>
        <w:rPr>
          <w:rFonts w:eastAsia="Times New Roman" w:cs="Arial"/>
          <w:b/>
          <w:bCs/>
          <w:iCs/>
          <w:szCs w:val="22"/>
          <w:lang w:eastAsia="en-US"/>
        </w:rPr>
      </w:pPr>
      <w:r w:rsidRPr="009500F4">
        <w:rPr>
          <w:rFonts w:eastAsia="Times New Roman" w:cs="Arial"/>
          <w:b/>
          <w:bCs/>
          <w:iCs/>
          <w:szCs w:val="22"/>
          <w:lang w:eastAsia="en-US"/>
        </w:rPr>
        <w:t>5</w:t>
      </w:r>
      <w:r w:rsidR="001D0C7D" w:rsidRPr="009500F4">
        <w:rPr>
          <w:rFonts w:eastAsia="Times New Roman" w:cs="Arial"/>
          <w:b/>
          <w:bCs/>
          <w:iCs/>
          <w:szCs w:val="22"/>
          <w:lang w:eastAsia="en-US"/>
        </w:rPr>
        <w:t>.</w:t>
      </w:r>
      <w:r w:rsidR="001D0C7D" w:rsidRPr="009500F4">
        <w:rPr>
          <w:rFonts w:eastAsia="Times New Roman" w:cs="Arial"/>
          <w:b/>
          <w:bCs/>
          <w:iCs/>
          <w:szCs w:val="22"/>
          <w:lang w:eastAsia="en-US"/>
        </w:rPr>
        <w:tab/>
        <w:t>Competition Policy and Consumer Protection</w:t>
      </w:r>
    </w:p>
    <w:p w:rsidR="001D0C7D" w:rsidRPr="009500F4" w:rsidRDefault="001D0C7D"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 should continue its initiatives in the </w:t>
      </w:r>
      <w:r w:rsidR="00756411" w:rsidRPr="009500F4">
        <w:rPr>
          <w:rFonts w:eastAsia="Calibri" w:cs="Arial"/>
          <w:szCs w:val="22"/>
          <w:lang w:eastAsia="en-US"/>
        </w:rPr>
        <w:t xml:space="preserve">areas of </w:t>
      </w:r>
      <w:r w:rsidRPr="009500F4">
        <w:rPr>
          <w:rFonts w:eastAsia="Calibri" w:cs="Arial"/>
          <w:szCs w:val="22"/>
          <w:lang w:eastAsia="en-US"/>
        </w:rPr>
        <w:t xml:space="preserve">competition </w:t>
      </w:r>
      <w:r w:rsidR="00756411" w:rsidRPr="009500F4">
        <w:rPr>
          <w:rFonts w:eastAsia="Calibri" w:cs="Arial"/>
          <w:szCs w:val="22"/>
          <w:lang w:eastAsia="en-US"/>
        </w:rPr>
        <w:t xml:space="preserve">policy </w:t>
      </w:r>
      <w:r w:rsidRPr="009500F4">
        <w:rPr>
          <w:rFonts w:eastAsia="Calibri" w:cs="Arial"/>
          <w:szCs w:val="22"/>
          <w:lang w:eastAsia="en-US"/>
        </w:rPr>
        <w:t xml:space="preserve">and consumer protection. Consumer protection has special importance in </w:t>
      </w:r>
      <w:r w:rsidR="00060642" w:rsidRPr="009500F4">
        <w:rPr>
          <w:rFonts w:eastAsia="Calibri" w:cs="Arial"/>
          <w:szCs w:val="22"/>
          <w:lang w:eastAsia="en-US"/>
        </w:rPr>
        <w:t xml:space="preserve">the provision of </w:t>
      </w:r>
      <w:r w:rsidRPr="009500F4">
        <w:rPr>
          <w:rFonts w:eastAsia="Calibri" w:cs="Arial"/>
          <w:szCs w:val="22"/>
          <w:lang w:eastAsia="en-US"/>
        </w:rPr>
        <w:t>financial services. As the P</w:t>
      </w:r>
      <w:r w:rsidR="00756411" w:rsidRPr="009500F4">
        <w:rPr>
          <w:rFonts w:eastAsia="Calibri" w:cs="Arial"/>
          <w:szCs w:val="22"/>
          <w:lang w:eastAsia="en-US"/>
        </w:rPr>
        <w:t xml:space="preserve">acific </w:t>
      </w:r>
      <w:r w:rsidRPr="009500F4">
        <w:rPr>
          <w:rFonts w:eastAsia="Calibri" w:cs="Arial"/>
          <w:szCs w:val="22"/>
          <w:lang w:eastAsia="en-US"/>
        </w:rPr>
        <w:t xml:space="preserve">DMCs move toward greater financial access, and especially as digital financial services come online, addressing heightened risks and building trust </w:t>
      </w:r>
      <w:r w:rsidR="00060642" w:rsidRPr="009500F4">
        <w:rPr>
          <w:rFonts w:eastAsia="Calibri" w:cs="Arial"/>
          <w:szCs w:val="22"/>
          <w:lang w:eastAsia="en-US"/>
        </w:rPr>
        <w:t xml:space="preserve">among consumers </w:t>
      </w:r>
      <w:r w:rsidRPr="009500F4">
        <w:rPr>
          <w:rFonts w:eastAsia="Calibri" w:cs="Arial"/>
          <w:szCs w:val="22"/>
          <w:lang w:eastAsia="en-US"/>
        </w:rPr>
        <w:t xml:space="preserve">will become </w:t>
      </w:r>
      <w:r w:rsidR="00756411" w:rsidRPr="009500F4">
        <w:rPr>
          <w:rFonts w:eastAsia="Calibri" w:cs="Arial"/>
          <w:szCs w:val="22"/>
          <w:lang w:eastAsia="en-US"/>
        </w:rPr>
        <w:t xml:space="preserve">even </w:t>
      </w:r>
      <w:r w:rsidRPr="009500F4">
        <w:rPr>
          <w:rFonts w:eastAsia="Calibri" w:cs="Arial"/>
          <w:szCs w:val="22"/>
          <w:lang w:eastAsia="en-US"/>
        </w:rPr>
        <w:t>more critical.</w:t>
      </w:r>
    </w:p>
    <w:p w:rsidR="00BB59B4" w:rsidRPr="009500F4" w:rsidRDefault="00BB59B4" w:rsidP="00170139">
      <w:pPr>
        <w:tabs>
          <w:tab w:val="left" w:pos="567"/>
        </w:tabs>
        <w:rPr>
          <w:rFonts w:eastAsia="Calibri" w:cs="Arial"/>
          <w:szCs w:val="22"/>
          <w:lang w:eastAsia="en-US"/>
        </w:rPr>
      </w:pPr>
    </w:p>
    <w:p w:rsidR="00393625" w:rsidRPr="009500F4" w:rsidRDefault="00393625" w:rsidP="00170139">
      <w:pPr>
        <w:tabs>
          <w:tab w:val="left" w:pos="567"/>
        </w:tabs>
        <w:ind w:left="2342" w:hanging="357"/>
        <w:rPr>
          <w:rFonts w:eastAsia="Calibri" w:cs="Arial"/>
          <w:b/>
          <w:szCs w:val="22"/>
          <w:lang w:eastAsia="en-US"/>
        </w:rPr>
      </w:pPr>
      <w:r w:rsidRPr="009500F4">
        <w:rPr>
          <w:rFonts w:eastAsia="Calibri" w:cs="Arial"/>
          <w:b/>
          <w:szCs w:val="22"/>
          <w:lang w:eastAsia="en-US"/>
        </w:rPr>
        <w:t>a.</w:t>
      </w:r>
      <w:r w:rsidR="00230C32" w:rsidRPr="009500F4">
        <w:rPr>
          <w:rFonts w:eastAsia="Calibri" w:cs="Arial"/>
          <w:b/>
          <w:szCs w:val="22"/>
          <w:lang w:eastAsia="en-US"/>
        </w:rPr>
        <w:tab/>
        <w:t>Documenting Methods</w:t>
      </w:r>
    </w:p>
    <w:p w:rsidR="001D0C7D" w:rsidRPr="009500F4" w:rsidRDefault="001D0C7D" w:rsidP="001D0C7D"/>
    <w:p w:rsidR="001D0C7D" w:rsidRPr="009500F4" w:rsidRDefault="001D0C7D" w:rsidP="001D0C7D">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 faces inevitable tension between (i) </w:t>
      </w:r>
      <w:r w:rsidR="00230C32" w:rsidRPr="009500F4">
        <w:rPr>
          <w:rFonts w:eastAsia="Calibri" w:cs="Arial"/>
          <w:szCs w:val="22"/>
          <w:lang w:eastAsia="en-US"/>
        </w:rPr>
        <w:t xml:space="preserve">the governments of </w:t>
      </w:r>
      <w:r w:rsidRPr="009500F4">
        <w:rPr>
          <w:rFonts w:eastAsia="Calibri" w:cs="Arial"/>
          <w:szCs w:val="22"/>
          <w:lang w:eastAsia="en-US"/>
        </w:rPr>
        <w:t>P</w:t>
      </w:r>
      <w:r w:rsidR="00230C32" w:rsidRPr="009500F4">
        <w:rPr>
          <w:rFonts w:eastAsia="Calibri" w:cs="Arial"/>
          <w:szCs w:val="22"/>
          <w:lang w:eastAsia="en-US"/>
        </w:rPr>
        <w:t xml:space="preserve">acific </w:t>
      </w:r>
      <w:r w:rsidRPr="009500F4">
        <w:rPr>
          <w:rFonts w:eastAsia="Calibri" w:cs="Arial"/>
          <w:szCs w:val="22"/>
          <w:lang w:eastAsia="en-US"/>
        </w:rPr>
        <w:t>DMC</w:t>
      </w:r>
      <w:r w:rsidR="00230C32" w:rsidRPr="009500F4">
        <w:rPr>
          <w:rFonts w:eastAsia="Calibri" w:cs="Arial"/>
          <w:szCs w:val="22"/>
          <w:lang w:eastAsia="en-US"/>
        </w:rPr>
        <w:t>s</w:t>
      </w:r>
      <w:r w:rsidRPr="009500F4">
        <w:rPr>
          <w:rFonts w:eastAsia="Calibri" w:cs="Arial"/>
          <w:szCs w:val="22"/>
          <w:lang w:eastAsia="en-US"/>
        </w:rPr>
        <w:t xml:space="preserve"> </w:t>
      </w:r>
      <w:r w:rsidR="00230C32" w:rsidRPr="009500F4">
        <w:rPr>
          <w:rFonts w:eastAsia="Calibri" w:cs="Arial"/>
          <w:szCs w:val="22"/>
          <w:lang w:eastAsia="en-US"/>
        </w:rPr>
        <w:t xml:space="preserve">wanting </w:t>
      </w:r>
      <w:r w:rsidRPr="009500F4">
        <w:rPr>
          <w:rFonts w:eastAsia="Calibri" w:cs="Arial"/>
          <w:szCs w:val="22"/>
          <w:lang w:eastAsia="en-US"/>
        </w:rPr>
        <w:t>best-practice solutions, e.g.</w:t>
      </w:r>
      <w:r w:rsidR="00230C32" w:rsidRPr="009500F4">
        <w:rPr>
          <w:rFonts w:eastAsia="Calibri" w:cs="Arial"/>
          <w:szCs w:val="22"/>
          <w:lang w:eastAsia="en-US"/>
        </w:rPr>
        <w:t>,</w:t>
      </w:r>
      <w:r w:rsidRPr="009500F4">
        <w:rPr>
          <w:rFonts w:eastAsia="Calibri" w:cs="Arial"/>
          <w:szCs w:val="22"/>
          <w:lang w:eastAsia="en-US"/>
        </w:rPr>
        <w:t xml:space="preserve"> full</w:t>
      </w:r>
      <w:r w:rsidR="00230C32" w:rsidRPr="009500F4">
        <w:rPr>
          <w:rFonts w:eastAsia="Calibri" w:cs="Arial"/>
          <w:szCs w:val="22"/>
          <w:lang w:eastAsia="en-US"/>
        </w:rPr>
        <w:t xml:space="preserve">y </w:t>
      </w:r>
      <w:r w:rsidRPr="009500F4">
        <w:rPr>
          <w:rFonts w:eastAsia="Calibri" w:cs="Arial"/>
          <w:szCs w:val="22"/>
          <w:lang w:eastAsia="en-US"/>
        </w:rPr>
        <w:t xml:space="preserve">fledged </w:t>
      </w:r>
      <w:bookmarkStart w:id="176" w:name="_Hlk496256609"/>
      <w:r w:rsidRPr="009500F4">
        <w:rPr>
          <w:rFonts w:eastAsia="Calibri" w:cs="Arial"/>
          <w:szCs w:val="22"/>
          <w:lang w:eastAsia="en-US"/>
        </w:rPr>
        <w:t>competition and consumer regulatory commissions</w:t>
      </w:r>
      <w:bookmarkEnd w:id="176"/>
      <w:r w:rsidRPr="009500F4">
        <w:rPr>
          <w:rFonts w:eastAsia="Calibri" w:cs="Arial"/>
          <w:szCs w:val="22"/>
          <w:lang w:eastAsia="en-US"/>
        </w:rPr>
        <w:t>, and (ii) the kinds of pragmatic solutions</w:t>
      </w:r>
      <w:r w:rsidR="00230C32" w:rsidRPr="009500F4">
        <w:rPr>
          <w:rFonts w:eastAsia="Calibri" w:cs="Arial"/>
          <w:szCs w:val="22"/>
          <w:lang w:eastAsia="en-US"/>
        </w:rPr>
        <w:t xml:space="preserve"> that may require compromise but are</w:t>
      </w:r>
      <w:r w:rsidRPr="009500F4">
        <w:rPr>
          <w:rFonts w:eastAsia="Calibri" w:cs="Arial"/>
          <w:szCs w:val="22"/>
          <w:lang w:eastAsia="en-US"/>
        </w:rPr>
        <w:t xml:space="preserve"> likely to be more workable and affordable </w:t>
      </w:r>
      <w:r w:rsidR="00230C32" w:rsidRPr="009500F4">
        <w:rPr>
          <w:rFonts w:eastAsia="Calibri" w:cs="Arial"/>
          <w:szCs w:val="22"/>
          <w:lang w:eastAsia="en-US"/>
        </w:rPr>
        <w:t>to implement</w:t>
      </w:r>
      <w:r w:rsidRPr="009500F4">
        <w:rPr>
          <w:rFonts w:eastAsia="Calibri" w:cs="Arial"/>
          <w:szCs w:val="22"/>
          <w:lang w:eastAsia="en-US"/>
        </w:rPr>
        <w:t xml:space="preserve">. PSDI has </w:t>
      </w:r>
      <w:r w:rsidR="00230C32" w:rsidRPr="009500F4">
        <w:rPr>
          <w:rFonts w:eastAsia="Calibri" w:cs="Arial"/>
          <w:szCs w:val="22"/>
          <w:lang w:eastAsia="en-US"/>
        </w:rPr>
        <w:t xml:space="preserve">so </w:t>
      </w:r>
      <w:r w:rsidRPr="009500F4">
        <w:rPr>
          <w:rFonts w:eastAsia="Calibri" w:cs="Arial"/>
          <w:szCs w:val="22"/>
          <w:lang w:eastAsia="en-US"/>
        </w:rPr>
        <w:t>far emphasized the latter</w:t>
      </w:r>
      <w:r w:rsidR="00230C32" w:rsidRPr="009500F4">
        <w:rPr>
          <w:rFonts w:eastAsia="Calibri" w:cs="Arial"/>
          <w:szCs w:val="22"/>
          <w:lang w:eastAsia="en-US"/>
        </w:rPr>
        <w:t>, and its</w:t>
      </w:r>
      <w:r w:rsidRPr="009500F4">
        <w:rPr>
          <w:rFonts w:eastAsia="Calibri" w:cs="Arial"/>
          <w:szCs w:val="22"/>
          <w:lang w:eastAsia="en-US"/>
        </w:rPr>
        <w:t xml:space="preserve"> approach is worth continuing and refining. Indeed, </w:t>
      </w:r>
      <w:r w:rsidR="00230C32" w:rsidRPr="009500F4">
        <w:rPr>
          <w:rFonts w:eastAsia="Calibri" w:cs="Arial"/>
          <w:szCs w:val="22"/>
          <w:lang w:eastAsia="en-US"/>
        </w:rPr>
        <w:t xml:space="preserve">the PSDI approach </w:t>
      </w:r>
      <w:r w:rsidRPr="009500F4">
        <w:rPr>
          <w:rFonts w:eastAsia="Calibri" w:cs="Arial"/>
          <w:szCs w:val="22"/>
          <w:lang w:eastAsia="en-US"/>
        </w:rPr>
        <w:t>might usefully be documented in a series of training materials</w:t>
      </w:r>
      <w:r w:rsidR="00230C32" w:rsidRPr="009500F4">
        <w:rPr>
          <w:rFonts w:eastAsia="Calibri" w:cs="Arial"/>
          <w:szCs w:val="22"/>
          <w:lang w:eastAsia="en-US"/>
        </w:rPr>
        <w:t>, based on case studies,</w:t>
      </w:r>
      <w:r w:rsidRPr="009500F4">
        <w:rPr>
          <w:rFonts w:eastAsia="Calibri" w:cs="Arial"/>
          <w:szCs w:val="22"/>
          <w:lang w:eastAsia="en-US"/>
        </w:rPr>
        <w:t xml:space="preserve"> to be used in later reform initiatives. Tailored versions could be developed for different Pacific DMCs, to be deployed for policy development in areas </w:t>
      </w:r>
      <w:r w:rsidR="00230C32" w:rsidRPr="009500F4">
        <w:rPr>
          <w:rFonts w:eastAsia="Calibri" w:cs="Arial"/>
          <w:szCs w:val="22"/>
          <w:lang w:eastAsia="en-US"/>
        </w:rPr>
        <w:t xml:space="preserve">in which </w:t>
      </w:r>
      <w:r w:rsidRPr="009500F4">
        <w:rPr>
          <w:rFonts w:eastAsia="Calibri" w:cs="Arial"/>
          <w:szCs w:val="22"/>
          <w:lang w:eastAsia="en-US"/>
        </w:rPr>
        <w:t>PSDI is not directly involved. This is an additional way of building underlying processes and institutions that can sustain effective policymaking.</w:t>
      </w:r>
    </w:p>
    <w:p w:rsidR="00230C32" w:rsidRPr="009500F4" w:rsidRDefault="00230C32" w:rsidP="00170139">
      <w:pPr>
        <w:tabs>
          <w:tab w:val="left" w:pos="567"/>
        </w:tabs>
        <w:rPr>
          <w:rFonts w:eastAsia="Calibri" w:cs="Arial"/>
          <w:szCs w:val="22"/>
          <w:lang w:eastAsia="en-US"/>
        </w:rPr>
      </w:pPr>
    </w:p>
    <w:p w:rsidR="00230C32" w:rsidRPr="009500F4" w:rsidRDefault="00230C32" w:rsidP="00170139">
      <w:pPr>
        <w:tabs>
          <w:tab w:val="left" w:pos="567"/>
        </w:tabs>
        <w:ind w:left="2342" w:hanging="357"/>
        <w:rPr>
          <w:rFonts w:eastAsia="Calibri" w:cs="Arial"/>
          <w:szCs w:val="22"/>
          <w:lang w:eastAsia="en-US"/>
        </w:rPr>
      </w:pPr>
      <w:r w:rsidRPr="009500F4">
        <w:rPr>
          <w:rFonts w:eastAsia="Calibri" w:cs="Arial"/>
          <w:b/>
          <w:szCs w:val="22"/>
          <w:lang w:eastAsia="en-US"/>
        </w:rPr>
        <w:t>b.</w:t>
      </w:r>
      <w:r w:rsidRPr="009500F4">
        <w:rPr>
          <w:rFonts w:eastAsia="Calibri" w:cs="Arial"/>
          <w:szCs w:val="22"/>
          <w:lang w:eastAsia="en-US"/>
        </w:rPr>
        <w:tab/>
      </w:r>
      <w:r w:rsidRPr="009500F4">
        <w:rPr>
          <w:rFonts w:eastAsia="Calibri" w:cs="Arial"/>
          <w:b/>
          <w:szCs w:val="22"/>
          <w:lang w:eastAsia="en-US"/>
        </w:rPr>
        <w:t>Regulatory Commissions</w:t>
      </w:r>
    </w:p>
    <w:p w:rsidR="001D0C7D" w:rsidRPr="009500F4" w:rsidRDefault="001D0C7D" w:rsidP="001D0C7D"/>
    <w:p w:rsidR="001D0C7D" w:rsidRPr="009500F4" w:rsidRDefault="001D0C7D" w:rsidP="001D0C7D">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Given the </w:t>
      </w:r>
      <w:r w:rsidR="008D6C74" w:rsidRPr="009500F4">
        <w:rPr>
          <w:rFonts w:eastAsia="Calibri" w:cs="Arial"/>
          <w:szCs w:val="22"/>
          <w:lang w:eastAsia="en-US"/>
        </w:rPr>
        <w:t>limited</w:t>
      </w:r>
      <w:r w:rsidRPr="009500F4">
        <w:rPr>
          <w:rFonts w:eastAsia="Calibri" w:cs="Arial"/>
          <w:szCs w:val="22"/>
          <w:lang w:eastAsia="en-US"/>
        </w:rPr>
        <w:t xml:space="preserve"> regulatory expertise and administrative resources available to </w:t>
      </w:r>
      <w:r w:rsidR="008D6C74" w:rsidRPr="009500F4">
        <w:rPr>
          <w:rFonts w:eastAsia="Calibri" w:cs="Arial"/>
          <w:szCs w:val="22"/>
          <w:lang w:eastAsia="en-US"/>
        </w:rPr>
        <w:t xml:space="preserve">the governments of </w:t>
      </w:r>
      <w:r w:rsidRPr="009500F4">
        <w:rPr>
          <w:rFonts w:eastAsia="Calibri" w:cs="Arial"/>
          <w:szCs w:val="22"/>
          <w:lang w:eastAsia="en-US"/>
        </w:rPr>
        <w:t>P</w:t>
      </w:r>
      <w:r w:rsidR="008D6C74" w:rsidRPr="009500F4">
        <w:rPr>
          <w:rFonts w:eastAsia="Calibri" w:cs="Arial"/>
          <w:szCs w:val="22"/>
          <w:lang w:eastAsia="en-US"/>
        </w:rPr>
        <w:t xml:space="preserve">acific </w:t>
      </w:r>
      <w:r w:rsidRPr="009500F4">
        <w:rPr>
          <w:rFonts w:eastAsia="Calibri" w:cs="Arial"/>
          <w:szCs w:val="22"/>
          <w:lang w:eastAsia="en-US"/>
        </w:rPr>
        <w:t xml:space="preserve">DMCs, PSDI should consider giving more emphasis to party-driven adjudication and enforcement. This adversarial </w:t>
      </w:r>
      <w:r w:rsidR="008D6C74" w:rsidRPr="009500F4">
        <w:rPr>
          <w:rFonts w:eastAsia="Calibri" w:cs="Arial"/>
          <w:szCs w:val="22"/>
          <w:lang w:eastAsia="en-US"/>
        </w:rPr>
        <w:t>approach</w:t>
      </w:r>
      <w:r w:rsidRPr="009500F4">
        <w:rPr>
          <w:rFonts w:eastAsia="Calibri" w:cs="Arial"/>
          <w:szCs w:val="22"/>
          <w:lang w:eastAsia="en-US"/>
        </w:rPr>
        <w:t xml:space="preserve">, more typical of systems </w:t>
      </w:r>
      <w:r w:rsidR="008D6C74" w:rsidRPr="009500F4">
        <w:rPr>
          <w:rFonts w:eastAsia="Calibri" w:cs="Arial"/>
          <w:szCs w:val="22"/>
          <w:lang w:eastAsia="en-US"/>
        </w:rPr>
        <w:t xml:space="preserve">in countries </w:t>
      </w:r>
      <w:r w:rsidRPr="009500F4">
        <w:rPr>
          <w:rFonts w:eastAsia="Calibri" w:cs="Arial"/>
          <w:szCs w:val="22"/>
          <w:lang w:eastAsia="en-US"/>
        </w:rPr>
        <w:t>such as the U.S., leverages the affected parties’ incentives and information</w:t>
      </w:r>
      <w:r w:rsidR="008D6C74" w:rsidRPr="009500F4">
        <w:rPr>
          <w:rFonts w:eastAsia="Calibri" w:cs="Arial"/>
          <w:szCs w:val="22"/>
          <w:lang w:eastAsia="en-US"/>
        </w:rPr>
        <w:t>,</w:t>
      </w:r>
      <w:r w:rsidRPr="009500F4">
        <w:rPr>
          <w:rFonts w:eastAsia="Calibri" w:cs="Arial"/>
          <w:szCs w:val="22"/>
          <w:lang w:eastAsia="en-US"/>
        </w:rPr>
        <w:t xml:space="preserve"> while making enforcement less dependent on regulatory action (at the risk, admittedly, of encouraging litigiousness). PSDI does incorporate remedies in its proposed legislation, and works to build public awareness of rights and duties, particularly in the</w:t>
      </w:r>
      <w:r w:rsidR="008D6C74" w:rsidRPr="009500F4">
        <w:rPr>
          <w:rFonts w:eastAsia="Calibri" w:cs="Arial"/>
          <w:szCs w:val="22"/>
          <w:lang w:eastAsia="en-US"/>
        </w:rPr>
        <w:t xml:space="preserve"> area of</w:t>
      </w:r>
      <w:r w:rsidRPr="009500F4">
        <w:rPr>
          <w:rFonts w:eastAsia="Calibri" w:cs="Arial"/>
          <w:szCs w:val="22"/>
          <w:lang w:eastAsia="en-US"/>
        </w:rPr>
        <w:t xml:space="preserve"> consumer </w:t>
      </w:r>
      <w:r w:rsidR="008D6C74" w:rsidRPr="009500F4">
        <w:rPr>
          <w:rFonts w:eastAsia="Calibri" w:cs="Arial"/>
          <w:szCs w:val="22"/>
          <w:lang w:eastAsia="en-US"/>
        </w:rPr>
        <w:t>protection</w:t>
      </w:r>
      <w:r w:rsidRPr="009500F4">
        <w:rPr>
          <w:rFonts w:eastAsia="Calibri" w:cs="Arial"/>
          <w:szCs w:val="22"/>
          <w:lang w:eastAsia="en-US"/>
        </w:rPr>
        <w:t>. We suggest that a stronger push in this area might enable PSDI to present a more robust</w:t>
      </w:r>
      <w:r w:rsidR="008D6C74" w:rsidRPr="009500F4">
        <w:rPr>
          <w:rFonts w:eastAsia="Calibri" w:cs="Arial"/>
          <w:szCs w:val="22"/>
          <w:lang w:eastAsia="en-US"/>
        </w:rPr>
        <w:t xml:space="preserve"> and</w:t>
      </w:r>
      <w:r w:rsidRPr="009500F4">
        <w:rPr>
          <w:rFonts w:eastAsia="Calibri" w:cs="Arial"/>
          <w:szCs w:val="22"/>
          <w:lang w:eastAsia="en-US"/>
        </w:rPr>
        <w:t xml:space="preserve"> sustainable alternative</w:t>
      </w:r>
      <w:r w:rsidR="008D6C74" w:rsidRPr="009500F4">
        <w:rPr>
          <w:rFonts w:eastAsia="Calibri" w:cs="Arial"/>
          <w:szCs w:val="22"/>
          <w:lang w:eastAsia="en-US"/>
        </w:rPr>
        <w:t>—</w:t>
      </w:r>
      <w:r w:rsidRPr="009500F4">
        <w:rPr>
          <w:rFonts w:eastAsia="Calibri" w:cs="Arial"/>
          <w:szCs w:val="22"/>
          <w:lang w:eastAsia="en-US"/>
        </w:rPr>
        <w:t>or perhaps a cost-saving complement</w:t>
      </w:r>
      <w:r w:rsidR="008D6C74" w:rsidRPr="009500F4">
        <w:rPr>
          <w:rFonts w:eastAsia="Calibri" w:cs="Arial"/>
          <w:szCs w:val="22"/>
          <w:lang w:eastAsia="en-US"/>
        </w:rPr>
        <w:t>—</w:t>
      </w:r>
      <w:r w:rsidRPr="009500F4">
        <w:rPr>
          <w:rFonts w:eastAsia="Calibri" w:cs="Arial"/>
          <w:szCs w:val="22"/>
          <w:lang w:eastAsia="en-US"/>
        </w:rPr>
        <w:t>to the new commissions.</w:t>
      </w:r>
    </w:p>
    <w:p w:rsidR="00230C32" w:rsidRPr="009500F4" w:rsidRDefault="00230C32" w:rsidP="003E12F1">
      <w:pPr>
        <w:tabs>
          <w:tab w:val="left" w:pos="567"/>
        </w:tabs>
        <w:rPr>
          <w:rFonts w:eastAsia="Calibri" w:cs="Arial"/>
          <w:szCs w:val="22"/>
          <w:lang w:eastAsia="en-US"/>
        </w:rPr>
      </w:pPr>
    </w:p>
    <w:p w:rsidR="00AD130C" w:rsidRPr="009500F4" w:rsidRDefault="00AD130C" w:rsidP="008764C2">
      <w:pPr>
        <w:tabs>
          <w:tab w:val="left" w:pos="567"/>
        </w:tabs>
        <w:rPr>
          <w:rFonts w:eastAsia="Calibri" w:cs="Arial"/>
          <w:szCs w:val="22"/>
          <w:lang w:eastAsia="en-US"/>
        </w:rPr>
      </w:pPr>
      <w:r w:rsidRPr="009500F4">
        <w:rPr>
          <w:rFonts w:eastAsia="Times New Roman" w:cs="Arial"/>
          <w:b/>
          <w:bCs/>
          <w:iCs/>
          <w:sz w:val="24"/>
          <w:lang w:eastAsia="en-US"/>
        </w:rPr>
        <w:t>C.</w:t>
      </w:r>
      <w:r w:rsidRPr="009500F4">
        <w:rPr>
          <w:rFonts w:eastAsia="Times New Roman" w:cs="Arial"/>
          <w:b/>
          <w:bCs/>
          <w:iCs/>
          <w:sz w:val="24"/>
          <w:lang w:eastAsia="en-US"/>
        </w:rPr>
        <w:tab/>
        <w:t>Organizational Recommendations</w:t>
      </w:r>
    </w:p>
    <w:p w:rsidR="00AD130C" w:rsidRPr="009500F4" w:rsidRDefault="00AD130C" w:rsidP="003E12F1">
      <w:pPr>
        <w:tabs>
          <w:tab w:val="left" w:pos="567"/>
        </w:tabs>
        <w:rPr>
          <w:rFonts w:eastAsia="Calibri" w:cs="Arial"/>
          <w:szCs w:val="22"/>
          <w:lang w:eastAsia="en-US"/>
        </w:rPr>
      </w:pPr>
    </w:p>
    <w:p w:rsidR="003E12F1" w:rsidRPr="009500F4" w:rsidRDefault="00AD130C" w:rsidP="00170139">
      <w:pPr>
        <w:keepNext/>
        <w:spacing w:after="160"/>
        <w:ind w:left="1080"/>
        <w:outlineLvl w:val="1"/>
        <w:rPr>
          <w:rFonts w:eastAsia="Times New Roman" w:cs="Arial"/>
          <w:b/>
          <w:bCs/>
          <w:iCs/>
          <w:szCs w:val="22"/>
          <w:lang w:eastAsia="en-US"/>
        </w:rPr>
      </w:pPr>
      <w:bookmarkStart w:id="177" w:name="_Toc494271732"/>
      <w:bookmarkStart w:id="178" w:name="_Toc494367957"/>
      <w:bookmarkStart w:id="179" w:name="_Toc494378801"/>
      <w:bookmarkStart w:id="180" w:name="_Toc494378883"/>
      <w:r w:rsidRPr="009500F4">
        <w:rPr>
          <w:rFonts w:eastAsia="Times New Roman" w:cs="Arial"/>
          <w:b/>
          <w:bCs/>
          <w:iCs/>
          <w:szCs w:val="22"/>
          <w:lang w:eastAsia="en-US"/>
        </w:rPr>
        <w:t>1</w:t>
      </w:r>
      <w:r w:rsidR="000C15E8">
        <w:rPr>
          <w:rFonts w:eastAsia="Times New Roman" w:cs="Arial"/>
          <w:b/>
          <w:bCs/>
          <w:iCs/>
          <w:szCs w:val="22"/>
          <w:lang w:eastAsia="en-US"/>
        </w:rPr>
        <w:t>.</w:t>
      </w:r>
      <w:r w:rsidR="00386F3B" w:rsidRPr="009500F4">
        <w:rPr>
          <w:rFonts w:eastAsia="Times New Roman" w:cs="Arial"/>
          <w:b/>
          <w:bCs/>
          <w:iCs/>
          <w:szCs w:val="22"/>
          <w:lang w:eastAsia="en-US"/>
        </w:rPr>
        <w:tab/>
      </w:r>
      <w:r w:rsidR="003E12F1" w:rsidRPr="009500F4">
        <w:rPr>
          <w:rFonts w:eastAsia="Times New Roman" w:cs="Arial"/>
          <w:b/>
          <w:bCs/>
          <w:iCs/>
          <w:szCs w:val="22"/>
          <w:lang w:eastAsia="en-US"/>
        </w:rPr>
        <w:t>Analytical Work</w:t>
      </w:r>
      <w:r w:rsidRPr="009500F4">
        <w:rPr>
          <w:rFonts w:eastAsia="Times New Roman" w:cs="Arial"/>
          <w:b/>
          <w:bCs/>
          <w:iCs/>
          <w:szCs w:val="22"/>
          <w:lang w:eastAsia="en-US"/>
        </w:rPr>
        <w:t xml:space="preserve"> and</w:t>
      </w:r>
      <w:r w:rsidR="003E12F1" w:rsidRPr="009500F4">
        <w:rPr>
          <w:rFonts w:eastAsia="Times New Roman" w:cs="Arial"/>
          <w:b/>
          <w:bCs/>
          <w:iCs/>
          <w:szCs w:val="22"/>
          <w:lang w:eastAsia="en-US"/>
        </w:rPr>
        <w:t xml:space="preserve"> Communications</w:t>
      </w:r>
      <w:bookmarkEnd w:id="177"/>
      <w:bookmarkEnd w:id="178"/>
      <w:bookmarkEnd w:id="179"/>
      <w:bookmarkEnd w:id="180"/>
    </w:p>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 reform efforts supported by PSDI benefit from the intellectual </w:t>
      </w:r>
      <w:r w:rsidR="005C22D4" w:rsidRPr="009500F4">
        <w:rPr>
          <w:rFonts w:eastAsia="Calibri" w:cs="Arial"/>
          <w:szCs w:val="22"/>
          <w:lang w:eastAsia="en-US"/>
        </w:rPr>
        <w:t xml:space="preserve">insights </w:t>
      </w:r>
      <w:r w:rsidRPr="009500F4">
        <w:rPr>
          <w:rFonts w:eastAsia="Calibri" w:cs="Arial"/>
          <w:szCs w:val="22"/>
          <w:lang w:eastAsia="en-US"/>
        </w:rPr>
        <w:t xml:space="preserve">furnished in </w:t>
      </w:r>
      <w:r w:rsidR="005C22D4" w:rsidRPr="009500F4">
        <w:rPr>
          <w:rFonts w:eastAsia="Calibri" w:cs="Arial"/>
          <w:szCs w:val="22"/>
          <w:lang w:eastAsia="en-US"/>
        </w:rPr>
        <w:t xml:space="preserve">PSDI’s </w:t>
      </w:r>
      <w:r w:rsidRPr="009500F4">
        <w:rPr>
          <w:rFonts w:eastAsia="Calibri" w:cs="Arial"/>
          <w:szCs w:val="22"/>
          <w:lang w:eastAsia="en-US"/>
        </w:rPr>
        <w:t xml:space="preserve">analytical work. This linked production of analytical and reform outputs is by no means standard practice in </w:t>
      </w:r>
      <w:r w:rsidR="005C22D4" w:rsidRPr="009500F4">
        <w:rPr>
          <w:rFonts w:eastAsia="Calibri" w:cs="Arial"/>
          <w:szCs w:val="22"/>
          <w:lang w:eastAsia="en-US"/>
        </w:rPr>
        <w:t>TA</w:t>
      </w:r>
      <w:r w:rsidR="009500F4">
        <w:rPr>
          <w:rFonts w:eastAsia="Calibri" w:cs="Arial"/>
          <w:szCs w:val="22"/>
          <w:lang w:eastAsia="en-US"/>
        </w:rPr>
        <w:t xml:space="preserve"> globally.</w:t>
      </w:r>
    </w:p>
    <w:p w:rsidR="005C22D4" w:rsidRPr="009500F4" w:rsidRDefault="005C22D4" w:rsidP="00170139">
      <w:pPr>
        <w:tabs>
          <w:tab w:val="left" w:pos="567"/>
        </w:tabs>
        <w:rPr>
          <w:rFonts w:eastAsia="Calibri" w:cs="Arial"/>
          <w:szCs w:val="22"/>
          <w:lang w:eastAsia="en-US"/>
        </w:rPr>
      </w:pPr>
    </w:p>
    <w:p w:rsidR="005C22D4" w:rsidRPr="009500F4" w:rsidRDefault="005C22D4" w:rsidP="00170139">
      <w:pPr>
        <w:tabs>
          <w:tab w:val="left" w:pos="567"/>
        </w:tabs>
        <w:ind w:left="2342" w:hanging="357"/>
        <w:rPr>
          <w:rFonts w:eastAsia="Calibri" w:cs="Arial"/>
          <w:b/>
          <w:szCs w:val="22"/>
          <w:lang w:eastAsia="en-US"/>
        </w:rPr>
      </w:pPr>
      <w:r w:rsidRPr="009500F4">
        <w:rPr>
          <w:rFonts w:eastAsia="Calibri" w:cs="Arial"/>
          <w:b/>
          <w:szCs w:val="22"/>
          <w:lang w:eastAsia="en-US"/>
        </w:rPr>
        <w:t>a.</w:t>
      </w:r>
      <w:r w:rsidRPr="009500F4">
        <w:rPr>
          <w:rFonts w:eastAsia="Calibri" w:cs="Arial"/>
          <w:b/>
          <w:szCs w:val="22"/>
          <w:lang w:eastAsia="en-US"/>
        </w:rPr>
        <w:tab/>
        <w:t>Research</w:t>
      </w:r>
    </w:p>
    <w:p w:rsidR="003E12F1" w:rsidRPr="009500F4" w:rsidRDefault="003E12F1" w:rsidP="003E12F1"/>
    <w:p w:rsidR="00723C78" w:rsidRPr="009500F4" w:rsidRDefault="00723C78"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Stakeholders have expressed a desire for more tightly focused research to provide firmer grounding for the reform choices being made by PSDI. </w:t>
      </w:r>
      <w:r w:rsidR="004574F3" w:rsidRPr="009500F4">
        <w:rPr>
          <w:rFonts w:eastAsia="Calibri" w:cs="Arial"/>
          <w:szCs w:val="22"/>
          <w:lang w:eastAsia="en-US"/>
        </w:rPr>
        <w:t xml:space="preserve">Such research </w:t>
      </w:r>
      <w:r w:rsidRPr="009500F4">
        <w:rPr>
          <w:rFonts w:eastAsia="Calibri" w:cs="Arial"/>
          <w:szCs w:val="22"/>
          <w:lang w:eastAsia="en-US"/>
        </w:rPr>
        <w:t xml:space="preserve">might include surveys of entrepreneurial behavior, </w:t>
      </w:r>
      <w:r w:rsidR="004574F3" w:rsidRPr="009500F4">
        <w:rPr>
          <w:rFonts w:eastAsia="Calibri" w:cs="Arial"/>
          <w:szCs w:val="22"/>
          <w:lang w:eastAsia="en-US"/>
        </w:rPr>
        <w:t xml:space="preserve">qualitative studies </w:t>
      </w:r>
      <w:r w:rsidRPr="009500F4">
        <w:rPr>
          <w:rFonts w:eastAsia="Calibri" w:cs="Arial"/>
          <w:szCs w:val="22"/>
          <w:lang w:eastAsia="en-US"/>
        </w:rPr>
        <w:t xml:space="preserve">of SMEs </w:t>
      </w:r>
      <w:r w:rsidR="004574F3" w:rsidRPr="009500F4">
        <w:rPr>
          <w:rFonts w:eastAsia="Calibri" w:cs="Arial"/>
          <w:szCs w:val="22"/>
          <w:lang w:eastAsia="en-US"/>
        </w:rPr>
        <w:t>(</w:t>
      </w:r>
      <w:r w:rsidRPr="009500F4">
        <w:rPr>
          <w:rFonts w:eastAsia="Calibri" w:cs="Arial"/>
          <w:szCs w:val="22"/>
          <w:lang w:eastAsia="en-US"/>
        </w:rPr>
        <w:t>both formal and informal</w:t>
      </w:r>
      <w:r w:rsidR="004574F3" w:rsidRPr="009500F4">
        <w:rPr>
          <w:rFonts w:eastAsia="Calibri" w:cs="Arial"/>
          <w:szCs w:val="22"/>
          <w:lang w:eastAsia="en-US"/>
        </w:rPr>
        <w:t>)</w:t>
      </w:r>
      <w:r w:rsidRPr="009500F4">
        <w:rPr>
          <w:rFonts w:eastAsia="Calibri" w:cs="Arial"/>
          <w:szCs w:val="22"/>
          <w:lang w:eastAsia="en-US"/>
        </w:rPr>
        <w:t>, and impact assessments of policy choices. This</w:t>
      </w:r>
      <w:r w:rsidR="004574F3" w:rsidRPr="009500F4">
        <w:rPr>
          <w:rFonts w:eastAsia="Calibri" w:cs="Arial"/>
          <w:szCs w:val="22"/>
          <w:lang w:eastAsia="en-US"/>
        </w:rPr>
        <w:t xml:space="preserve"> information</w:t>
      </w:r>
      <w:r w:rsidRPr="009500F4">
        <w:rPr>
          <w:rFonts w:eastAsia="Calibri" w:cs="Arial"/>
          <w:szCs w:val="22"/>
          <w:lang w:eastAsia="en-US"/>
        </w:rPr>
        <w:t xml:space="preserve"> could provide a clearer understanding of the stakes involved in enterprise formalization, access to finance, market governance, and other core </w:t>
      </w:r>
      <w:r w:rsidR="004574F3" w:rsidRPr="009500F4">
        <w:rPr>
          <w:rFonts w:eastAsia="Calibri" w:cs="Arial"/>
          <w:szCs w:val="22"/>
          <w:lang w:eastAsia="en-US"/>
        </w:rPr>
        <w:t xml:space="preserve">areas of </w:t>
      </w:r>
      <w:r w:rsidRPr="009500F4">
        <w:rPr>
          <w:rFonts w:eastAsia="Calibri" w:cs="Arial"/>
          <w:szCs w:val="22"/>
          <w:lang w:eastAsia="en-US"/>
        </w:rPr>
        <w:t>PSDI</w:t>
      </w:r>
      <w:r w:rsidR="004574F3" w:rsidRPr="009500F4">
        <w:rPr>
          <w:rFonts w:eastAsia="Calibri" w:cs="Arial"/>
          <w:szCs w:val="22"/>
          <w:lang w:eastAsia="en-US"/>
        </w:rPr>
        <w:t>’s focus</w:t>
      </w:r>
      <w:r w:rsidRPr="009500F4">
        <w:rPr>
          <w:rFonts w:eastAsia="Calibri" w:cs="Arial"/>
          <w:szCs w:val="22"/>
          <w:lang w:eastAsia="en-US"/>
        </w:rPr>
        <w:t xml:space="preserve">. For now, the importance of these matters has been more or less assumed </w:t>
      </w:r>
      <w:r w:rsidR="004574F3" w:rsidRPr="009500F4">
        <w:rPr>
          <w:rFonts w:eastAsia="Calibri" w:cs="Arial"/>
          <w:szCs w:val="22"/>
          <w:lang w:eastAsia="en-US"/>
        </w:rPr>
        <w:t>prior to developing reforms</w:t>
      </w:r>
      <w:r w:rsidRPr="009500F4">
        <w:rPr>
          <w:rFonts w:eastAsia="Calibri" w:cs="Arial"/>
          <w:szCs w:val="22"/>
          <w:lang w:eastAsia="en-US"/>
        </w:rPr>
        <w:t xml:space="preserve">, with evidence of impact trickling in </w:t>
      </w:r>
      <w:r w:rsidR="004574F3" w:rsidRPr="009500F4">
        <w:rPr>
          <w:rFonts w:eastAsia="Calibri" w:cs="Arial"/>
          <w:szCs w:val="22"/>
          <w:lang w:eastAsia="en-US"/>
        </w:rPr>
        <w:t>after implementation</w:t>
      </w:r>
      <w:r w:rsidRPr="009500F4">
        <w:rPr>
          <w:rFonts w:eastAsia="Calibri" w:cs="Arial"/>
          <w:szCs w:val="22"/>
          <w:lang w:eastAsia="en-US"/>
        </w:rPr>
        <w:t xml:space="preserve">. Augmenting </w:t>
      </w:r>
      <w:r w:rsidR="004574F3" w:rsidRPr="009500F4">
        <w:rPr>
          <w:rFonts w:eastAsia="Calibri" w:cs="Arial"/>
          <w:szCs w:val="22"/>
          <w:lang w:eastAsia="en-US"/>
        </w:rPr>
        <w:t xml:space="preserve">PSDI’s </w:t>
      </w:r>
      <w:r w:rsidRPr="009500F4">
        <w:rPr>
          <w:rFonts w:eastAsia="Calibri" w:cs="Arial"/>
          <w:szCs w:val="22"/>
          <w:lang w:eastAsia="en-US"/>
        </w:rPr>
        <w:t xml:space="preserve">research program would require the addition of resources that have yet </w:t>
      </w:r>
      <w:r w:rsidR="004574F3" w:rsidRPr="009500F4">
        <w:rPr>
          <w:rFonts w:eastAsia="Calibri" w:cs="Arial"/>
          <w:szCs w:val="22"/>
          <w:lang w:eastAsia="en-US"/>
        </w:rPr>
        <w:t xml:space="preserve">to be </w:t>
      </w:r>
      <w:r w:rsidRPr="009500F4">
        <w:rPr>
          <w:rFonts w:eastAsia="Calibri" w:cs="Arial"/>
          <w:szCs w:val="22"/>
          <w:lang w:eastAsia="en-US"/>
        </w:rPr>
        <w:t xml:space="preserve">budgeted in </w:t>
      </w:r>
      <w:r w:rsidR="004574F3" w:rsidRPr="009500F4">
        <w:rPr>
          <w:rFonts w:eastAsia="Calibri" w:cs="Arial"/>
          <w:szCs w:val="22"/>
          <w:lang w:eastAsia="en-US"/>
        </w:rPr>
        <w:t>PSDI III</w:t>
      </w:r>
      <w:r w:rsidRPr="009500F4">
        <w:rPr>
          <w:rFonts w:eastAsia="Calibri" w:cs="Arial"/>
          <w:szCs w:val="22"/>
          <w:lang w:eastAsia="en-US"/>
        </w:rPr>
        <w:t xml:space="preserve">. </w:t>
      </w:r>
      <w:r w:rsidR="004574F3" w:rsidRPr="009500F4">
        <w:rPr>
          <w:rFonts w:eastAsia="Calibri" w:cs="Arial"/>
          <w:szCs w:val="22"/>
          <w:lang w:eastAsia="en-US"/>
        </w:rPr>
        <w:t>T</w:t>
      </w:r>
      <w:r w:rsidRPr="009500F4">
        <w:rPr>
          <w:rFonts w:eastAsia="Calibri" w:cs="Arial"/>
          <w:szCs w:val="22"/>
          <w:lang w:eastAsia="en-US"/>
        </w:rPr>
        <w:t xml:space="preserve">here is </w:t>
      </w:r>
      <w:r w:rsidR="004574F3" w:rsidRPr="009500F4">
        <w:rPr>
          <w:rFonts w:eastAsia="Calibri" w:cs="Arial"/>
          <w:szCs w:val="22"/>
          <w:lang w:eastAsia="en-US"/>
        </w:rPr>
        <w:t xml:space="preserve">also </w:t>
      </w:r>
      <w:r w:rsidRPr="009500F4">
        <w:rPr>
          <w:rFonts w:eastAsia="Calibri" w:cs="Arial"/>
          <w:szCs w:val="22"/>
          <w:lang w:eastAsia="en-US"/>
        </w:rPr>
        <w:t xml:space="preserve">some need for caution to avoid excessive expectations about such research generating specific policy prescriptions. </w:t>
      </w:r>
    </w:p>
    <w:p w:rsidR="00723C78" w:rsidRPr="009500F4" w:rsidRDefault="00723C78" w:rsidP="00723C78"/>
    <w:p w:rsidR="00723C78" w:rsidRPr="009500F4" w:rsidRDefault="00723C78" w:rsidP="00723C78">
      <w:pPr>
        <w:tabs>
          <w:tab w:val="left" w:pos="567"/>
        </w:tabs>
        <w:ind w:left="2342" w:hanging="357"/>
        <w:rPr>
          <w:rFonts w:eastAsia="Calibri" w:cs="Arial"/>
          <w:b/>
          <w:szCs w:val="22"/>
          <w:lang w:eastAsia="en-US"/>
        </w:rPr>
      </w:pPr>
      <w:r w:rsidRPr="009500F4">
        <w:rPr>
          <w:rFonts w:eastAsia="Calibri" w:cs="Arial"/>
          <w:b/>
          <w:szCs w:val="22"/>
          <w:lang w:eastAsia="en-US"/>
        </w:rPr>
        <w:t>b.</w:t>
      </w:r>
      <w:r w:rsidRPr="009500F4">
        <w:rPr>
          <w:rFonts w:eastAsia="Calibri" w:cs="Arial"/>
          <w:b/>
          <w:szCs w:val="22"/>
          <w:lang w:eastAsia="en-US"/>
        </w:rPr>
        <w:tab/>
        <w:t>Publications</w:t>
      </w:r>
    </w:p>
    <w:p w:rsidR="00723C78" w:rsidRPr="009500F4" w:rsidRDefault="00723C78" w:rsidP="003E12F1"/>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Some PSDI publications, notably the PSAs, are increasingly criticized as </w:t>
      </w:r>
      <w:r w:rsidR="00723C78" w:rsidRPr="009500F4">
        <w:rPr>
          <w:rFonts w:eastAsia="Calibri" w:cs="Arial"/>
          <w:szCs w:val="22"/>
          <w:lang w:eastAsia="en-US"/>
        </w:rPr>
        <w:t xml:space="preserve">being </w:t>
      </w:r>
      <w:r w:rsidRPr="009500F4">
        <w:rPr>
          <w:rFonts w:eastAsia="Calibri" w:cs="Arial"/>
          <w:szCs w:val="22"/>
          <w:lang w:eastAsia="en-US"/>
        </w:rPr>
        <w:t>overly broad, formulaic, and insufficiently informed by empirical research. The breadth of the PSAs points to the apparent rationale for them</w:t>
      </w:r>
      <w:r w:rsidR="005C22D4" w:rsidRPr="009500F4">
        <w:rPr>
          <w:rFonts w:eastAsia="Calibri" w:cs="Arial"/>
          <w:szCs w:val="22"/>
          <w:lang w:eastAsia="en-US"/>
        </w:rPr>
        <w:t>;</w:t>
      </w:r>
      <w:r w:rsidRPr="009500F4">
        <w:rPr>
          <w:rFonts w:eastAsia="Calibri" w:cs="Arial"/>
          <w:szCs w:val="22"/>
          <w:lang w:eastAsia="en-US"/>
        </w:rPr>
        <w:t xml:space="preserve"> as economic reviews that cover all topics with a significant bearing on private sector development</w:t>
      </w:r>
      <w:r w:rsidR="005C22D4" w:rsidRPr="009500F4">
        <w:rPr>
          <w:rFonts w:eastAsia="Calibri" w:cs="Arial"/>
          <w:szCs w:val="22"/>
          <w:lang w:eastAsia="en-US"/>
        </w:rPr>
        <w:t xml:space="preserve"> in each Pacific DMC</w:t>
      </w:r>
      <w:r w:rsidRPr="009500F4">
        <w:rPr>
          <w:rFonts w:eastAsia="Calibri" w:cs="Arial"/>
          <w:szCs w:val="22"/>
          <w:lang w:eastAsia="en-US"/>
        </w:rPr>
        <w:t xml:space="preserve">. In principle, this is </w:t>
      </w:r>
      <w:r w:rsidR="00723C78" w:rsidRPr="009500F4">
        <w:rPr>
          <w:rFonts w:eastAsia="Calibri" w:cs="Arial"/>
          <w:szCs w:val="22"/>
          <w:lang w:eastAsia="en-US"/>
        </w:rPr>
        <w:t xml:space="preserve">a </w:t>
      </w:r>
      <w:r w:rsidRPr="009500F4">
        <w:rPr>
          <w:rFonts w:eastAsia="Calibri" w:cs="Arial"/>
          <w:szCs w:val="22"/>
          <w:lang w:eastAsia="en-US"/>
        </w:rPr>
        <w:t>perfectly sensible</w:t>
      </w:r>
      <w:r w:rsidR="00723C78" w:rsidRPr="009500F4">
        <w:rPr>
          <w:rFonts w:eastAsia="Calibri" w:cs="Arial"/>
          <w:szCs w:val="22"/>
          <w:lang w:eastAsia="en-US"/>
        </w:rPr>
        <w:t xml:space="preserve"> approach</w:t>
      </w:r>
      <w:r w:rsidRPr="009500F4">
        <w:rPr>
          <w:rFonts w:eastAsia="Calibri" w:cs="Arial"/>
          <w:szCs w:val="22"/>
          <w:lang w:eastAsia="en-US"/>
        </w:rPr>
        <w:t>, but the realities of policy processes, attention spans, and alternative sources of information seem to weigh increasingly against it. Such factors as education, infrastructure, and security</w:t>
      </w:r>
      <w:r w:rsidR="00723C78" w:rsidRPr="009500F4">
        <w:rPr>
          <w:rFonts w:eastAsia="Calibri" w:cs="Arial"/>
          <w:szCs w:val="22"/>
          <w:lang w:eastAsia="en-US"/>
        </w:rPr>
        <w:t>—</w:t>
      </w:r>
      <w:r w:rsidRPr="009500F4">
        <w:rPr>
          <w:rFonts w:eastAsia="Calibri" w:cs="Arial"/>
          <w:szCs w:val="22"/>
          <w:lang w:eastAsia="en-US"/>
        </w:rPr>
        <w:t>while they must be taken into account in setting private sector policy priorities</w:t>
      </w:r>
      <w:r w:rsidR="00723C78" w:rsidRPr="009500F4">
        <w:rPr>
          <w:rFonts w:eastAsia="Calibri" w:cs="Arial"/>
          <w:szCs w:val="22"/>
          <w:lang w:eastAsia="en-US"/>
        </w:rPr>
        <w:t>—</w:t>
      </w:r>
      <w:r w:rsidRPr="009500F4">
        <w:rPr>
          <w:rFonts w:eastAsia="Calibri" w:cs="Arial"/>
          <w:szCs w:val="22"/>
          <w:lang w:eastAsia="en-US"/>
        </w:rPr>
        <w:t xml:space="preserve">could be covered in a shorter synopsis based on secondary literature. The discussion of legal and policy frameworks needs to focus more on areas </w:t>
      </w:r>
      <w:r w:rsidR="00723C78" w:rsidRPr="009500F4">
        <w:rPr>
          <w:rFonts w:eastAsia="Calibri" w:cs="Arial"/>
          <w:szCs w:val="22"/>
          <w:lang w:eastAsia="en-US"/>
        </w:rPr>
        <w:t xml:space="preserve">in which </w:t>
      </w:r>
      <w:r w:rsidRPr="009500F4">
        <w:rPr>
          <w:rFonts w:eastAsia="Calibri" w:cs="Arial"/>
          <w:szCs w:val="22"/>
          <w:lang w:eastAsia="en-US"/>
        </w:rPr>
        <w:t xml:space="preserve">PSDI can </w:t>
      </w:r>
      <w:r w:rsidR="004574F3" w:rsidRPr="009500F4">
        <w:rPr>
          <w:rFonts w:eastAsia="Calibri" w:cs="Arial"/>
          <w:szCs w:val="22"/>
          <w:lang w:eastAsia="en-US"/>
        </w:rPr>
        <w:t xml:space="preserve">offer </w:t>
      </w:r>
      <w:r w:rsidRPr="009500F4">
        <w:rPr>
          <w:rFonts w:eastAsia="Calibri" w:cs="Arial"/>
          <w:szCs w:val="22"/>
          <w:lang w:eastAsia="en-US"/>
        </w:rPr>
        <w:t>help. This does not mean confining the studies within PSDI’s technical program, but it does mean sharpening the focus.</w:t>
      </w:r>
    </w:p>
    <w:p w:rsidR="003E12F1" w:rsidRPr="009500F4" w:rsidRDefault="003E12F1" w:rsidP="003E12F1"/>
    <w:p w:rsidR="003E12F1" w:rsidRPr="009500F4" w:rsidRDefault="004469E7"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PSDI’s </w:t>
      </w:r>
      <w:r w:rsidR="003E12F1" w:rsidRPr="009500F4">
        <w:rPr>
          <w:rFonts w:eastAsia="Calibri" w:cs="Arial"/>
          <w:szCs w:val="22"/>
          <w:lang w:eastAsia="en-US"/>
        </w:rPr>
        <w:t>thematic publications</w:t>
      </w:r>
      <w:r w:rsidR="004574F3" w:rsidRPr="009500F4">
        <w:rPr>
          <w:rFonts w:eastAsia="Calibri" w:cs="Arial"/>
          <w:szCs w:val="22"/>
          <w:lang w:eastAsia="en-US"/>
        </w:rPr>
        <w:t>,</w:t>
      </w:r>
      <w:r w:rsidR="003E12F1" w:rsidRPr="009500F4">
        <w:rPr>
          <w:rFonts w:eastAsia="Calibri" w:cs="Arial"/>
          <w:szCs w:val="22"/>
          <w:lang w:eastAsia="en-US"/>
        </w:rPr>
        <w:t xml:space="preserve"> including the </w:t>
      </w:r>
      <w:r w:rsidR="004574F3" w:rsidRPr="009500F4">
        <w:rPr>
          <w:rFonts w:eastAsia="Calibri" w:cs="Arial"/>
          <w:szCs w:val="22"/>
          <w:lang w:eastAsia="en-US"/>
        </w:rPr>
        <w:t>“</w:t>
      </w:r>
      <w:r w:rsidR="003E12F1" w:rsidRPr="009500F4">
        <w:rPr>
          <w:rFonts w:eastAsia="Calibri" w:cs="Arial"/>
          <w:szCs w:val="22"/>
          <w:lang w:eastAsia="en-US"/>
        </w:rPr>
        <w:t>Finding Balance</w:t>
      </w:r>
      <w:r w:rsidR="004574F3" w:rsidRPr="009500F4">
        <w:rPr>
          <w:rFonts w:eastAsia="Calibri" w:cs="Arial"/>
          <w:szCs w:val="22"/>
          <w:lang w:eastAsia="en-US"/>
        </w:rPr>
        <w:t>”</w:t>
      </w:r>
      <w:r w:rsidR="003E12F1" w:rsidRPr="009500F4">
        <w:rPr>
          <w:rFonts w:eastAsia="Calibri" w:cs="Arial"/>
          <w:szCs w:val="22"/>
          <w:lang w:eastAsia="en-US"/>
        </w:rPr>
        <w:t xml:space="preserve"> series and one-off studies such as </w:t>
      </w:r>
      <w:r w:rsidR="003E12F1" w:rsidRPr="009500F4">
        <w:rPr>
          <w:rFonts w:eastAsia="Calibri" w:cs="Arial"/>
          <w:i/>
          <w:szCs w:val="22"/>
          <w:lang w:eastAsia="en-US"/>
        </w:rPr>
        <w:t>Unlocking Finance for Growth and Digital Financial Services in the Pacific</w:t>
      </w:r>
      <w:r w:rsidR="003E12F1" w:rsidRPr="009500F4">
        <w:rPr>
          <w:rFonts w:eastAsia="Calibri" w:cs="Arial"/>
          <w:szCs w:val="22"/>
          <w:lang w:eastAsia="en-US"/>
        </w:rPr>
        <w:t xml:space="preserve">, provide some of the focused, empirical research sought by stakeholders. PSDI should consider shifting resources and attention away from the PSAs and toward these kinds of thematic studies. The </w:t>
      </w:r>
      <w:r w:rsidR="0047417B" w:rsidRPr="009500F4">
        <w:rPr>
          <w:rFonts w:eastAsia="Calibri" w:cs="Arial"/>
          <w:szCs w:val="22"/>
          <w:lang w:eastAsia="en-US"/>
        </w:rPr>
        <w:t xml:space="preserve">recent publications addressing </w:t>
      </w:r>
      <w:r w:rsidR="003E12F1" w:rsidRPr="009500F4">
        <w:rPr>
          <w:rFonts w:eastAsia="Calibri" w:cs="Arial"/>
          <w:szCs w:val="22"/>
          <w:lang w:eastAsia="en-US"/>
        </w:rPr>
        <w:t xml:space="preserve">financial services could provide </w:t>
      </w:r>
      <w:r w:rsidR="0047417B" w:rsidRPr="009500F4">
        <w:rPr>
          <w:rFonts w:eastAsia="Calibri" w:cs="Arial"/>
          <w:szCs w:val="22"/>
          <w:lang w:eastAsia="en-US"/>
        </w:rPr>
        <w:t>the</w:t>
      </w:r>
      <w:r w:rsidR="003E12F1" w:rsidRPr="009500F4">
        <w:rPr>
          <w:rFonts w:eastAsia="Calibri" w:cs="Arial"/>
          <w:szCs w:val="22"/>
          <w:lang w:eastAsia="en-US"/>
        </w:rPr>
        <w:t xml:space="preserve"> basis for an ongoing occasional series dealing with needs and developments in th</w:t>
      </w:r>
      <w:r w:rsidR="0047417B" w:rsidRPr="009500F4">
        <w:rPr>
          <w:rFonts w:eastAsia="Calibri" w:cs="Arial"/>
          <w:szCs w:val="22"/>
          <w:lang w:eastAsia="en-US"/>
        </w:rPr>
        <w:t>e finance</w:t>
      </w:r>
      <w:r w:rsidR="003E12F1" w:rsidRPr="009500F4">
        <w:rPr>
          <w:rFonts w:eastAsia="Calibri" w:cs="Arial"/>
          <w:szCs w:val="22"/>
          <w:lang w:eastAsia="en-US"/>
        </w:rPr>
        <w:t xml:space="preserve"> sector. </w:t>
      </w:r>
      <w:r w:rsidR="0047417B" w:rsidRPr="009500F4">
        <w:rPr>
          <w:rFonts w:eastAsia="Calibri" w:cs="Arial"/>
          <w:szCs w:val="22"/>
          <w:lang w:eastAsia="en-US"/>
        </w:rPr>
        <w:t>Publications with similar goals to</w:t>
      </w:r>
      <w:r w:rsidR="003E12F1" w:rsidRPr="009500F4">
        <w:rPr>
          <w:rFonts w:eastAsia="Calibri" w:cs="Arial"/>
          <w:szCs w:val="22"/>
          <w:lang w:eastAsia="en-US"/>
        </w:rPr>
        <w:t xml:space="preserve"> the PSAs could be </w:t>
      </w:r>
      <w:r w:rsidR="0047417B" w:rsidRPr="009500F4">
        <w:rPr>
          <w:rFonts w:eastAsia="Calibri" w:cs="Arial"/>
          <w:szCs w:val="22"/>
          <w:lang w:eastAsia="en-US"/>
        </w:rPr>
        <w:t xml:space="preserve">released </w:t>
      </w:r>
      <w:r w:rsidR="003E12F1" w:rsidRPr="009500F4">
        <w:rPr>
          <w:rFonts w:eastAsia="Calibri" w:cs="Arial"/>
          <w:szCs w:val="22"/>
          <w:lang w:eastAsia="en-US"/>
        </w:rPr>
        <w:t>more sporadically, perhaps covering multiple countries, and with a view to collaboration with researchers and policymakers in the region.</w:t>
      </w:r>
    </w:p>
    <w:p w:rsidR="0047417B" w:rsidRPr="009500F4" w:rsidRDefault="0047417B" w:rsidP="00170139"/>
    <w:p w:rsidR="0047417B" w:rsidRPr="009500F4" w:rsidRDefault="009500F4" w:rsidP="00170139">
      <w:pPr>
        <w:tabs>
          <w:tab w:val="left" w:pos="567"/>
        </w:tabs>
        <w:ind w:left="2342" w:hanging="357"/>
        <w:rPr>
          <w:rFonts w:eastAsia="Calibri" w:cs="Arial"/>
          <w:b/>
          <w:szCs w:val="22"/>
          <w:lang w:eastAsia="en-US"/>
        </w:rPr>
      </w:pPr>
      <w:r>
        <w:rPr>
          <w:rFonts w:eastAsia="Calibri" w:cs="Arial"/>
          <w:b/>
          <w:szCs w:val="22"/>
          <w:lang w:eastAsia="en-US"/>
        </w:rPr>
        <w:t>c.</w:t>
      </w:r>
      <w:r w:rsidR="0047417B" w:rsidRPr="009500F4">
        <w:rPr>
          <w:rFonts w:eastAsia="Calibri" w:cs="Arial"/>
          <w:b/>
          <w:szCs w:val="22"/>
          <w:lang w:eastAsia="en-US"/>
        </w:rPr>
        <w:tab/>
        <w:t>Communications</w:t>
      </w:r>
    </w:p>
    <w:p w:rsidR="00BC2CEF" w:rsidRPr="009500F4" w:rsidRDefault="00BC2CEF" w:rsidP="00170139"/>
    <w:p w:rsidR="00F2073B" w:rsidRPr="009500F4" w:rsidRDefault="00BC2CEF" w:rsidP="00170139">
      <w:pPr>
        <w:numPr>
          <w:ilvl w:val="0"/>
          <w:numId w:val="10"/>
        </w:numPr>
        <w:tabs>
          <w:tab w:val="left" w:pos="567"/>
        </w:tabs>
        <w:ind w:left="0" w:firstLine="0"/>
      </w:pPr>
      <w:r w:rsidRPr="009500F4">
        <w:t xml:space="preserve">This midterm review has noted the need for increased </w:t>
      </w:r>
      <w:r w:rsidR="0047417B" w:rsidRPr="009500F4">
        <w:t xml:space="preserve">dialogue between the </w:t>
      </w:r>
      <w:r w:rsidRPr="009500F4">
        <w:t>government</w:t>
      </w:r>
      <w:r w:rsidR="0047417B" w:rsidRPr="009500F4">
        <w:t>s</w:t>
      </w:r>
      <w:r w:rsidRPr="009500F4">
        <w:t xml:space="preserve"> </w:t>
      </w:r>
      <w:r w:rsidR="0047417B" w:rsidRPr="009500F4">
        <w:t xml:space="preserve">of Pacific DMCs and </w:t>
      </w:r>
      <w:r w:rsidRPr="009500F4">
        <w:t xml:space="preserve">their </w:t>
      </w:r>
      <w:r w:rsidR="0047417B" w:rsidRPr="009500F4">
        <w:t xml:space="preserve">respective </w:t>
      </w:r>
      <w:r w:rsidRPr="009500F4">
        <w:t xml:space="preserve">private sectors. </w:t>
      </w:r>
      <w:r w:rsidR="00F2073B" w:rsidRPr="009500F4">
        <w:t xml:space="preserve">Exchanges between the government and the private sector have been beneficially introduced in Palau and Tonga. Such </w:t>
      </w:r>
      <w:r w:rsidRPr="009500F4">
        <w:t>dialogue can be invaluable in ensuring private sector support for government plans</w:t>
      </w:r>
      <w:r w:rsidR="00F2073B" w:rsidRPr="009500F4">
        <w:t>,</w:t>
      </w:r>
      <w:r w:rsidRPr="009500F4">
        <w:t xml:space="preserve"> while providing feedback from the private sector to be taken into account</w:t>
      </w:r>
      <w:r w:rsidR="00F2073B" w:rsidRPr="009500F4">
        <w:t xml:space="preserve"> by the government</w:t>
      </w:r>
      <w:r w:rsidRPr="009500F4">
        <w:t xml:space="preserve"> </w:t>
      </w:r>
      <w:r w:rsidR="00F2073B" w:rsidRPr="009500F4">
        <w:t xml:space="preserve">when </w:t>
      </w:r>
      <w:r w:rsidRPr="009500F4">
        <w:t>formulating development policies.</w:t>
      </w:r>
    </w:p>
    <w:p w:rsidR="00C030A4" w:rsidRPr="009500F4" w:rsidRDefault="00C030A4" w:rsidP="00170139">
      <w:pPr>
        <w:tabs>
          <w:tab w:val="left" w:pos="567"/>
        </w:tabs>
      </w:pPr>
    </w:p>
    <w:p w:rsidR="00F2073B" w:rsidRPr="009500F4" w:rsidRDefault="00C030A4" w:rsidP="00170139">
      <w:pPr>
        <w:numPr>
          <w:ilvl w:val="0"/>
          <w:numId w:val="10"/>
        </w:numPr>
        <w:tabs>
          <w:tab w:val="left" w:pos="567"/>
        </w:tabs>
        <w:ind w:left="0" w:firstLine="0"/>
      </w:pPr>
      <w:r w:rsidRPr="009500F4">
        <w:lastRenderedPageBreak/>
        <w:t>An institutional basis for dialogue between the</w:t>
      </w:r>
      <w:r w:rsidR="00F2073B" w:rsidRPr="009500F4">
        <w:t xml:space="preserve"> governments of Pacific</w:t>
      </w:r>
      <w:r w:rsidRPr="009500F4">
        <w:t xml:space="preserve"> DMC</w:t>
      </w:r>
      <w:r w:rsidR="00F2073B" w:rsidRPr="009500F4">
        <w:t>s</w:t>
      </w:r>
      <w:r w:rsidRPr="009500F4">
        <w:t xml:space="preserve"> and their</w:t>
      </w:r>
      <w:r w:rsidR="00F2073B" w:rsidRPr="009500F4">
        <w:t xml:space="preserve"> respective</w:t>
      </w:r>
      <w:r w:rsidRPr="009500F4">
        <w:t xml:space="preserve"> private sectors need</w:t>
      </w:r>
      <w:r w:rsidR="00F2073B" w:rsidRPr="009500F4">
        <w:t>s</w:t>
      </w:r>
      <w:r w:rsidRPr="009500F4">
        <w:t xml:space="preserve"> to be encouraged and strengthened with the support of </w:t>
      </w:r>
      <w:r w:rsidR="00F2073B" w:rsidRPr="009500F4">
        <w:t>PSDI</w:t>
      </w:r>
      <w:r w:rsidRPr="009500F4">
        <w:t xml:space="preserve">. </w:t>
      </w:r>
      <w:r w:rsidR="00F2073B" w:rsidRPr="009500F4">
        <w:t xml:space="preserve"> Whatever the institutional process chosen by Pacific island economies, such dia</w:t>
      </w:r>
      <w:r w:rsidR="00A07121" w:rsidRPr="009500F4">
        <w:t>logue is</w:t>
      </w:r>
      <w:r w:rsidR="00F2073B" w:rsidRPr="009500F4">
        <w:t xml:space="preserve"> important for the sustainable development of their private sectors.</w:t>
      </w:r>
    </w:p>
    <w:p w:rsidR="00553681" w:rsidRPr="009500F4" w:rsidRDefault="00553681" w:rsidP="00170139">
      <w:pPr>
        <w:tabs>
          <w:tab w:val="left" w:pos="567"/>
        </w:tabs>
      </w:pPr>
    </w:p>
    <w:p w:rsidR="00AD130C" w:rsidRPr="009500F4" w:rsidRDefault="00AD130C" w:rsidP="00AD130C">
      <w:pPr>
        <w:keepNext/>
        <w:spacing w:after="160"/>
        <w:ind w:left="1080"/>
        <w:outlineLvl w:val="1"/>
        <w:rPr>
          <w:rFonts w:eastAsia="Times New Roman" w:cs="Arial"/>
          <w:b/>
          <w:bCs/>
          <w:iCs/>
          <w:szCs w:val="22"/>
          <w:lang w:eastAsia="en-US"/>
        </w:rPr>
      </w:pPr>
      <w:r w:rsidRPr="009500F4">
        <w:rPr>
          <w:rFonts w:eastAsia="Times New Roman" w:cs="Arial"/>
          <w:b/>
          <w:bCs/>
          <w:iCs/>
          <w:szCs w:val="22"/>
          <w:lang w:eastAsia="en-US"/>
        </w:rPr>
        <w:t>2</w:t>
      </w:r>
      <w:r w:rsidR="009500F4">
        <w:rPr>
          <w:rFonts w:eastAsia="Times New Roman" w:cs="Arial"/>
          <w:b/>
          <w:bCs/>
          <w:iCs/>
          <w:szCs w:val="22"/>
          <w:lang w:eastAsia="en-US"/>
        </w:rPr>
        <w:t>.</w:t>
      </w:r>
      <w:r w:rsidRPr="009500F4">
        <w:rPr>
          <w:rFonts w:eastAsia="Times New Roman" w:cs="Arial"/>
          <w:b/>
          <w:bCs/>
          <w:iCs/>
          <w:szCs w:val="22"/>
          <w:lang w:eastAsia="en-US"/>
        </w:rPr>
        <w:tab/>
        <w:t>Monitoring and Evaluation</w:t>
      </w:r>
    </w:p>
    <w:p w:rsidR="0006764E" w:rsidRPr="009500F4" w:rsidRDefault="003E12F1" w:rsidP="0006764E">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There is a concern among stakeholders that PSDI does not carry out impact measurement, </w:t>
      </w:r>
      <w:r w:rsidR="00FD38FE" w:rsidRPr="009500F4">
        <w:rPr>
          <w:rFonts w:eastAsia="Calibri" w:cs="Arial"/>
          <w:szCs w:val="22"/>
          <w:lang w:eastAsia="en-US"/>
        </w:rPr>
        <w:t>e.g.,</w:t>
      </w:r>
      <w:r w:rsidRPr="009500F4">
        <w:rPr>
          <w:rFonts w:eastAsia="Calibri" w:cs="Arial"/>
          <w:szCs w:val="22"/>
          <w:lang w:eastAsia="en-US"/>
        </w:rPr>
        <w:t xml:space="preserve"> surveys of investment</w:t>
      </w:r>
      <w:r w:rsidR="00FD38FE" w:rsidRPr="009500F4">
        <w:rPr>
          <w:rFonts w:eastAsia="Calibri" w:cs="Arial"/>
          <w:szCs w:val="22"/>
          <w:lang w:eastAsia="en-US"/>
        </w:rPr>
        <w:t xml:space="preserve"> at the company level</w:t>
      </w:r>
      <w:r w:rsidRPr="009500F4">
        <w:rPr>
          <w:rFonts w:eastAsia="Calibri" w:cs="Arial"/>
          <w:szCs w:val="22"/>
          <w:lang w:eastAsia="en-US"/>
        </w:rPr>
        <w:t xml:space="preserve">, but only tracks output and expenditure. There is some </w:t>
      </w:r>
      <w:r w:rsidR="004C7982" w:rsidRPr="009500F4">
        <w:rPr>
          <w:rFonts w:eastAsia="Calibri" w:cs="Arial"/>
          <w:szCs w:val="22"/>
          <w:lang w:eastAsia="en-US"/>
        </w:rPr>
        <w:t xml:space="preserve">basis </w:t>
      </w:r>
      <w:r w:rsidRPr="009500F4">
        <w:rPr>
          <w:rFonts w:eastAsia="Calibri" w:cs="Arial"/>
          <w:szCs w:val="22"/>
          <w:lang w:eastAsia="en-US"/>
        </w:rPr>
        <w:t>to this criticism, even though it is not entirely fair</w:t>
      </w:r>
      <w:r w:rsidR="004C7982" w:rsidRPr="009500F4">
        <w:rPr>
          <w:rFonts w:eastAsia="Calibri" w:cs="Arial"/>
          <w:szCs w:val="22"/>
          <w:lang w:eastAsia="en-US"/>
        </w:rPr>
        <w:t xml:space="preserve"> because</w:t>
      </w:r>
      <w:r w:rsidRPr="009500F4">
        <w:rPr>
          <w:rFonts w:eastAsia="Calibri" w:cs="Arial"/>
          <w:szCs w:val="22"/>
          <w:lang w:eastAsia="en-US"/>
        </w:rPr>
        <w:t xml:space="preserve"> </w:t>
      </w:r>
      <w:r w:rsidR="004C7982" w:rsidRPr="009500F4">
        <w:rPr>
          <w:rFonts w:eastAsia="Calibri" w:cs="Arial"/>
          <w:szCs w:val="22"/>
          <w:lang w:eastAsia="en-US"/>
        </w:rPr>
        <w:t>i</w:t>
      </w:r>
      <w:r w:rsidRPr="009500F4">
        <w:rPr>
          <w:rFonts w:eastAsia="Calibri" w:cs="Arial"/>
          <w:szCs w:val="22"/>
          <w:lang w:eastAsia="en-US"/>
        </w:rPr>
        <w:t xml:space="preserve">mpact measurement is expensive and often imprecise, and prevailing practice </w:t>
      </w:r>
      <w:r w:rsidR="004C7982" w:rsidRPr="009500F4">
        <w:rPr>
          <w:rFonts w:eastAsia="Calibri" w:cs="Arial"/>
          <w:szCs w:val="22"/>
          <w:lang w:eastAsia="en-US"/>
        </w:rPr>
        <w:t>with</w:t>
      </w:r>
      <w:r w:rsidRPr="009500F4">
        <w:rPr>
          <w:rFonts w:eastAsia="Calibri" w:cs="Arial"/>
          <w:szCs w:val="22"/>
          <w:lang w:eastAsia="en-US"/>
        </w:rPr>
        <w:t>in the donor community appears to be similar to PSDI</w:t>
      </w:r>
      <w:r w:rsidR="004C7982" w:rsidRPr="009500F4">
        <w:rPr>
          <w:rFonts w:eastAsia="Calibri" w:cs="Arial"/>
          <w:szCs w:val="22"/>
          <w:lang w:eastAsia="en-US"/>
        </w:rPr>
        <w:t>’s approach of</w:t>
      </w:r>
      <w:r w:rsidRPr="009500F4">
        <w:rPr>
          <w:rFonts w:eastAsia="Calibri" w:cs="Arial"/>
          <w:szCs w:val="22"/>
          <w:lang w:eastAsia="en-US"/>
        </w:rPr>
        <w:t xml:space="preserve"> tracking agreed proxies of effectiveness and impact. Beyond this, as suggested </w:t>
      </w:r>
      <w:r w:rsidR="004C7982" w:rsidRPr="009500F4">
        <w:rPr>
          <w:rFonts w:eastAsia="Calibri" w:cs="Arial"/>
          <w:szCs w:val="22"/>
          <w:lang w:eastAsia="en-US"/>
        </w:rPr>
        <w:t>in para. 128</w:t>
      </w:r>
      <w:r w:rsidRPr="009500F4">
        <w:rPr>
          <w:rFonts w:eastAsia="Calibri" w:cs="Arial"/>
          <w:szCs w:val="22"/>
          <w:lang w:eastAsia="en-US"/>
        </w:rPr>
        <w:t xml:space="preserve">, PSDI should undertake </w:t>
      </w:r>
      <w:r w:rsidR="004C7982" w:rsidRPr="009500F4">
        <w:rPr>
          <w:rFonts w:eastAsia="Calibri" w:cs="Arial"/>
          <w:szCs w:val="22"/>
          <w:lang w:eastAsia="en-US"/>
        </w:rPr>
        <w:t>(</w:t>
      </w:r>
      <w:r w:rsidRPr="009500F4">
        <w:rPr>
          <w:rFonts w:eastAsia="Calibri" w:cs="Arial"/>
          <w:szCs w:val="22"/>
          <w:lang w:eastAsia="en-US"/>
        </w:rPr>
        <w:t>or perhaps commission</w:t>
      </w:r>
      <w:r w:rsidR="004C7982" w:rsidRPr="009500F4">
        <w:rPr>
          <w:rFonts w:eastAsia="Calibri" w:cs="Arial"/>
          <w:szCs w:val="22"/>
          <w:lang w:eastAsia="en-US"/>
        </w:rPr>
        <w:t>)</w:t>
      </w:r>
      <w:r w:rsidRPr="009500F4">
        <w:rPr>
          <w:rFonts w:eastAsia="Calibri" w:cs="Arial"/>
          <w:szCs w:val="22"/>
          <w:lang w:eastAsia="en-US"/>
        </w:rPr>
        <w:t xml:space="preserve"> more empirically grounded studies of private sector behavior, not only to enrich the data for programming decisions but also to collect evidence of impact. Further</w:t>
      </w:r>
      <w:r w:rsidR="004C7982" w:rsidRPr="009500F4">
        <w:rPr>
          <w:rFonts w:eastAsia="Calibri" w:cs="Arial"/>
          <w:szCs w:val="22"/>
          <w:lang w:eastAsia="en-US"/>
        </w:rPr>
        <w:t>more</w:t>
      </w:r>
      <w:r w:rsidRPr="009500F4">
        <w:rPr>
          <w:rFonts w:eastAsia="Calibri" w:cs="Arial"/>
          <w:szCs w:val="22"/>
          <w:lang w:eastAsia="en-US"/>
        </w:rPr>
        <w:t>, the research</w:t>
      </w:r>
      <w:r w:rsidR="004C7982" w:rsidRPr="009500F4">
        <w:rPr>
          <w:rFonts w:eastAsia="Calibri" w:cs="Arial"/>
          <w:szCs w:val="22"/>
          <w:lang w:eastAsia="en-US"/>
        </w:rPr>
        <w:t xml:space="preserve"> program</w:t>
      </w:r>
      <w:r w:rsidRPr="009500F4">
        <w:rPr>
          <w:rFonts w:eastAsia="Calibri" w:cs="Arial"/>
          <w:szCs w:val="22"/>
          <w:lang w:eastAsia="en-US"/>
        </w:rPr>
        <w:t xml:space="preserve"> and the M&amp;E system as a whole would benefit from a more clearly articulated logical framework</w:t>
      </w:r>
      <w:r w:rsidR="004C7982" w:rsidRPr="009500F4">
        <w:rPr>
          <w:rFonts w:eastAsia="Calibri" w:cs="Arial"/>
          <w:szCs w:val="22"/>
          <w:lang w:eastAsia="en-US"/>
        </w:rPr>
        <w:t>, but</w:t>
      </w:r>
      <w:r w:rsidRPr="009500F4">
        <w:rPr>
          <w:rFonts w:eastAsia="Calibri" w:cs="Arial"/>
          <w:szCs w:val="22"/>
          <w:lang w:eastAsia="en-US"/>
        </w:rPr>
        <w:t xml:space="preserve"> the question of resources </w:t>
      </w:r>
      <w:r w:rsidR="004C7982" w:rsidRPr="009500F4">
        <w:rPr>
          <w:rFonts w:eastAsia="Calibri" w:cs="Arial"/>
          <w:szCs w:val="22"/>
          <w:lang w:eastAsia="en-US"/>
        </w:rPr>
        <w:t xml:space="preserve">again </w:t>
      </w:r>
      <w:r w:rsidRPr="009500F4">
        <w:rPr>
          <w:rFonts w:eastAsia="Calibri" w:cs="Arial"/>
          <w:szCs w:val="22"/>
          <w:lang w:eastAsia="en-US"/>
        </w:rPr>
        <w:t>arises.</w:t>
      </w:r>
    </w:p>
    <w:p w:rsidR="00CC5841" w:rsidRPr="009500F4" w:rsidRDefault="00CC5841" w:rsidP="00170139">
      <w:pPr>
        <w:tabs>
          <w:tab w:val="left" w:pos="567"/>
        </w:tabs>
        <w:rPr>
          <w:rFonts w:eastAsia="Calibri" w:cs="Arial"/>
          <w:szCs w:val="22"/>
          <w:lang w:eastAsia="en-US"/>
        </w:rPr>
      </w:pPr>
    </w:p>
    <w:p w:rsidR="00CC5841" w:rsidRPr="009500F4" w:rsidRDefault="00CC5841"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Reliable data is the foundation for future PSDI decision</w:t>
      </w:r>
      <w:r w:rsidR="004C7982" w:rsidRPr="009500F4">
        <w:rPr>
          <w:rFonts w:eastAsia="Calibri" w:cs="Arial"/>
          <w:szCs w:val="22"/>
          <w:lang w:eastAsia="en-US"/>
        </w:rPr>
        <w:t>-</w:t>
      </w:r>
      <w:r w:rsidRPr="009500F4">
        <w:rPr>
          <w:rFonts w:eastAsia="Calibri" w:cs="Arial"/>
          <w:szCs w:val="22"/>
          <w:lang w:eastAsia="en-US"/>
        </w:rPr>
        <w:t>making. The allocation of PSDI resources must be based upon an accounting and allocating system that can meet acceptable standards</w:t>
      </w:r>
      <w:r w:rsidR="003B09F1" w:rsidRPr="009500F4">
        <w:rPr>
          <w:rFonts w:eastAsia="Calibri" w:cs="Arial"/>
          <w:szCs w:val="22"/>
          <w:lang w:eastAsia="en-US"/>
        </w:rPr>
        <w:t>,</w:t>
      </w:r>
      <w:r w:rsidRPr="009500F4">
        <w:rPr>
          <w:rFonts w:eastAsia="Calibri" w:cs="Arial"/>
          <w:szCs w:val="22"/>
          <w:lang w:eastAsia="en-US"/>
        </w:rPr>
        <w:t xml:space="preserve"> so that the reported outcomes can be utilized in DFAT, MFAT, and ADB’s allocation of resources to the 14 Pacific DMCs. This will require the input of the ADB Controller’s department in the upgrading of the accounting and allocation systems at PLCO. These systems could be effectively implemented by the PSDI Coordinator in PLCO who would have direct access to </w:t>
      </w:r>
      <w:r w:rsidR="00C86D50" w:rsidRPr="009500F4">
        <w:rPr>
          <w:rFonts w:eastAsia="Calibri" w:cs="Arial"/>
          <w:szCs w:val="22"/>
          <w:lang w:eastAsia="en-US"/>
        </w:rPr>
        <w:t xml:space="preserve">staff at </w:t>
      </w:r>
      <w:r w:rsidRPr="009500F4">
        <w:rPr>
          <w:rFonts w:eastAsia="Calibri" w:cs="Arial"/>
          <w:szCs w:val="22"/>
          <w:lang w:eastAsia="en-US"/>
        </w:rPr>
        <w:t>ADB headquarters.</w:t>
      </w:r>
    </w:p>
    <w:p w:rsidR="008E6F74" w:rsidRPr="009500F4" w:rsidRDefault="008E6F74" w:rsidP="008E6F74">
      <w:pPr>
        <w:tabs>
          <w:tab w:val="left" w:pos="567"/>
        </w:tabs>
        <w:rPr>
          <w:rFonts w:eastAsia="Calibri" w:cs="Arial"/>
          <w:szCs w:val="22"/>
          <w:lang w:eastAsia="en-US"/>
        </w:rPr>
      </w:pPr>
    </w:p>
    <w:p w:rsidR="00B47099" w:rsidRPr="009500F4" w:rsidRDefault="007F0875" w:rsidP="00B47099">
      <w:pPr>
        <w:tabs>
          <w:tab w:val="left" w:pos="1134"/>
        </w:tabs>
        <w:ind w:left="1077"/>
        <w:contextualSpacing/>
        <w:rPr>
          <w:b/>
        </w:rPr>
      </w:pPr>
      <w:r w:rsidRPr="009500F4">
        <w:rPr>
          <w:rFonts w:eastAsia="Times New Roman"/>
          <w:b/>
          <w:bCs/>
          <w:iCs/>
        </w:rPr>
        <w:t>3</w:t>
      </w:r>
      <w:r w:rsidR="00B47099" w:rsidRPr="009500F4">
        <w:rPr>
          <w:rFonts w:eastAsia="Times New Roman"/>
          <w:b/>
          <w:bCs/>
          <w:iCs/>
        </w:rPr>
        <w:t>.</w:t>
      </w:r>
      <w:r w:rsidR="00B47099" w:rsidRPr="009500F4">
        <w:rPr>
          <w:rFonts w:eastAsia="Times New Roman"/>
          <w:b/>
          <w:bCs/>
          <w:iCs/>
        </w:rPr>
        <w:tab/>
        <w:t>Resource Allocation</w:t>
      </w:r>
    </w:p>
    <w:p w:rsidR="00B47099" w:rsidRPr="009500F4" w:rsidRDefault="00B47099" w:rsidP="00B47099">
      <w:pPr>
        <w:tabs>
          <w:tab w:val="left" w:pos="1134"/>
        </w:tabs>
        <w:contextualSpacing/>
        <w:rPr>
          <w:rFonts w:eastAsia="Calibri" w:cs="Arial"/>
          <w:szCs w:val="22"/>
          <w:lang w:eastAsia="en-US"/>
        </w:rPr>
      </w:pPr>
    </w:p>
    <w:p w:rsidR="00881A61" w:rsidRPr="009500F4" w:rsidRDefault="00B47099" w:rsidP="00170139">
      <w:pPr>
        <w:numPr>
          <w:ilvl w:val="0"/>
          <w:numId w:val="10"/>
        </w:numPr>
        <w:tabs>
          <w:tab w:val="left" w:pos="567"/>
        </w:tabs>
        <w:ind w:left="0" w:firstLine="0"/>
      </w:pPr>
      <w:r w:rsidRPr="009500F4">
        <w:t>The allocation of PSDI resources should continue to be controlled by country demands</w:t>
      </w:r>
      <w:r w:rsidR="001A6CF8" w:rsidRPr="009500F4">
        <w:t>,</w:t>
      </w:r>
      <w:r w:rsidR="003B09F1" w:rsidRPr="009500F4">
        <w:t xml:space="preserve"> but</w:t>
      </w:r>
      <w:r w:rsidR="001A6CF8" w:rsidRPr="009500F4">
        <w:t xml:space="preserve"> </w:t>
      </w:r>
      <w:r w:rsidR="003B09F1" w:rsidRPr="009500F4">
        <w:t>should be supplemented</w:t>
      </w:r>
      <w:r w:rsidRPr="009500F4">
        <w:t xml:space="preserve"> </w:t>
      </w:r>
      <w:r w:rsidR="003B09F1" w:rsidRPr="009500F4">
        <w:t>by</w:t>
      </w:r>
      <w:r w:rsidRPr="009500F4">
        <w:t xml:space="preserve"> consultations undertaken by senior PSDI consultants to</w:t>
      </w:r>
      <w:r w:rsidR="00C86D50" w:rsidRPr="009500F4">
        <w:t xml:space="preserve"> determine</w:t>
      </w:r>
      <w:r w:rsidRPr="009500F4">
        <w:t xml:space="preserve"> the productive </w:t>
      </w:r>
      <w:r w:rsidR="003B09F1" w:rsidRPr="009500F4">
        <w:t>sectors</w:t>
      </w:r>
      <w:r w:rsidR="001A6CF8" w:rsidRPr="009500F4">
        <w:t xml:space="preserve"> or industries</w:t>
      </w:r>
      <w:r w:rsidR="003B09F1" w:rsidRPr="009500F4">
        <w:t xml:space="preserve"> </w:t>
      </w:r>
      <w:r w:rsidRPr="009500F4">
        <w:t>for development in each</w:t>
      </w:r>
      <w:r w:rsidR="00C86D50" w:rsidRPr="009500F4">
        <w:t xml:space="preserve"> Pacific</w:t>
      </w:r>
      <w:r w:rsidRPr="009500F4">
        <w:t xml:space="preserve"> </w:t>
      </w:r>
      <w:r w:rsidR="001A6CF8" w:rsidRPr="009500F4">
        <w:t>island economy</w:t>
      </w:r>
      <w:r w:rsidRPr="009500F4">
        <w:t xml:space="preserve">. If agreed, the focus would no longer be on country allocations that are often remote from the </w:t>
      </w:r>
      <w:r w:rsidR="003B09F1" w:rsidRPr="009500F4">
        <w:t xml:space="preserve">potential </w:t>
      </w:r>
      <w:r w:rsidR="001A6CF8" w:rsidRPr="009500F4">
        <w:t xml:space="preserve">of specific </w:t>
      </w:r>
      <w:r w:rsidR="00211D9D" w:rsidRPr="009500F4">
        <w:t xml:space="preserve">commercial </w:t>
      </w:r>
      <w:r w:rsidR="001A6CF8" w:rsidRPr="009500F4">
        <w:t xml:space="preserve">sectors within </w:t>
      </w:r>
      <w:r w:rsidR="00211D9D" w:rsidRPr="009500F4">
        <w:t>each</w:t>
      </w:r>
      <w:r w:rsidR="001A6CF8" w:rsidRPr="009500F4">
        <w:t xml:space="preserve"> Pacific DMC</w:t>
      </w:r>
      <w:r w:rsidRPr="009500F4">
        <w:t>.</w:t>
      </w:r>
    </w:p>
    <w:p w:rsidR="00881A61" w:rsidRPr="009500F4" w:rsidRDefault="00881A61" w:rsidP="00170139">
      <w:pPr>
        <w:tabs>
          <w:tab w:val="left" w:pos="567"/>
        </w:tabs>
      </w:pPr>
    </w:p>
    <w:p w:rsidR="00881A61" w:rsidRPr="009500F4" w:rsidRDefault="00881A61"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 In accordance with the suggested shift </w:t>
      </w:r>
      <w:r w:rsidR="00211D9D" w:rsidRPr="009500F4">
        <w:rPr>
          <w:rFonts w:eastAsia="Calibri" w:cs="Arial"/>
          <w:szCs w:val="22"/>
          <w:lang w:eastAsia="en-US"/>
        </w:rPr>
        <w:t xml:space="preserve">to a </w:t>
      </w:r>
      <w:r w:rsidRPr="009500F4">
        <w:rPr>
          <w:rFonts w:eastAsia="Calibri" w:cs="Arial"/>
          <w:szCs w:val="22"/>
          <w:lang w:eastAsia="en-US"/>
        </w:rPr>
        <w:t>sectoral basis for PSDI resource allocation, future allocations could include the addition of the tourism and/or communications sector</w:t>
      </w:r>
      <w:r w:rsidR="00211D9D" w:rsidRPr="009500F4">
        <w:rPr>
          <w:rFonts w:eastAsia="Calibri" w:cs="Arial"/>
          <w:szCs w:val="22"/>
          <w:lang w:eastAsia="en-US"/>
        </w:rPr>
        <w:t>s</w:t>
      </w:r>
      <w:r w:rsidRPr="009500F4">
        <w:rPr>
          <w:rFonts w:eastAsia="Calibri" w:cs="Arial"/>
          <w:szCs w:val="22"/>
          <w:lang w:eastAsia="en-US"/>
        </w:rPr>
        <w:t xml:space="preserve"> for resource allocation within PSDI IV </w:t>
      </w:r>
      <w:r w:rsidR="00211D9D" w:rsidRPr="009500F4">
        <w:rPr>
          <w:rFonts w:eastAsia="Calibri" w:cs="Arial"/>
          <w:szCs w:val="22"/>
          <w:lang w:eastAsia="en-US"/>
        </w:rPr>
        <w:t>(if approved)</w:t>
      </w:r>
      <w:r w:rsidRPr="009500F4">
        <w:rPr>
          <w:rFonts w:eastAsia="Calibri" w:cs="Arial"/>
          <w:szCs w:val="22"/>
          <w:lang w:eastAsia="en-US"/>
        </w:rPr>
        <w:t>. Tourism is the lifeblood of many Pacific</w:t>
      </w:r>
      <w:r w:rsidR="00211D9D" w:rsidRPr="009500F4">
        <w:rPr>
          <w:rFonts w:eastAsia="Calibri" w:cs="Arial"/>
          <w:szCs w:val="22"/>
          <w:lang w:eastAsia="en-US"/>
        </w:rPr>
        <w:t xml:space="preserve"> island</w:t>
      </w:r>
      <w:r w:rsidRPr="009500F4">
        <w:rPr>
          <w:rFonts w:eastAsia="Calibri" w:cs="Arial"/>
          <w:szCs w:val="22"/>
          <w:lang w:eastAsia="en-US"/>
        </w:rPr>
        <w:t xml:space="preserve"> economies and</w:t>
      </w:r>
      <w:r w:rsidR="00950BB0" w:rsidRPr="009500F4">
        <w:rPr>
          <w:rFonts w:eastAsia="Calibri" w:cs="Arial"/>
          <w:szCs w:val="22"/>
          <w:lang w:eastAsia="en-US"/>
        </w:rPr>
        <w:t>, by providing expertise in this area,</w:t>
      </w:r>
      <w:r w:rsidRPr="009500F4">
        <w:rPr>
          <w:rFonts w:eastAsia="Calibri" w:cs="Arial"/>
          <w:szCs w:val="22"/>
          <w:lang w:eastAsia="en-US"/>
        </w:rPr>
        <w:t xml:space="preserve"> PSDI could make a major contribution </w:t>
      </w:r>
      <w:r w:rsidR="00950BB0" w:rsidRPr="009500F4">
        <w:rPr>
          <w:rFonts w:eastAsia="Calibri" w:cs="Arial"/>
          <w:szCs w:val="22"/>
          <w:lang w:eastAsia="en-US"/>
        </w:rPr>
        <w:t xml:space="preserve">to </w:t>
      </w:r>
      <w:r w:rsidRPr="009500F4">
        <w:rPr>
          <w:rFonts w:eastAsia="Calibri" w:cs="Arial"/>
          <w:szCs w:val="22"/>
          <w:lang w:eastAsia="en-US"/>
        </w:rPr>
        <w:t>further</w:t>
      </w:r>
      <w:r w:rsidR="00211D9D" w:rsidRPr="009500F4">
        <w:rPr>
          <w:rFonts w:eastAsia="Calibri" w:cs="Arial"/>
          <w:szCs w:val="22"/>
          <w:lang w:eastAsia="en-US"/>
        </w:rPr>
        <w:t xml:space="preserve"> </w:t>
      </w:r>
      <w:r w:rsidRPr="009500F4">
        <w:rPr>
          <w:rFonts w:eastAsia="Calibri" w:cs="Arial"/>
          <w:szCs w:val="22"/>
          <w:lang w:eastAsia="en-US"/>
        </w:rPr>
        <w:t>develop</w:t>
      </w:r>
      <w:r w:rsidR="00211D9D" w:rsidRPr="009500F4">
        <w:rPr>
          <w:rFonts w:eastAsia="Calibri" w:cs="Arial"/>
          <w:szCs w:val="22"/>
          <w:lang w:eastAsia="en-US"/>
        </w:rPr>
        <w:t>ing</w:t>
      </w:r>
      <w:r w:rsidRPr="009500F4">
        <w:rPr>
          <w:rFonts w:eastAsia="Calibri" w:cs="Arial"/>
          <w:szCs w:val="22"/>
          <w:lang w:eastAsia="en-US"/>
        </w:rPr>
        <w:t xml:space="preserve"> private sectors</w:t>
      </w:r>
      <w:r w:rsidR="00211D9D" w:rsidRPr="009500F4">
        <w:rPr>
          <w:rFonts w:eastAsia="Calibri" w:cs="Arial"/>
          <w:szCs w:val="22"/>
          <w:lang w:eastAsia="en-US"/>
        </w:rPr>
        <w:t xml:space="preserve"> in </w:t>
      </w:r>
      <w:r w:rsidR="00950BB0" w:rsidRPr="009500F4">
        <w:rPr>
          <w:rFonts w:eastAsia="Calibri" w:cs="Arial"/>
          <w:szCs w:val="22"/>
          <w:lang w:eastAsia="en-US"/>
        </w:rPr>
        <w:t xml:space="preserve">the </w:t>
      </w:r>
      <w:r w:rsidR="00211D9D" w:rsidRPr="009500F4">
        <w:rPr>
          <w:rFonts w:eastAsia="Calibri" w:cs="Arial"/>
          <w:szCs w:val="22"/>
          <w:lang w:eastAsia="en-US"/>
        </w:rPr>
        <w:t>Pacific DMCs</w:t>
      </w:r>
      <w:r w:rsidRPr="009500F4">
        <w:rPr>
          <w:rFonts w:eastAsia="Calibri" w:cs="Arial"/>
          <w:szCs w:val="22"/>
          <w:lang w:eastAsia="en-US"/>
        </w:rPr>
        <w:t xml:space="preserve">. Effective communications </w:t>
      </w:r>
      <w:r w:rsidR="00950BB0" w:rsidRPr="009500F4">
        <w:rPr>
          <w:rFonts w:eastAsia="Calibri" w:cs="Arial"/>
          <w:szCs w:val="22"/>
          <w:lang w:eastAsia="en-US"/>
        </w:rPr>
        <w:t xml:space="preserve">technology is </w:t>
      </w:r>
      <w:r w:rsidRPr="009500F4">
        <w:rPr>
          <w:rFonts w:eastAsia="Calibri" w:cs="Arial"/>
          <w:szCs w:val="22"/>
          <w:lang w:eastAsia="en-US"/>
        </w:rPr>
        <w:t>necessary to support tourism and any other private sector activities</w:t>
      </w:r>
      <w:r w:rsidR="00211D9D" w:rsidRPr="009500F4">
        <w:rPr>
          <w:rFonts w:eastAsia="Calibri" w:cs="Arial"/>
          <w:szCs w:val="22"/>
          <w:lang w:eastAsia="en-US"/>
        </w:rPr>
        <w:t xml:space="preserve"> with an export or international orientation, and this may require addressing</w:t>
      </w:r>
      <w:r w:rsidRPr="009500F4">
        <w:rPr>
          <w:rFonts w:eastAsia="Calibri" w:cs="Arial"/>
          <w:szCs w:val="22"/>
          <w:lang w:eastAsia="en-US"/>
        </w:rPr>
        <w:t xml:space="preserve"> internet service infrastructure.</w:t>
      </w:r>
    </w:p>
    <w:p w:rsidR="0006764E" w:rsidRPr="009500F4" w:rsidRDefault="0006764E" w:rsidP="0006764E">
      <w:pPr>
        <w:tabs>
          <w:tab w:val="left" w:pos="567"/>
        </w:tabs>
        <w:rPr>
          <w:rFonts w:eastAsia="Calibri" w:cs="Arial"/>
          <w:szCs w:val="22"/>
          <w:lang w:eastAsia="en-US"/>
        </w:rPr>
      </w:pPr>
    </w:p>
    <w:p w:rsidR="003E12F1" w:rsidRPr="009500F4" w:rsidRDefault="007F0875" w:rsidP="00170139">
      <w:pPr>
        <w:keepNext/>
        <w:ind w:left="1077"/>
        <w:outlineLvl w:val="1"/>
        <w:rPr>
          <w:rFonts w:eastAsia="Times New Roman" w:cs="Arial"/>
          <w:b/>
          <w:bCs/>
          <w:iCs/>
          <w:szCs w:val="22"/>
          <w:lang w:eastAsia="en-US"/>
        </w:rPr>
      </w:pPr>
      <w:bookmarkStart w:id="181" w:name="_Toc494271733"/>
      <w:bookmarkStart w:id="182" w:name="_Toc494367958"/>
      <w:bookmarkStart w:id="183" w:name="_Toc494378802"/>
      <w:bookmarkStart w:id="184" w:name="_Toc494378884"/>
      <w:r w:rsidRPr="009500F4">
        <w:rPr>
          <w:rFonts w:eastAsia="Times New Roman" w:cs="Arial"/>
          <w:b/>
          <w:bCs/>
          <w:iCs/>
          <w:szCs w:val="22"/>
          <w:lang w:eastAsia="en-US"/>
        </w:rPr>
        <w:t>4</w:t>
      </w:r>
      <w:r w:rsidR="000C15E8">
        <w:rPr>
          <w:rFonts w:eastAsia="Times New Roman" w:cs="Arial"/>
          <w:b/>
          <w:bCs/>
          <w:iCs/>
          <w:szCs w:val="22"/>
          <w:lang w:eastAsia="en-US"/>
        </w:rPr>
        <w:t>.</w:t>
      </w:r>
      <w:r w:rsidR="00386F3B" w:rsidRPr="009500F4">
        <w:rPr>
          <w:rFonts w:eastAsia="Times New Roman" w:cs="Arial"/>
          <w:b/>
          <w:bCs/>
          <w:iCs/>
          <w:szCs w:val="22"/>
          <w:lang w:eastAsia="en-US"/>
        </w:rPr>
        <w:tab/>
      </w:r>
      <w:bookmarkEnd w:id="181"/>
      <w:bookmarkEnd w:id="182"/>
      <w:bookmarkEnd w:id="183"/>
      <w:bookmarkEnd w:id="184"/>
      <w:r w:rsidR="003F17E2" w:rsidRPr="009500F4">
        <w:rPr>
          <w:rFonts w:eastAsia="Times New Roman" w:cs="Arial"/>
          <w:b/>
          <w:bCs/>
          <w:iCs/>
          <w:szCs w:val="22"/>
          <w:lang w:eastAsia="en-US"/>
        </w:rPr>
        <w:t>Organizational</w:t>
      </w:r>
      <w:r w:rsidR="00FB1BB3" w:rsidRPr="009500F4">
        <w:rPr>
          <w:rFonts w:eastAsia="Times New Roman" w:cs="Arial"/>
          <w:b/>
          <w:bCs/>
          <w:iCs/>
          <w:szCs w:val="22"/>
          <w:lang w:eastAsia="en-US"/>
        </w:rPr>
        <w:t xml:space="preserve"> Structure</w:t>
      </w:r>
    </w:p>
    <w:p w:rsidR="00283346" w:rsidRPr="009500F4" w:rsidRDefault="00283346" w:rsidP="00170139">
      <w:pPr>
        <w:tabs>
          <w:tab w:val="left" w:pos="567"/>
        </w:tabs>
        <w:rPr>
          <w:rFonts w:eastAsia="Calibri" w:cs="Arial"/>
          <w:szCs w:val="22"/>
          <w:lang w:eastAsia="en-US"/>
        </w:rPr>
      </w:pPr>
    </w:p>
    <w:p w:rsidR="001A6CF8"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Any </w:t>
      </w:r>
      <w:r w:rsidR="001A6CF8" w:rsidRPr="009500F4">
        <w:rPr>
          <w:rFonts w:eastAsia="Calibri" w:cs="Arial"/>
          <w:szCs w:val="22"/>
          <w:lang w:eastAsia="en-US"/>
        </w:rPr>
        <w:t>prop</w:t>
      </w:r>
      <w:r w:rsidR="00EA6418" w:rsidRPr="009500F4">
        <w:rPr>
          <w:rFonts w:eastAsia="Calibri" w:cs="Arial"/>
          <w:szCs w:val="22"/>
          <w:lang w:eastAsia="en-US"/>
        </w:rPr>
        <w:t>o</w:t>
      </w:r>
      <w:r w:rsidR="001A6CF8" w:rsidRPr="009500F4">
        <w:rPr>
          <w:rFonts w:eastAsia="Calibri" w:cs="Arial"/>
          <w:szCs w:val="22"/>
          <w:lang w:eastAsia="en-US"/>
        </w:rPr>
        <w:t xml:space="preserve">sed </w:t>
      </w:r>
      <w:r w:rsidRPr="009500F4">
        <w:rPr>
          <w:rFonts w:eastAsia="Calibri" w:cs="Arial"/>
          <w:szCs w:val="22"/>
          <w:lang w:eastAsia="en-US"/>
        </w:rPr>
        <w:t>management structure, while clarifying lines of accountability, must enable PSDI to continue doing what it does best</w:t>
      </w:r>
      <w:r w:rsidR="001A6CF8" w:rsidRPr="009500F4">
        <w:rPr>
          <w:rFonts w:eastAsia="Calibri" w:cs="Arial"/>
          <w:szCs w:val="22"/>
          <w:lang w:eastAsia="en-US"/>
        </w:rPr>
        <w:t>,</w:t>
      </w:r>
      <w:r w:rsidRPr="009500F4">
        <w:rPr>
          <w:rFonts w:eastAsia="Calibri" w:cs="Arial"/>
          <w:szCs w:val="22"/>
          <w:lang w:eastAsia="en-US"/>
        </w:rPr>
        <w:t xml:space="preserve"> </w:t>
      </w:r>
      <w:r w:rsidR="001A6CF8" w:rsidRPr="009500F4">
        <w:rPr>
          <w:rFonts w:eastAsia="Calibri" w:cs="Arial"/>
          <w:szCs w:val="22"/>
          <w:lang w:eastAsia="en-US"/>
        </w:rPr>
        <w:t xml:space="preserve">i.e., </w:t>
      </w:r>
      <w:r w:rsidRPr="009500F4">
        <w:rPr>
          <w:rFonts w:eastAsia="Calibri" w:cs="Arial"/>
          <w:szCs w:val="22"/>
          <w:lang w:eastAsia="en-US"/>
        </w:rPr>
        <w:t>building relationships, providing expertise, and responding quickly and flexibly to counterpart requests for assistance.</w:t>
      </w:r>
    </w:p>
    <w:p w:rsidR="001A6CF8" w:rsidRPr="009500F4" w:rsidRDefault="001A6CF8" w:rsidP="00170139">
      <w:pPr>
        <w:tabs>
          <w:tab w:val="left" w:pos="567"/>
        </w:tabs>
        <w:rPr>
          <w:rFonts w:eastAsia="Calibri" w:cs="Arial"/>
          <w:szCs w:val="22"/>
          <w:lang w:eastAsia="en-US"/>
        </w:rPr>
      </w:pPr>
    </w:p>
    <w:p w:rsidR="003E12F1" w:rsidRPr="009500F4" w:rsidRDefault="003E12F1" w:rsidP="003E12F1">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One approach that should be considered is to move PSDI into a separate institution, perhaps a research institute or nonprofit consultancy, to be governed at arm’s length under an MOU </w:t>
      </w:r>
      <w:r w:rsidR="001A6CF8" w:rsidRPr="009500F4">
        <w:rPr>
          <w:rFonts w:eastAsia="Calibri" w:cs="Arial"/>
          <w:szCs w:val="22"/>
          <w:lang w:eastAsia="en-US"/>
        </w:rPr>
        <w:t xml:space="preserve">between </w:t>
      </w:r>
      <w:r w:rsidRPr="009500F4">
        <w:rPr>
          <w:rFonts w:eastAsia="Calibri" w:cs="Arial"/>
          <w:szCs w:val="22"/>
          <w:lang w:eastAsia="en-US"/>
        </w:rPr>
        <w:t xml:space="preserve">ADB, DFAT, and MFAT. In the short term, </w:t>
      </w:r>
      <w:r w:rsidR="001A6CF8" w:rsidRPr="009500F4">
        <w:rPr>
          <w:rFonts w:eastAsia="Calibri" w:cs="Arial"/>
          <w:szCs w:val="22"/>
          <w:lang w:eastAsia="en-US"/>
        </w:rPr>
        <w:t>such a move</w:t>
      </w:r>
      <w:r w:rsidRPr="009500F4">
        <w:rPr>
          <w:rFonts w:eastAsia="Calibri" w:cs="Arial"/>
          <w:szCs w:val="22"/>
          <w:lang w:eastAsia="en-US"/>
        </w:rPr>
        <w:t xml:space="preserve"> is perhaps unrealistic, but it is worth developing as a</w:t>
      </w:r>
      <w:r w:rsidR="008711A9" w:rsidRPr="009500F4">
        <w:rPr>
          <w:rFonts w:eastAsia="Calibri" w:cs="Arial"/>
          <w:szCs w:val="22"/>
          <w:lang w:eastAsia="en-US"/>
        </w:rPr>
        <w:t>n</w:t>
      </w:r>
      <w:r w:rsidRPr="009500F4">
        <w:rPr>
          <w:rFonts w:eastAsia="Calibri" w:cs="Arial"/>
          <w:szCs w:val="22"/>
          <w:lang w:eastAsia="en-US"/>
        </w:rPr>
        <w:t xml:space="preserve"> option </w:t>
      </w:r>
      <w:r w:rsidR="00E465EA" w:rsidRPr="009500F4">
        <w:rPr>
          <w:rFonts w:eastAsia="Calibri" w:cs="Arial"/>
          <w:szCs w:val="22"/>
          <w:lang w:eastAsia="en-US"/>
        </w:rPr>
        <w:t xml:space="preserve">when considering </w:t>
      </w:r>
      <w:r w:rsidRPr="009500F4">
        <w:rPr>
          <w:rFonts w:eastAsia="Calibri" w:cs="Arial"/>
          <w:szCs w:val="22"/>
          <w:lang w:eastAsia="en-US"/>
        </w:rPr>
        <w:t xml:space="preserve">PSDI IV. There are various </w:t>
      </w:r>
      <w:r w:rsidR="00F06EFA" w:rsidRPr="009500F4">
        <w:rPr>
          <w:rFonts w:eastAsia="Calibri" w:cs="Arial"/>
          <w:szCs w:val="22"/>
          <w:lang w:eastAsia="en-US"/>
        </w:rPr>
        <w:t xml:space="preserve">organizational </w:t>
      </w:r>
      <w:r w:rsidRPr="009500F4">
        <w:rPr>
          <w:rFonts w:eastAsia="Calibri" w:cs="Arial"/>
          <w:szCs w:val="22"/>
          <w:lang w:eastAsia="en-US"/>
        </w:rPr>
        <w:t>models that could be emulated by ADB. These include independently</w:t>
      </w:r>
      <w:r w:rsidR="00F06EFA" w:rsidRPr="009500F4">
        <w:rPr>
          <w:rFonts w:eastAsia="Calibri" w:cs="Arial"/>
          <w:szCs w:val="22"/>
          <w:lang w:eastAsia="en-US"/>
        </w:rPr>
        <w:t xml:space="preserve"> </w:t>
      </w:r>
      <w:r w:rsidRPr="009500F4">
        <w:rPr>
          <w:rFonts w:eastAsia="Calibri" w:cs="Arial"/>
          <w:szCs w:val="22"/>
          <w:lang w:eastAsia="en-US"/>
        </w:rPr>
        <w:t xml:space="preserve">funded organizations </w:t>
      </w:r>
      <w:r w:rsidRPr="009500F4">
        <w:rPr>
          <w:rFonts w:eastAsia="Calibri" w:cs="Arial"/>
          <w:szCs w:val="22"/>
          <w:lang w:eastAsia="en-US"/>
        </w:rPr>
        <w:lastRenderedPageBreak/>
        <w:t>affiliated with international institutions</w:t>
      </w:r>
      <w:r w:rsidR="00F06EFA" w:rsidRPr="009500F4">
        <w:rPr>
          <w:rFonts w:eastAsia="Calibri" w:cs="Arial"/>
          <w:szCs w:val="22"/>
          <w:lang w:eastAsia="en-US"/>
        </w:rPr>
        <w:t>,</w:t>
      </w:r>
      <w:r w:rsidRPr="009500F4">
        <w:rPr>
          <w:rFonts w:eastAsia="Calibri" w:cs="Arial"/>
          <w:szCs w:val="22"/>
          <w:lang w:eastAsia="en-US"/>
        </w:rPr>
        <w:t xml:space="preserve"> such as </w:t>
      </w:r>
      <w:r w:rsidR="00F06EFA" w:rsidRPr="009500F4">
        <w:rPr>
          <w:rFonts w:eastAsia="Calibri" w:cs="Arial"/>
          <w:szCs w:val="22"/>
          <w:lang w:val="en" w:eastAsia="en-US"/>
        </w:rPr>
        <w:t>the Consultative Group to Assist the Poor</w:t>
      </w:r>
      <w:r w:rsidR="00F06EFA" w:rsidRPr="009500F4">
        <w:rPr>
          <w:rFonts w:eastAsia="Calibri" w:cs="Arial"/>
          <w:szCs w:val="22"/>
          <w:lang w:eastAsia="en-US"/>
        </w:rPr>
        <w:t xml:space="preserve"> </w:t>
      </w:r>
      <w:r w:rsidRPr="009500F4">
        <w:rPr>
          <w:rFonts w:eastAsia="Calibri" w:cs="Arial"/>
          <w:szCs w:val="22"/>
          <w:lang w:eastAsia="en-US"/>
        </w:rPr>
        <w:t>(</w:t>
      </w:r>
      <w:r w:rsidR="00F06EFA" w:rsidRPr="009500F4">
        <w:rPr>
          <w:rFonts w:eastAsia="Calibri" w:cs="Arial"/>
          <w:szCs w:val="22"/>
          <w:lang w:eastAsia="en-US"/>
        </w:rPr>
        <w:t xml:space="preserve">affiliated with the </w:t>
      </w:r>
      <w:r w:rsidRPr="009500F4">
        <w:rPr>
          <w:rFonts w:eastAsia="Calibri" w:cs="Arial"/>
          <w:szCs w:val="22"/>
          <w:lang w:eastAsia="en-US"/>
        </w:rPr>
        <w:t xml:space="preserve">World Bank) and </w:t>
      </w:r>
      <w:r w:rsidR="00F06EFA" w:rsidRPr="009500F4">
        <w:rPr>
          <w:rFonts w:eastAsia="Calibri" w:cs="Arial"/>
          <w:szCs w:val="22"/>
          <w:lang w:eastAsia="en-US"/>
        </w:rPr>
        <w:t xml:space="preserve">the </w:t>
      </w:r>
      <w:r w:rsidR="00F06EFA" w:rsidRPr="009500F4">
        <w:rPr>
          <w:rFonts w:eastAsia="Calibri" w:cs="Arial"/>
          <w:szCs w:val="22"/>
          <w:lang w:val="en" w:eastAsia="en-US"/>
        </w:rPr>
        <w:t>United Nations Capital Development Fund</w:t>
      </w:r>
      <w:r w:rsidR="00F06EFA" w:rsidRPr="009500F4">
        <w:rPr>
          <w:rFonts w:eastAsia="Calibri" w:cs="Arial"/>
          <w:szCs w:val="22"/>
          <w:lang w:eastAsia="en-US"/>
        </w:rPr>
        <w:t xml:space="preserve"> </w:t>
      </w:r>
      <w:r w:rsidRPr="009500F4">
        <w:rPr>
          <w:rFonts w:eastAsia="Calibri" w:cs="Arial"/>
          <w:szCs w:val="22"/>
          <w:lang w:eastAsia="en-US"/>
        </w:rPr>
        <w:t>(</w:t>
      </w:r>
      <w:r w:rsidR="00F06EFA" w:rsidRPr="009500F4">
        <w:rPr>
          <w:rFonts w:eastAsia="Calibri" w:cs="Arial"/>
          <w:szCs w:val="22"/>
          <w:lang w:eastAsia="en-US"/>
        </w:rPr>
        <w:t xml:space="preserve">affiliated with the </w:t>
      </w:r>
      <w:r w:rsidRPr="009500F4">
        <w:rPr>
          <w:rFonts w:eastAsia="Calibri" w:cs="Arial"/>
          <w:szCs w:val="22"/>
          <w:lang w:eastAsia="en-US"/>
        </w:rPr>
        <w:t>United Nations)</w:t>
      </w:r>
      <w:r w:rsidR="00E465EA" w:rsidRPr="009500F4">
        <w:rPr>
          <w:rFonts w:eastAsia="Calibri" w:cs="Arial"/>
          <w:szCs w:val="22"/>
          <w:lang w:eastAsia="en-US"/>
        </w:rPr>
        <w:t>. Other models include</w:t>
      </w:r>
      <w:r w:rsidRPr="009500F4">
        <w:rPr>
          <w:rFonts w:eastAsia="Calibri" w:cs="Arial"/>
          <w:szCs w:val="22"/>
          <w:lang w:eastAsia="en-US"/>
        </w:rPr>
        <w:t xml:space="preserve"> centers and programs that operate independently in the </w:t>
      </w:r>
      <w:r w:rsidR="00E465EA" w:rsidRPr="009500F4">
        <w:rPr>
          <w:rFonts w:eastAsia="Calibri" w:cs="Arial"/>
          <w:szCs w:val="22"/>
          <w:lang w:eastAsia="en-US"/>
        </w:rPr>
        <w:t xml:space="preserve">Pacific, </w:t>
      </w:r>
      <w:r w:rsidRPr="009500F4">
        <w:rPr>
          <w:rFonts w:eastAsia="Calibri" w:cs="Arial"/>
          <w:szCs w:val="22"/>
          <w:lang w:eastAsia="en-US"/>
        </w:rPr>
        <w:t>with funding from multiple donors</w:t>
      </w:r>
      <w:r w:rsidR="00E465EA" w:rsidRPr="009500F4">
        <w:rPr>
          <w:rFonts w:eastAsia="Calibri" w:cs="Arial"/>
          <w:szCs w:val="22"/>
          <w:lang w:eastAsia="en-US"/>
        </w:rPr>
        <w:t>.</w:t>
      </w:r>
      <w:r w:rsidRPr="009500F4">
        <w:rPr>
          <w:rFonts w:eastAsia="Calibri" w:cs="Arial"/>
          <w:szCs w:val="22"/>
          <w:lang w:eastAsia="en-US"/>
        </w:rPr>
        <w:t xml:space="preserve"> </w:t>
      </w:r>
      <w:r w:rsidR="00E465EA" w:rsidRPr="009500F4">
        <w:rPr>
          <w:rFonts w:eastAsia="Calibri" w:cs="Arial"/>
          <w:szCs w:val="22"/>
          <w:lang w:eastAsia="en-US"/>
        </w:rPr>
        <w:t>These include</w:t>
      </w:r>
      <w:r w:rsidRPr="009500F4">
        <w:rPr>
          <w:rFonts w:eastAsia="Calibri" w:cs="Arial"/>
          <w:szCs w:val="22"/>
          <w:lang w:eastAsia="en-US"/>
        </w:rPr>
        <w:t xml:space="preserve"> the Pacific Technical Assistance Center, the Pacific Regional Infrastructure Facility, and the Pacific Horticultural and Agricultural Market Access Program.</w:t>
      </w:r>
    </w:p>
    <w:p w:rsidR="00EA6418" w:rsidRPr="009500F4" w:rsidRDefault="00EA6418" w:rsidP="00170139"/>
    <w:p w:rsidR="002E2F45" w:rsidRPr="009500F4" w:rsidRDefault="00EA6418"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Within these concepts, a suggested organizational framework for PSDI </w:t>
      </w:r>
      <w:r w:rsidR="002E2F45" w:rsidRPr="009500F4">
        <w:rPr>
          <w:rFonts w:eastAsia="Calibri" w:cs="Arial"/>
          <w:szCs w:val="22"/>
          <w:lang w:eastAsia="en-US"/>
        </w:rPr>
        <w:t>would incorporate a new role of</w:t>
      </w:r>
      <w:r w:rsidRPr="009500F4">
        <w:rPr>
          <w:rFonts w:eastAsia="Calibri" w:cs="Arial"/>
          <w:szCs w:val="22"/>
          <w:lang w:eastAsia="en-US"/>
        </w:rPr>
        <w:t xml:space="preserve"> team leader </w:t>
      </w:r>
      <w:r w:rsidR="002E2F45" w:rsidRPr="009500F4">
        <w:rPr>
          <w:rFonts w:eastAsia="Calibri" w:cs="Arial"/>
          <w:szCs w:val="22"/>
          <w:lang w:eastAsia="en-US"/>
        </w:rPr>
        <w:t>(or project coordinator) to whom sector consultants report.</w:t>
      </w:r>
      <w:r w:rsidR="004C3454" w:rsidRPr="009500F4">
        <w:rPr>
          <w:rFonts w:eastAsia="Calibri" w:cs="Arial"/>
          <w:szCs w:val="22"/>
          <w:lang w:eastAsia="en-US"/>
        </w:rPr>
        <w:t xml:space="preserve"> It is recommended that the team leader be appointed by the PLCO Regional Director, with input from DFAT and MFAT, following the usual ADB internal competitive selection process in conjunction with the Operations Services and Financial Management Department.</w:t>
      </w:r>
    </w:p>
    <w:p w:rsidR="002E2F45" w:rsidRPr="009500F4" w:rsidRDefault="002E2F45" w:rsidP="002E2F45">
      <w:pPr>
        <w:tabs>
          <w:tab w:val="left" w:pos="567"/>
        </w:tabs>
        <w:rPr>
          <w:rFonts w:eastAsia="Calibri" w:cs="Arial"/>
          <w:szCs w:val="22"/>
          <w:lang w:eastAsia="en-US"/>
        </w:rPr>
      </w:pPr>
    </w:p>
    <w:p w:rsidR="00EE5975" w:rsidRPr="009500F4" w:rsidRDefault="007E440B"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A</w:t>
      </w:r>
      <w:r w:rsidR="002E2F45" w:rsidRPr="009500F4">
        <w:rPr>
          <w:rFonts w:eastAsia="Calibri" w:cs="Arial"/>
          <w:szCs w:val="22"/>
          <w:lang w:eastAsia="en-US"/>
        </w:rPr>
        <w:t xml:space="preserve"> principal task of th</w:t>
      </w:r>
      <w:r w:rsidR="004C3454" w:rsidRPr="009500F4">
        <w:rPr>
          <w:rFonts w:eastAsia="Calibri" w:cs="Arial"/>
          <w:szCs w:val="22"/>
          <w:lang w:eastAsia="en-US"/>
        </w:rPr>
        <w:t>e</w:t>
      </w:r>
      <w:r w:rsidR="002E2F45" w:rsidRPr="009500F4">
        <w:rPr>
          <w:rFonts w:eastAsia="Calibri" w:cs="Arial"/>
          <w:szCs w:val="22"/>
          <w:lang w:eastAsia="en-US"/>
        </w:rPr>
        <w:t xml:space="preserve"> team leader would be to undertake peer review with the senior </w:t>
      </w:r>
      <w:r w:rsidR="00EE5975" w:rsidRPr="009500F4">
        <w:rPr>
          <w:rFonts w:eastAsia="Calibri" w:cs="Arial"/>
          <w:szCs w:val="22"/>
          <w:lang w:eastAsia="en-US"/>
        </w:rPr>
        <w:t xml:space="preserve">sector </w:t>
      </w:r>
      <w:r w:rsidR="002E2F45" w:rsidRPr="009500F4">
        <w:rPr>
          <w:rFonts w:eastAsia="Calibri" w:cs="Arial"/>
          <w:szCs w:val="22"/>
          <w:lang w:eastAsia="en-US"/>
        </w:rPr>
        <w:t>consultants on their proposed development activities in each of the Pacific DMCs. To ensure that the proposed activities are within the agreed developmental approaches</w:t>
      </w:r>
      <w:r w:rsidR="00EE5975" w:rsidRPr="009500F4">
        <w:rPr>
          <w:rFonts w:eastAsia="Calibri" w:cs="Arial"/>
          <w:szCs w:val="22"/>
          <w:lang w:eastAsia="en-US"/>
        </w:rPr>
        <w:t xml:space="preserve"> for each country</w:t>
      </w:r>
      <w:r w:rsidR="002E2F45" w:rsidRPr="009500F4">
        <w:rPr>
          <w:rFonts w:eastAsia="Calibri" w:cs="Arial"/>
          <w:szCs w:val="22"/>
          <w:lang w:eastAsia="en-US"/>
        </w:rPr>
        <w:t xml:space="preserve">, </w:t>
      </w:r>
      <w:r w:rsidR="00EE5975" w:rsidRPr="009500F4">
        <w:rPr>
          <w:rFonts w:eastAsia="Calibri" w:cs="Arial"/>
          <w:szCs w:val="22"/>
          <w:lang w:eastAsia="en-US"/>
        </w:rPr>
        <w:t>they</w:t>
      </w:r>
      <w:r w:rsidR="002E2F45" w:rsidRPr="009500F4">
        <w:rPr>
          <w:rFonts w:eastAsia="Calibri" w:cs="Arial"/>
          <w:szCs w:val="22"/>
          <w:lang w:eastAsia="en-US"/>
        </w:rPr>
        <w:t xml:space="preserve"> would need to be sanctioned by the team leader prior to the proposed implementing missions. In addition, it is also suggested that the team leader would assume responsibility for the strategies and knowledge management services </w:t>
      </w:r>
      <w:r w:rsidR="00EE5975" w:rsidRPr="009500F4">
        <w:rPr>
          <w:rFonts w:eastAsia="Calibri" w:cs="Arial"/>
          <w:szCs w:val="22"/>
          <w:lang w:eastAsia="en-US"/>
        </w:rPr>
        <w:t>(</w:t>
      </w:r>
      <w:r w:rsidR="002E2F45" w:rsidRPr="009500F4">
        <w:rPr>
          <w:rFonts w:eastAsia="Calibri" w:cs="Arial"/>
          <w:szCs w:val="22"/>
          <w:lang w:eastAsia="en-US"/>
        </w:rPr>
        <w:t xml:space="preserve">as these tend to </w:t>
      </w:r>
      <w:r w:rsidR="00EE5975" w:rsidRPr="009500F4">
        <w:rPr>
          <w:rFonts w:eastAsia="Calibri" w:cs="Arial"/>
          <w:szCs w:val="22"/>
          <w:lang w:eastAsia="en-US"/>
        </w:rPr>
        <w:t xml:space="preserve">focus across </w:t>
      </w:r>
      <w:r w:rsidR="002E2F45" w:rsidRPr="009500F4">
        <w:rPr>
          <w:rFonts w:eastAsia="Calibri" w:cs="Arial"/>
          <w:szCs w:val="22"/>
          <w:lang w:eastAsia="en-US"/>
        </w:rPr>
        <w:t>sector</w:t>
      </w:r>
      <w:r w:rsidR="00EE5975" w:rsidRPr="009500F4">
        <w:rPr>
          <w:rFonts w:eastAsia="Calibri" w:cs="Arial"/>
          <w:szCs w:val="22"/>
          <w:lang w:eastAsia="en-US"/>
        </w:rPr>
        <w:t>s)</w:t>
      </w:r>
      <w:r w:rsidR="002E2F45" w:rsidRPr="009500F4">
        <w:rPr>
          <w:rFonts w:eastAsia="Calibri" w:cs="Arial"/>
          <w:szCs w:val="22"/>
          <w:lang w:eastAsia="en-US"/>
        </w:rPr>
        <w:t>.</w:t>
      </w:r>
    </w:p>
    <w:p w:rsidR="002E2F45" w:rsidRPr="009500F4" w:rsidRDefault="002E2F45" w:rsidP="00170139">
      <w:pPr>
        <w:tabs>
          <w:tab w:val="left" w:pos="567"/>
        </w:tabs>
        <w:rPr>
          <w:rFonts w:eastAsia="Calibri" w:cs="Arial"/>
          <w:szCs w:val="22"/>
          <w:lang w:eastAsia="en-US"/>
        </w:rPr>
      </w:pPr>
    </w:p>
    <w:p w:rsidR="00EE5975" w:rsidRPr="009500F4" w:rsidRDefault="00EE5975"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The resulting missions by the senior consultants need to be fully reported back to the donor agencies</w:t>
      </w:r>
      <w:r w:rsidR="007E440B" w:rsidRPr="009500F4">
        <w:rPr>
          <w:rFonts w:eastAsia="Calibri" w:cs="Arial"/>
          <w:szCs w:val="22"/>
          <w:lang w:eastAsia="en-US"/>
        </w:rPr>
        <w:t>,</w:t>
      </w:r>
      <w:r w:rsidRPr="009500F4">
        <w:rPr>
          <w:rFonts w:eastAsia="Calibri" w:cs="Arial"/>
          <w:szCs w:val="22"/>
          <w:lang w:eastAsia="en-US"/>
        </w:rPr>
        <w:t xml:space="preserve"> with </w:t>
      </w:r>
      <w:r w:rsidR="00AA1954" w:rsidRPr="009500F4">
        <w:rPr>
          <w:rFonts w:eastAsia="Calibri" w:cs="Arial"/>
          <w:szCs w:val="22"/>
          <w:lang w:eastAsia="en-US"/>
        </w:rPr>
        <w:t xml:space="preserve">back-to-office reports written </w:t>
      </w:r>
      <w:r w:rsidRPr="009500F4">
        <w:rPr>
          <w:rFonts w:eastAsia="Calibri" w:cs="Arial"/>
          <w:szCs w:val="22"/>
          <w:lang w:eastAsia="en-US"/>
        </w:rPr>
        <w:t xml:space="preserve">in coordination with the team leader. </w:t>
      </w:r>
      <w:r w:rsidR="00AA1954" w:rsidRPr="009500F4">
        <w:rPr>
          <w:rFonts w:eastAsia="Calibri" w:cs="Arial"/>
          <w:szCs w:val="22"/>
          <w:lang w:eastAsia="en-US"/>
        </w:rPr>
        <w:t xml:space="preserve">These reports </w:t>
      </w:r>
      <w:r w:rsidRPr="009500F4">
        <w:rPr>
          <w:rFonts w:eastAsia="Calibri" w:cs="Arial"/>
          <w:szCs w:val="22"/>
          <w:lang w:eastAsia="en-US"/>
        </w:rPr>
        <w:t xml:space="preserve">would need to go not only to </w:t>
      </w:r>
      <w:r w:rsidR="00AA1954" w:rsidRPr="009500F4">
        <w:rPr>
          <w:rFonts w:eastAsia="Calibri" w:cs="Arial"/>
          <w:szCs w:val="22"/>
          <w:lang w:eastAsia="en-US"/>
        </w:rPr>
        <w:t>relevant</w:t>
      </w:r>
      <w:r w:rsidRPr="009500F4">
        <w:rPr>
          <w:rFonts w:eastAsia="Calibri" w:cs="Arial"/>
          <w:szCs w:val="22"/>
          <w:lang w:eastAsia="en-US"/>
        </w:rPr>
        <w:t xml:space="preserve"> ADB divisions, in addition to PLCO, but also to DFAT and MFAT. </w:t>
      </w:r>
      <w:r w:rsidR="00AA1954" w:rsidRPr="009500F4">
        <w:rPr>
          <w:rFonts w:eastAsia="Calibri" w:cs="Arial"/>
          <w:szCs w:val="22"/>
          <w:lang w:eastAsia="en-US"/>
        </w:rPr>
        <w:t>Such reporting</w:t>
      </w:r>
      <w:r w:rsidRPr="009500F4">
        <w:rPr>
          <w:rFonts w:eastAsia="Calibri" w:cs="Arial"/>
          <w:szCs w:val="22"/>
          <w:lang w:eastAsia="en-US"/>
        </w:rPr>
        <w:t xml:space="preserve"> will help ensure that the funding agencies can make full use of the development work undertaken by PSDI.</w:t>
      </w:r>
    </w:p>
    <w:p w:rsidR="002E2F45" w:rsidRPr="009500F4" w:rsidRDefault="002E2F45" w:rsidP="00170139"/>
    <w:p w:rsidR="00EA6418" w:rsidRPr="009500F4" w:rsidRDefault="00EE5975"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The team leader would</w:t>
      </w:r>
      <w:r w:rsidR="00EA6418" w:rsidRPr="009500F4">
        <w:rPr>
          <w:rFonts w:eastAsia="Calibri" w:cs="Arial"/>
          <w:szCs w:val="22"/>
          <w:lang w:eastAsia="en-US"/>
        </w:rPr>
        <w:t xml:space="preserve"> report to the PSDI Coordinator based in PLCO. The team leader and the PSDI Coordinator would be expected to have a quarterly meeting with </w:t>
      </w:r>
      <w:r w:rsidRPr="009500F4">
        <w:rPr>
          <w:rFonts w:eastAsia="Calibri" w:cs="Arial"/>
          <w:szCs w:val="22"/>
          <w:lang w:eastAsia="en-US"/>
        </w:rPr>
        <w:t xml:space="preserve">the </w:t>
      </w:r>
      <w:r w:rsidR="00EA6418" w:rsidRPr="009500F4">
        <w:rPr>
          <w:rFonts w:eastAsia="Calibri" w:cs="Arial"/>
          <w:szCs w:val="22"/>
          <w:lang w:eastAsia="en-US"/>
        </w:rPr>
        <w:t xml:space="preserve">PLCO Regional Director, to discuss and analyze implementation progress relative to the strategy for PSDI. </w:t>
      </w:r>
      <w:r w:rsidRPr="009500F4">
        <w:rPr>
          <w:rFonts w:eastAsia="Calibri" w:cs="Arial"/>
          <w:szCs w:val="22"/>
          <w:lang w:eastAsia="en-US"/>
        </w:rPr>
        <w:t>To comply with</w:t>
      </w:r>
      <w:r w:rsidR="00EA6418" w:rsidRPr="009500F4">
        <w:rPr>
          <w:rFonts w:eastAsia="Calibri" w:cs="Arial"/>
          <w:szCs w:val="22"/>
          <w:lang w:eastAsia="en-US"/>
        </w:rPr>
        <w:t xml:space="preserve"> ADB’s accountability</w:t>
      </w:r>
      <w:r w:rsidRPr="009500F4">
        <w:rPr>
          <w:rFonts w:eastAsia="Calibri" w:cs="Arial"/>
          <w:szCs w:val="22"/>
          <w:lang w:eastAsia="en-US"/>
        </w:rPr>
        <w:t xml:space="preserve"> protocols</w:t>
      </w:r>
      <w:r w:rsidR="00EA6418" w:rsidRPr="009500F4">
        <w:rPr>
          <w:rFonts w:eastAsia="Calibri" w:cs="Arial"/>
          <w:szCs w:val="22"/>
          <w:lang w:eastAsia="en-US"/>
        </w:rPr>
        <w:t xml:space="preserve">, the team leader </w:t>
      </w:r>
      <w:r w:rsidRPr="009500F4">
        <w:rPr>
          <w:rFonts w:eastAsia="Calibri" w:cs="Arial"/>
          <w:szCs w:val="22"/>
          <w:lang w:eastAsia="en-US"/>
        </w:rPr>
        <w:t xml:space="preserve">would </w:t>
      </w:r>
      <w:r w:rsidR="00EA6418" w:rsidRPr="009500F4">
        <w:rPr>
          <w:rFonts w:eastAsia="Calibri" w:cs="Arial"/>
          <w:szCs w:val="22"/>
          <w:lang w:eastAsia="en-US"/>
        </w:rPr>
        <w:t>need to have all decisions related to the expenditures of resources transferred to the PSDI Coordinator for endorsement and approval</w:t>
      </w:r>
      <w:r w:rsidR="008E6F74" w:rsidRPr="009500F4">
        <w:rPr>
          <w:rFonts w:eastAsia="Calibri" w:cs="Arial"/>
          <w:szCs w:val="22"/>
          <w:lang w:eastAsia="en-US"/>
        </w:rPr>
        <w:t>.</w:t>
      </w:r>
    </w:p>
    <w:p w:rsidR="003F17E2" w:rsidRPr="009500F4" w:rsidRDefault="003F17E2" w:rsidP="003F17E2">
      <w:pPr>
        <w:rPr>
          <w:rFonts w:eastAsia="Calibri" w:cs="Arial"/>
          <w:szCs w:val="22"/>
          <w:lang w:eastAsia="en-US"/>
        </w:rPr>
      </w:pPr>
    </w:p>
    <w:p w:rsidR="003F17E2" w:rsidRPr="009500F4" w:rsidRDefault="004C3454"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With these prior conditions being fulfilled, </w:t>
      </w:r>
      <w:r w:rsidR="00A16141" w:rsidRPr="009500F4">
        <w:rPr>
          <w:rFonts w:eastAsia="Calibri" w:cs="Arial"/>
          <w:szCs w:val="22"/>
          <w:lang w:eastAsia="en-US"/>
        </w:rPr>
        <w:t xml:space="preserve">such a </w:t>
      </w:r>
      <w:r w:rsidRPr="009500F4">
        <w:rPr>
          <w:rFonts w:eastAsia="Calibri" w:cs="Arial"/>
          <w:szCs w:val="22"/>
          <w:lang w:eastAsia="en-US"/>
        </w:rPr>
        <w:t xml:space="preserve">reorganization should ensure the sustainability of </w:t>
      </w:r>
      <w:r w:rsidR="00A16141" w:rsidRPr="009500F4">
        <w:rPr>
          <w:rFonts w:eastAsia="Calibri" w:cs="Arial"/>
          <w:szCs w:val="22"/>
          <w:lang w:eastAsia="en-US"/>
        </w:rPr>
        <w:t>PSDI</w:t>
      </w:r>
      <w:r w:rsidRPr="009500F4">
        <w:rPr>
          <w:rFonts w:eastAsia="Calibri" w:cs="Arial"/>
          <w:szCs w:val="22"/>
          <w:lang w:eastAsia="en-US"/>
        </w:rPr>
        <w:t>.</w:t>
      </w:r>
    </w:p>
    <w:p w:rsidR="00977286" w:rsidRPr="009500F4" w:rsidRDefault="00977286" w:rsidP="00C951B3">
      <w:pPr>
        <w:rPr>
          <w:rFonts w:eastAsia="Calibri" w:cs="Arial"/>
          <w:szCs w:val="22"/>
          <w:lang w:eastAsia="en-US"/>
        </w:rPr>
      </w:pPr>
    </w:p>
    <w:p w:rsidR="00977286" w:rsidRPr="009500F4" w:rsidRDefault="00BB59B4" w:rsidP="00977286">
      <w:pPr>
        <w:keepNext/>
        <w:ind w:left="1077"/>
        <w:outlineLvl w:val="1"/>
        <w:rPr>
          <w:rFonts w:eastAsia="Times New Roman" w:cs="Arial"/>
          <w:b/>
          <w:bCs/>
          <w:iCs/>
          <w:szCs w:val="22"/>
          <w:lang w:eastAsia="en-US"/>
        </w:rPr>
      </w:pPr>
      <w:r w:rsidRPr="009500F4">
        <w:rPr>
          <w:rFonts w:eastAsia="Times New Roman" w:cs="Arial"/>
          <w:b/>
          <w:bCs/>
          <w:iCs/>
          <w:szCs w:val="22"/>
          <w:lang w:eastAsia="en-US"/>
        </w:rPr>
        <w:t>5</w:t>
      </w:r>
      <w:r w:rsidR="000C15E8">
        <w:rPr>
          <w:rFonts w:eastAsia="Times New Roman" w:cs="Arial"/>
          <w:b/>
          <w:bCs/>
          <w:iCs/>
          <w:szCs w:val="22"/>
          <w:lang w:eastAsia="en-US"/>
        </w:rPr>
        <w:t>.</w:t>
      </w:r>
      <w:r w:rsidR="00977286" w:rsidRPr="009500F4">
        <w:rPr>
          <w:rFonts w:eastAsia="Times New Roman" w:cs="Arial"/>
          <w:b/>
          <w:bCs/>
          <w:iCs/>
          <w:szCs w:val="22"/>
          <w:lang w:eastAsia="en-US"/>
        </w:rPr>
        <w:tab/>
        <w:t>Regional Cooperation and Integration</w:t>
      </w:r>
    </w:p>
    <w:p w:rsidR="00977286" w:rsidRPr="009500F4" w:rsidRDefault="00977286" w:rsidP="00977286"/>
    <w:p w:rsidR="00977286" w:rsidRPr="009500F4" w:rsidRDefault="00977286"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PSDI and its donors should consider investing more in regional solutions. PLCO and PSDI are themselves regional resources, but their counterpart institutions are national. The wider Pacific region has established some common institutions that include within their remit economic governance and development. These institutions include the Pacific Community (based in New Caledonia) and the Pacific Islands Forum (based in Fiji). There are also independent institutes and programs that address economic and governance issues on a regional basis. These include the University of the South Pacific, the Pacific Financial Inclusion Programme (both based in Fiji), and the Pacific Islands Development Programme (based in Hawaii). PSDI has most likely collaborated with such groups, but it does not have an explicit mandate to pursue regional solutions. </w:t>
      </w:r>
    </w:p>
    <w:p w:rsidR="00977286" w:rsidRPr="009500F4" w:rsidRDefault="00977286" w:rsidP="00977286"/>
    <w:p w:rsidR="00977286" w:rsidRPr="009500F4" w:rsidRDefault="00977286"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In light of the strong need for shared and harmonized approaches across and between Pacific island economies, giving PSDI a role in helping the evolution of regional assets and institutions is worth considering. It is one of the few prospective path</w:t>
      </w:r>
      <w:r w:rsidR="009A4EE4" w:rsidRPr="009500F4">
        <w:rPr>
          <w:rFonts w:eastAsia="Calibri" w:cs="Arial"/>
          <w:szCs w:val="22"/>
          <w:lang w:eastAsia="en-US"/>
        </w:rPr>
        <w:t>way</w:t>
      </w:r>
      <w:r w:rsidRPr="009500F4">
        <w:rPr>
          <w:rFonts w:eastAsia="Calibri" w:cs="Arial"/>
          <w:szCs w:val="22"/>
          <w:lang w:eastAsia="en-US"/>
        </w:rPr>
        <w:t xml:space="preserve">s toward the unit’s </w:t>
      </w:r>
      <w:r w:rsidRPr="009500F4">
        <w:rPr>
          <w:rFonts w:eastAsia="Calibri" w:cs="Arial"/>
          <w:szCs w:val="22"/>
          <w:lang w:eastAsia="en-US"/>
        </w:rPr>
        <w:lastRenderedPageBreak/>
        <w:t>sustainability. Such work could focus on a range of areas</w:t>
      </w:r>
      <w:r w:rsidR="009A4EE4" w:rsidRPr="009500F4">
        <w:rPr>
          <w:rFonts w:eastAsia="Calibri" w:cs="Arial"/>
          <w:szCs w:val="22"/>
          <w:lang w:eastAsia="en-US"/>
        </w:rPr>
        <w:t>, including regional</w:t>
      </w:r>
      <w:r w:rsidRPr="009500F4">
        <w:rPr>
          <w:rFonts w:eastAsia="Calibri" w:cs="Arial"/>
          <w:szCs w:val="22"/>
          <w:lang w:eastAsia="en-US"/>
        </w:rPr>
        <w:t xml:space="preserve"> research, harmonized commercial laws, regional economic tribunal</w:t>
      </w:r>
      <w:r w:rsidR="009A4EE4" w:rsidRPr="009500F4">
        <w:rPr>
          <w:rFonts w:eastAsia="Calibri" w:cs="Arial"/>
          <w:szCs w:val="22"/>
          <w:lang w:eastAsia="en-US"/>
        </w:rPr>
        <w:t>s</w:t>
      </w:r>
      <w:r w:rsidRPr="009500F4">
        <w:rPr>
          <w:rFonts w:eastAsia="Calibri" w:cs="Arial"/>
          <w:szCs w:val="22"/>
          <w:lang w:eastAsia="en-US"/>
        </w:rPr>
        <w:t>, and capacity-building for</w:t>
      </w:r>
      <w:r w:rsidR="009A4EE4" w:rsidRPr="009500F4">
        <w:rPr>
          <w:rFonts w:eastAsia="Calibri" w:cs="Arial"/>
          <w:szCs w:val="22"/>
          <w:lang w:eastAsia="en-US"/>
        </w:rPr>
        <w:t xml:space="preserve"> region-wide </w:t>
      </w:r>
      <w:r w:rsidRPr="009500F4">
        <w:rPr>
          <w:rFonts w:eastAsia="Calibri" w:cs="Arial"/>
          <w:szCs w:val="22"/>
          <w:lang w:eastAsia="en-US"/>
        </w:rPr>
        <w:t xml:space="preserve">training, adjudication, </w:t>
      </w:r>
      <w:r w:rsidR="0005044C" w:rsidRPr="009500F4">
        <w:rPr>
          <w:rFonts w:eastAsia="Calibri" w:cs="Arial"/>
          <w:szCs w:val="22"/>
          <w:lang w:eastAsia="en-US"/>
        </w:rPr>
        <w:t xml:space="preserve">and </w:t>
      </w:r>
      <w:r w:rsidRPr="009500F4">
        <w:rPr>
          <w:rFonts w:eastAsia="Calibri" w:cs="Arial"/>
          <w:szCs w:val="22"/>
          <w:lang w:eastAsia="en-US"/>
        </w:rPr>
        <w:t>peer review</w:t>
      </w:r>
      <w:r w:rsidR="009A4EE4" w:rsidRPr="009500F4">
        <w:rPr>
          <w:rFonts w:eastAsia="Calibri" w:cs="Arial"/>
          <w:szCs w:val="22"/>
          <w:lang w:eastAsia="en-US"/>
        </w:rPr>
        <w:t>ing</w:t>
      </w:r>
      <w:r w:rsidRPr="009500F4">
        <w:rPr>
          <w:rFonts w:eastAsia="Calibri" w:cs="Arial"/>
          <w:szCs w:val="22"/>
          <w:lang w:eastAsia="en-US"/>
        </w:rPr>
        <w:t>.</w:t>
      </w:r>
    </w:p>
    <w:p w:rsidR="00977286" w:rsidRPr="009500F4" w:rsidRDefault="00977286" w:rsidP="00977286">
      <w:pPr>
        <w:tabs>
          <w:tab w:val="left" w:pos="1134"/>
        </w:tabs>
      </w:pPr>
    </w:p>
    <w:p w:rsidR="003F17E2" w:rsidRPr="009500F4" w:rsidRDefault="00BB59B4" w:rsidP="00170139">
      <w:pPr>
        <w:keepNext/>
        <w:ind w:left="1077"/>
        <w:outlineLvl w:val="1"/>
        <w:rPr>
          <w:rFonts w:eastAsia="Times New Roman" w:cs="Arial"/>
          <w:b/>
          <w:bCs/>
          <w:iCs/>
          <w:szCs w:val="22"/>
          <w:lang w:eastAsia="en-US"/>
        </w:rPr>
      </w:pPr>
      <w:r w:rsidRPr="009500F4">
        <w:rPr>
          <w:rFonts w:eastAsia="Times New Roman" w:cs="Arial"/>
          <w:b/>
          <w:bCs/>
          <w:iCs/>
          <w:szCs w:val="22"/>
          <w:lang w:eastAsia="en-US"/>
        </w:rPr>
        <w:t>6</w:t>
      </w:r>
      <w:r w:rsidR="003F17E2" w:rsidRPr="009500F4">
        <w:rPr>
          <w:rFonts w:eastAsia="Times New Roman" w:cs="Arial"/>
          <w:b/>
          <w:bCs/>
          <w:iCs/>
          <w:szCs w:val="22"/>
          <w:lang w:eastAsia="en-US"/>
        </w:rPr>
        <w:t>.</w:t>
      </w:r>
      <w:r w:rsidR="003F17E2" w:rsidRPr="009500F4">
        <w:rPr>
          <w:rFonts w:eastAsia="Times New Roman" w:cs="Arial"/>
          <w:b/>
          <w:bCs/>
          <w:iCs/>
          <w:szCs w:val="22"/>
          <w:lang w:eastAsia="en-US"/>
        </w:rPr>
        <w:tab/>
        <w:t>Scaling Up</w:t>
      </w:r>
    </w:p>
    <w:p w:rsidR="003E12F1" w:rsidRPr="009500F4" w:rsidRDefault="003E12F1" w:rsidP="003E12F1"/>
    <w:p w:rsidR="003E12F1" w:rsidRPr="009500F4" w:rsidRDefault="003E12F1" w:rsidP="00BA537E">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By intensifying some of its work in traditional areas and stretching into related areas of work</w:t>
      </w:r>
      <w:r w:rsidR="00DF7EAC" w:rsidRPr="009500F4">
        <w:rPr>
          <w:rFonts w:eastAsia="Calibri" w:cs="Arial"/>
          <w:szCs w:val="22"/>
          <w:lang w:eastAsia="en-US"/>
        </w:rPr>
        <w:t>,</w:t>
      </w:r>
      <w:r w:rsidRPr="009500F4">
        <w:rPr>
          <w:rFonts w:eastAsia="Calibri" w:cs="Arial"/>
          <w:szCs w:val="22"/>
          <w:lang w:eastAsia="en-US"/>
        </w:rPr>
        <w:t xml:space="preserve"> such as financial sector regulation and taxation, PSDI has explored measured</w:t>
      </w:r>
      <w:r w:rsidR="00DF7EAC" w:rsidRPr="009500F4">
        <w:rPr>
          <w:rFonts w:eastAsia="Calibri" w:cs="Arial"/>
          <w:szCs w:val="22"/>
          <w:lang w:eastAsia="en-US"/>
        </w:rPr>
        <w:t xml:space="preserve"> and</w:t>
      </w:r>
      <w:r w:rsidRPr="009500F4">
        <w:rPr>
          <w:rFonts w:eastAsia="Calibri" w:cs="Arial"/>
          <w:szCs w:val="22"/>
          <w:lang w:eastAsia="en-US"/>
        </w:rPr>
        <w:t xml:space="preserve"> feasible paths toward scaling up. </w:t>
      </w:r>
      <w:r w:rsidR="002A32F5" w:rsidRPr="009500F4">
        <w:rPr>
          <w:rFonts w:eastAsia="Calibri" w:cs="Arial"/>
          <w:szCs w:val="22"/>
          <w:lang w:eastAsia="en-US"/>
        </w:rPr>
        <w:t>However</w:t>
      </w:r>
      <w:r w:rsidRPr="009500F4">
        <w:rPr>
          <w:rFonts w:eastAsia="Calibri" w:cs="Arial"/>
          <w:szCs w:val="22"/>
          <w:lang w:eastAsia="en-US"/>
        </w:rPr>
        <w:t xml:space="preserve">, all </w:t>
      </w:r>
      <w:r w:rsidR="002A32F5" w:rsidRPr="009500F4">
        <w:rPr>
          <w:rFonts w:eastAsia="Calibri" w:cs="Arial"/>
          <w:szCs w:val="22"/>
          <w:lang w:eastAsia="en-US"/>
        </w:rPr>
        <w:t xml:space="preserve">stakeholders </w:t>
      </w:r>
      <w:r w:rsidRPr="009500F4">
        <w:rPr>
          <w:rFonts w:eastAsia="Calibri" w:cs="Arial"/>
          <w:szCs w:val="22"/>
          <w:lang w:eastAsia="en-US"/>
        </w:rPr>
        <w:t xml:space="preserve">acknowledge that PSDI needs to retain some coherent focus and avoid expanding into areas that lie well beyond its expertise. </w:t>
      </w:r>
      <w:r w:rsidR="002A32F5" w:rsidRPr="009500F4">
        <w:rPr>
          <w:rFonts w:eastAsia="Calibri" w:cs="Arial"/>
          <w:szCs w:val="22"/>
          <w:lang w:eastAsia="en-US"/>
        </w:rPr>
        <w:t>F</w:t>
      </w:r>
      <w:r w:rsidRPr="009500F4">
        <w:rPr>
          <w:rFonts w:eastAsia="Calibri" w:cs="Arial"/>
          <w:szCs w:val="22"/>
          <w:lang w:eastAsia="en-US"/>
        </w:rPr>
        <w:t xml:space="preserve">or example, PSDI </w:t>
      </w:r>
      <w:r w:rsidR="002A32F5" w:rsidRPr="009500F4">
        <w:rPr>
          <w:rFonts w:eastAsia="Calibri" w:cs="Arial"/>
          <w:szCs w:val="22"/>
          <w:lang w:eastAsia="en-US"/>
        </w:rPr>
        <w:t xml:space="preserve">has </w:t>
      </w:r>
      <w:r w:rsidRPr="009500F4">
        <w:rPr>
          <w:rFonts w:eastAsia="Calibri" w:cs="Arial"/>
          <w:szCs w:val="22"/>
          <w:lang w:eastAsia="en-US"/>
        </w:rPr>
        <w:t xml:space="preserve">pulled back from </w:t>
      </w:r>
      <w:r w:rsidR="002A32F5" w:rsidRPr="009500F4">
        <w:rPr>
          <w:rFonts w:eastAsia="Calibri" w:cs="Arial"/>
          <w:szCs w:val="22"/>
          <w:lang w:eastAsia="en-US"/>
        </w:rPr>
        <w:t>its</w:t>
      </w:r>
      <w:r w:rsidR="00D305C5" w:rsidRPr="009500F4">
        <w:rPr>
          <w:rFonts w:eastAsia="Calibri" w:cs="Arial"/>
          <w:szCs w:val="22"/>
          <w:lang w:eastAsia="en-US"/>
        </w:rPr>
        <w:t xml:space="preserve"> earlier</w:t>
      </w:r>
      <w:r w:rsidR="002A32F5" w:rsidRPr="009500F4">
        <w:rPr>
          <w:rFonts w:eastAsia="Calibri" w:cs="Arial"/>
          <w:szCs w:val="22"/>
          <w:lang w:eastAsia="en-US"/>
        </w:rPr>
        <w:t xml:space="preserve"> </w:t>
      </w:r>
      <w:r w:rsidRPr="009500F4">
        <w:rPr>
          <w:rFonts w:eastAsia="Calibri" w:cs="Arial"/>
          <w:szCs w:val="22"/>
          <w:lang w:eastAsia="en-US"/>
        </w:rPr>
        <w:t xml:space="preserve">forays into business development services. There </w:t>
      </w:r>
      <w:r w:rsidR="00D305C5" w:rsidRPr="009500F4">
        <w:rPr>
          <w:rFonts w:eastAsia="Calibri" w:cs="Arial"/>
          <w:szCs w:val="22"/>
          <w:lang w:eastAsia="en-US"/>
        </w:rPr>
        <w:t xml:space="preserve">also </w:t>
      </w:r>
      <w:r w:rsidRPr="009500F4">
        <w:rPr>
          <w:rFonts w:eastAsia="Calibri" w:cs="Arial"/>
          <w:szCs w:val="22"/>
          <w:lang w:eastAsia="en-US"/>
        </w:rPr>
        <w:t xml:space="preserve">appears to be some argument about PSDI’s more recent move into the tourism sector. </w:t>
      </w:r>
      <w:r w:rsidR="00866DD6" w:rsidRPr="009500F4">
        <w:rPr>
          <w:rFonts w:eastAsia="Calibri" w:cs="Arial"/>
          <w:szCs w:val="22"/>
          <w:lang w:eastAsia="en-US"/>
        </w:rPr>
        <w:t>Such expansion is</w:t>
      </w:r>
      <w:r w:rsidRPr="009500F4">
        <w:rPr>
          <w:rFonts w:eastAsia="Calibri" w:cs="Arial"/>
          <w:szCs w:val="22"/>
          <w:lang w:eastAsia="en-US"/>
        </w:rPr>
        <w:t>, on the one hand, a useful application of PSDI’s technical assistance in a priority economic sector, but</w:t>
      </w:r>
      <w:r w:rsidR="00866DD6" w:rsidRPr="009500F4">
        <w:rPr>
          <w:rFonts w:eastAsia="Calibri" w:cs="Arial"/>
          <w:szCs w:val="22"/>
          <w:lang w:eastAsia="en-US"/>
        </w:rPr>
        <w:t>,</w:t>
      </w:r>
      <w:r w:rsidRPr="009500F4">
        <w:rPr>
          <w:rFonts w:eastAsia="Calibri" w:cs="Arial"/>
          <w:szCs w:val="22"/>
          <w:lang w:eastAsia="en-US"/>
        </w:rPr>
        <w:t xml:space="preserve"> on the other hand, </w:t>
      </w:r>
      <w:r w:rsidR="00866DD6" w:rsidRPr="009500F4">
        <w:rPr>
          <w:rFonts w:eastAsia="Calibri" w:cs="Arial"/>
          <w:szCs w:val="22"/>
          <w:lang w:eastAsia="en-US"/>
        </w:rPr>
        <w:t xml:space="preserve">it </w:t>
      </w:r>
      <w:r w:rsidRPr="009500F4">
        <w:rPr>
          <w:rFonts w:eastAsia="Calibri" w:cs="Arial"/>
          <w:szCs w:val="22"/>
          <w:lang w:eastAsia="en-US"/>
        </w:rPr>
        <w:t>require</w:t>
      </w:r>
      <w:r w:rsidR="00866DD6" w:rsidRPr="009500F4">
        <w:rPr>
          <w:rFonts w:eastAsia="Calibri" w:cs="Arial"/>
          <w:szCs w:val="22"/>
          <w:lang w:eastAsia="en-US"/>
        </w:rPr>
        <w:t>s</w:t>
      </w:r>
      <w:r w:rsidRPr="009500F4">
        <w:rPr>
          <w:rFonts w:eastAsia="Calibri" w:cs="Arial"/>
          <w:szCs w:val="22"/>
          <w:lang w:eastAsia="en-US"/>
        </w:rPr>
        <w:t xml:space="preserve"> PSDI to develop expertise that </w:t>
      </w:r>
      <w:r w:rsidR="00866DD6" w:rsidRPr="009500F4">
        <w:rPr>
          <w:rFonts w:eastAsia="Calibri" w:cs="Arial"/>
          <w:szCs w:val="22"/>
          <w:lang w:eastAsia="en-US"/>
        </w:rPr>
        <w:t xml:space="preserve">the unit </w:t>
      </w:r>
      <w:r w:rsidRPr="009500F4">
        <w:rPr>
          <w:rFonts w:eastAsia="Calibri" w:cs="Arial"/>
          <w:szCs w:val="22"/>
          <w:lang w:eastAsia="en-US"/>
        </w:rPr>
        <w:t xml:space="preserve">does not currently have. </w:t>
      </w:r>
    </w:p>
    <w:p w:rsidR="003E12F1" w:rsidRPr="009500F4" w:rsidRDefault="003E12F1" w:rsidP="003E12F1"/>
    <w:p w:rsidR="003E12F1" w:rsidRPr="009500F4" w:rsidRDefault="003E12F1" w:rsidP="00BA537E">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 xml:space="preserve">Apart from the question of expertise, PSDI does not yet have </w:t>
      </w:r>
      <w:r w:rsidR="00866DD6" w:rsidRPr="009500F4">
        <w:rPr>
          <w:rFonts w:eastAsia="Calibri" w:cs="Arial"/>
          <w:szCs w:val="22"/>
          <w:lang w:eastAsia="en-US"/>
        </w:rPr>
        <w:t>sufficient</w:t>
      </w:r>
      <w:r w:rsidRPr="009500F4">
        <w:rPr>
          <w:rFonts w:eastAsia="Calibri" w:cs="Arial"/>
          <w:szCs w:val="22"/>
          <w:lang w:eastAsia="en-US"/>
        </w:rPr>
        <w:t xml:space="preserve"> trusted consultants or the management capacity in-house to handle a much larger, broader set of activities. One approach may be to seek out partnerships, particularly with locally or regionally</w:t>
      </w:r>
      <w:r w:rsidR="00866DD6" w:rsidRPr="009500F4">
        <w:rPr>
          <w:rFonts w:eastAsia="Calibri" w:cs="Arial"/>
          <w:szCs w:val="22"/>
          <w:lang w:eastAsia="en-US"/>
        </w:rPr>
        <w:t xml:space="preserve"> </w:t>
      </w:r>
      <w:r w:rsidRPr="009500F4">
        <w:rPr>
          <w:rFonts w:eastAsia="Calibri" w:cs="Arial"/>
          <w:szCs w:val="22"/>
          <w:lang w:eastAsia="en-US"/>
        </w:rPr>
        <w:t xml:space="preserve">based groups, to extend PSDI’s capabilities while building relevant capacity in the </w:t>
      </w:r>
      <w:r w:rsidR="00866DD6" w:rsidRPr="009500F4">
        <w:rPr>
          <w:rFonts w:eastAsia="Calibri" w:cs="Arial"/>
          <w:szCs w:val="22"/>
          <w:lang w:eastAsia="en-US"/>
        </w:rPr>
        <w:t>Pacific</w:t>
      </w:r>
      <w:r w:rsidRPr="009500F4">
        <w:rPr>
          <w:rFonts w:eastAsia="Calibri" w:cs="Arial"/>
          <w:szCs w:val="22"/>
          <w:lang w:eastAsia="en-US"/>
        </w:rPr>
        <w:t>.</w:t>
      </w:r>
    </w:p>
    <w:p w:rsidR="003E12F1" w:rsidRPr="009500F4" w:rsidRDefault="003E12F1" w:rsidP="003E12F1"/>
    <w:p w:rsidR="003E12F1" w:rsidRPr="009500F4" w:rsidRDefault="003E12F1" w:rsidP="00BA537E">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There is a risk with any expansion that PSDI could lose</w:t>
      </w:r>
      <w:r w:rsidR="007154C9" w:rsidRPr="009500F4">
        <w:rPr>
          <w:rFonts w:eastAsia="Calibri" w:cs="Arial"/>
          <w:szCs w:val="22"/>
          <w:lang w:eastAsia="en-US"/>
        </w:rPr>
        <w:t xml:space="preserve"> the advantages of</w:t>
      </w:r>
      <w:r w:rsidRPr="009500F4">
        <w:rPr>
          <w:rFonts w:eastAsia="Calibri" w:cs="Arial"/>
          <w:szCs w:val="22"/>
          <w:lang w:eastAsia="en-US"/>
        </w:rPr>
        <w:t xml:space="preserve"> its unique </w:t>
      </w:r>
      <w:r w:rsidR="007154C9" w:rsidRPr="009500F4">
        <w:rPr>
          <w:rFonts w:eastAsia="Calibri" w:cs="Arial"/>
          <w:szCs w:val="22"/>
          <w:lang w:eastAsia="en-US"/>
        </w:rPr>
        <w:t>structure</w:t>
      </w:r>
      <w:r w:rsidRPr="009500F4">
        <w:rPr>
          <w:rFonts w:eastAsia="Calibri" w:cs="Arial"/>
          <w:szCs w:val="22"/>
          <w:lang w:eastAsia="en-US"/>
        </w:rPr>
        <w:t xml:space="preserve">. Avoiding </w:t>
      </w:r>
      <w:r w:rsidR="007154C9" w:rsidRPr="009500F4">
        <w:rPr>
          <w:rFonts w:eastAsia="Calibri" w:cs="Arial"/>
          <w:szCs w:val="22"/>
          <w:lang w:eastAsia="en-US"/>
        </w:rPr>
        <w:t>such a loss</w:t>
      </w:r>
      <w:r w:rsidRPr="009500F4">
        <w:rPr>
          <w:rFonts w:eastAsia="Calibri" w:cs="Arial"/>
          <w:szCs w:val="22"/>
          <w:lang w:eastAsia="en-US"/>
        </w:rPr>
        <w:t xml:space="preserve"> may require additional resources to be directed to cooperative ventures between PSDI and partner institutions. In any case, </w:t>
      </w:r>
      <w:r w:rsidR="007154C9" w:rsidRPr="009500F4">
        <w:rPr>
          <w:rFonts w:eastAsia="Calibri" w:cs="Arial"/>
          <w:szCs w:val="22"/>
          <w:lang w:eastAsia="en-US"/>
        </w:rPr>
        <w:t xml:space="preserve">the </w:t>
      </w:r>
      <w:r w:rsidRPr="009500F4">
        <w:rPr>
          <w:rFonts w:eastAsia="Calibri" w:cs="Arial"/>
          <w:szCs w:val="22"/>
          <w:lang w:eastAsia="en-US"/>
        </w:rPr>
        <w:t xml:space="preserve">effective </w:t>
      </w:r>
      <w:r w:rsidR="007154C9" w:rsidRPr="009500F4">
        <w:rPr>
          <w:rFonts w:eastAsia="Calibri" w:cs="Arial"/>
          <w:szCs w:val="22"/>
          <w:lang w:eastAsia="en-US"/>
        </w:rPr>
        <w:t xml:space="preserve">use of additional </w:t>
      </w:r>
      <w:r w:rsidRPr="009500F4">
        <w:rPr>
          <w:rFonts w:eastAsia="Calibri" w:cs="Arial"/>
          <w:szCs w:val="22"/>
          <w:lang w:eastAsia="en-US"/>
        </w:rPr>
        <w:t xml:space="preserve">resources will require some adjustments, such as bringing on more PSDI coordinators </w:t>
      </w:r>
      <w:r w:rsidR="007154C9" w:rsidRPr="009500F4">
        <w:rPr>
          <w:rFonts w:eastAsia="Calibri" w:cs="Arial"/>
          <w:szCs w:val="22"/>
          <w:lang w:eastAsia="en-US"/>
        </w:rPr>
        <w:t xml:space="preserve">hired locally </w:t>
      </w:r>
      <w:r w:rsidRPr="009500F4">
        <w:rPr>
          <w:rFonts w:eastAsia="Calibri" w:cs="Arial"/>
          <w:szCs w:val="22"/>
          <w:lang w:eastAsia="en-US"/>
        </w:rPr>
        <w:t xml:space="preserve">and having senior people more intensively involved in </w:t>
      </w:r>
      <w:r w:rsidR="002E2F45" w:rsidRPr="009500F4">
        <w:rPr>
          <w:rFonts w:eastAsia="Calibri" w:cs="Arial"/>
          <w:szCs w:val="22"/>
          <w:lang w:eastAsia="en-US"/>
        </w:rPr>
        <w:t xml:space="preserve">the </w:t>
      </w:r>
      <w:r w:rsidRPr="009500F4">
        <w:rPr>
          <w:rFonts w:eastAsia="Calibri" w:cs="Arial"/>
          <w:szCs w:val="22"/>
          <w:lang w:eastAsia="en-US"/>
        </w:rPr>
        <w:t>large</w:t>
      </w:r>
      <w:r w:rsidR="002E2F45" w:rsidRPr="009500F4">
        <w:rPr>
          <w:rFonts w:eastAsia="Calibri" w:cs="Arial"/>
          <w:szCs w:val="22"/>
          <w:lang w:eastAsia="en-US"/>
        </w:rPr>
        <w:t>r</w:t>
      </w:r>
      <w:r w:rsidRPr="009500F4">
        <w:rPr>
          <w:rFonts w:eastAsia="Calibri" w:cs="Arial"/>
          <w:szCs w:val="22"/>
          <w:lang w:eastAsia="en-US"/>
        </w:rPr>
        <w:t xml:space="preserve"> country programs</w:t>
      </w:r>
      <w:r w:rsidR="002E2F45" w:rsidRPr="009500F4">
        <w:rPr>
          <w:rFonts w:eastAsia="Calibri" w:cs="Arial"/>
          <w:szCs w:val="22"/>
          <w:lang w:eastAsia="en-US"/>
        </w:rPr>
        <w:t>,</w:t>
      </w:r>
      <w:r w:rsidRPr="009500F4">
        <w:rPr>
          <w:rFonts w:eastAsia="Calibri" w:cs="Arial"/>
          <w:szCs w:val="22"/>
          <w:lang w:eastAsia="en-US"/>
        </w:rPr>
        <w:t xml:space="preserve"> such as</w:t>
      </w:r>
      <w:r w:rsidR="007154C9" w:rsidRPr="009500F4">
        <w:rPr>
          <w:rFonts w:eastAsia="Calibri" w:cs="Arial"/>
          <w:szCs w:val="22"/>
          <w:lang w:eastAsia="en-US"/>
        </w:rPr>
        <w:t xml:space="preserve"> that of</w:t>
      </w:r>
      <w:r w:rsidRPr="009500F4">
        <w:rPr>
          <w:rFonts w:eastAsia="Calibri" w:cs="Arial"/>
          <w:szCs w:val="22"/>
          <w:lang w:eastAsia="en-US"/>
        </w:rPr>
        <w:t xml:space="preserve"> PNG. Lastly, PSDI will need to bring its evolving program under a more explicit project logic (e.g.</w:t>
      </w:r>
      <w:r w:rsidR="002E2F45" w:rsidRPr="009500F4">
        <w:rPr>
          <w:rFonts w:eastAsia="Calibri" w:cs="Arial"/>
          <w:szCs w:val="22"/>
          <w:lang w:eastAsia="en-US"/>
        </w:rPr>
        <w:t>,</w:t>
      </w:r>
      <w:r w:rsidRPr="009500F4">
        <w:rPr>
          <w:rFonts w:eastAsia="Calibri" w:cs="Arial"/>
          <w:szCs w:val="22"/>
          <w:lang w:eastAsia="en-US"/>
        </w:rPr>
        <w:t xml:space="preserve"> Log</w:t>
      </w:r>
      <w:r w:rsidR="00EC32AF" w:rsidRPr="009500F4">
        <w:rPr>
          <w:rFonts w:eastAsia="Calibri" w:cs="Arial"/>
          <w:szCs w:val="22"/>
          <w:lang w:eastAsia="en-US"/>
        </w:rPr>
        <w:t>f</w:t>
      </w:r>
      <w:r w:rsidRPr="009500F4">
        <w:rPr>
          <w:rFonts w:eastAsia="Calibri" w:cs="Arial"/>
          <w:szCs w:val="22"/>
          <w:lang w:eastAsia="en-US"/>
        </w:rPr>
        <w:t xml:space="preserve">rame or Theory of Change) to communicate its strategy </w:t>
      </w:r>
      <w:r w:rsidR="002E2F45" w:rsidRPr="009500F4">
        <w:rPr>
          <w:rFonts w:eastAsia="Calibri" w:cs="Arial"/>
          <w:szCs w:val="22"/>
          <w:lang w:eastAsia="en-US"/>
        </w:rPr>
        <w:t xml:space="preserve">effectively </w:t>
      </w:r>
      <w:r w:rsidRPr="009500F4">
        <w:rPr>
          <w:rFonts w:eastAsia="Calibri" w:cs="Arial"/>
          <w:szCs w:val="22"/>
          <w:lang w:eastAsia="en-US"/>
        </w:rPr>
        <w:t>to stakeholders and justify new activities.</w:t>
      </w:r>
    </w:p>
    <w:p w:rsidR="00346198" w:rsidRPr="009500F4" w:rsidRDefault="00346198" w:rsidP="0047112C">
      <w:pPr>
        <w:tabs>
          <w:tab w:val="left" w:pos="1134"/>
        </w:tabs>
        <w:contextualSpacing/>
        <w:rPr>
          <w:rFonts w:eastAsia="Calibri" w:cs="Arial"/>
          <w:szCs w:val="22"/>
          <w:lang w:eastAsia="en-US"/>
        </w:rPr>
      </w:pPr>
    </w:p>
    <w:p w:rsidR="00354CB6" w:rsidRPr="009500F4" w:rsidRDefault="00354CB6" w:rsidP="00170139">
      <w:pPr>
        <w:tabs>
          <w:tab w:val="left" w:pos="567"/>
        </w:tabs>
        <w:spacing w:after="160"/>
        <w:rPr>
          <w:rFonts w:eastAsia="Calibri" w:cs="Arial"/>
          <w:sz w:val="24"/>
          <w:lang w:eastAsia="en-US"/>
        </w:rPr>
      </w:pPr>
      <w:r w:rsidRPr="009500F4">
        <w:rPr>
          <w:rFonts w:eastAsia="Calibri" w:cs="Arial"/>
          <w:b/>
          <w:sz w:val="24"/>
          <w:lang w:eastAsia="en-US"/>
        </w:rPr>
        <w:t>D.</w:t>
      </w:r>
      <w:r w:rsidRPr="009500F4">
        <w:rPr>
          <w:rFonts w:eastAsia="Calibri" w:cs="Arial"/>
          <w:b/>
          <w:sz w:val="24"/>
          <w:lang w:eastAsia="en-US"/>
        </w:rPr>
        <w:tab/>
      </w:r>
      <w:r w:rsidR="00346198" w:rsidRPr="009500F4">
        <w:rPr>
          <w:rFonts w:eastAsia="Calibri" w:cs="Arial"/>
          <w:b/>
          <w:sz w:val="24"/>
          <w:lang w:eastAsia="en-US"/>
        </w:rPr>
        <w:t xml:space="preserve">Overall </w:t>
      </w:r>
      <w:r w:rsidRPr="009500F4">
        <w:rPr>
          <w:b/>
          <w:sz w:val="24"/>
        </w:rPr>
        <w:t>A</w:t>
      </w:r>
      <w:r w:rsidR="00346198" w:rsidRPr="009500F4">
        <w:rPr>
          <w:rFonts w:eastAsia="Calibri" w:cs="Arial"/>
          <w:b/>
          <w:sz w:val="24"/>
          <w:lang w:eastAsia="en-US"/>
        </w:rPr>
        <w:t>ssessment</w:t>
      </w:r>
    </w:p>
    <w:p w:rsidR="00346198" w:rsidRPr="009500F4" w:rsidRDefault="00756411" w:rsidP="00170139">
      <w:pPr>
        <w:numPr>
          <w:ilvl w:val="0"/>
          <w:numId w:val="10"/>
        </w:numPr>
        <w:tabs>
          <w:tab w:val="left" w:pos="567"/>
        </w:tabs>
        <w:ind w:left="0" w:firstLine="0"/>
        <w:rPr>
          <w:rFonts w:eastAsia="Calibri" w:cs="Arial"/>
          <w:szCs w:val="22"/>
          <w:lang w:eastAsia="en-US"/>
        </w:rPr>
      </w:pPr>
      <w:r w:rsidRPr="009500F4">
        <w:rPr>
          <w:rFonts w:eastAsia="Calibri" w:cs="Arial"/>
          <w:szCs w:val="22"/>
          <w:lang w:eastAsia="en-US"/>
        </w:rPr>
        <w:t>T</w:t>
      </w:r>
      <w:r w:rsidR="00346198" w:rsidRPr="009500F4">
        <w:rPr>
          <w:rFonts w:eastAsia="Calibri" w:cs="Arial"/>
          <w:szCs w:val="22"/>
          <w:lang w:eastAsia="en-US"/>
        </w:rPr>
        <w:t xml:space="preserve">his midterm review </w:t>
      </w:r>
      <w:r w:rsidRPr="009500F4">
        <w:rPr>
          <w:rFonts w:eastAsia="Calibri" w:cs="Arial"/>
          <w:szCs w:val="22"/>
          <w:lang w:eastAsia="en-US"/>
        </w:rPr>
        <w:t>concludes</w:t>
      </w:r>
      <w:r w:rsidR="00346198" w:rsidRPr="009500F4">
        <w:rPr>
          <w:rFonts w:eastAsia="Calibri" w:cs="Arial"/>
          <w:szCs w:val="22"/>
          <w:lang w:eastAsia="en-US"/>
        </w:rPr>
        <w:t xml:space="preserve"> that PSDI is fulfilling its objectives with a high degree of efficiency and effectiveness. While the development impact has been high</w:t>
      </w:r>
      <w:r w:rsidR="00895766" w:rsidRPr="009500F4">
        <w:rPr>
          <w:rFonts w:eastAsia="Calibri" w:cs="Arial"/>
          <w:szCs w:val="22"/>
          <w:lang w:eastAsia="en-US"/>
        </w:rPr>
        <w:t>,</w:t>
      </w:r>
      <w:r w:rsidR="00346198" w:rsidRPr="009500F4">
        <w:rPr>
          <w:rFonts w:eastAsia="Calibri" w:cs="Arial"/>
          <w:szCs w:val="22"/>
          <w:lang w:eastAsia="en-US"/>
        </w:rPr>
        <w:t xml:space="preserve"> there is a need to ensure that the initial adopted reforms are implemented on a sustainable basis</w:t>
      </w:r>
      <w:r w:rsidRPr="009500F4">
        <w:rPr>
          <w:rFonts w:eastAsia="Calibri" w:cs="Arial"/>
          <w:szCs w:val="22"/>
          <w:lang w:eastAsia="en-US"/>
        </w:rPr>
        <w:t xml:space="preserve"> for the remainder of PSDI III</w:t>
      </w:r>
      <w:r w:rsidR="00346198" w:rsidRPr="009500F4">
        <w:rPr>
          <w:rFonts w:eastAsia="Calibri" w:cs="Arial"/>
          <w:szCs w:val="22"/>
          <w:lang w:eastAsia="en-US"/>
        </w:rPr>
        <w:t>.</w:t>
      </w:r>
    </w:p>
    <w:p w:rsidR="00FB3CC9" w:rsidRPr="009500F4" w:rsidRDefault="00FB3CC9" w:rsidP="00670064">
      <w:pPr>
        <w:jc w:val="left"/>
        <w:rPr>
          <w:rFonts w:eastAsia="Calibri" w:cs="Arial"/>
          <w:szCs w:val="22"/>
          <w:lang w:eastAsia="en-US"/>
        </w:rPr>
      </w:pPr>
    </w:p>
    <w:p w:rsidR="00FB3CC9" w:rsidRPr="009500F4" w:rsidRDefault="00FB3CC9" w:rsidP="00670064">
      <w:pPr>
        <w:jc w:val="left"/>
        <w:rPr>
          <w:rFonts w:eastAsia="Calibri" w:cs="Arial"/>
          <w:szCs w:val="22"/>
          <w:lang w:eastAsia="en-US"/>
        </w:rPr>
      </w:pPr>
    </w:p>
    <w:p w:rsidR="00346198" w:rsidRPr="00346198" w:rsidRDefault="00346198" w:rsidP="0047112C">
      <w:pPr>
        <w:ind w:firstLine="720"/>
        <w:jc w:val="right"/>
        <w:rPr>
          <w:rFonts w:eastAsia="Calibri" w:cs="Arial"/>
          <w:szCs w:val="22"/>
          <w:lang w:eastAsia="en-US"/>
        </w:rPr>
      </w:pPr>
      <w:r w:rsidRPr="00346198">
        <w:rPr>
          <w:rFonts w:eastAsia="Calibri" w:cs="Arial"/>
          <w:szCs w:val="22"/>
          <w:lang w:eastAsia="en-US"/>
        </w:rPr>
        <w:br w:type="page"/>
      </w:r>
      <w:r w:rsidRPr="00346198">
        <w:rPr>
          <w:rFonts w:eastAsia="Calibri" w:cs="Arial"/>
          <w:szCs w:val="22"/>
          <w:lang w:eastAsia="en-US"/>
        </w:rPr>
        <w:lastRenderedPageBreak/>
        <w:t>Appendix 1</w:t>
      </w:r>
    </w:p>
    <w:p w:rsidR="00086D68" w:rsidRPr="00086D68" w:rsidRDefault="00B544F8" w:rsidP="00C0202E">
      <w:pPr>
        <w:pStyle w:val="TOC1"/>
        <w:rPr>
          <w:rFonts w:asciiTheme="minorHAnsi" w:eastAsiaTheme="minorEastAsia" w:hAnsiTheme="minorHAnsi" w:cstheme="minorBidi"/>
        </w:rPr>
      </w:pPr>
      <w:bookmarkStart w:id="185" w:name="_Toc494378885"/>
      <w:r>
        <w:t>APPENDIX</w:t>
      </w:r>
      <w:r w:rsidR="00086D68" w:rsidRPr="00086D68">
        <w:t xml:space="preserve">: </w:t>
      </w:r>
      <w:r w:rsidR="00086D68" w:rsidRPr="00170139">
        <w:t>Outline of Terms of Reference for Consultants</w:t>
      </w:r>
      <w:r w:rsidR="00356171">
        <w:t xml:space="preserve"> of the mid-term review</w:t>
      </w:r>
    </w:p>
    <w:bookmarkEnd w:id="185"/>
    <w:p w:rsidR="00813EB8" w:rsidRPr="00813EB8" w:rsidRDefault="00813EB8" w:rsidP="00670064">
      <w:pPr>
        <w:rPr>
          <w:rFonts w:eastAsia="Calibri" w:cs="Arial"/>
          <w:szCs w:val="22"/>
          <w:lang w:eastAsia="en-US"/>
        </w:rPr>
      </w:pPr>
    </w:p>
    <w:p w:rsidR="00346198" w:rsidRPr="008245D5" w:rsidRDefault="00346198" w:rsidP="00670064">
      <w:pPr>
        <w:rPr>
          <w:rFonts w:eastAsia="Calibri" w:cs="Arial"/>
          <w:b/>
          <w:szCs w:val="22"/>
          <w:lang w:eastAsia="en-US"/>
        </w:rPr>
      </w:pPr>
      <w:r w:rsidRPr="008245D5">
        <w:rPr>
          <w:rFonts w:eastAsia="Calibri" w:cs="Arial"/>
          <w:b/>
          <w:szCs w:val="22"/>
          <w:lang w:eastAsia="en-US"/>
        </w:rPr>
        <w:t>Position 1:</w:t>
      </w:r>
      <w:r w:rsidRPr="008245D5">
        <w:rPr>
          <w:rFonts w:eastAsia="Calibri" w:cs="Arial"/>
          <w:b/>
          <w:szCs w:val="22"/>
          <w:lang w:eastAsia="en-US"/>
        </w:rPr>
        <w:tab/>
      </w:r>
      <w:r w:rsidRPr="008245D5">
        <w:rPr>
          <w:rFonts w:cs="Arial"/>
          <w:b/>
          <w:szCs w:val="22"/>
        </w:rPr>
        <w:t>Senior PSD Specialist/Mid-Term Reviewer and Team Leader</w:t>
      </w:r>
    </w:p>
    <w:p w:rsidR="00346198" w:rsidRPr="00BD7C37" w:rsidRDefault="00346198" w:rsidP="00670064">
      <w:pPr>
        <w:autoSpaceDE w:val="0"/>
        <w:autoSpaceDN w:val="0"/>
        <w:adjustRightInd w:val="0"/>
        <w:rPr>
          <w:rFonts w:eastAsia="Times New Roman" w:cs="Arial"/>
          <w:bCs/>
          <w:szCs w:val="22"/>
        </w:rPr>
      </w:pPr>
    </w:p>
    <w:p w:rsidR="00346198" w:rsidRPr="00346198" w:rsidRDefault="00346198" w:rsidP="00170139">
      <w:pPr>
        <w:numPr>
          <w:ilvl w:val="4"/>
          <w:numId w:val="10"/>
        </w:numPr>
        <w:autoSpaceDE w:val="0"/>
        <w:autoSpaceDN w:val="0"/>
        <w:adjustRightInd w:val="0"/>
        <w:ind w:left="567" w:hanging="567"/>
        <w:rPr>
          <w:rFonts w:eastAsia="Times New Roman" w:cs="Arial"/>
          <w:b/>
          <w:bCs/>
          <w:szCs w:val="22"/>
        </w:rPr>
      </w:pPr>
      <w:r w:rsidRPr="00346198">
        <w:rPr>
          <w:rFonts w:eastAsia="Times New Roman" w:cs="Arial"/>
          <w:b/>
          <w:bCs/>
          <w:szCs w:val="22"/>
        </w:rPr>
        <w:t>Objective and Purpose of the Assignment</w:t>
      </w:r>
    </w:p>
    <w:p w:rsidR="00346198" w:rsidRPr="00346198" w:rsidRDefault="00346198" w:rsidP="00670064">
      <w:pPr>
        <w:autoSpaceDE w:val="0"/>
        <w:autoSpaceDN w:val="0"/>
        <w:adjustRightInd w:val="0"/>
        <w:rPr>
          <w:rFonts w:eastAsia="Times New Roman" w:cs="Arial"/>
          <w:bCs/>
          <w:szCs w:val="22"/>
        </w:rPr>
      </w:pPr>
    </w:p>
    <w:p w:rsidR="00346198" w:rsidRPr="00346198" w:rsidRDefault="00346198" w:rsidP="00670064">
      <w:pPr>
        <w:numPr>
          <w:ilvl w:val="0"/>
          <w:numId w:val="16"/>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Pacific Private Sector Development Initiative (PSDI) is a regional technical assistance facility cofinanced by the Government of Australia, the Government of New Zealand, and the Asian Development Bank (ADB). Since 2006, PSDI has been working with ADB’s 14 Pacific developing member countries to improve the enabling environment for business and support inclusive, private sector-led economic growth. PSDI is currently being supported under TA 8378-REG: Pacific Private Sector Development Initiative, Phase III, which was approved on 6 June 2013 for $30.5 million. Additional financing of $8.08 million was approved on 30 June 2015.</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670064">
      <w:pPr>
        <w:numPr>
          <w:ilvl w:val="0"/>
          <w:numId w:val="16"/>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objective and purpose of this assignment is to work with another team member to do a diagnostic of PSDI, and provide recommendations for the way forward after assessing the performance, effectiveness, and relevance of the program. In so doing, it will identify future directions for PSDI as well as on how ADB can effectively support private sector development in the region.</w:t>
      </w:r>
    </w:p>
    <w:p w:rsidR="00346198" w:rsidRPr="00BD7C37" w:rsidRDefault="00346198" w:rsidP="00670064">
      <w:pPr>
        <w:autoSpaceDE w:val="0"/>
        <w:autoSpaceDN w:val="0"/>
        <w:adjustRightInd w:val="0"/>
        <w:rPr>
          <w:rFonts w:eastAsia="Times New Roman" w:cs="Arial"/>
          <w:bCs/>
          <w:szCs w:val="22"/>
        </w:rPr>
      </w:pPr>
    </w:p>
    <w:p w:rsidR="00346198" w:rsidRPr="00346198" w:rsidRDefault="00346198" w:rsidP="007B27E8">
      <w:pPr>
        <w:numPr>
          <w:ilvl w:val="4"/>
          <w:numId w:val="10"/>
        </w:numPr>
        <w:tabs>
          <w:tab w:val="left" w:pos="567"/>
        </w:tabs>
        <w:autoSpaceDE w:val="0"/>
        <w:autoSpaceDN w:val="0"/>
        <w:adjustRightInd w:val="0"/>
        <w:ind w:hanging="3240"/>
        <w:rPr>
          <w:rFonts w:eastAsia="Times New Roman" w:cs="Arial"/>
          <w:b/>
          <w:bCs/>
          <w:szCs w:val="22"/>
        </w:rPr>
      </w:pPr>
      <w:r w:rsidRPr="00346198">
        <w:rPr>
          <w:rFonts w:eastAsia="Times New Roman" w:cs="Arial"/>
          <w:b/>
          <w:bCs/>
          <w:szCs w:val="22"/>
        </w:rPr>
        <w:t>Scope of Work</w:t>
      </w:r>
    </w:p>
    <w:p w:rsidR="00346198" w:rsidRPr="00346198" w:rsidRDefault="00346198" w:rsidP="00670064">
      <w:pPr>
        <w:autoSpaceDE w:val="0"/>
        <w:autoSpaceDN w:val="0"/>
        <w:adjustRightInd w:val="0"/>
        <w:rPr>
          <w:rFonts w:eastAsia="Times New Roman" w:cs="Arial"/>
          <w:bCs/>
          <w:szCs w:val="22"/>
        </w:rPr>
      </w:pPr>
    </w:p>
    <w:p w:rsidR="00346198" w:rsidRPr="00346198" w:rsidRDefault="00346198" w:rsidP="00B70314">
      <w:pPr>
        <w:numPr>
          <w:ilvl w:val="0"/>
          <w:numId w:val="16"/>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team leader will work with and supervise two other team members to identify ways for ADB to further strengthen its support for the private sector development, especially in enhancing synergy and linkages across different projects and sectors. The report will also review PSDI’s relevance, performance, and effectiveness, as it enters its mid-term.</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9379DF">
      <w:pPr>
        <w:numPr>
          <w:ilvl w:val="0"/>
          <w:numId w:val="16"/>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main text of the report will be about 30 pages.</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9379DF">
      <w:pPr>
        <w:numPr>
          <w:ilvl w:val="0"/>
          <w:numId w:val="16"/>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consultant will report to the ADB Project Officer for PSDI, under the overall guidance of the Regional Director of ADB’s Pacific Liaison and Coordination Office (PLCO) in Sydney, Australia. This assignment falls under PSDI’s Analytical Work/Strategic Management workstream. PSDI’s Monitoring and Evaluation Expert will support the mid-term review through the provision of research, information, and data.</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7B27E8">
      <w:pPr>
        <w:numPr>
          <w:ilvl w:val="4"/>
          <w:numId w:val="10"/>
        </w:numPr>
        <w:tabs>
          <w:tab w:val="left" w:pos="567"/>
        </w:tabs>
        <w:autoSpaceDE w:val="0"/>
        <w:autoSpaceDN w:val="0"/>
        <w:adjustRightInd w:val="0"/>
        <w:ind w:hanging="3240"/>
        <w:rPr>
          <w:rFonts w:eastAsia="Times New Roman" w:cs="Arial"/>
          <w:b/>
          <w:bCs/>
          <w:szCs w:val="22"/>
        </w:rPr>
      </w:pPr>
      <w:r w:rsidRPr="00346198">
        <w:rPr>
          <w:rFonts w:eastAsia="Times New Roman" w:cs="Arial"/>
          <w:b/>
          <w:bCs/>
          <w:szCs w:val="22"/>
        </w:rPr>
        <w:t>Detailed Tasks and/or Expected Output</w:t>
      </w:r>
    </w:p>
    <w:p w:rsidR="00346198" w:rsidRPr="00346198" w:rsidRDefault="00346198" w:rsidP="00670064">
      <w:pPr>
        <w:autoSpaceDE w:val="0"/>
        <w:autoSpaceDN w:val="0"/>
        <w:adjustRightInd w:val="0"/>
        <w:rPr>
          <w:rFonts w:eastAsia="Times New Roman" w:cs="Arial"/>
          <w:bCs/>
          <w:szCs w:val="22"/>
        </w:rPr>
      </w:pPr>
    </w:p>
    <w:p w:rsidR="00346198" w:rsidRPr="00346198" w:rsidRDefault="00346198" w:rsidP="009379DF">
      <w:pPr>
        <w:numPr>
          <w:ilvl w:val="0"/>
          <w:numId w:val="16"/>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consultant, in collaboration with the team member will:</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670064">
      <w:pPr>
        <w:numPr>
          <w:ilvl w:val="0"/>
          <w:numId w:val="17"/>
        </w:numPr>
        <w:autoSpaceDE w:val="0"/>
        <w:autoSpaceDN w:val="0"/>
        <w:adjustRightInd w:val="0"/>
        <w:ind w:left="1134" w:hanging="567"/>
        <w:rPr>
          <w:rFonts w:eastAsia="Times New Roman" w:cs="Arial"/>
          <w:szCs w:val="22"/>
        </w:rPr>
      </w:pPr>
      <w:r w:rsidRPr="00346198">
        <w:rPr>
          <w:rFonts w:eastAsia="Times New Roman" w:cs="Arial"/>
          <w:szCs w:val="22"/>
        </w:rPr>
        <w:t>Review relevant reports including, but not limited to: the TA paper for PSDI Phase III (including the Major Change in Scope) and Annual Progress Reports.</w:t>
      </w:r>
    </w:p>
    <w:p w:rsidR="00346198" w:rsidRPr="00346198" w:rsidRDefault="00346198" w:rsidP="00670064">
      <w:pPr>
        <w:numPr>
          <w:ilvl w:val="0"/>
          <w:numId w:val="17"/>
        </w:numPr>
        <w:autoSpaceDE w:val="0"/>
        <w:autoSpaceDN w:val="0"/>
        <w:adjustRightInd w:val="0"/>
        <w:ind w:left="1134" w:hanging="567"/>
        <w:rPr>
          <w:rFonts w:eastAsia="Times New Roman" w:cs="Arial"/>
          <w:szCs w:val="22"/>
        </w:rPr>
      </w:pPr>
      <w:r w:rsidRPr="00346198">
        <w:rPr>
          <w:rFonts w:eastAsia="Times New Roman" w:cs="Arial"/>
          <w:szCs w:val="22"/>
        </w:rPr>
        <w:t>Hold preliminary discussions with relevant ADB staff and members of the PSDI team to gain an understanding of the program, its achievements, and other emerging priorities and opportunities.</w:t>
      </w:r>
    </w:p>
    <w:p w:rsidR="00346198" w:rsidRPr="00346198" w:rsidRDefault="00346198" w:rsidP="00670064">
      <w:pPr>
        <w:numPr>
          <w:ilvl w:val="0"/>
          <w:numId w:val="17"/>
        </w:numPr>
        <w:autoSpaceDE w:val="0"/>
        <w:autoSpaceDN w:val="0"/>
        <w:adjustRightInd w:val="0"/>
        <w:ind w:left="1134" w:hanging="567"/>
        <w:rPr>
          <w:rFonts w:eastAsia="Times New Roman" w:cs="Arial"/>
          <w:szCs w:val="22"/>
        </w:rPr>
      </w:pPr>
      <w:r w:rsidRPr="00346198">
        <w:rPr>
          <w:rFonts w:eastAsia="Times New Roman" w:cs="Arial"/>
          <w:szCs w:val="22"/>
        </w:rPr>
        <w:t>Review current ADB, DFAT, MFAT, and Pacific country strategies relating to private sector development, and assess whether PSDI continues to be relevant in supporting these. Determine also what changes (if any) are required for PSDI to improve its performance and achieve the aims of ADB, DFAT, MFAT, and Pacific country strategies.</w:t>
      </w:r>
    </w:p>
    <w:p w:rsidR="00346198" w:rsidRPr="00346198" w:rsidRDefault="00346198" w:rsidP="00670064">
      <w:pPr>
        <w:numPr>
          <w:ilvl w:val="0"/>
          <w:numId w:val="17"/>
        </w:numPr>
        <w:autoSpaceDE w:val="0"/>
        <w:autoSpaceDN w:val="0"/>
        <w:adjustRightInd w:val="0"/>
        <w:ind w:left="1134" w:hanging="567"/>
        <w:rPr>
          <w:rFonts w:eastAsia="Times New Roman" w:cs="Arial"/>
          <w:szCs w:val="22"/>
        </w:rPr>
      </w:pPr>
      <w:r w:rsidRPr="00346198">
        <w:rPr>
          <w:rFonts w:eastAsia="Times New Roman" w:cs="Arial"/>
          <w:szCs w:val="22"/>
        </w:rPr>
        <w:lastRenderedPageBreak/>
        <w:t>Hold preliminary discussions with DFAT and MFAT staff to obtain partner feedback. The consultant may also travel to one to two Pacific developing member countries to undertake consultations with the government and private sector. The country or countries will be determined during the course of the consulting services.</w:t>
      </w:r>
    </w:p>
    <w:p w:rsidR="00346198" w:rsidRPr="00346198" w:rsidRDefault="00346198" w:rsidP="00670064">
      <w:pPr>
        <w:numPr>
          <w:ilvl w:val="0"/>
          <w:numId w:val="17"/>
        </w:numPr>
        <w:autoSpaceDE w:val="0"/>
        <w:autoSpaceDN w:val="0"/>
        <w:adjustRightInd w:val="0"/>
        <w:ind w:left="1134" w:hanging="567"/>
        <w:rPr>
          <w:rFonts w:eastAsia="Times New Roman" w:cs="Arial"/>
          <w:szCs w:val="22"/>
        </w:rPr>
      </w:pPr>
      <w:r w:rsidRPr="00346198">
        <w:rPr>
          <w:rFonts w:eastAsia="Times New Roman" w:cs="Arial"/>
          <w:szCs w:val="22"/>
        </w:rPr>
        <w:t xml:space="preserve">Review PSDI’s current design and monitoring framework and its progress against the targets to date, and provide recommendations for updating this in line with the current work program and taking into account recommendations for the future. </w:t>
      </w:r>
    </w:p>
    <w:p w:rsidR="00346198" w:rsidRPr="00346198" w:rsidRDefault="00346198" w:rsidP="00670064">
      <w:pPr>
        <w:numPr>
          <w:ilvl w:val="0"/>
          <w:numId w:val="17"/>
        </w:numPr>
        <w:autoSpaceDE w:val="0"/>
        <w:autoSpaceDN w:val="0"/>
        <w:adjustRightInd w:val="0"/>
        <w:ind w:left="1134" w:hanging="567"/>
        <w:rPr>
          <w:rFonts w:eastAsia="Times New Roman" w:cs="Arial"/>
          <w:szCs w:val="22"/>
        </w:rPr>
      </w:pPr>
      <w:r w:rsidRPr="00346198">
        <w:rPr>
          <w:rFonts w:eastAsia="Times New Roman" w:cs="Arial"/>
          <w:szCs w:val="22"/>
        </w:rPr>
        <w:t>Prepare draft report and present to ADB, including PSDI for review.</w:t>
      </w:r>
    </w:p>
    <w:p w:rsidR="00346198" w:rsidRPr="00346198" w:rsidRDefault="00346198" w:rsidP="00670064">
      <w:pPr>
        <w:numPr>
          <w:ilvl w:val="0"/>
          <w:numId w:val="17"/>
        </w:numPr>
        <w:autoSpaceDE w:val="0"/>
        <w:autoSpaceDN w:val="0"/>
        <w:adjustRightInd w:val="0"/>
        <w:ind w:left="1134" w:hanging="567"/>
        <w:rPr>
          <w:rFonts w:eastAsia="Times New Roman" w:cs="Arial"/>
          <w:szCs w:val="22"/>
        </w:rPr>
      </w:pPr>
      <w:r w:rsidRPr="00346198">
        <w:rPr>
          <w:rFonts w:eastAsia="Times New Roman" w:cs="Arial"/>
          <w:szCs w:val="22"/>
        </w:rPr>
        <w:t>Revise draft report, based on comments received, and present to DFAT and MFAT.</w:t>
      </w:r>
    </w:p>
    <w:p w:rsidR="00346198" w:rsidRPr="00346198" w:rsidRDefault="00346198" w:rsidP="00670064">
      <w:pPr>
        <w:numPr>
          <w:ilvl w:val="0"/>
          <w:numId w:val="17"/>
        </w:numPr>
        <w:autoSpaceDE w:val="0"/>
        <w:autoSpaceDN w:val="0"/>
        <w:adjustRightInd w:val="0"/>
        <w:ind w:left="1134" w:hanging="567"/>
        <w:rPr>
          <w:rFonts w:eastAsia="Times New Roman" w:cs="Arial"/>
          <w:szCs w:val="22"/>
        </w:rPr>
      </w:pPr>
      <w:r w:rsidRPr="00346198">
        <w:rPr>
          <w:rFonts w:eastAsia="Times New Roman" w:cs="Arial"/>
          <w:szCs w:val="22"/>
        </w:rPr>
        <w:t>Finalize report, based on comments received.</w:t>
      </w:r>
    </w:p>
    <w:p w:rsidR="00346198" w:rsidRPr="00346198" w:rsidRDefault="00346198" w:rsidP="00670064">
      <w:pPr>
        <w:numPr>
          <w:ilvl w:val="0"/>
          <w:numId w:val="17"/>
        </w:numPr>
        <w:autoSpaceDE w:val="0"/>
        <w:autoSpaceDN w:val="0"/>
        <w:adjustRightInd w:val="0"/>
        <w:ind w:left="1134" w:hanging="567"/>
        <w:rPr>
          <w:rFonts w:eastAsia="Times New Roman" w:cs="Arial"/>
          <w:szCs w:val="22"/>
        </w:rPr>
      </w:pPr>
      <w:r w:rsidRPr="00346198">
        <w:rPr>
          <w:rFonts w:eastAsia="Times New Roman" w:cs="Arial"/>
          <w:szCs w:val="22"/>
        </w:rPr>
        <w:t>Undertake other necessary activities.</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9379DF">
      <w:pPr>
        <w:numPr>
          <w:ilvl w:val="0"/>
          <w:numId w:val="16"/>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Based on these activities, the consultant will prepare a report which will:</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670064">
      <w:pPr>
        <w:numPr>
          <w:ilvl w:val="0"/>
          <w:numId w:val="18"/>
        </w:numPr>
        <w:autoSpaceDE w:val="0"/>
        <w:autoSpaceDN w:val="0"/>
        <w:adjustRightInd w:val="0"/>
        <w:ind w:left="1134" w:hanging="567"/>
        <w:rPr>
          <w:rFonts w:eastAsia="Times New Roman" w:cs="Arial"/>
          <w:szCs w:val="22"/>
        </w:rPr>
      </w:pPr>
      <w:r w:rsidRPr="00346198">
        <w:rPr>
          <w:rFonts w:eastAsia="Times New Roman" w:cs="Arial"/>
          <w:szCs w:val="22"/>
        </w:rPr>
        <w:t>outline the strengths and weaknesses of PSDI;</w:t>
      </w:r>
    </w:p>
    <w:p w:rsidR="00346198" w:rsidRPr="00346198" w:rsidRDefault="00346198" w:rsidP="00670064">
      <w:pPr>
        <w:numPr>
          <w:ilvl w:val="0"/>
          <w:numId w:val="18"/>
        </w:numPr>
        <w:autoSpaceDE w:val="0"/>
        <w:autoSpaceDN w:val="0"/>
        <w:adjustRightInd w:val="0"/>
        <w:ind w:left="1134" w:hanging="567"/>
        <w:rPr>
          <w:rFonts w:eastAsia="Times New Roman" w:cs="Arial"/>
          <w:szCs w:val="22"/>
        </w:rPr>
      </w:pPr>
      <w:r w:rsidRPr="00346198">
        <w:rPr>
          <w:rFonts w:eastAsia="Times New Roman" w:cs="Arial"/>
          <w:szCs w:val="22"/>
        </w:rPr>
        <w:t>provide recommendations on improving PSDI’s performance, effectiveness and relevance, including by expanding or deepening the scope of the program during the remaining term for PSDI Phase III;</w:t>
      </w:r>
    </w:p>
    <w:p w:rsidR="00346198" w:rsidRPr="00346198" w:rsidRDefault="00346198" w:rsidP="00670064">
      <w:pPr>
        <w:numPr>
          <w:ilvl w:val="0"/>
          <w:numId w:val="18"/>
        </w:numPr>
        <w:autoSpaceDE w:val="0"/>
        <w:autoSpaceDN w:val="0"/>
        <w:adjustRightInd w:val="0"/>
        <w:ind w:left="1134" w:hanging="567"/>
        <w:rPr>
          <w:rFonts w:eastAsia="Times New Roman" w:cs="Arial"/>
          <w:szCs w:val="22"/>
        </w:rPr>
      </w:pPr>
      <w:r w:rsidRPr="00346198">
        <w:rPr>
          <w:rFonts w:eastAsia="Times New Roman" w:cs="Arial"/>
          <w:szCs w:val="22"/>
        </w:rPr>
        <w:t>identify ways to improve the linkages between PSDI and other ADB operations for better development impacts and effectiveness; and</w:t>
      </w:r>
    </w:p>
    <w:p w:rsidR="00346198" w:rsidRPr="00346198" w:rsidRDefault="00346198" w:rsidP="00670064">
      <w:pPr>
        <w:numPr>
          <w:ilvl w:val="0"/>
          <w:numId w:val="18"/>
        </w:numPr>
        <w:autoSpaceDE w:val="0"/>
        <w:autoSpaceDN w:val="0"/>
        <w:adjustRightInd w:val="0"/>
        <w:ind w:left="1134" w:hanging="567"/>
        <w:rPr>
          <w:rFonts w:eastAsia="Times New Roman" w:cs="Arial"/>
          <w:szCs w:val="22"/>
        </w:rPr>
      </w:pPr>
      <w:r w:rsidRPr="00346198">
        <w:rPr>
          <w:rFonts w:eastAsia="Times New Roman" w:cs="Arial"/>
          <w:szCs w:val="22"/>
        </w:rPr>
        <w:t>recommend future direction for PSDI in light of ADB’s expanding support in the private sector and financial sector.</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9379DF">
      <w:pPr>
        <w:numPr>
          <w:ilvl w:val="0"/>
          <w:numId w:val="16"/>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consultant will also prepare a set of presentation slides on key findings and make 3–4 presentations.</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170139">
      <w:pPr>
        <w:numPr>
          <w:ilvl w:val="4"/>
          <w:numId w:val="10"/>
        </w:numPr>
        <w:autoSpaceDE w:val="0"/>
        <w:autoSpaceDN w:val="0"/>
        <w:adjustRightInd w:val="0"/>
        <w:ind w:left="567" w:hanging="567"/>
        <w:rPr>
          <w:rFonts w:eastAsia="Times New Roman" w:cs="Arial"/>
          <w:b/>
          <w:bCs/>
          <w:szCs w:val="22"/>
        </w:rPr>
      </w:pPr>
      <w:r w:rsidRPr="00346198">
        <w:rPr>
          <w:rFonts w:eastAsia="Times New Roman" w:cs="Arial"/>
          <w:b/>
          <w:bCs/>
          <w:szCs w:val="22"/>
        </w:rPr>
        <w:t>Minimum Qualification Requirements</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9379DF">
      <w:pPr>
        <w:numPr>
          <w:ilvl w:val="0"/>
          <w:numId w:val="16"/>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expert must have (i) at least 15 years of relevant professional experience in private sector development; (ii) a Master’s degree in economics, business administration, or law and economics; (iii). In-depth knowledge about the operations of multilateral development banks such as the Asian Development Bank and the World Bank; (iii) knowledge and experience in Pacific island countries; (iv) sound analytical skills, (v) capacity to liaise with ADB, DFAT, and MFAT staff as well as other stakeholders, (vi) sound verbal and written communication skills in English; and (vii) sound interpersonal skills.</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670064">
      <w:pPr>
        <w:autoSpaceDE w:val="0"/>
        <w:autoSpaceDN w:val="0"/>
        <w:adjustRightInd w:val="0"/>
        <w:rPr>
          <w:rFonts w:eastAsia="Times New Roman" w:cs="Arial"/>
          <w:bCs/>
          <w:szCs w:val="22"/>
        </w:rPr>
      </w:pPr>
      <w:r w:rsidRPr="00346198">
        <w:rPr>
          <w:rFonts w:eastAsia="Times New Roman" w:cs="Arial"/>
          <w:szCs w:val="22"/>
        </w:rPr>
        <w:t xml:space="preserve">Minimum General Experience: 15 </w:t>
      </w:r>
      <w:r w:rsidRPr="00346198">
        <w:rPr>
          <w:rFonts w:eastAsia="Times New Roman" w:cs="Arial"/>
          <w:bCs/>
          <w:szCs w:val="22"/>
        </w:rPr>
        <w:t>Years</w:t>
      </w:r>
    </w:p>
    <w:p w:rsidR="00346198" w:rsidRPr="00346198" w:rsidRDefault="00346198" w:rsidP="00670064">
      <w:pPr>
        <w:autoSpaceDE w:val="0"/>
        <w:autoSpaceDN w:val="0"/>
        <w:adjustRightInd w:val="0"/>
        <w:rPr>
          <w:rFonts w:eastAsia="Times New Roman" w:cs="Arial"/>
          <w:szCs w:val="22"/>
        </w:rPr>
      </w:pPr>
      <w:r w:rsidRPr="00346198">
        <w:rPr>
          <w:rFonts w:eastAsia="Times New Roman" w:cs="Arial"/>
          <w:szCs w:val="22"/>
        </w:rPr>
        <w:t xml:space="preserve">Minimum Specific Experience (relevant to assignment): 10 </w:t>
      </w:r>
      <w:r w:rsidRPr="00346198">
        <w:rPr>
          <w:rFonts w:eastAsia="Times New Roman" w:cs="Arial"/>
          <w:bCs/>
          <w:szCs w:val="22"/>
        </w:rPr>
        <w:t>Years</w:t>
      </w:r>
    </w:p>
    <w:p w:rsidR="00346198" w:rsidRPr="00346198" w:rsidRDefault="00346198" w:rsidP="00670064">
      <w:pPr>
        <w:rPr>
          <w:rFonts w:eastAsia="Times New Roman" w:cs="Arial"/>
          <w:szCs w:val="22"/>
        </w:rPr>
      </w:pPr>
      <w:r w:rsidRPr="00346198">
        <w:rPr>
          <w:rFonts w:eastAsia="Times New Roman" w:cs="Arial"/>
          <w:szCs w:val="22"/>
        </w:rPr>
        <w:t>Regional/Country Experience: Required</w:t>
      </w:r>
    </w:p>
    <w:p w:rsidR="00346198" w:rsidRPr="00346198" w:rsidRDefault="00346198" w:rsidP="00670064">
      <w:pPr>
        <w:rPr>
          <w:rFonts w:eastAsia="Calibri" w:cs="Arial"/>
          <w:szCs w:val="22"/>
          <w:lang w:eastAsia="en-US"/>
        </w:rPr>
      </w:pPr>
    </w:p>
    <w:p w:rsidR="00346198" w:rsidRPr="00346198" w:rsidRDefault="00346198" w:rsidP="00670064">
      <w:pPr>
        <w:rPr>
          <w:rFonts w:eastAsia="Calibri" w:cs="Arial"/>
          <w:szCs w:val="22"/>
          <w:lang w:eastAsia="en-US"/>
        </w:rPr>
      </w:pPr>
      <w:r w:rsidRPr="00346198">
        <w:rPr>
          <w:rFonts w:eastAsia="Calibri" w:cs="Arial"/>
          <w:szCs w:val="22"/>
          <w:lang w:eastAsia="en-US"/>
        </w:rPr>
        <w:br w:type="page"/>
      </w:r>
    </w:p>
    <w:p w:rsidR="00346198" w:rsidRPr="008245D5" w:rsidRDefault="00346198" w:rsidP="00670064">
      <w:pPr>
        <w:rPr>
          <w:rFonts w:eastAsia="Calibri" w:cs="Arial"/>
          <w:b/>
          <w:szCs w:val="22"/>
          <w:lang w:eastAsia="en-US"/>
        </w:rPr>
      </w:pPr>
      <w:r w:rsidRPr="008245D5">
        <w:rPr>
          <w:rFonts w:eastAsia="Calibri" w:cs="Arial"/>
          <w:b/>
          <w:szCs w:val="22"/>
          <w:lang w:eastAsia="en-US"/>
        </w:rPr>
        <w:lastRenderedPageBreak/>
        <w:t xml:space="preserve">Position 2: </w:t>
      </w:r>
      <w:r w:rsidRPr="008245D5">
        <w:rPr>
          <w:rFonts w:eastAsia="Calibri" w:cs="Arial"/>
          <w:b/>
          <w:szCs w:val="22"/>
          <w:lang w:eastAsia="en-US"/>
        </w:rPr>
        <w:tab/>
        <w:t>Senior PSD Specialist/Mid-Term Reviewer Team Member</w:t>
      </w:r>
    </w:p>
    <w:p w:rsidR="00346198" w:rsidRPr="00346198" w:rsidRDefault="00346198" w:rsidP="00670064">
      <w:pPr>
        <w:rPr>
          <w:rFonts w:eastAsia="Calibri" w:cs="Arial"/>
          <w:szCs w:val="22"/>
          <w:lang w:eastAsia="en-US"/>
        </w:rPr>
      </w:pPr>
    </w:p>
    <w:p w:rsidR="00346198" w:rsidRPr="00346198" w:rsidRDefault="00346198" w:rsidP="00670064">
      <w:pPr>
        <w:numPr>
          <w:ilvl w:val="0"/>
          <w:numId w:val="19"/>
        </w:numPr>
        <w:autoSpaceDE w:val="0"/>
        <w:autoSpaceDN w:val="0"/>
        <w:adjustRightInd w:val="0"/>
        <w:ind w:left="567" w:hanging="567"/>
        <w:rPr>
          <w:rFonts w:eastAsia="Times New Roman" w:cs="Arial"/>
          <w:b/>
          <w:bCs/>
          <w:szCs w:val="22"/>
        </w:rPr>
      </w:pPr>
      <w:r w:rsidRPr="00346198">
        <w:rPr>
          <w:rFonts w:eastAsia="Times New Roman" w:cs="Arial"/>
          <w:b/>
          <w:bCs/>
          <w:szCs w:val="22"/>
        </w:rPr>
        <w:t>Objective and Purpose of the Assignment</w:t>
      </w:r>
    </w:p>
    <w:p w:rsidR="00346198" w:rsidRPr="00346198" w:rsidRDefault="00346198" w:rsidP="00670064">
      <w:pPr>
        <w:autoSpaceDE w:val="0"/>
        <w:autoSpaceDN w:val="0"/>
        <w:adjustRightInd w:val="0"/>
        <w:rPr>
          <w:rFonts w:eastAsia="Times New Roman" w:cs="Arial"/>
          <w:szCs w:val="22"/>
        </w:rPr>
      </w:pPr>
    </w:p>
    <w:p w:rsidR="009379DF" w:rsidRDefault="00346198" w:rsidP="009379DF">
      <w:pPr>
        <w:numPr>
          <w:ilvl w:val="0"/>
          <w:numId w:val="49"/>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Pacific Private Sector Development Initiative (PSDI) is a regional technical assistance facility cofinanced by the Government of Australia, the Government of New Zealand, and the Asian Development Bank (ADB). Since 2006, PSDI has been working with ADB’s 14 Pacific developing member countries to improve the enabling environment for business and support inclusive, private sector-led economic growth. PSDI is currently being supported under TA 8378-REG: Pacific Private Sector Development Initiative, Phase III, which was approved on 6 June 2013 for $30.5 million. Additional financing of $8.08 million was approved on 30 June 2015.</w:t>
      </w:r>
    </w:p>
    <w:p w:rsidR="009379DF" w:rsidRDefault="009379DF" w:rsidP="009379DF">
      <w:pPr>
        <w:tabs>
          <w:tab w:val="left" w:pos="567"/>
        </w:tabs>
        <w:autoSpaceDE w:val="0"/>
        <w:autoSpaceDN w:val="0"/>
        <w:adjustRightInd w:val="0"/>
        <w:rPr>
          <w:rFonts w:eastAsia="Times New Roman" w:cs="Arial"/>
          <w:szCs w:val="22"/>
        </w:rPr>
      </w:pPr>
    </w:p>
    <w:p w:rsidR="00346198" w:rsidRPr="009379DF" w:rsidRDefault="00346198" w:rsidP="009379DF">
      <w:pPr>
        <w:numPr>
          <w:ilvl w:val="0"/>
          <w:numId w:val="49"/>
        </w:numPr>
        <w:tabs>
          <w:tab w:val="left" w:pos="567"/>
        </w:tabs>
        <w:autoSpaceDE w:val="0"/>
        <w:autoSpaceDN w:val="0"/>
        <w:adjustRightInd w:val="0"/>
        <w:ind w:left="0" w:firstLine="0"/>
        <w:rPr>
          <w:rFonts w:eastAsia="Times New Roman" w:cs="Arial"/>
          <w:szCs w:val="22"/>
        </w:rPr>
      </w:pPr>
      <w:r w:rsidRPr="009379DF">
        <w:rPr>
          <w:rFonts w:eastAsia="Times New Roman" w:cs="Arial"/>
          <w:szCs w:val="22"/>
        </w:rPr>
        <w:t>The objective and purpose of this assignment is to work with the team leader of this project to do a diagnostic of PSDI, and provide recommendations for the way forward after assessing the performance, effectiveness, and relevance of the program. In so doing, it will identify future directions for PSDI as well as on how ADB can effectively support private sector development in the region.</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670064">
      <w:pPr>
        <w:numPr>
          <w:ilvl w:val="0"/>
          <w:numId w:val="19"/>
        </w:numPr>
        <w:autoSpaceDE w:val="0"/>
        <w:autoSpaceDN w:val="0"/>
        <w:adjustRightInd w:val="0"/>
        <w:ind w:left="567" w:hanging="567"/>
        <w:rPr>
          <w:rFonts w:eastAsia="Times New Roman" w:cs="Arial"/>
          <w:b/>
          <w:bCs/>
          <w:szCs w:val="22"/>
        </w:rPr>
      </w:pPr>
      <w:r w:rsidRPr="00346198">
        <w:rPr>
          <w:rFonts w:eastAsia="Times New Roman" w:cs="Arial"/>
          <w:b/>
          <w:bCs/>
          <w:szCs w:val="22"/>
        </w:rPr>
        <w:t>Scope of Work</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9379DF">
      <w:pPr>
        <w:numPr>
          <w:ilvl w:val="0"/>
          <w:numId w:val="49"/>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team member will support the team leader to identify ways for ADB to further strengthen its support for the private sector development, especially in enhancing synergy and linkages across different across different projects and sectors. The report will also review PSDI’s relevance, performance, and effectiveness, as it enters its mid-term.</w:t>
      </w:r>
    </w:p>
    <w:p w:rsidR="00346198" w:rsidRPr="00346198" w:rsidRDefault="00346198" w:rsidP="00670064">
      <w:pPr>
        <w:autoSpaceDE w:val="0"/>
        <w:autoSpaceDN w:val="0"/>
        <w:adjustRightInd w:val="0"/>
        <w:ind w:left="567" w:hanging="567"/>
        <w:rPr>
          <w:rFonts w:eastAsia="Times New Roman" w:cs="Arial"/>
          <w:szCs w:val="22"/>
        </w:rPr>
      </w:pPr>
    </w:p>
    <w:p w:rsidR="00346198" w:rsidRPr="00346198" w:rsidRDefault="00346198" w:rsidP="009379DF">
      <w:pPr>
        <w:numPr>
          <w:ilvl w:val="0"/>
          <w:numId w:val="49"/>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main text of the report will be about 30 pages.</w:t>
      </w:r>
    </w:p>
    <w:p w:rsidR="00346198" w:rsidRPr="00346198" w:rsidRDefault="00346198" w:rsidP="00670064">
      <w:pPr>
        <w:autoSpaceDE w:val="0"/>
        <w:autoSpaceDN w:val="0"/>
        <w:adjustRightInd w:val="0"/>
        <w:ind w:left="567" w:hanging="567"/>
        <w:rPr>
          <w:rFonts w:eastAsia="Times New Roman" w:cs="Arial"/>
          <w:szCs w:val="22"/>
        </w:rPr>
      </w:pPr>
    </w:p>
    <w:p w:rsidR="00346198" w:rsidRPr="00346198" w:rsidRDefault="00346198" w:rsidP="009379DF">
      <w:pPr>
        <w:numPr>
          <w:ilvl w:val="0"/>
          <w:numId w:val="49"/>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consultant will report to the ADB Project Officer for PSDI, under the overall guidance of the Regional Director of ADB's Pacific Liaison and Coordination Office in Sydney, Australia. This assignment falls under PSDI's Analytical Work/Strategic Management workstream. PSDI’s Monitoring and Evaluation Expert will support the mid-term review through the provision of research, information, and data.</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670064">
      <w:pPr>
        <w:numPr>
          <w:ilvl w:val="0"/>
          <w:numId w:val="19"/>
        </w:numPr>
        <w:autoSpaceDE w:val="0"/>
        <w:autoSpaceDN w:val="0"/>
        <w:adjustRightInd w:val="0"/>
        <w:ind w:left="567" w:hanging="567"/>
        <w:rPr>
          <w:rFonts w:eastAsia="Times New Roman" w:cs="Arial"/>
          <w:b/>
          <w:bCs/>
          <w:szCs w:val="22"/>
        </w:rPr>
      </w:pPr>
      <w:r w:rsidRPr="00346198">
        <w:rPr>
          <w:rFonts w:eastAsia="Times New Roman" w:cs="Arial"/>
          <w:b/>
          <w:bCs/>
          <w:szCs w:val="22"/>
        </w:rPr>
        <w:t>Detailed Tasks and/or Expected Output</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9379DF">
      <w:pPr>
        <w:numPr>
          <w:ilvl w:val="0"/>
          <w:numId w:val="49"/>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consultant, under the supervision of the team leader, will:</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670064">
      <w:pPr>
        <w:numPr>
          <w:ilvl w:val="0"/>
          <w:numId w:val="21"/>
        </w:numPr>
        <w:autoSpaceDE w:val="0"/>
        <w:autoSpaceDN w:val="0"/>
        <w:adjustRightInd w:val="0"/>
        <w:ind w:left="1134" w:hanging="567"/>
        <w:rPr>
          <w:rFonts w:eastAsia="Times New Roman" w:cs="Arial"/>
          <w:szCs w:val="22"/>
        </w:rPr>
      </w:pPr>
      <w:r w:rsidRPr="00346198">
        <w:rPr>
          <w:rFonts w:eastAsia="Times New Roman" w:cs="Arial"/>
          <w:szCs w:val="22"/>
        </w:rPr>
        <w:t>Review relevant reports including, but not limited to: the TA paper for PSDI Phase III (including the Major Change in Scope) and Annual Progress Reports.</w:t>
      </w:r>
    </w:p>
    <w:p w:rsidR="00346198" w:rsidRPr="00346198" w:rsidRDefault="00346198" w:rsidP="00670064">
      <w:pPr>
        <w:numPr>
          <w:ilvl w:val="0"/>
          <w:numId w:val="21"/>
        </w:numPr>
        <w:autoSpaceDE w:val="0"/>
        <w:autoSpaceDN w:val="0"/>
        <w:adjustRightInd w:val="0"/>
        <w:ind w:left="1134" w:hanging="567"/>
        <w:rPr>
          <w:rFonts w:eastAsia="Times New Roman" w:cs="Arial"/>
          <w:szCs w:val="22"/>
        </w:rPr>
      </w:pPr>
      <w:r w:rsidRPr="00346198">
        <w:rPr>
          <w:rFonts w:eastAsia="Times New Roman" w:cs="Arial"/>
          <w:szCs w:val="22"/>
        </w:rPr>
        <w:t>Hold preliminary discussions with relevant ADB staff and members of the PSDI team to gain an understanding of the program, its achievements, and other emerging priorities and opportunities.</w:t>
      </w:r>
    </w:p>
    <w:p w:rsidR="00346198" w:rsidRPr="00346198" w:rsidRDefault="00346198" w:rsidP="00670064">
      <w:pPr>
        <w:numPr>
          <w:ilvl w:val="0"/>
          <w:numId w:val="21"/>
        </w:numPr>
        <w:autoSpaceDE w:val="0"/>
        <w:autoSpaceDN w:val="0"/>
        <w:adjustRightInd w:val="0"/>
        <w:ind w:left="1134" w:hanging="567"/>
        <w:rPr>
          <w:rFonts w:eastAsia="Times New Roman" w:cs="Arial"/>
          <w:szCs w:val="22"/>
        </w:rPr>
      </w:pPr>
      <w:r w:rsidRPr="00346198">
        <w:rPr>
          <w:rFonts w:eastAsia="Times New Roman" w:cs="Arial"/>
          <w:szCs w:val="22"/>
        </w:rPr>
        <w:t>Review current ADB, DFAT, MFAT, and Pacific country strategies relating to private sector development, and assess whether PSDI continues to be relevant in supporting these. Determine also what changes (if any) are required for PSDI to improve its performance and achieve the aims of ADB, DFAT, MFAT, and Pacific country strategies.</w:t>
      </w:r>
    </w:p>
    <w:p w:rsidR="00346198" w:rsidRPr="00346198" w:rsidRDefault="00346198" w:rsidP="00670064">
      <w:pPr>
        <w:numPr>
          <w:ilvl w:val="0"/>
          <w:numId w:val="21"/>
        </w:numPr>
        <w:autoSpaceDE w:val="0"/>
        <w:autoSpaceDN w:val="0"/>
        <w:adjustRightInd w:val="0"/>
        <w:ind w:left="1134" w:hanging="567"/>
        <w:rPr>
          <w:rFonts w:eastAsia="Times New Roman" w:cs="Arial"/>
          <w:szCs w:val="22"/>
        </w:rPr>
      </w:pPr>
      <w:r w:rsidRPr="00346198">
        <w:rPr>
          <w:rFonts w:eastAsia="Times New Roman" w:cs="Arial"/>
          <w:szCs w:val="22"/>
        </w:rPr>
        <w:t>Hold preliminary discussions with DFAT and MFAT staff to obtain partner feedback. The consultant may also travel to one to two Pacific developing member countries to undertake consultations with the government and private sector. The country or countries will be determined during the course of the consulting services.</w:t>
      </w:r>
    </w:p>
    <w:p w:rsidR="00346198" w:rsidRPr="00346198" w:rsidRDefault="00346198" w:rsidP="00670064">
      <w:pPr>
        <w:numPr>
          <w:ilvl w:val="0"/>
          <w:numId w:val="21"/>
        </w:numPr>
        <w:autoSpaceDE w:val="0"/>
        <w:autoSpaceDN w:val="0"/>
        <w:adjustRightInd w:val="0"/>
        <w:ind w:left="1134" w:hanging="567"/>
        <w:rPr>
          <w:rFonts w:eastAsia="Times New Roman" w:cs="Arial"/>
          <w:szCs w:val="22"/>
        </w:rPr>
      </w:pPr>
      <w:r w:rsidRPr="00346198">
        <w:rPr>
          <w:rFonts w:eastAsia="Times New Roman" w:cs="Arial"/>
          <w:szCs w:val="22"/>
        </w:rPr>
        <w:lastRenderedPageBreak/>
        <w:t>Review PSDI’s current design and monitoring framework and its progress against the targets to date, and provide recommendations for updating this in line with the current work program and taking into account recommendations for the future.</w:t>
      </w:r>
    </w:p>
    <w:p w:rsidR="00346198" w:rsidRPr="00346198" w:rsidRDefault="00346198" w:rsidP="00670064">
      <w:pPr>
        <w:numPr>
          <w:ilvl w:val="0"/>
          <w:numId w:val="21"/>
        </w:numPr>
        <w:autoSpaceDE w:val="0"/>
        <w:autoSpaceDN w:val="0"/>
        <w:adjustRightInd w:val="0"/>
        <w:ind w:left="1134" w:hanging="567"/>
        <w:rPr>
          <w:rFonts w:eastAsia="Times New Roman" w:cs="Arial"/>
          <w:szCs w:val="22"/>
        </w:rPr>
      </w:pPr>
      <w:r w:rsidRPr="00346198">
        <w:rPr>
          <w:rFonts w:eastAsia="Times New Roman" w:cs="Arial"/>
          <w:szCs w:val="22"/>
        </w:rPr>
        <w:t>Prepare draft report and present to ADB, including PSDI for review.</w:t>
      </w:r>
    </w:p>
    <w:p w:rsidR="00346198" w:rsidRPr="00346198" w:rsidRDefault="00346198" w:rsidP="00670064">
      <w:pPr>
        <w:numPr>
          <w:ilvl w:val="0"/>
          <w:numId w:val="21"/>
        </w:numPr>
        <w:autoSpaceDE w:val="0"/>
        <w:autoSpaceDN w:val="0"/>
        <w:adjustRightInd w:val="0"/>
        <w:ind w:left="1134" w:hanging="567"/>
        <w:rPr>
          <w:rFonts w:eastAsia="Times New Roman" w:cs="Arial"/>
          <w:szCs w:val="22"/>
        </w:rPr>
      </w:pPr>
      <w:r w:rsidRPr="00346198">
        <w:rPr>
          <w:rFonts w:eastAsia="Times New Roman" w:cs="Arial"/>
          <w:szCs w:val="22"/>
        </w:rPr>
        <w:t>Revise draft report, based on comments received, and present to DFAT and MFAT.</w:t>
      </w:r>
    </w:p>
    <w:p w:rsidR="00346198" w:rsidRPr="00346198" w:rsidRDefault="00346198" w:rsidP="00670064">
      <w:pPr>
        <w:numPr>
          <w:ilvl w:val="0"/>
          <w:numId w:val="21"/>
        </w:numPr>
        <w:autoSpaceDE w:val="0"/>
        <w:autoSpaceDN w:val="0"/>
        <w:adjustRightInd w:val="0"/>
        <w:ind w:left="1134" w:hanging="567"/>
        <w:rPr>
          <w:rFonts w:eastAsia="Times New Roman" w:cs="Arial"/>
          <w:szCs w:val="22"/>
        </w:rPr>
      </w:pPr>
      <w:r w:rsidRPr="00346198">
        <w:rPr>
          <w:rFonts w:eastAsia="Times New Roman" w:cs="Arial"/>
          <w:szCs w:val="22"/>
        </w:rPr>
        <w:t>Finalize report, based on comments received.</w:t>
      </w:r>
    </w:p>
    <w:p w:rsidR="00346198" w:rsidRPr="00346198" w:rsidRDefault="00346198" w:rsidP="00670064">
      <w:pPr>
        <w:numPr>
          <w:ilvl w:val="0"/>
          <w:numId w:val="21"/>
        </w:numPr>
        <w:autoSpaceDE w:val="0"/>
        <w:autoSpaceDN w:val="0"/>
        <w:adjustRightInd w:val="0"/>
        <w:ind w:left="1134" w:hanging="567"/>
        <w:rPr>
          <w:rFonts w:eastAsia="Times New Roman" w:cs="Arial"/>
          <w:szCs w:val="22"/>
        </w:rPr>
      </w:pPr>
      <w:r w:rsidRPr="00346198">
        <w:rPr>
          <w:rFonts w:eastAsia="Times New Roman" w:cs="Arial"/>
          <w:szCs w:val="22"/>
        </w:rPr>
        <w:t>Undertake any other necessary activities.</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9379DF">
      <w:pPr>
        <w:numPr>
          <w:ilvl w:val="0"/>
          <w:numId w:val="49"/>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Based on these activities, the consultant will support the preparation of a report which will:</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670064">
      <w:pPr>
        <w:numPr>
          <w:ilvl w:val="0"/>
          <w:numId w:val="22"/>
        </w:numPr>
        <w:autoSpaceDE w:val="0"/>
        <w:autoSpaceDN w:val="0"/>
        <w:adjustRightInd w:val="0"/>
        <w:ind w:left="1134" w:hanging="567"/>
        <w:rPr>
          <w:rFonts w:eastAsia="Times New Roman" w:cs="Arial"/>
          <w:szCs w:val="22"/>
        </w:rPr>
      </w:pPr>
      <w:r w:rsidRPr="00346198">
        <w:rPr>
          <w:rFonts w:eastAsia="Times New Roman" w:cs="Arial"/>
          <w:szCs w:val="22"/>
        </w:rPr>
        <w:t>outline the strengths and weaknesses of PSDI;</w:t>
      </w:r>
    </w:p>
    <w:p w:rsidR="00346198" w:rsidRPr="00346198" w:rsidRDefault="00346198" w:rsidP="00670064">
      <w:pPr>
        <w:numPr>
          <w:ilvl w:val="0"/>
          <w:numId w:val="22"/>
        </w:numPr>
        <w:autoSpaceDE w:val="0"/>
        <w:autoSpaceDN w:val="0"/>
        <w:adjustRightInd w:val="0"/>
        <w:ind w:left="1134" w:hanging="567"/>
        <w:rPr>
          <w:rFonts w:eastAsia="Times New Roman" w:cs="Arial"/>
          <w:szCs w:val="22"/>
        </w:rPr>
      </w:pPr>
      <w:r w:rsidRPr="00346198">
        <w:rPr>
          <w:rFonts w:eastAsia="Times New Roman" w:cs="Arial"/>
          <w:szCs w:val="22"/>
        </w:rPr>
        <w:t>provide recommendations on improving PSDI’s performance, effectiveness and relevance, including by expanding or deepening the scope of the program during the remaining term for PSDI Phase III;</w:t>
      </w:r>
    </w:p>
    <w:p w:rsidR="00346198" w:rsidRPr="00346198" w:rsidRDefault="00346198" w:rsidP="00670064">
      <w:pPr>
        <w:numPr>
          <w:ilvl w:val="0"/>
          <w:numId w:val="22"/>
        </w:numPr>
        <w:autoSpaceDE w:val="0"/>
        <w:autoSpaceDN w:val="0"/>
        <w:adjustRightInd w:val="0"/>
        <w:ind w:left="1134" w:hanging="567"/>
        <w:rPr>
          <w:rFonts w:eastAsia="Times New Roman" w:cs="Arial"/>
          <w:szCs w:val="22"/>
        </w:rPr>
      </w:pPr>
      <w:r w:rsidRPr="00346198">
        <w:rPr>
          <w:rFonts w:eastAsia="Times New Roman" w:cs="Arial"/>
          <w:szCs w:val="22"/>
        </w:rPr>
        <w:t>identify ways to improve the linkages between PSDI and other ADB operations for better development impacts and effectiveness; and</w:t>
      </w:r>
    </w:p>
    <w:p w:rsidR="00346198" w:rsidRPr="00346198" w:rsidRDefault="00346198" w:rsidP="00670064">
      <w:pPr>
        <w:numPr>
          <w:ilvl w:val="0"/>
          <w:numId w:val="22"/>
        </w:numPr>
        <w:autoSpaceDE w:val="0"/>
        <w:autoSpaceDN w:val="0"/>
        <w:adjustRightInd w:val="0"/>
        <w:ind w:left="1134" w:hanging="567"/>
        <w:rPr>
          <w:rFonts w:eastAsia="Times New Roman" w:cs="Arial"/>
          <w:szCs w:val="22"/>
        </w:rPr>
      </w:pPr>
      <w:r w:rsidRPr="00346198">
        <w:rPr>
          <w:rFonts w:eastAsia="Times New Roman" w:cs="Arial"/>
          <w:szCs w:val="22"/>
        </w:rPr>
        <w:t>recommend future direction for PSDI in light of ADB’s expanding support in the private sector and financial sector.</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9379DF">
      <w:pPr>
        <w:numPr>
          <w:ilvl w:val="0"/>
          <w:numId w:val="49"/>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consultant will also support the preparation of a set of presentation slides on key findings.</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670064">
      <w:pPr>
        <w:numPr>
          <w:ilvl w:val="0"/>
          <w:numId w:val="19"/>
        </w:numPr>
        <w:autoSpaceDE w:val="0"/>
        <w:autoSpaceDN w:val="0"/>
        <w:adjustRightInd w:val="0"/>
        <w:rPr>
          <w:rFonts w:eastAsia="Times New Roman" w:cs="Arial"/>
          <w:b/>
          <w:bCs/>
          <w:szCs w:val="22"/>
        </w:rPr>
      </w:pPr>
      <w:r w:rsidRPr="00346198">
        <w:rPr>
          <w:rFonts w:eastAsia="Times New Roman" w:cs="Arial"/>
          <w:b/>
          <w:bCs/>
          <w:szCs w:val="22"/>
        </w:rPr>
        <w:t>Minimum Qualification Requirements</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9379DF">
      <w:pPr>
        <w:numPr>
          <w:ilvl w:val="0"/>
          <w:numId w:val="49"/>
        </w:numPr>
        <w:tabs>
          <w:tab w:val="left" w:pos="567"/>
        </w:tabs>
        <w:autoSpaceDE w:val="0"/>
        <w:autoSpaceDN w:val="0"/>
        <w:adjustRightInd w:val="0"/>
        <w:ind w:left="0" w:firstLine="0"/>
        <w:rPr>
          <w:rFonts w:eastAsia="Times New Roman" w:cs="Arial"/>
          <w:szCs w:val="22"/>
        </w:rPr>
      </w:pPr>
      <w:r w:rsidRPr="00346198">
        <w:rPr>
          <w:rFonts w:eastAsia="Times New Roman" w:cs="Arial"/>
          <w:szCs w:val="22"/>
        </w:rPr>
        <w:t>The expert must have (i) at least 10 years of relevant professional experience in private sector development; (ii) a Master's degree in economics, business administration, or law and economics; (iii) in-depth knowledge about the operations of multilateral development banks such as the Asian Development Bank and the World Bank; (iii) knowledge and experience in Pacific island countries (iv) sound analytical skills, (v) capacity to liaise with ADB, DFAT, and MFAT staff as well as other stakeholders, (vi) sound verbal and written communication skills in English; and (vii) sound interpersonal skills.</w:t>
      </w:r>
    </w:p>
    <w:p w:rsidR="00346198" w:rsidRPr="00346198" w:rsidRDefault="00346198" w:rsidP="00670064">
      <w:pPr>
        <w:autoSpaceDE w:val="0"/>
        <w:autoSpaceDN w:val="0"/>
        <w:adjustRightInd w:val="0"/>
        <w:rPr>
          <w:rFonts w:eastAsia="Times New Roman" w:cs="Arial"/>
          <w:szCs w:val="22"/>
        </w:rPr>
      </w:pPr>
    </w:p>
    <w:p w:rsidR="00346198" w:rsidRPr="00346198" w:rsidRDefault="00346198" w:rsidP="00670064">
      <w:pPr>
        <w:autoSpaceDE w:val="0"/>
        <w:autoSpaceDN w:val="0"/>
        <w:adjustRightInd w:val="0"/>
        <w:rPr>
          <w:rFonts w:eastAsia="Times New Roman" w:cs="Arial"/>
          <w:bCs/>
          <w:szCs w:val="22"/>
        </w:rPr>
      </w:pPr>
      <w:r w:rsidRPr="00346198">
        <w:rPr>
          <w:rFonts w:eastAsia="Times New Roman" w:cs="Arial"/>
          <w:szCs w:val="22"/>
        </w:rPr>
        <w:t xml:space="preserve">Minimum General Experience: 15 </w:t>
      </w:r>
      <w:r w:rsidRPr="00346198">
        <w:rPr>
          <w:rFonts w:eastAsia="Times New Roman" w:cs="Arial"/>
          <w:bCs/>
          <w:szCs w:val="22"/>
        </w:rPr>
        <w:t>Years</w:t>
      </w:r>
    </w:p>
    <w:p w:rsidR="00346198" w:rsidRPr="00346198" w:rsidRDefault="00346198" w:rsidP="00670064">
      <w:pPr>
        <w:autoSpaceDE w:val="0"/>
        <w:autoSpaceDN w:val="0"/>
        <w:adjustRightInd w:val="0"/>
        <w:rPr>
          <w:rFonts w:eastAsia="Times New Roman" w:cs="Arial"/>
          <w:szCs w:val="22"/>
        </w:rPr>
      </w:pPr>
      <w:r w:rsidRPr="00346198">
        <w:rPr>
          <w:rFonts w:eastAsia="Times New Roman" w:cs="Arial"/>
          <w:szCs w:val="22"/>
        </w:rPr>
        <w:t xml:space="preserve">Minimum Specific Experience (relevant to assignment): 10 </w:t>
      </w:r>
      <w:r w:rsidRPr="00346198">
        <w:rPr>
          <w:rFonts w:eastAsia="Times New Roman" w:cs="Arial"/>
          <w:bCs/>
          <w:szCs w:val="22"/>
        </w:rPr>
        <w:t>Years</w:t>
      </w:r>
    </w:p>
    <w:p w:rsidR="00346198" w:rsidRPr="00346198" w:rsidRDefault="00346198" w:rsidP="00670064">
      <w:pPr>
        <w:rPr>
          <w:rFonts w:eastAsia="Times New Roman" w:cs="Arial"/>
          <w:szCs w:val="22"/>
        </w:rPr>
      </w:pPr>
      <w:r w:rsidRPr="00346198">
        <w:rPr>
          <w:rFonts w:eastAsia="Times New Roman" w:cs="Arial"/>
          <w:szCs w:val="22"/>
        </w:rPr>
        <w:t>Regional/Country Experience: Required</w:t>
      </w:r>
    </w:p>
    <w:p w:rsidR="00346198" w:rsidRPr="00346198" w:rsidRDefault="00346198" w:rsidP="00670064">
      <w:pPr>
        <w:rPr>
          <w:rFonts w:eastAsia="Calibri" w:cs="Arial"/>
          <w:szCs w:val="22"/>
          <w:lang w:eastAsia="en-US"/>
        </w:rPr>
      </w:pPr>
    </w:p>
    <w:p w:rsidR="00346198" w:rsidRPr="00346198" w:rsidRDefault="00346198" w:rsidP="00670064">
      <w:pPr>
        <w:rPr>
          <w:rFonts w:eastAsia="MS Mincho" w:cs="Arial"/>
          <w:szCs w:val="22"/>
          <w:lang w:eastAsia="ja-JP"/>
        </w:rPr>
      </w:pPr>
      <w:r w:rsidRPr="00346198">
        <w:rPr>
          <w:rFonts w:eastAsia="Calibri" w:cs="Arial"/>
          <w:szCs w:val="22"/>
          <w:lang w:eastAsia="en-US"/>
        </w:rPr>
        <w:br w:type="page"/>
      </w:r>
    </w:p>
    <w:p w:rsidR="00346198" w:rsidRPr="008245D5" w:rsidRDefault="00346198" w:rsidP="00670064">
      <w:pPr>
        <w:rPr>
          <w:rFonts w:eastAsia="Calibri" w:cs="Arial"/>
          <w:b/>
          <w:szCs w:val="22"/>
          <w:lang w:eastAsia="en-US"/>
        </w:rPr>
      </w:pPr>
      <w:r w:rsidRPr="008245D5">
        <w:rPr>
          <w:rFonts w:eastAsia="Calibri" w:cs="Arial"/>
          <w:b/>
          <w:szCs w:val="22"/>
          <w:lang w:eastAsia="en-US"/>
        </w:rPr>
        <w:lastRenderedPageBreak/>
        <w:t xml:space="preserve">Position 3: </w:t>
      </w:r>
      <w:r w:rsidRPr="008245D5">
        <w:rPr>
          <w:rFonts w:eastAsia="Calibri" w:cs="Arial"/>
          <w:b/>
          <w:szCs w:val="22"/>
          <w:lang w:eastAsia="en-US"/>
        </w:rPr>
        <w:tab/>
        <w:t>Research Associate</w:t>
      </w:r>
    </w:p>
    <w:p w:rsidR="00346198" w:rsidRPr="00346198" w:rsidRDefault="00346198" w:rsidP="003B0DE7">
      <w:pPr>
        <w:rPr>
          <w:rFonts w:eastAsia="Calibri" w:cs="Arial"/>
          <w:szCs w:val="22"/>
          <w:lang w:eastAsia="en-US"/>
        </w:rPr>
      </w:pPr>
    </w:p>
    <w:p w:rsidR="00346198" w:rsidRPr="00346198" w:rsidRDefault="00346198" w:rsidP="003B0DE7">
      <w:pPr>
        <w:numPr>
          <w:ilvl w:val="0"/>
          <w:numId w:val="23"/>
        </w:numPr>
        <w:autoSpaceDE w:val="0"/>
        <w:autoSpaceDN w:val="0"/>
        <w:adjustRightInd w:val="0"/>
        <w:ind w:left="567" w:hanging="567"/>
        <w:rPr>
          <w:rFonts w:eastAsia="Times New Roman" w:cs="Arial"/>
          <w:b/>
          <w:bCs/>
          <w:szCs w:val="22"/>
        </w:rPr>
      </w:pPr>
      <w:r w:rsidRPr="00346198">
        <w:rPr>
          <w:rFonts w:eastAsia="Times New Roman" w:cs="Arial"/>
          <w:b/>
          <w:bCs/>
          <w:szCs w:val="22"/>
        </w:rPr>
        <w:t>Objective and Purpose of the Assignment</w:t>
      </w:r>
    </w:p>
    <w:p w:rsidR="00346198" w:rsidRPr="00346198" w:rsidRDefault="00346198" w:rsidP="009379DF">
      <w:pPr>
        <w:tabs>
          <w:tab w:val="left" w:pos="567"/>
        </w:tabs>
        <w:autoSpaceDE w:val="0"/>
        <w:autoSpaceDN w:val="0"/>
        <w:adjustRightInd w:val="0"/>
        <w:rPr>
          <w:rFonts w:eastAsia="Times New Roman" w:cs="Arial"/>
          <w:szCs w:val="22"/>
        </w:rPr>
      </w:pPr>
    </w:p>
    <w:p w:rsidR="00346198" w:rsidRPr="00346198" w:rsidRDefault="00346198" w:rsidP="009379DF">
      <w:pPr>
        <w:numPr>
          <w:ilvl w:val="0"/>
          <w:numId w:val="50"/>
        </w:numPr>
        <w:autoSpaceDE w:val="0"/>
        <w:autoSpaceDN w:val="0"/>
        <w:adjustRightInd w:val="0"/>
        <w:ind w:left="0" w:firstLine="0"/>
        <w:rPr>
          <w:rFonts w:eastAsia="Times New Roman" w:cs="Arial"/>
          <w:szCs w:val="22"/>
        </w:rPr>
      </w:pPr>
      <w:r w:rsidRPr="00346198">
        <w:rPr>
          <w:rFonts w:eastAsia="Times New Roman" w:cs="Arial"/>
          <w:szCs w:val="22"/>
        </w:rPr>
        <w:t>The Pacific Private Sector Development Initiative (PSDI) is a regional technical assistance facility cofinanced by the Government of Australia, the Government of New Zealand, and the Asian Development Bank (ADB). Since 2006, PSDI has been working with ADB’s 14 Pacific developing member countries to improve the enabling environment for business and support inclusive, private sector-led economic growth. PSDI is currently being supported under TA 8378-REG: Pacific Private Sector Development Initiative, Phase III, which was approved on 6 June 2013 for $30.5 million. Additional financing of $8.08 million was approved on 30 June 2015.</w:t>
      </w:r>
    </w:p>
    <w:p w:rsidR="00346198" w:rsidRPr="00346198" w:rsidRDefault="00346198" w:rsidP="003B0DE7">
      <w:pPr>
        <w:autoSpaceDE w:val="0"/>
        <w:autoSpaceDN w:val="0"/>
        <w:adjustRightInd w:val="0"/>
        <w:ind w:left="567" w:hanging="567"/>
        <w:rPr>
          <w:rFonts w:eastAsia="Times New Roman" w:cs="Arial"/>
          <w:szCs w:val="22"/>
        </w:rPr>
      </w:pPr>
    </w:p>
    <w:p w:rsidR="00346198" w:rsidRPr="00346198" w:rsidRDefault="00346198" w:rsidP="009379DF">
      <w:pPr>
        <w:numPr>
          <w:ilvl w:val="0"/>
          <w:numId w:val="50"/>
        </w:numPr>
        <w:autoSpaceDE w:val="0"/>
        <w:autoSpaceDN w:val="0"/>
        <w:adjustRightInd w:val="0"/>
        <w:ind w:left="0" w:firstLine="0"/>
        <w:rPr>
          <w:rFonts w:eastAsia="Times New Roman" w:cs="Arial"/>
          <w:szCs w:val="22"/>
        </w:rPr>
      </w:pPr>
      <w:r w:rsidRPr="00346198">
        <w:rPr>
          <w:rFonts w:eastAsia="Times New Roman" w:cs="Arial"/>
          <w:szCs w:val="22"/>
        </w:rPr>
        <w:t>The objective and purpose of this assignment is to provide recommendations for the way forward of PSDI after assessing the performance, effectiveness, and relevance of the program. In so doing, it will identify future directions for PSDI as well as on how ADB can effectively support private sector development in the region.</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3B0DE7">
      <w:pPr>
        <w:numPr>
          <w:ilvl w:val="0"/>
          <w:numId w:val="23"/>
        </w:numPr>
        <w:autoSpaceDE w:val="0"/>
        <w:autoSpaceDN w:val="0"/>
        <w:adjustRightInd w:val="0"/>
        <w:ind w:left="567" w:hanging="567"/>
        <w:rPr>
          <w:rFonts w:eastAsia="Times New Roman" w:cs="Arial"/>
          <w:b/>
          <w:bCs/>
          <w:szCs w:val="22"/>
        </w:rPr>
      </w:pPr>
      <w:r w:rsidRPr="00346198">
        <w:rPr>
          <w:rFonts w:eastAsia="Times New Roman" w:cs="Arial"/>
          <w:b/>
          <w:bCs/>
          <w:szCs w:val="22"/>
        </w:rPr>
        <w:t>Scope of Work</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9379DF">
      <w:pPr>
        <w:numPr>
          <w:ilvl w:val="0"/>
          <w:numId w:val="50"/>
        </w:numPr>
        <w:autoSpaceDE w:val="0"/>
        <w:autoSpaceDN w:val="0"/>
        <w:adjustRightInd w:val="0"/>
        <w:ind w:left="0" w:firstLine="0"/>
        <w:rPr>
          <w:rFonts w:eastAsia="Times New Roman" w:cs="Arial"/>
          <w:szCs w:val="22"/>
        </w:rPr>
      </w:pPr>
      <w:r w:rsidRPr="00346198">
        <w:rPr>
          <w:rFonts w:eastAsia="Times New Roman" w:cs="Arial"/>
          <w:szCs w:val="22"/>
        </w:rPr>
        <w:t>The consultant will support the Senior Private Sector Development Specialist/Mid-Term Reviewer in the preparation of a report reviewing PSDI’s relevance, performance, and effectiveness, as it enters its mid-term.</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9379DF">
      <w:pPr>
        <w:numPr>
          <w:ilvl w:val="0"/>
          <w:numId w:val="50"/>
        </w:numPr>
        <w:autoSpaceDE w:val="0"/>
        <w:autoSpaceDN w:val="0"/>
        <w:adjustRightInd w:val="0"/>
        <w:ind w:left="0" w:firstLine="0"/>
        <w:rPr>
          <w:rFonts w:eastAsia="Times New Roman" w:cs="Arial"/>
          <w:szCs w:val="22"/>
        </w:rPr>
      </w:pPr>
      <w:r w:rsidRPr="00346198">
        <w:rPr>
          <w:rFonts w:eastAsia="Times New Roman" w:cs="Arial"/>
          <w:szCs w:val="22"/>
        </w:rPr>
        <w:t>The main text of the report will be about 30 pages.</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9379DF">
      <w:pPr>
        <w:numPr>
          <w:ilvl w:val="0"/>
          <w:numId w:val="50"/>
        </w:numPr>
        <w:autoSpaceDE w:val="0"/>
        <w:autoSpaceDN w:val="0"/>
        <w:adjustRightInd w:val="0"/>
        <w:ind w:left="0" w:firstLine="0"/>
        <w:rPr>
          <w:rFonts w:eastAsia="Times New Roman" w:cs="Arial"/>
          <w:szCs w:val="22"/>
        </w:rPr>
      </w:pPr>
      <w:r w:rsidRPr="00346198">
        <w:rPr>
          <w:rFonts w:eastAsia="Times New Roman" w:cs="Arial"/>
          <w:szCs w:val="22"/>
        </w:rPr>
        <w:t>The consultant will report to the ADB Project Officer for PSDI, under the overall guidance of the Regional Director of ADB’s Pacific Liaison and Coordination Office in Sydney, Australia. This assignment falls under PSDI’s Analytical Work/Strategic Management workstream. PSDI’s Monitoring and Evaluation Expert will support the mid-term review through the provision of research, information, and data.</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3B0DE7">
      <w:pPr>
        <w:numPr>
          <w:ilvl w:val="0"/>
          <w:numId w:val="23"/>
        </w:numPr>
        <w:autoSpaceDE w:val="0"/>
        <w:autoSpaceDN w:val="0"/>
        <w:adjustRightInd w:val="0"/>
        <w:ind w:left="567" w:hanging="567"/>
        <w:rPr>
          <w:rFonts w:eastAsia="Times New Roman" w:cs="Arial"/>
          <w:b/>
          <w:bCs/>
          <w:szCs w:val="22"/>
        </w:rPr>
      </w:pPr>
      <w:r w:rsidRPr="00346198">
        <w:rPr>
          <w:rFonts w:eastAsia="Times New Roman" w:cs="Arial"/>
          <w:b/>
          <w:bCs/>
          <w:szCs w:val="22"/>
        </w:rPr>
        <w:t>Detailed Tasks and/or Expected Output</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9379DF">
      <w:pPr>
        <w:numPr>
          <w:ilvl w:val="0"/>
          <w:numId w:val="50"/>
        </w:numPr>
        <w:autoSpaceDE w:val="0"/>
        <w:autoSpaceDN w:val="0"/>
        <w:adjustRightInd w:val="0"/>
        <w:ind w:left="0" w:firstLine="0"/>
        <w:rPr>
          <w:rFonts w:eastAsia="Times New Roman" w:cs="Arial"/>
          <w:szCs w:val="22"/>
        </w:rPr>
      </w:pPr>
      <w:r w:rsidRPr="00346198">
        <w:rPr>
          <w:rFonts w:eastAsia="Times New Roman" w:cs="Arial"/>
          <w:szCs w:val="22"/>
        </w:rPr>
        <w:t>The consultant should accomplish all required tasks in a timely manner with consistently high quality.</w:t>
      </w:r>
    </w:p>
    <w:p w:rsidR="00346198" w:rsidRPr="00346198" w:rsidRDefault="00346198" w:rsidP="009379DF">
      <w:pPr>
        <w:autoSpaceDE w:val="0"/>
        <w:autoSpaceDN w:val="0"/>
        <w:adjustRightInd w:val="0"/>
        <w:rPr>
          <w:rFonts w:eastAsia="Times New Roman" w:cs="Arial"/>
          <w:szCs w:val="22"/>
        </w:rPr>
      </w:pPr>
    </w:p>
    <w:p w:rsidR="00346198" w:rsidRPr="00346198" w:rsidRDefault="00346198" w:rsidP="009379DF">
      <w:pPr>
        <w:numPr>
          <w:ilvl w:val="0"/>
          <w:numId w:val="50"/>
        </w:numPr>
        <w:autoSpaceDE w:val="0"/>
        <w:autoSpaceDN w:val="0"/>
        <w:adjustRightInd w:val="0"/>
        <w:ind w:left="0" w:firstLine="0"/>
        <w:rPr>
          <w:rFonts w:eastAsia="Times New Roman" w:cs="Arial"/>
          <w:szCs w:val="22"/>
        </w:rPr>
      </w:pPr>
      <w:r w:rsidRPr="00346198">
        <w:rPr>
          <w:rFonts w:eastAsia="Times New Roman" w:cs="Arial"/>
          <w:szCs w:val="22"/>
        </w:rPr>
        <w:t>The consultant should communicate with the ADB, including the PSDI team, as frequently as necessary.</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9379DF">
      <w:pPr>
        <w:numPr>
          <w:ilvl w:val="0"/>
          <w:numId w:val="50"/>
        </w:numPr>
        <w:autoSpaceDE w:val="0"/>
        <w:autoSpaceDN w:val="0"/>
        <w:adjustRightInd w:val="0"/>
        <w:ind w:left="0" w:firstLine="0"/>
        <w:rPr>
          <w:rFonts w:eastAsia="Times New Roman" w:cs="Arial"/>
          <w:szCs w:val="22"/>
        </w:rPr>
      </w:pPr>
      <w:r w:rsidRPr="00346198">
        <w:rPr>
          <w:rFonts w:eastAsia="Times New Roman" w:cs="Arial"/>
          <w:szCs w:val="22"/>
        </w:rPr>
        <w:t>Working with the Senior Private Sector Development Specialist/Mid-Term Reviewer, the consultant will:</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3B0DE7">
      <w:pPr>
        <w:numPr>
          <w:ilvl w:val="0"/>
          <w:numId w:val="25"/>
        </w:numPr>
        <w:autoSpaceDE w:val="0"/>
        <w:autoSpaceDN w:val="0"/>
        <w:adjustRightInd w:val="0"/>
        <w:ind w:left="1134" w:hanging="567"/>
        <w:rPr>
          <w:rFonts w:eastAsia="Times New Roman" w:cs="Arial"/>
          <w:szCs w:val="22"/>
        </w:rPr>
      </w:pPr>
      <w:r w:rsidRPr="00346198">
        <w:rPr>
          <w:rFonts w:eastAsia="Times New Roman" w:cs="Arial"/>
          <w:szCs w:val="22"/>
        </w:rPr>
        <w:t>Review relevant reports including, but not limited to: the TA paper for PSDI Phase III (including the Major Change in Scope) and Annual Progress Reports.</w:t>
      </w:r>
    </w:p>
    <w:p w:rsidR="00346198" w:rsidRPr="00346198" w:rsidRDefault="00346198" w:rsidP="003B0DE7">
      <w:pPr>
        <w:numPr>
          <w:ilvl w:val="0"/>
          <w:numId w:val="25"/>
        </w:numPr>
        <w:autoSpaceDE w:val="0"/>
        <w:autoSpaceDN w:val="0"/>
        <w:adjustRightInd w:val="0"/>
        <w:ind w:left="1134" w:hanging="567"/>
        <w:rPr>
          <w:rFonts w:eastAsia="Times New Roman" w:cs="Arial"/>
          <w:szCs w:val="22"/>
        </w:rPr>
      </w:pPr>
      <w:r w:rsidRPr="00346198">
        <w:rPr>
          <w:rFonts w:eastAsia="Times New Roman" w:cs="Arial"/>
          <w:szCs w:val="22"/>
        </w:rPr>
        <w:t>Review current ADB, DFAT, MFAT, and Pacific country strategies relating to private sector development.</w:t>
      </w:r>
    </w:p>
    <w:p w:rsidR="00346198" w:rsidRPr="00346198" w:rsidRDefault="00346198" w:rsidP="003B0DE7">
      <w:pPr>
        <w:numPr>
          <w:ilvl w:val="0"/>
          <w:numId w:val="25"/>
        </w:numPr>
        <w:autoSpaceDE w:val="0"/>
        <w:autoSpaceDN w:val="0"/>
        <w:adjustRightInd w:val="0"/>
        <w:ind w:left="1134" w:hanging="567"/>
        <w:rPr>
          <w:rFonts w:eastAsia="Times New Roman" w:cs="Arial"/>
          <w:szCs w:val="22"/>
        </w:rPr>
      </w:pPr>
      <w:r w:rsidRPr="00346198">
        <w:rPr>
          <w:rFonts w:eastAsia="Times New Roman" w:cs="Arial"/>
          <w:szCs w:val="22"/>
        </w:rPr>
        <w:t>Support any preparations for preliminary discussions with DFAT and MFAT staff to obtain partner feedback.</w:t>
      </w:r>
    </w:p>
    <w:p w:rsidR="00346198" w:rsidRPr="00346198" w:rsidRDefault="00346198" w:rsidP="003B0DE7">
      <w:pPr>
        <w:numPr>
          <w:ilvl w:val="0"/>
          <w:numId w:val="25"/>
        </w:numPr>
        <w:autoSpaceDE w:val="0"/>
        <w:autoSpaceDN w:val="0"/>
        <w:adjustRightInd w:val="0"/>
        <w:ind w:left="1134" w:hanging="567"/>
        <w:rPr>
          <w:rFonts w:eastAsia="Times New Roman" w:cs="Arial"/>
          <w:szCs w:val="22"/>
        </w:rPr>
      </w:pPr>
      <w:r w:rsidRPr="00346198">
        <w:rPr>
          <w:rFonts w:eastAsia="Times New Roman" w:cs="Arial"/>
          <w:szCs w:val="22"/>
        </w:rPr>
        <w:t>Assist in preparing draft report and support presentation to ADB, including PSDI for review.</w:t>
      </w:r>
    </w:p>
    <w:p w:rsidR="00346198" w:rsidRPr="00346198" w:rsidRDefault="00346198" w:rsidP="003B0DE7">
      <w:pPr>
        <w:numPr>
          <w:ilvl w:val="0"/>
          <w:numId w:val="25"/>
        </w:numPr>
        <w:autoSpaceDE w:val="0"/>
        <w:autoSpaceDN w:val="0"/>
        <w:adjustRightInd w:val="0"/>
        <w:ind w:left="1134" w:hanging="567"/>
        <w:rPr>
          <w:rFonts w:eastAsia="Times New Roman" w:cs="Arial"/>
          <w:szCs w:val="22"/>
        </w:rPr>
      </w:pPr>
      <w:r w:rsidRPr="00346198">
        <w:rPr>
          <w:rFonts w:eastAsia="Times New Roman" w:cs="Arial"/>
          <w:szCs w:val="22"/>
        </w:rPr>
        <w:t>Assist in revising draft report, based on comments received and support presentation to DFAT and MFAT.</w:t>
      </w:r>
    </w:p>
    <w:p w:rsidR="00346198" w:rsidRPr="00346198" w:rsidRDefault="00346198" w:rsidP="003B0DE7">
      <w:pPr>
        <w:numPr>
          <w:ilvl w:val="0"/>
          <w:numId w:val="25"/>
        </w:numPr>
        <w:autoSpaceDE w:val="0"/>
        <w:autoSpaceDN w:val="0"/>
        <w:adjustRightInd w:val="0"/>
        <w:ind w:left="1134" w:hanging="567"/>
        <w:rPr>
          <w:rFonts w:eastAsia="Times New Roman" w:cs="Arial"/>
          <w:szCs w:val="22"/>
        </w:rPr>
      </w:pPr>
      <w:r w:rsidRPr="00346198">
        <w:rPr>
          <w:rFonts w:eastAsia="Times New Roman" w:cs="Arial"/>
          <w:szCs w:val="22"/>
        </w:rPr>
        <w:lastRenderedPageBreak/>
        <w:t>Assist in finalizing report, based on comments received.</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9379DF">
      <w:pPr>
        <w:numPr>
          <w:ilvl w:val="0"/>
          <w:numId w:val="50"/>
        </w:numPr>
        <w:autoSpaceDE w:val="0"/>
        <w:autoSpaceDN w:val="0"/>
        <w:adjustRightInd w:val="0"/>
        <w:ind w:left="0" w:firstLine="0"/>
        <w:rPr>
          <w:rFonts w:eastAsia="Times New Roman" w:cs="Arial"/>
          <w:szCs w:val="22"/>
        </w:rPr>
      </w:pPr>
      <w:r w:rsidRPr="00346198">
        <w:rPr>
          <w:rFonts w:eastAsia="Times New Roman" w:cs="Arial"/>
          <w:szCs w:val="22"/>
        </w:rPr>
        <w:t>Based on these activities, the consultant will work with the Senior Private Sector Development Specialist/Mid-Term Reviewer to support the preparation of a report which will:</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3B0DE7">
      <w:pPr>
        <w:numPr>
          <w:ilvl w:val="0"/>
          <w:numId w:val="26"/>
        </w:numPr>
        <w:autoSpaceDE w:val="0"/>
        <w:autoSpaceDN w:val="0"/>
        <w:adjustRightInd w:val="0"/>
        <w:ind w:left="1134" w:hanging="567"/>
        <w:rPr>
          <w:rFonts w:eastAsia="Times New Roman" w:cs="Arial"/>
          <w:szCs w:val="22"/>
        </w:rPr>
      </w:pPr>
      <w:r w:rsidRPr="00346198">
        <w:rPr>
          <w:rFonts w:eastAsia="Times New Roman" w:cs="Arial"/>
          <w:szCs w:val="22"/>
        </w:rPr>
        <w:t>outline the strengths and weaknesses of PSDI;</w:t>
      </w:r>
    </w:p>
    <w:p w:rsidR="00346198" w:rsidRPr="00346198" w:rsidRDefault="00346198" w:rsidP="003B0DE7">
      <w:pPr>
        <w:numPr>
          <w:ilvl w:val="0"/>
          <w:numId w:val="26"/>
        </w:numPr>
        <w:autoSpaceDE w:val="0"/>
        <w:autoSpaceDN w:val="0"/>
        <w:adjustRightInd w:val="0"/>
        <w:ind w:left="1134" w:hanging="567"/>
        <w:rPr>
          <w:rFonts w:eastAsia="Times New Roman" w:cs="Arial"/>
          <w:szCs w:val="22"/>
        </w:rPr>
      </w:pPr>
      <w:r w:rsidRPr="00346198">
        <w:rPr>
          <w:rFonts w:eastAsia="Times New Roman" w:cs="Arial"/>
          <w:szCs w:val="22"/>
        </w:rPr>
        <w:t>provide recommendations on improving PSDI’s performance, effectiveness and relevance, including by expanding or deepening the scope of the program during the remaining term for PSDI Phase III;</w:t>
      </w:r>
    </w:p>
    <w:p w:rsidR="00346198" w:rsidRPr="00346198" w:rsidRDefault="00346198" w:rsidP="003B0DE7">
      <w:pPr>
        <w:numPr>
          <w:ilvl w:val="0"/>
          <w:numId w:val="26"/>
        </w:numPr>
        <w:autoSpaceDE w:val="0"/>
        <w:autoSpaceDN w:val="0"/>
        <w:adjustRightInd w:val="0"/>
        <w:ind w:left="1134" w:hanging="567"/>
        <w:rPr>
          <w:rFonts w:eastAsia="Times New Roman" w:cs="Arial"/>
          <w:szCs w:val="22"/>
        </w:rPr>
      </w:pPr>
      <w:r w:rsidRPr="00346198">
        <w:rPr>
          <w:rFonts w:eastAsia="Times New Roman" w:cs="Arial"/>
          <w:szCs w:val="22"/>
        </w:rPr>
        <w:t>identify ways to improve the linkages between PSDI and other ADB operations for better development impacts and effectiveness; and</w:t>
      </w:r>
    </w:p>
    <w:p w:rsidR="00346198" w:rsidRPr="00346198" w:rsidRDefault="00346198" w:rsidP="003B0DE7">
      <w:pPr>
        <w:numPr>
          <w:ilvl w:val="0"/>
          <w:numId w:val="26"/>
        </w:numPr>
        <w:autoSpaceDE w:val="0"/>
        <w:autoSpaceDN w:val="0"/>
        <w:adjustRightInd w:val="0"/>
        <w:ind w:left="1134" w:hanging="567"/>
        <w:rPr>
          <w:rFonts w:eastAsia="Times New Roman" w:cs="Arial"/>
          <w:szCs w:val="22"/>
        </w:rPr>
      </w:pPr>
      <w:r w:rsidRPr="00346198">
        <w:rPr>
          <w:rFonts w:eastAsia="Times New Roman" w:cs="Arial"/>
          <w:szCs w:val="22"/>
        </w:rPr>
        <w:t>recommend future direction for PSDI in light of ADB’s expanding support in the private sector and financial sector.</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3B0DE7">
      <w:pPr>
        <w:numPr>
          <w:ilvl w:val="0"/>
          <w:numId w:val="23"/>
        </w:numPr>
        <w:autoSpaceDE w:val="0"/>
        <w:autoSpaceDN w:val="0"/>
        <w:adjustRightInd w:val="0"/>
        <w:ind w:left="567" w:hanging="567"/>
        <w:rPr>
          <w:rFonts w:eastAsia="Times New Roman" w:cs="Arial"/>
          <w:b/>
          <w:bCs/>
          <w:szCs w:val="22"/>
        </w:rPr>
      </w:pPr>
      <w:r w:rsidRPr="00346198">
        <w:rPr>
          <w:rFonts w:eastAsia="Times New Roman" w:cs="Arial"/>
          <w:b/>
          <w:bCs/>
          <w:szCs w:val="22"/>
        </w:rPr>
        <w:t>Minimum Qualification Requirements</w:t>
      </w:r>
    </w:p>
    <w:p w:rsidR="00346198" w:rsidRPr="00346198" w:rsidRDefault="00346198" w:rsidP="003B0DE7">
      <w:pPr>
        <w:autoSpaceDE w:val="0"/>
        <w:autoSpaceDN w:val="0"/>
        <w:adjustRightInd w:val="0"/>
        <w:rPr>
          <w:rFonts w:eastAsia="Times New Roman" w:cs="Arial"/>
          <w:bCs/>
          <w:szCs w:val="22"/>
        </w:rPr>
      </w:pPr>
    </w:p>
    <w:p w:rsidR="00346198" w:rsidRPr="00346198" w:rsidRDefault="00346198" w:rsidP="009379DF">
      <w:pPr>
        <w:numPr>
          <w:ilvl w:val="0"/>
          <w:numId w:val="50"/>
        </w:numPr>
        <w:autoSpaceDE w:val="0"/>
        <w:autoSpaceDN w:val="0"/>
        <w:adjustRightInd w:val="0"/>
        <w:ind w:left="0" w:firstLine="0"/>
        <w:rPr>
          <w:rFonts w:eastAsia="Times New Roman" w:cs="Arial"/>
          <w:szCs w:val="22"/>
        </w:rPr>
      </w:pPr>
      <w:r w:rsidRPr="00346198">
        <w:rPr>
          <w:rFonts w:eastAsia="Times New Roman" w:cs="Arial"/>
          <w:szCs w:val="22"/>
        </w:rPr>
        <w:t>The expert must have (i) at least 5 years of relevant professional experience in supporting research work within international development organizations; (ii) a Master’s degree in economics, business administration, or law and economics; (iii) some familiarity about the operations of multilateral development banks such as the Asian Development Bank and the World Bank; (iv) some knowledge and experience in Pacific island countries will be an asset; (v) sound analytical skills, (vi) capacity to liaise with ADB, DFAT, and MFAT staff as well as other stakeholders, (vii) sound verbal and written communication skills in English; and (vii) sound interpersonal skills.</w:t>
      </w:r>
    </w:p>
    <w:p w:rsidR="00346198" w:rsidRPr="00346198" w:rsidRDefault="00346198" w:rsidP="003B0DE7">
      <w:pPr>
        <w:autoSpaceDE w:val="0"/>
        <w:autoSpaceDN w:val="0"/>
        <w:adjustRightInd w:val="0"/>
        <w:rPr>
          <w:rFonts w:eastAsia="Times New Roman" w:cs="Arial"/>
          <w:szCs w:val="22"/>
        </w:rPr>
      </w:pPr>
    </w:p>
    <w:p w:rsidR="00346198" w:rsidRPr="00346198" w:rsidRDefault="00346198" w:rsidP="00D6162F">
      <w:pPr>
        <w:autoSpaceDE w:val="0"/>
        <w:autoSpaceDN w:val="0"/>
        <w:adjustRightInd w:val="0"/>
        <w:jc w:val="left"/>
        <w:rPr>
          <w:rFonts w:eastAsia="Times New Roman" w:cs="Arial"/>
          <w:bCs/>
          <w:szCs w:val="22"/>
        </w:rPr>
      </w:pPr>
      <w:r w:rsidRPr="00346198">
        <w:rPr>
          <w:rFonts w:eastAsia="Times New Roman" w:cs="Arial"/>
          <w:szCs w:val="22"/>
        </w:rPr>
        <w:t xml:space="preserve">Minimum General Experience: 6 </w:t>
      </w:r>
      <w:r w:rsidRPr="00346198">
        <w:rPr>
          <w:rFonts w:eastAsia="Times New Roman" w:cs="Arial"/>
          <w:bCs/>
          <w:szCs w:val="22"/>
        </w:rPr>
        <w:t>Years</w:t>
      </w:r>
    </w:p>
    <w:p w:rsidR="00346198" w:rsidRPr="00346198" w:rsidRDefault="00346198" w:rsidP="00D6162F">
      <w:pPr>
        <w:autoSpaceDE w:val="0"/>
        <w:autoSpaceDN w:val="0"/>
        <w:adjustRightInd w:val="0"/>
        <w:jc w:val="left"/>
        <w:rPr>
          <w:rFonts w:eastAsia="Times New Roman" w:cs="Arial"/>
          <w:szCs w:val="22"/>
        </w:rPr>
      </w:pPr>
      <w:r w:rsidRPr="00346198">
        <w:rPr>
          <w:rFonts w:eastAsia="Times New Roman" w:cs="Arial"/>
          <w:szCs w:val="22"/>
        </w:rPr>
        <w:t xml:space="preserve">Minimum Specific Experience (relevant to assignment): 5 </w:t>
      </w:r>
      <w:r w:rsidRPr="00346198">
        <w:rPr>
          <w:rFonts w:eastAsia="Times New Roman" w:cs="Arial"/>
          <w:bCs/>
          <w:szCs w:val="22"/>
        </w:rPr>
        <w:t>Years</w:t>
      </w:r>
    </w:p>
    <w:p w:rsidR="00D72EA1" w:rsidRDefault="00346198" w:rsidP="00346198">
      <w:pPr>
        <w:jc w:val="left"/>
        <w:rPr>
          <w:rFonts w:eastAsia="Calibri" w:cs="Arial"/>
          <w:szCs w:val="22"/>
          <w:lang w:eastAsia="en-US"/>
        </w:rPr>
      </w:pPr>
      <w:r w:rsidRPr="00346198">
        <w:rPr>
          <w:rFonts w:eastAsia="Times New Roman" w:cs="Arial"/>
          <w:szCs w:val="22"/>
        </w:rPr>
        <w:t>Regional/Country Experience: Required</w:t>
      </w:r>
    </w:p>
    <w:sectPr w:rsidR="00D72EA1" w:rsidSect="00D6162F">
      <w:headerReference w:type="even" r:id="rId20"/>
      <w:headerReference w:type="first" r:id="rId21"/>
      <w:footerReference w:type="first" r:id="rId22"/>
      <w:endnotePr>
        <w:numRestart w:val="eachSect"/>
      </w:endnotePr>
      <w:pgSz w:w="12240" w:h="15840" w:code="1"/>
      <w:pgMar w:top="108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9E" w:rsidRDefault="000D639E">
      <w:r>
        <w:separator/>
      </w:r>
    </w:p>
  </w:endnote>
  <w:endnote w:type="continuationSeparator" w:id="0">
    <w:p w:rsidR="000D639E" w:rsidRDefault="000D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Ideal Sans Light">
    <w:altName w:val="Arial"/>
    <w:panose1 w:val="00000000000000000000"/>
    <w:charset w:val="00"/>
    <w:family w:val="modern"/>
    <w:notTrueType/>
    <w:pitch w:val="variable"/>
    <w:sig w:usb0="A10000FF" w:usb1="5000005B" w:usb2="00000000" w:usb3="00000000" w:csb0="0000009B" w:csb1="00000000"/>
  </w:font>
  <w:font w:name="Ideal Sans">
    <w:altName w:val="Ideal Sans"/>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13396"/>
      <w:docPartObj>
        <w:docPartGallery w:val="Page Numbers (Bottom of Page)"/>
        <w:docPartUnique/>
      </w:docPartObj>
    </w:sdtPr>
    <w:sdtEndPr>
      <w:rPr>
        <w:noProof/>
      </w:rPr>
    </w:sdtEndPr>
    <w:sdtContent>
      <w:p w:rsidR="000D639E" w:rsidRDefault="000D639E">
        <w:pPr>
          <w:pStyle w:val="Footer"/>
          <w:jc w:val="center"/>
        </w:pPr>
        <w:r>
          <w:fldChar w:fldCharType="begin"/>
        </w:r>
        <w:r>
          <w:instrText xml:space="preserve"> PAGE   \* MERGEFORMAT </w:instrText>
        </w:r>
        <w:r>
          <w:fldChar w:fldCharType="separate"/>
        </w:r>
        <w:r w:rsidR="005B5DF3">
          <w:rPr>
            <w:noProof/>
          </w:rPr>
          <w:t>ii</w:t>
        </w:r>
        <w:r>
          <w:rPr>
            <w:noProof/>
          </w:rPr>
          <w:fldChar w:fldCharType="end"/>
        </w:r>
      </w:p>
    </w:sdtContent>
  </w:sdt>
  <w:p w:rsidR="000D639E" w:rsidRDefault="000D639E" w:rsidP="002F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9E" w:rsidRDefault="000D639E">
    <w:pPr>
      <w:pStyle w:val="Footer"/>
    </w:pPr>
    <w:r>
      <w:rPr>
        <w:noProof/>
        <w:lang w:val="en-AU" w:eastAsia="en-AU"/>
      </w:rPr>
      <mc:AlternateContent>
        <mc:Choice Requires="wps">
          <w:drawing>
            <wp:anchor distT="0" distB="0" distL="114300" distR="114300" simplePos="0" relativeHeight="251657728" behindDoc="0" locked="0" layoutInCell="1" allowOverlap="1" wp14:anchorId="6B6D4CCF" wp14:editId="5B288A53">
              <wp:simplePos x="0" y="0"/>
              <wp:positionH relativeFrom="margin">
                <wp:posOffset>-74930</wp:posOffset>
              </wp:positionH>
              <wp:positionV relativeFrom="page">
                <wp:posOffset>8180070</wp:posOffset>
              </wp:positionV>
              <wp:extent cx="6083300" cy="725170"/>
              <wp:effectExtent l="0" t="0"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39E" w:rsidRPr="00372D52" w:rsidRDefault="000D639E">
                          <w:pPr>
                            <w:rPr>
                              <w:rFonts w:cs="Arial"/>
                              <w:sz w:val="20"/>
                              <w:szCs w:val="20"/>
                            </w:rPr>
                          </w:pPr>
                          <w:r w:rsidRPr="003A62AA">
                            <w:rPr>
                              <w:rFonts w:cs="Arial"/>
                              <w:sz w:val="20"/>
                              <w:szCs w:val="20"/>
                            </w:rPr>
                            <w:t xml:space="preserve">This </w:t>
                          </w:r>
                          <w:r>
                            <w:rPr>
                              <w:rFonts w:cs="Arial"/>
                              <w:sz w:val="20"/>
                              <w:szCs w:val="20"/>
                            </w:rPr>
                            <w:t>consultants’ report does not necessarily reflect the views of ADB or the governments involved, and ADB and the individual governments cannot be held liable for its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6D4CCF" id="_x0000_t202" coordsize="21600,21600" o:spt="202" path="m,l,21600r21600,l21600,xe">
              <v:stroke joinstyle="miter"/>
              <v:path gradientshapeok="t" o:connecttype="rect"/>
            </v:shapetype>
            <v:shape id="Text Box 11" o:spid="_x0000_s1027" type="#_x0000_t202" style="position:absolute;left:0;text-align:left;margin-left:-5.9pt;margin-top:644.1pt;width:479pt;height:57.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65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" filled="f" stroked="f">
              <v:textbox>
                <w:txbxContent>
                  <w:p w:rsidR="000D639E" w:rsidRPr="00372D52" w:rsidRDefault="000D639E">
                    <w:pPr>
                      <w:rPr>
                        <w:rFonts w:cs="Arial"/>
                        <w:sz w:val="20"/>
                        <w:szCs w:val="20"/>
                      </w:rPr>
                    </w:pPr>
                    <w:r w:rsidRPr="003A62AA">
                      <w:rPr>
                        <w:rFonts w:cs="Arial"/>
                        <w:sz w:val="20"/>
                        <w:szCs w:val="20"/>
                      </w:rPr>
                      <w:t xml:space="preserve">This </w:t>
                    </w:r>
                    <w:r>
                      <w:rPr>
                        <w:rFonts w:cs="Arial"/>
                        <w:sz w:val="20"/>
                        <w:szCs w:val="20"/>
                      </w:rPr>
                      <w:t>consultants’ report does not necessarily reflect the views of ADB or the governments involved, and ADB and the individual governments cannot be held liable for its contents.</w:t>
                    </w:r>
                  </w:p>
                </w:txbxContent>
              </v:textbox>
              <w10:wrap anchorx="margin" anchory="page"/>
            </v:shape>
          </w:pict>
        </mc:Fallback>
      </mc:AlternateContent>
    </w:r>
    <w:r>
      <w:rPr>
        <w:noProof/>
        <w:lang w:val="en-AU" w:eastAsia="en-AU"/>
      </w:rPr>
      <w:drawing>
        <wp:anchor distT="0" distB="0" distL="114300" distR="114300" simplePos="0" relativeHeight="251658752" behindDoc="1" locked="0" layoutInCell="1" allowOverlap="1" wp14:anchorId="3D4F65FF" wp14:editId="2A08CB4B">
          <wp:simplePos x="0" y="0"/>
          <wp:positionH relativeFrom="column">
            <wp:posOffset>1270</wp:posOffset>
          </wp:positionH>
          <wp:positionV relativeFrom="paragraph">
            <wp:posOffset>-443865</wp:posOffset>
          </wp:positionV>
          <wp:extent cx="2391410" cy="251460"/>
          <wp:effectExtent l="0" t="0" r="0" b="0"/>
          <wp:wrapNone/>
          <wp:docPr id="91" name="Picture 91" descr="66mm_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6mm_W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1410"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F3" w:rsidRDefault="005B5D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9E" w:rsidRDefault="000D639E" w:rsidP="00CA4CD7">
    <w:pPr>
      <w:pStyle w:val="Footer"/>
      <w:jc w:val="center"/>
    </w:pPr>
    <w:r>
      <w:fldChar w:fldCharType="begin"/>
    </w:r>
    <w:r>
      <w:instrText xml:space="preserve"> PAGE   \* MERGEFORMAT </w:instrText>
    </w:r>
    <w:r>
      <w:fldChar w:fldCharType="separate"/>
    </w:r>
    <w:r w:rsidR="005B5DF3">
      <w:rPr>
        <w:noProof/>
      </w:rPr>
      <w:t>15</w:t>
    </w:r>
    <w:r>
      <w:fldChar w:fldCharType="end"/>
    </w:r>
  </w:p>
  <w:p w:rsidR="000D639E" w:rsidRDefault="000D63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294910"/>
      <w:docPartObj>
        <w:docPartGallery w:val="Page Numbers (Bottom of Page)"/>
        <w:docPartUnique/>
      </w:docPartObj>
    </w:sdtPr>
    <w:sdtEndPr>
      <w:rPr>
        <w:noProof/>
      </w:rPr>
    </w:sdtEndPr>
    <w:sdtContent>
      <w:p w:rsidR="000D639E" w:rsidRDefault="000D639E">
        <w:pPr>
          <w:pStyle w:val="Footer"/>
          <w:jc w:val="center"/>
        </w:pPr>
        <w:r>
          <w:fldChar w:fldCharType="begin"/>
        </w:r>
        <w:r>
          <w:instrText xml:space="preserve"> PAGE   \* MERGEFORMAT </w:instrText>
        </w:r>
        <w:r>
          <w:fldChar w:fldCharType="separate"/>
        </w:r>
        <w:r w:rsidR="005B5DF3">
          <w:rPr>
            <w:noProof/>
          </w:rPr>
          <w:t>iii</w:t>
        </w:r>
        <w:r>
          <w:rPr>
            <w:noProof/>
          </w:rPr>
          <w:fldChar w:fldCharType="end"/>
        </w:r>
      </w:p>
    </w:sdtContent>
  </w:sdt>
  <w:p w:rsidR="000D639E" w:rsidRDefault="000D639E" w:rsidP="002F15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244067"/>
      <w:docPartObj>
        <w:docPartGallery w:val="Page Numbers (Bottom of Page)"/>
        <w:docPartUnique/>
      </w:docPartObj>
    </w:sdtPr>
    <w:sdtEndPr>
      <w:rPr>
        <w:noProof/>
      </w:rPr>
    </w:sdtEndPr>
    <w:sdtContent>
      <w:p w:rsidR="000D639E" w:rsidRDefault="000D639E">
        <w:pPr>
          <w:pStyle w:val="Footer"/>
          <w:jc w:val="center"/>
        </w:pPr>
        <w:r>
          <w:fldChar w:fldCharType="begin"/>
        </w:r>
        <w:r>
          <w:instrText xml:space="preserve"> PAGE   \* MERGEFORMAT </w:instrText>
        </w:r>
        <w:r>
          <w:fldChar w:fldCharType="separate"/>
        </w:r>
        <w:r w:rsidR="005B5DF3">
          <w:rPr>
            <w:noProof/>
          </w:rPr>
          <w:t>1</w:t>
        </w:r>
        <w:r>
          <w:rPr>
            <w:noProof/>
          </w:rPr>
          <w:fldChar w:fldCharType="end"/>
        </w:r>
      </w:p>
    </w:sdtContent>
  </w:sdt>
  <w:p w:rsidR="000D639E" w:rsidRDefault="000D639E" w:rsidP="002F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9E" w:rsidRDefault="000D639E">
      <w:r>
        <w:separator/>
      </w:r>
    </w:p>
  </w:footnote>
  <w:footnote w:type="continuationSeparator" w:id="0">
    <w:p w:rsidR="000D639E" w:rsidRDefault="000D639E">
      <w:r>
        <w:continuationSeparator/>
      </w:r>
    </w:p>
  </w:footnote>
  <w:footnote w:id="1">
    <w:p w:rsidR="000D639E" w:rsidRPr="0078173C" w:rsidRDefault="000D639E" w:rsidP="0080506F">
      <w:pPr>
        <w:pStyle w:val="FootnoteText"/>
        <w:ind w:left="270" w:hanging="270"/>
        <w:rPr>
          <w:lang w:val="en-PH"/>
        </w:rPr>
      </w:pPr>
      <w:r w:rsidRPr="00622C7B">
        <w:rPr>
          <w:rStyle w:val="FootnoteReference"/>
        </w:rPr>
        <w:footnoteRef/>
      </w:r>
      <w:r>
        <w:rPr>
          <w:color w:val="222222"/>
          <w:shd w:val="clear" w:color="auto" w:fill="FFFFFF"/>
        </w:rPr>
        <w:tab/>
        <w:t xml:space="preserve">The five </w:t>
      </w:r>
      <w:r w:rsidRPr="00422F5E">
        <w:rPr>
          <w:color w:val="222222"/>
          <w:shd w:val="clear" w:color="auto" w:fill="FFFFFF"/>
        </w:rPr>
        <w:t>OECD-DAC</w:t>
      </w:r>
      <w:r>
        <w:rPr>
          <w:color w:val="222222"/>
          <w:shd w:val="clear" w:color="auto" w:fill="FFFFFF"/>
        </w:rPr>
        <w:t xml:space="preserve"> evaluation </w:t>
      </w:r>
      <w:r w:rsidRPr="0078173C">
        <w:rPr>
          <w:bCs/>
          <w:color w:val="222222"/>
          <w:shd w:val="clear" w:color="auto" w:fill="FFFFFF"/>
        </w:rPr>
        <w:t>criteria</w:t>
      </w:r>
      <w:r>
        <w:rPr>
          <w:color w:val="222222"/>
          <w:shd w:val="clear" w:color="auto" w:fill="FFFFFF"/>
        </w:rPr>
        <w:t xml:space="preserve"> </w:t>
      </w:r>
      <w:r w:rsidRPr="00622C7B">
        <w:rPr>
          <w:color w:val="222222"/>
          <w:shd w:val="clear" w:color="auto" w:fill="FFFFFF"/>
        </w:rPr>
        <w:t xml:space="preserve">are based on the concept that evaluation is an assessment “to determine the relevance and fulfillment of objectives, developmental efficiency, effectiveness, impact and sustainability” of efforts supported by aid agencies </w:t>
      </w:r>
      <w:r w:rsidRPr="00511287">
        <w:rPr>
          <w:color w:val="222222"/>
          <w:shd w:val="clear" w:color="auto" w:fill="FFFFFF"/>
        </w:rPr>
        <w:t>(</w:t>
      </w:r>
      <w:r w:rsidRPr="0078173C">
        <w:rPr>
          <w:bCs/>
          <w:color w:val="222222"/>
          <w:shd w:val="clear" w:color="auto" w:fill="FFFFFF"/>
        </w:rPr>
        <w:t>OECD</w:t>
      </w:r>
      <w:r w:rsidRPr="00622C7B">
        <w:rPr>
          <w:color w:val="222222"/>
          <w:shd w:val="clear" w:color="auto" w:fill="FFFFFF"/>
        </w:rPr>
        <w:t>, 1992, p. 132).</w:t>
      </w:r>
    </w:p>
  </w:footnote>
  <w:footnote w:id="2">
    <w:p w:rsidR="000D639E" w:rsidRPr="00B56418" w:rsidRDefault="000D639E" w:rsidP="000C15E8">
      <w:pPr>
        <w:pStyle w:val="FootnoteText"/>
        <w:ind w:left="270" w:hanging="270"/>
        <w:rPr>
          <w:lang w:val="en-PH"/>
        </w:rPr>
      </w:pPr>
      <w:r>
        <w:rPr>
          <w:rStyle w:val="FootnoteReference"/>
        </w:rPr>
        <w:footnoteRef/>
      </w:r>
      <w:r>
        <w:rPr>
          <w:lang w:val="en-PH"/>
        </w:rPr>
        <w:tab/>
        <w:t>Such as the need to upgrade the arrival area of the Fua’amotu international airport in Tonga.</w:t>
      </w:r>
    </w:p>
  </w:footnote>
  <w:footnote w:id="3">
    <w:p w:rsidR="000D639E" w:rsidRDefault="000D639E" w:rsidP="003256A4">
      <w:pPr>
        <w:pStyle w:val="FootnoteText"/>
        <w:ind w:left="270" w:hanging="270"/>
      </w:pPr>
      <w:r>
        <w:rPr>
          <w:rStyle w:val="FootnoteReference"/>
        </w:rPr>
        <w:footnoteRef/>
      </w:r>
      <w:r>
        <w:tab/>
        <w:t>The EAG is jointly chaired by the Minister of Finance and the Executive Director of the Palau Chamber of Commerce. Its members consist of the Chair of the Ways and Means Committee in each house of the Olbiil Era Kelulau; directors of finance, infrastructure, and tourism; members of the Palau Chamber of Commerce; and other directors of government departments who attend as needed.</w:t>
      </w:r>
    </w:p>
  </w:footnote>
  <w:footnote w:id="4">
    <w:p w:rsidR="000D639E" w:rsidRDefault="000D639E" w:rsidP="0080506F">
      <w:pPr>
        <w:pStyle w:val="FootnoteText"/>
        <w:ind w:left="270" w:hanging="270"/>
      </w:pPr>
      <w:r>
        <w:rPr>
          <w:rStyle w:val="FootnoteReference"/>
        </w:rPr>
        <w:footnoteRef/>
      </w:r>
      <w:r>
        <w:tab/>
        <w:t>Ibid Nagarajan, page 19.</w:t>
      </w:r>
    </w:p>
  </w:footnote>
  <w:footnote w:id="5">
    <w:p w:rsidR="000D639E" w:rsidRPr="008A370C" w:rsidRDefault="000D639E">
      <w:pPr>
        <w:pStyle w:val="FootnoteText"/>
      </w:pPr>
      <w:r>
        <w:rPr>
          <w:rStyle w:val="FootnoteReference"/>
        </w:rPr>
        <w:footnoteRef/>
      </w:r>
      <w:r>
        <w:tab/>
        <w:t xml:space="preserve">ADB. 2016. </w:t>
      </w:r>
      <w:r w:rsidRPr="00170139">
        <w:rPr>
          <w:i/>
        </w:rPr>
        <w:t>Finding Balance 2016: Benchmarking the Performance of State-Owned Enterprises in Island Countries.</w:t>
      </w:r>
      <w:r>
        <w:t xml:space="preserve"> Manila.</w:t>
      </w:r>
    </w:p>
  </w:footnote>
  <w:footnote w:id="6">
    <w:p w:rsidR="000D639E" w:rsidRPr="00EB7231" w:rsidRDefault="000D639E" w:rsidP="0080506F">
      <w:pPr>
        <w:pStyle w:val="FootnoteText"/>
        <w:ind w:left="270" w:hanging="270"/>
        <w:rPr>
          <w:i/>
          <w:lang w:val="en-PH"/>
        </w:rPr>
      </w:pPr>
      <w:r>
        <w:rPr>
          <w:rStyle w:val="FootnoteReference"/>
        </w:rPr>
        <w:footnoteRef/>
      </w:r>
      <w:r>
        <w:tab/>
      </w:r>
      <w:r>
        <w:rPr>
          <w:lang w:val="en-PH"/>
        </w:rPr>
        <w:t xml:space="preserve">An interesting history has been provided by Samoa in its transition from public works to private contracting. Its Public Works Department in the early 2000s was unable to meet its reconstruction obligations following disaster-related damages in the 1990s. This led the Government to outsource the reconstruction work to the private sector, which proved successful in restoring the damaged infrastructure. Following expanded contracting with the private sector, including road infrastructure and maintenance, the Public Works Department’s name was changed to the Land Transport Authority and currently this agency only manages contracts with the private sector. This reform serves to increase the capacity of the private sector’s construction and maintenance capabilities. (Singh, Shin Raj. 2017. Pacific Economic Monitor. </w:t>
      </w:r>
      <w:r>
        <w:rPr>
          <w:i/>
          <w:lang w:val="en-PH"/>
        </w:rPr>
        <w:t xml:space="preserve">State-owned enterprise reform in Samoa’s forming partnerships, improving connectivity and increasing market efficiency. </w:t>
      </w:r>
      <w:r>
        <w:rPr>
          <w:lang w:val="en-PH"/>
        </w:rPr>
        <w:t>July, pp. 13</w:t>
      </w:r>
      <w:r>
        <w:rPr>
          <w:rFonts w:cs="Arial"/>
          <w:lang w:val="en-PH"/>
        </w:rPr>
        <w:t>–</w:t>
      </w:r>
      <w:r>
        <w:rPr>
          <w:lang w:val="en-PH"/>
        </w:rPr>
        <w:t>14.)</w:t>
      </w:r>
    </w:p>
  </w:footnote>
  <w:footnote w:id="7">
    <w:p w:rsidR="000D639E" w:rsidRPr="00DF2A38" w:rsidRDefault="000D639E" w:rsidP="0080506F">
      <w:pPr>
        <w:pStyle w:val="FootnoteText"/>
        <w:ind w:left="270" w:hanging="270"/>
        <w:rPr>
          <w:lang w:val="en-PH"/>
        </w:rPr>
      </w:pPr>
      <w:r>
        <w:rPr>
          <w:rStyle w:val="FootnoteReference"/>
        </w:rPr>
        <w:footnoteRef/>
      </w:r>
      <w:r>
        <w:rPr>
          <w:lang w:val="en-PH"/>
        </w:rPr>
        <w:tab/>
        <w:t xml:space="preserve">See </w:t>
      </w:r>
      <w:r>
        <w:t>Jinyoung Kim, Jong-Wha Lee, and Kwanho Shin, A Model of Gender Inequality and Economic Growth. ADB Economic Working Paper Series No. 475. February 2016.</w:t>
      </w:r>
    </w:p>
  </w:footnote>
  <w:footnote w:id="8">
    <w:p w:rsidR="000D639E" w:rsidRDefault="000D639E" w:rsidP="0080506F">
      <w:pPr>
        <w:pStyle w:val="FootnoteText"/>
        <w:ind w:left="270" w:hanging="270"/>
      </w:pPr>
      <w:r>
        <w:rPr>
          <w:rStyle w:val="FootnoteReference"/>
        </w:rPr>
        <w:footnoteRef/>
      </w:r>
      <w:r>
        <w:tab/>
        <w:t>See Nagarajan, Vijaya, Women and Business in the Pacific. ADB (forthcoming).</w:t>
      </w:r>
    </w:p>
  </w:footnote>
  <w:footnote w:id="9">
    <w:p w:rsidR="000D639E" w:rsidRDefault="000D639E" w:rsidP="0095674C">
      <w:pPr>
        <w:pStyle w:val="FootnoteText"/>
        <w:ind w:left="270" w:hanging="270"/>
      </w:pPr>
      <w:r>
        <w:rPr>
          <w:rStyle w:val="FootnoteReference"/>
        </w:rPr>
        <w:footnoteRef/>
      </w:r>
      <w:r>
        <w:tab/>
        <w:t>Ibid.</w:t>
      </w:r>
    </w:p>
  </w:footnote>
  <w:footnote w:id="10">
    <w:p w:rsidR="000D639E" w:rsidRDefault="000D639E" w:rsidP="00813EB8">
      <w:pPr>
        <w:pStyle w:val="FootnoteText"/>
        <w:ind w:left="270" w:hanging="270"/>
      </w:pPr>
      <w:r>
        <w:rPr>
          <w:rStyle w:val="FootnoteReference"/>
        </w:rPr>
        <w:footnoteRef/>
      </w:r>
      <w:r>
        <w:tab/>
      </w:r>
      <w:r w:rsidRPr="00772612">
        <w:t>ADB, “Pacific Private Sector Development Initiat</w:t>
      </w:r>
      <w:r>
        <w:t xml:space="preserve">ive, Phase III,” </w:t>
      </w:r>
      <w:r w:rsidRPr="00772612">
        <w:t>Technical Assistance Report</w:t>
      </w:r>
      <w:r>
        <w:t xml:space="preserve">, May 2013; ADB, “Pacific Private Sector Development Initiative, Phase III,” </w:t>
      </w:r>
      <w:r w:rsidRPr="00B93B1B">
        <w:t>Major Change in Technical Assistance</w:t>
      </w:r>
      <w:r>
        <w:t xml:space="preserve">, </w:t>
      </w:r>
      <w:r w:rsidRPr="00B93B1B">
        <w:t>May 2015</w:t>
      </w:r>
      <w:r>
        <w:t>.</w:t>
      </w:r>
    </w:p>
  </w:footnote>
  <w:footnote w:id="11">
    <w:p w:rsidR="000D639E" w:rsidRDefault="000D639E" w:rsidP="00813EB8">
      <w:pPr>
        <w:pStyle w:val="FootnoteText"/>
        <w:ind w:left="270" w:hanging="270"/>
      </w:pPr>
      <w:r>
        <w:rPr>
          <w:rStyle w:val="FootnoteReference"/>
        </w:rPr>
        <w:footnoteRef/>
      </w:r>
      <w:r>
        <w:tab/>
        <w:t>The additional factors of efficiency and impact are addressed in other parts of this report.</w:t>
      </w:r>
    </w:p>
  </w:footnote>
  <w:footnote w:id="12">
    <w:p w:rsidR="000D639E" w:rsidRDefault="000D639E" w:rsidP="00205AD1">
      <w:pPr>
        <w:pStyle w:val="FootnoteText"/>
        <w:ind w:left="270" w:hanging="270"/>
      </w:pPr>
      <w:r>
        <w:rPr>
          <w:rStyle w:val="FootnoteReference"/>
        </w:rPr>
        <w:footnoteRef/>
      </w:r>
      <w:r>
        <w:tab/>
        <w:t>Loan-to-value or level of collateralization.</w:t>
      </w:r>
    </w:p>
  </w:footnote>
  <w:footnote w:id="13">
    <w:p w:rsidR="000D639E" w:rsidRDefault="000D639E" w:rsidP="00205AD1">
      <w:pPr>
        <w:pStyle w:val="FootnoteText"/>
        <w:ind w:left="270" w:hanging="270"/>
      </w:pPr>
      <w:r>
        <w:rPr>
          <w:rStyle w:val="FootnoteReference"/>
        </w:rPr>
        <w:footnoteRef/>
      </w:r>
      <w:r>
        <w:tab/>
        <w:t xml:space="preserve">Compare Colombia and Mexico, which adopted secured finance reforms in 2014 and within months had 57,000 and 400,000 registrations respectively; </w:t>
      </w:r>
      <w:hyperlink r:id="rId1" w:history="1">
        <w:r w:rsidRPr="009630E6">
          <w:rPr>
            <w:rStyle w:val="Hyperlink"/>
          </w:rPr>
          <w:t>http://www.caymanfinancialreview.com/2016/11/01/the-benefits-of-secured-transactions-reform/</w:t>
        </w:r>
      </w:hyperlink>
      <w:r>
        <w:t xml:space="preserve">. Note also, the Solomon Islands figure is down from 10,000 recorded in 2013; ADB/PSDI, </w:t>
      </w:r>
      <w:r w:rsidRPr="00795F7E">
        <w:rPr>
          <w:i/>
        </w:rPr>
        <w:t>Unlocking Finance for Growth: Secured Transactions Reform in Pacific Island Economies</w:t>
      </w:r>
      <w:r>
        <w:t>, p.11.</w:t>
      </w:r>
    </w:p>
  </w:footnote>
  <w:footnote w:id="14">
    <w:p w:rsidR="000D639E" w:rsidRDefault="000D639E" w:rsidP="00205AD1">
      <w:pPr>
        <w:pStyle w:val="FootnoteText"/>
        <w:ind w:left="270" w:hanging="270"/>
      </w:pPr>
      <w:r>
        <w:rPr>
          <w:rStyle w:val="FootnoteReference"/>
        </w:rPr>
        <w:footnoteRef/>
      </w:r>
      <w:r>
        <w:tab/>
        <w:t>A good indicator for PSDI to measure is the diversification of collateral types – e.g. the percentage of secured loans (or amounts lent) against vehicles as compared to other categories of assets.</w:t>
      </w:r>
    </w:p>
  </w:footnote>
  <w:footnote w:id="15">
    <w:p w:rsidR="000D639E" w:rsidRDefault="000D639E" w:rsidP="00205AD1">
      <w:pPr>
        <w:pStyle w:val="FootnoteText"/>
        <w:ind w:left="270" w:hanging="270"/>
      </w:pPr>
      <w:r>
        <w:rPr>
          <w:rStyle w:val="FootnoteReference"/>
        </w:rPr>
        <w:footnoteRef/>
      </w:r>
      <w:r>
        <w:tab/>
        <w:t xml:space="preserve">Two caveats are in order. First, the statements here do </w:t>
      </w:r>
      <w:r w:rsidRPr="002662CD">
        <w:rPr>
          <w:i/>
        </w:rPr>
        <w:t>not</w:t>
      </w:r>
      <w:r>
        <w:t xml:space="preserve"> amount to a judgment that other components have underperformed or must be trimmed. Second, we would add financial consumer protection as a priority in this area, especially for micro entrepreneurs. </w:t>
      </w:r>
    </w:p>
  </w:footnote>
  <w:footnote w:id="16">
    <w:p w:rsidR="000D639E" w:rsidRDefault="000D639E" w:rsidP="0094677F">
      <w:pPr>
        <w:pStyle w:val="FootnoteText"/>
        <w:ind w:left="270" w:hanging="270"/>
      </w:pPr>
      <w:r>
        <w:rPr>
          <w:rStyle w:val="FootnoteReference"/>
        </w:rPr>
        <w:footnoteRef/>
      </w:r>
      <w:r>
        <w:tab/>
      </w:r>
      <w:r w:rsidRPr="00C93508">
        <w:t xml:space="preserve">Annual Progress Report 2015-6, </w:t>
      </w:r>
      <w:r>
        <w:t>p.</w:t>
      </w:r>
      <w:r w:rsidRPr="00C93508">
        <w:t>31</w:t>
      </w:r>
      <w:r>
        <w:t>.</w:t>
      </w:r>
    </w:p>
  </w:footnote>
  <w:footnote w:id="17">
    <w:p w:rsidR="000D639E" w:rsidRDefault="000D639E" w:rsidP="0094677F">
      <w:pPr>
        <w:pStyle w:val="FootnoteText"/>
        <w:ind w:left="270" w:hanging="270"/>
      </w:pPr>
      <w:r>
        <w:rPr>
          <w:rStyle w:val="FootnoteReference"/>
        </w:rPr>
        <w:footnoteRef/>
      </w:r>
      <w:r>
        <w:tab/>
        <w:t>PSDI, “Assessment of Program,” Excel document.</w:t>
      </w:r>
    </w:p>
  </w:footnote>
  <w:footnote w:id="18">
    <w:p w:rsidR="000D639E" w:rsidRPr="005E0758" w:rsidRDefault="000D639E" w:rsidP="0094677F">
      <w:pPr>
        <w:pStyle w:val="FootnoteText"/>
        <w:ind w:left="270" w:hanging="270"/>
      </w:pPr>
      <w:r w:rsidRPr="005E0758">
        <w:rPr>
          <w:rStyle w:val="FootnoteReference"/>
        </w:rPr>
        <w:footnoteRef/>
      </w:r>
      <w:r>
        <w:tab/>
      </w:r>
      <w:r w:rsidRPr="005E0758">
        <w:t>Annual Progress Reports for 2013-14, 2014-15, 2015-16; 2015 TA Paper</w:t>
      </w:r>
      <w:r>
        <w:t>.</w:t>
      </w:r>
    </w:p>
  </w:footnote>
  <w:footnote w:id="19">
    <w:p w:rsidR="000D639E" w:rsidRDefault="000D639E" w:rsidP="0094677F">
      <w:pPr>
        <w:pStyle w:val="FootnoteText"/>
        <w:ind w:left="270" w:hanging="270"/>
      </w:pPr>
      <w:r>
        <w:rPr>
          <w:rStyle w:val="FootnoteReference"/>
        </w:rPr>
        <w:footnoteRef/>
      </w:r>
      <w:r>
        <w:tab/>
        <w:t>PSDI, “Assessment of Program,” Excel document.</w:t>
      </w:r>
    </w:p>
  </w:footnote>
  <w:footnote w:id="20">
    <w:p w:rsidR="000D639E" w:rsidRDefault="000D639E" w:rsidP="000C15E8">
      <w:pPr>
        <w:pStyle w:val="FootnoteText"/>
        <w:ind w:left="270" w:hanging="270"/>
      </w:pPr>
      <w:r>
        <w:rPr>
          <w:rStyle w:val="FootnoteReference"/>
        </w:rPr>
        <w:footnoteRef/>
      </w:r>
      <w:r>
        <w:tab/>
      </w:r>
      <w:r w:rsidRPr="00290712">
        <w:t>Annual Progress Report 2015-16</w:t>
      </w:r>
      <w:r>
        <w:t>, p. 22.</w:t>
      </w:r>
    </w:p>
  </w:footnote>
  <w:footnote w:id="21">
    <w:p w:rsidR="000D639E" w:rsidRDefault="000D639E" w:rsidP="00205AD1">
      <w:pPr>
        <w:pStyle w:val="FootnoteText"/>
        <w:ind w:left="270" w:hanging="270"/>
      </w:pPr>
      <w:r>
        <w:rPr>
          <w:rStyle w:val="FootnoteReference"/>
        </w:rPr>
        <w:footnoteRef/>
      </w:r>
      <w:r>
        <w:tab/>
        <w:t>PSDI, “Assessment of Program,” Excel document.</w:t>
      </w:r>
    </w:p>
  </w:footnote>
  <w:footnote w:id="22">
    <w:p w:rsidR="000D639E" w:rsidRDefault="000D639E" w:rsidP="006070CA">
      <w:pPr>
        <w:pStyle w:val="FootnoteText"/>
        <w:ind w:left="270" w:hanging="270"/>
      </w:pPr>
      <w:r>
        <w:rPr>
          <w:rStyle w:val="FootnoteReference"/>
        </w:rPr>
        <w:footnoteRef/>
      </w:r>
      <w:r>
        <w:tab/>
        <w:t xml:space="preserve">ADB. 2014. </w:t>
      </w:r>
      <w:r w:rsidRPr="00170139">
        <w:rPr>
          <w:i/>
        </w:rPr>
        <w:t>Unlocking Finance for Growth. Secured Transactions Reform in Pacific Island Economies.</w:t>
      </w:r>
      <w:r>
        <w:t xml:space="preserve"> Manila.</w:t>
      </w:r>
    </w:p>
  </w:footnote>
  <w:footnote w:id="23">
    <w:p w:rsidR="000D639E" w:rsidRDefault="000D639E" w:rsidP="0094677F">
      <w:pPr>
        <w:pStyle w:val="FootnoteText"/>
        <w:ind w:left="270" w:hanging="270"/>
      </w:pPr>
      <w:r>
        <w:rPr>
          <w:rStyle w:val="FootnoteReference"/>
        </w:rPr>
        <w:footnoteRef/>
      </w:r>
      <w:r>
        <w:tab/>
        <w:t xml:space="preserve">ADB. 2015. </w:t>
      </w:r>
      <w:r w:rsidRPr="00FA75B2">
        <w:rPr>
          <w:i/>
        </w:rPr>
        <w:t>Empowering the Other Half: Women and Private Sector Growth in the Pacific</w:t>
      </w:r>
      <w:r>
        <w:rPr>
          <w:i/>
        </w:rPr>
        <w:t>.</w:t>
      </w:r>
      <w:r w:rsidRPr="00B03F41">
        <w:t xml:space="preserve"> Manila.</w:t>
      </w:r>
    </w:p>
  </w:footnote>
  <w:footnote w:id="24">
    <w:p w:rsidR="000D639E" w:rsidRPr="00DF2A38" w:rsidRDefault="000D639E" w:rsidP="00283346">
      <w:pPr>
        <w:pStyle w:val="FootnoteText"/>
        <w:ind w:left="270" w:hanging="270"/>
        <w:rPr>
          <w:lang w:val="en-PH"/>
        </w:rPr>
      </w:pPr>
      <w:r>
        <w:rPr>
          <w:rStyle w:val="FootnoteReference"/>
        </w:rPr>
        <w:footnoteRef/>
      </w:r>
      <w:r>
        <w:rPr>
          <w:lang w:val="en-PH"/>
        </w:rPr>
        <w:tab/>
        <w:t>The most recent ADB document, Pacific Private Sector Development Initiative, Phase III (May 2015) which reflected the major change in scope under which the original TA amount of $32.5 million was augmented by $8.08 million by the Government of Australia to support request from the Government of Papua New Guinea. The Design and Monitoring Framework is in Appendix 1 of the same document.</w:t>
      </w:r>
    </w:p>
  </w:footnote>
  <w:footnote w:id="25">
    <w:p w:rsidR="000D639E" w:rsidRPr="00B33B02" w:rsidRDefault="000D639E" w:rsidP="00283346">
      <w:pPr>
        <w:pStyle w:val="FootnoteText"/>
        <w:ind w:left="270" w:hanging="270"/>
        <w:rPr>
          <w:lang w:val="en-PH"/>
        </w:rPr>
      </w:pPr>
      <w:r>
        <w:rPr>
          <w:rStyle w:val="FootnoteReference"/>
        </w:rPr>
        <w:footnoteRef/>
      </w:r>
      <w:r>
        <w:tab/>
      </w:r>
      <w:r>
        <w:rPr>
          <w:lang w:val="en-PH"/>
        </w:rPr>
        <w:t>See TA Paper Output 3e and Overall Project Output 3e where PPPs only need to be underway, largely an issue of subjective judgment, to be duly fulfilled.</w:t>
      </w:r>
    </w:p>
  </w:footnote>
  <w:footnote w:id="26">
    <w:p w:rsidR="003F08DD" w:rsidRDefault="003F08DD">
      <w:pPr>
        <w:pStyle w:val="FootnoteText"/>
      </w:pPr>
      <w:r>
        <w:rPr>
          <w:rStyle w:val="FootnoteReference"/>
        </w:rPr>
        <w:footnoteRef/>
      </w:r>
      <w:r>
        <w:tab/>
        <w:t>The key changes were as follows: (i) introducing framework agreements to speed up implementation and increase responsiveness. This was partially implemented; (ii) introducing a concept note for financing greater than $50,000. This has been implemented; and (iii) improving the monitoring and reporting of results. These efforts are ongoing.</w:t>
      </w:r>
    </w:p>
  </w:footnote>
  <w:footnote w:id="27">
    <w:p w:rsidR="000D639E" w:rsidRPr="00DF2A38" w:rsidRDefault="000D639E" w:rsidP="00950BB0">
      <w:pPr>
        <w:pStyle w:val="FootnoteText"/>
        <w:ind w:left="270" w:hanging="270"/>
        <w:rPr>
          <w:lang w:val="en-PH"/>
        </w:rPr>
      </w:pPr>
      <w:r>
        <w:rPr>
          <w:rStyle w:val="FootnoteReference"/>
        </w:rPr>
        <w:footnoteRef/>
      </w:r>
      <w:r>
        <w:rPr>
          <w:lang w:val="en-PH"/>
        </w:rPr>
        <w:tab/>
        <w:t>See Revised Design and Monitoring Framework, Appendix 1 of the Pacific Private Sector Development Initiative Phase III, May 2013, pp. 6-10.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F3" w:rsidRDefault="005B5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9E" w:rsidRDefault="000D639E" w:rsidP="00603F0E">
    <w:pPr>
      <w:pStyle w:val="Header"/>
      <w:ind w:right="-334"/>
    </w:pPr>
    <w:r>
      <w:rPr>
        <w:noProof/>
        <w:lang w:val="en-AU" w:eastAsia="en-AU"/>
      </w:rPr>
      <mc:AlternateContent>
        <mc:Choice Requires="wps">
          <w:drawing>
            <wp:anchor distT="0" distB="0" distL="114300" distR="114300" simplePos="0" relativeHeight="251655680" behindDoc="0" locked="0" layoutInCell="1" allowOverlap="1" wp14:anchorId="78008A11" wp14:editId="47BDA3F7">
              <wp:simplePos x="0" y="0"/>
              <wp:positionH relativeFrom="column">
                <wp:posOffset>-116205</wp:posOffset>
              </wp:positionH>
              <wp:positionV relativeFrom="paragraph">
                <wp:posOffset>816610</wp:posOffset>
              </wp:positionV>
              <wp:extent cx="6285865" cy="37655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39E" w:rsidRPr="00113500" w:rsidRDefault="000D639E">
                          <w:pPr>
                            <w:rPr>
                              <w:rFonts w:cs="Arial"/>
                              <w:sz w:val="40"/>
                              <w:szCs w:val="40"/>
                            </w:rPr>
                          </w:pPr>
                          <w:r>
                            <w:rPr>
                              <w:rFonts w:cs="Arial"/>
                              <w:sz w:val="40"/>
                              <w:szCs w:val="40"/>
                            </w:rPr>
                            <w:t>Technical Assistance Consultants’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008A11" id="_x0000_t202" coordsize="21600,21600" o:spt="202" path="m,l,21600r21600,l21600,xe">
              <v:stroke joinstyle="miter"/>
              <v:path gradientshapeok="t" o:connecttype="rect"/>
            </v:shapetype>
            <v:shape id="Text Box 3" o:spid="_x0000_s1026" type="#_x0000_t202" style="position:absolute;left:0;text-align:left;margin-left:-9.15pt;margin-top:64.3pt;width:494.95pt;height:2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W/tQIAALk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" filled="f" stroked="f">
              <v:textbox>
                <w:txbxContent>
                  <w:p w:rsidR="000D639E" w:rsidRPr="00113500" w:rsidRDefault="000D639E">
                    <w:pPr>
                      <w:rPr>
                        <w:rFonts w:cs="Arial"/>
                        <w:sz w:val="40"/>
                        <w:szCs w:val="40"/>
                      </w:rPr>
                    </w:pPr>
                    <w:r>
                      <w:rPr>
                        <w:rFonts w:cs="Arial"/>
                        <w:sz w:val="40"/>
                        <w:szCs w:val="40"/>
                      </w:rPr>
                      <w:t>Technical Assistance Consultants’ Report</w:t>
                    </w:r>
                  </w:p>
                </w:txbxContent>
              </v:textbox>
            </v:shape>
          </w:pict>
        </mc:Fallback>
      </mc:AlternateContent>
    </w:r>
    <w:r>
      <w:rPr>
        <w:noProof/>
        <w:lang w:val="en-AU" w:eastAsia="en-AU"/>
      </w:rPr>
      <mc:AlternateContent>
        <mc:Choice Requires="wps">
          <w:drawing>
            <wp:anchor distT="0" distB="0" distL="114300" distR="114300" simplePos="0" relativeHeight="251656704" behindDoc="0" locked="0" layoutInCell="1" allowOverlap="1" wp14:anchorId="514802E3" wp14:editId="52A3953B">
              <wp:simplePos x="0" y="0"/>
              <wp:positionH relativeFrom="column">
                <wp:posOffset>-15875</wp:posOffset>
              </wp:positionH>
              <wp:positionV relativeFrom="paragraph">
                <wp:posOffset>1211580</wp:posOffset>
              </wp:positionV>
              <wp:extent cx="6269990" cy="0"/>
              <wp:effectExtent l="8255" t="11430" r="825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DC3EE6"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95.4pt" to="492.4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jsEQIAACg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" strokeweight=".25pt"/>
          </w:pict>
        </mc:Fallback>
      </mc:AlternateContent>
    </w:r>
    <w:r>
      <w:rPr>
        <w:noProof/>
        <w:lang w:val="en-AU" w:eastAsia="en-AU"/>
      </w:rPr>
      <w:drawing>
        <wp:anchor distT="0" distB="0" distL="114300" distR="114300" simplePos="0" relativeHeight="251659776" behindDoc="1" locked="0" layoutInCell="1" allowOverlap="1" wp14:anchorId="68A0DF4F" wp14:editId="7EA3C298">
          <wp:simplePos x="0" y="0"/>
          <wp:positionH relativeFrom="column">
            <wp:posOffset>-6350</wp:posOffset>
          </wp:positionH>
          <wp:positionV relativeFrom="paragraph">
            <wp:posOffset>-16510</wp:posOffset>
          </wp:positionV>
          <wp:extent cx="793750" cy="793750"/>
          <wp:effectExtent l="0" t="0" r="0" b="0"/>
          <wp:wrapNone/>
          <wp:docPr id="90" name="Picture 90" descr="22mm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2mm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F3" w:rsidRDefault="005B5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9E" w:rsidRPr="00D7623B" w:rsidRDefault="000D639E">
    <w:pPr>
      <w:pStyle w:val="Header"/>
      <w:rPr>
        <w:lang w:val="en-P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9E" w:rsidRDefault="000D63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9E" w:rsidRPr="00291BBF" w:rsidRDefault="000D639E" w:rsidP="008571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9E" w:rsidRDefault="000D6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8A2AB5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720" w:hanging="720"/>
      </w:pPr>
    </w:lvl>
    <w:lvl w:ilvl="2">
      <w:start w:val="1"/>
      <w:numFmt w:val="decimal"/>
      <w:pStyle w:val="Heading3"/>
      <w:lvlText w:val="%3."/>
      <w:legacy w:legacy="1" w:legacySpace="0" w:legacyIndent="720"/>
      <w:lvlJc w:val="left"/>
      <w:pPr>
        <w:ind w:left="1440" w:hanging="720"/>
      </w:pPr>
    </w:lvl>
    <w:lvl w:ilvl="3">
      <w:start w:val="1"/>
      <w:numFmt w:val="lowerLetter"/>
      <w:pStyle w:val="Heading4"/>
      <w:lvlText w:val="%4."/>
      <w:legacy w:legacy="1" w:legacySpace="0" w:legacyIndent="720"/>
      <w:lvlJc w:val="left"/>
      <w:pPr>
        <w:ind w:left="2160" w:hanging="720"/>
      </w:pPr>
    </w:lvl>
    <w:lvl w:ilvl="4">
      <w:start w:val="1"/>
      <w:numFmt w:val="lowerRoman"/>
      <w:pStyle w:val="Heading5"/>
      <w:lvlText w:val="%5."/>
      <w:legacy w:legacy="1" w:legacySpace="0" w:legacyIndent="720"/>
      <w:lvlJc w:val="left"/>
      <w:pPr>
        <w:ind w:left="2880" w:hanging="720"/>
      </w:pPr>
    </w:lvl>
    <w:lvl w:ilvl="5">
      <w:start w:val="1"/>
      <w:numFmt w:val="none"/>
      <w:pStyle w:val="Heading6"/>
      <w:suff w:val="nothing"/>
      <w:lvlText w:val=""/>
      <w:lvlJc w:val="left"/>
      <w:pPr>
        <w:ind w:left="4320" w:hanging="720"/>
      </w:pPr>
    </w:lvl>
    <w:lvl w:ilvl="6">
      <w:start w:val="1"/>
      <w:numFmt w:val="none"/>
      <w:pStyle w:val="Heading7"/>
      <w:suff w:val="nothing"/>
      <w:lvlText w:val=""/>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2C0297D"/>
    <w:multiLevelType w:val="multilevel"/>
    <w:tmpl w:val="838AC0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D759FF"/>
    <w:multiLevelType w:val="hybridMultilevel"/>
    <w:tmpl w:val="7C9CF0DE"/>
    <w:lvl w:ilvl="0" w:tplc="3774B1CE">
      <w:start w:val="9"/>
      <w:numFmt w:val="lowerLetter"/>
      <w:lvlText w:val="%1."/>
      <w:lvlJc w:val="left"/>
      <w:pPr>
        <w:ind w:left="1440" w:hanging="360"/>
      </w:pPr>
      <w:rPr>
        <w:rFonts w:hint="default"/>
        <w:b w:val="0"/>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06B044BC"/>
    <w:multiLevelType w:val="hybridMultilevel"/>
    <w:tmpl w:val="1BC25CB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967594D"/>
    <w:multiLevelType w:val="hybridMultilevel"/>
    <w:tmpl w:val="0E02B53C"/>
    <w:lvl w:ilvl="0" w:tplc="A1188BC6">
      <w:start w:val="1"/>
      <w:numFmt w:val="decimal"/>
      <w:lvlText w:val="%1."/>
      <w:lvlJc w:val="left"/>
      <w:pPr>
        <w:ind w:left="4770" w:hanging="360"/>
      </w:pPr>
      <w:rPr>
        <w:rFonts w:hint="default"/>
        <w:b w:val="0"/>
        <w:i w:val="0"/>
        <w:color w:val="auto"/>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0B113C93"/>
    <w:multiLevelType w:val="hybridMultilevel"/>
    <w:tmpl w:val="1D7C8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E77B1"/>
    <w:multiLevelType w:val="hybridMultilevel"/>
    <w:tmpl w:val="4FA01962"/>
    <w:lvl w:ilvl="0" w:tplc="C15C6384">
      <w:start w:val="4"/>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3B17F4"/>
    <w:multiLevelType w:val="hybridMultilevel"/>
    <w:tmpl w:val="F2E0205E"/>
    <w:lvl w:ilvl="0" w:tplc="0C090015">
      <w:start w:val="1"/>
      <w:numFmt w:val="upp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8" w15:restartNumberingAfterBreak="0">
    <w:nsid w:val="0E713BE8"/>
    <w:multiLevelType w:val="hybridMultilevel"/>
    <w:tmpl w:val="FADE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F4B92"/>
    <w:multiLevelType w:val="hybridMultilevel"/>
    <w:tmpl w:val="C27E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C0ADB"/>
    <w:multiLevelType w:val="hybridMultilevel"/>
    <w:tmpl w:val="6074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83FA2"/>
    <w:multiLevelType w:val="hybridMultilevel"/>
    <w:tmpl w:val="DDEA1498"/>
    <w:lvl w:ilvl="0" w:tplc="6C349A92">
      <w:start w:val="1"/>
      <w:numFmt w:val="lowerRoman"/>
      <w:lvlText w:val="(%1)"/>
      <w:lvlJc w:val="left"/>
      <w:pPr>
        <w:ind w:left="1080" w:hanging="360"/>
      </w:pPr>
      <w:rPr>
        <w:rFonts w:ascii="Arial" w:eastAsia="Calibri"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AF337B"/>
    <w:multiLevelType w:val="hybridMultilevel"/>
    <w:tmpl w:val="DC7E4B8E"/>
    <w:lvl w:ilvl="0" w:tplc="EE7486EE">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4036DA3"/>
    <w:multiLevelType w:val="hybridMultilevel"/>
    <w:tmpl w:val="EED618B8"/>
    <w:lvl w:ilvl="0" w:tplc="A02A1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A52E04"/>
    <w:multiLevelType w:val="hybridMultilevel"/>
    <w:tmpl w:val="446AEC6C"/>
    <w:lvl w:ilvl="0" w:tplc="CE66DA8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17DC18A9"/>
    <w:multiLevelType w:val="hybridMultilevel"/>
    <w:tmpl w:val="446AEC6C"/>
    <w:lvl w:ilvl="0" w:tplc="CE66DA8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1E0D7CF9"/>
    <w:multiLevelType w:val="hybridMultilevel"/>
    <w:tmpl w:val="3BF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25C24"/>
    <w:multiLevelType w:val="hybridMultilevel"/>
    <w:tmpl w:val="8FD8E6E4"/>
    <w:lvl w:ilvl="0" w:tplc="53204E52">
      <w:start w:val="1"/>
      <w:numFmt w:val="lowerRoman"/>
      <w:lvlText w:val="%1."/>
      <w:lvlJc w:val="left"/>
      <w:pPr>
        <w:ind w:left="1080" w:hanging="72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FF2017"/>
    <w:multiLevelType w:val="hybridMultilevel"/>
    <w:tmpl w:val="50007C1A"/>
    <w:lvl w:ilvl="0" w:tplc="6D46702C">
      <w:start w:val="1"/>
      <w:numFmt w:val="lowerRoman"/>
      <w:lvlText w:val="(%1)"/>
      <w:lvlJc w:val="left"/>
      <w:pPr>
        <w:ind w:left="1440" w:hanging="360"/>
      </w:pPr>
      <w:rPr>
        <w:rFonts w:ascii="Arial" w:eastAsia="SimSun" w:hAnsi="Arial" w:cs="Times New Roman"/>
        <w:b w:val="0"/>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210746D6"/>
    <w:multiLevelType w:val="hybridMultilevel"/>
    <w:tmpl w:val="4D7E4178"/>
    <w:lvl w:ilvl="0" w:tplc="7EAAC9CC">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C54578"/>
    <w:multiLevelType w:val="singleLevel"/>
    <w:tmpl w:val="C0D8B6E6"/>
    <w:lvl w:ilvl="0">
      <w:start w:val="1"/>
      <w:numFmt w:val="lowerRoman"/>
      <w:lvlText w:val="(%1)"/>
      <w:lvlJc w:val="left"/>
      <w:pPr>
        <w:tabs>
          <w:tab w:val="num" w:pos="1440"/>
        </w:tabs>
        <w:ind w:left="1440" w:hanging="720"/>
      </w:pPr>
    </w:lvl>
  </w:abstractNum>
  <w:abstractNum w:abstractNumId="21" w15:restartNumberingAfterBreak="0">
    <w:nsid w:val="26C74974"/>
    <w:multiLevelType w:val="hybridMultilevel"/>
    <w:tmpl w:val="55F2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14707C"/>
    <w:multiLevelType w:val="hybridMultilevel"/>
    <w:tmpl w:val="386E3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67241F"/>
    <w:multiLevelType w:val="hybridMultilevel"/>
    <w:tmpl w:val="2F18004E"/>
    <w:lvl w:ilvl="0" w:tplc="0C1E4548">
      <w:start w:val="1"/>
      <w:numFmt w:val="lowerRoman"/>
      <w:lvlText w:val="%1."/>
      <w:lvlJc w:val="left"/>
      <w:pPr>
        <w:ind w:left="1080" w:hanging="72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546D75"/>
    <w:multiLevelType w:val="hybridMultilevel"/>
    <w:tmpl w:val="18C483C0"/>
    <w:lvl w:ilvl="0" w:tplc="F470F5BA">
      <w:start w:val="1"/>
      <w:numFmt w:val="lowerRoman"/>
      <w:lvlText w:val="%1."/>
      <w:lvlJc w:val="left"/>
      <w:pPr>
        <w:ind w:left="1080" w:hanging="72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2402B5"/>
    <w:multiLevelType w:val="hybridMultilevel"/>
    <w:tmpl w:val="1BC25CB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38223BC3"/>
    <w:multiLevelType w:val="hybridMultilevel"/>
    <w:tmpl w:val="0862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47123B"/>
    <w:multiLevelType w:val="hybridMultilevel"/>
    <w:tmpl w:val="39FE0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9134F0"/>
    <w:multiLevelType w:val="hybridMultilevel"/>
    <w:tmpl w:val="446AEC6C"/>
    <w:lvl w:ilvl="0" w:tplc="CE66DA8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41A80422"/>
    <w:multiLevelType w:val="hybridMultilevel"/>
    <w:tmpl w:val="814A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9D5418"/>
    <w:multiLevelType w:val="hybridMultilevel"/>
    <w:tmpl w:val="3EF498E2"/>
    <w:lvl w:ilvl="0" w:tplc="C1186CEC">
      <w:start w:val="1"/>
      <w:numFmt w:val="lowerRoman"/>
      <w:lvlText w:val="%1."/>
      <w:lvlJc w:val="left"/>
      <w:pPr>
        <w:ind w:left="1287" w:hanging="360"/>
      </w:pPr>
      <w:rPr>
        <w:rFonts w:ascii="Arial" w:eastAsia="Times New Roman" w:hAnsi="Arial" w:cs="Arial"/>
        <w:b w:val="0"/>
      </w:r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31" w15:restartNumberingAfterBreak="0">
    <w:nsid w:val="4B3B5082"/>
    <w:multiLevelType w:val="singleLevel"/>
    <w:tmpl w:val="EB0A8868"/>
    <w:lvl w:ilvl="0">
      <w:start w:val="1"/>
      <w:numFmt w:val="lowerRoman"/>
      <w:lvlText w:val="(%1)"/>
      <w:legacy w:legacy="1" w:legacySpace="0" w:legacyIndent="720"/>
      <w:lvlJc w:val="left"/>
      <w:pPr>
        <w:ind w:left="1440" w:hanging="720"/>
      </w:pPr>
    </w:lvl>
  </w:abstractNum>
  <w:abstractNum w:abstractNumId="32" w15:restartNumberingAfterBreak="0">
    <w:nsid w:val="4D405AC1"/>
    <w:multiLevelType w:val="hybridMultilevel"/>
    <w:tmpl w:val="75DC07DC"/>
    <w:lvl w:ilvl="0" w:tplc="C57CD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B34B09"/>
    <w:multiLevelType w:val="hybridMultilevel"/>
    <w:tmpl w:val="446AEC6C"/>
    <w:lvl w:ilvl="0" w:tplc="CE66DA8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43246A5"/>
    <w:multiLevelType w:val="hybridMultilevel"/>
    <w:tmpl w:val="12F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B6CED"/>
    <w:multiLevelType w:val="singleLevel"/>
    <w:tmpl w:val="00000000"/>
    <w:lvl w:ilvl="0">
      <w:start w:val="1"/>
      <w:numFmt w:val="lowerRoman"/>
      <w:lvlText w:val="(%1)"/>
      <w:legacy w:legacy="1" w:legacySpace="0" w:legacyIndent="720"/>
      <w:lvlJc w:val="left"/>
      <w:pPr>
        <w:ind w:left="720" w:hanging="720"/>
      </w:pPr>
    </w:lvl>
  </w:abstractNum>
  <w:abstractNum w:abstractNumId="36" w15:restartNumberingAfterBreak="0">
    <w:nsid w:val="58CB265D"/>
    <w:multiLevelType w:val="hybridMultilevel"/>
    <w:tmpl w:val="CF92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1702CA"/>
    <w:multiLevelType w:val="hybridMultilevel"/>
    <w:tmpl w:val="50007C1A"/>
    <w:lvl w:ilvl="0" w:tplc="6D46702C">
      <w:start w:val="1"/>
      <w:numFmt w:val="lowerRoman"/>
      <w:lvlText w:val="(%1)"/>
      <w:lvlJc w:val="left"/>
      <w:pPr>
        <w:ind w:left="1440" w:hanging="360"/>
      </w:pPr>
      <w:rPr>
        <w:rFonts w:ascii="Arial" w:eastAsia="SimSun" w:hAnsi="Arial" w:cs="Times New Roman"/>
        <w:b w:val="0"/>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8" w15:restartNumberingAfterBreak="0">
    <w:nsid w:val="596B24EB"/>
    <w:multiLevelType w:val="hybridMultilevel"/>
    <w:tmpl w:val="1F30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1209F0"/>
    <w:multiLevelType w:val="hybridMultilevel"/>
    <w:tmpl w:val="513E3C82"/>
    <w:lvl w:ilvl="0" w:tplc="D924F080">
      <w:start w:val="1"/>
      <w:numFmt w:val="lowerRoman"/>
      <w:lvlText w:val="%1."/>
      <w:lvlJc w:val="left"/>
      <w:pPr>
        <w:ind w:left="1080" w:hanging="72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43F6E"/>
    <w:multiLevelType w:val="hybridMultilevel"/>
    <w:tmpl w:val="CFA0D634"/>
    <w:lvl w:ilvl="0" w:tplc="877AB9E4">
      <w:start w:val="143"/>
      <w:numFmt w:val="decimal"/>
      <w:lvlText w:val="%1."/>
      <w:lvlJc w:val="left"/>
      <w:pPr>
        <w:ind w:left="4830" w:hanging="420"/>
      </w:pPr>
      <w:rPr>
        <w:rFonts w:hint="default"/>
      </w:rPr>
    </w:lvl>
    <w:lvl w:ilvl="1" w:tplc="0C090019" w:tentative="1">
      <w:start w:val="1"/>
      <w:numFmt w:val="lowerLetter"/>
      <w:lvlText w:val="%2."/>
      <w:lvlJc w:val="left"/>
      <w:pPr>
        <w:ind w:left="5490" w:hanging="360"/>
      </w:pPr>
    </w:lvl>
    <w:lvl w:ilvl="2" w:tplc="0C09001B" w:tentative="1">
      <w:start w:val="1"/>
      <w:numFmt w:val="lowerRoman"/>
      <w:lvlText w:val="%3."/>
      <w:lvlJc w:val="right"/>
      <w:pPr>
        <w:ind w:left="6210" w:hanging="180"/>
      </w:pPr>
    </w:lvl>
    <w:lvl w:ilvl="3" w:tplc="0C09000F" w:tentative="1">
      <w:start w:val="1"/>
      <w:numFmt w:val="decimal"/>
      <w:lvlText w:val="%4."/>
      <w:lvlJc w:val="left"/>
      <w:pPr>
        <w:ind w:left="6930" w:hanging="360"/>
      </w:pPr>
    </w:lvl>
    <w:lvl w:ilvl="4" w:tplc="0C090019">
      <w:start w:val="1"/>
      <w:numFmt w:val="lowerLetter"/>
      <w:lvlText w:val="%5."/>
      <w:lvlJc w:val="left"/>
      <w:pPr>
        <w:ind w:left="7650" w:hanging="360"/>
      </w:pPr>
    </w:lvl>
    <w:lvl w:ilvl="5" w:tplc="0C09001B" w:tentative="1">
      <w:start w:val="1"/>
      <w:numFmt w:val="lowerRoman"/>
      <w:lvlText w:val="%6."/>
      <w:lvlJc w:val="right"/>
      <w:pPr>
        <w:ind w:left="8370" w:hanging="180"/>
      </w:pPr>
    </w:lvl>
    <w:lvl w:ilvl="6" w:tplc="0C09000F" w:tentative="1">
      <w:start w:val="1"/>
      <w:numFmt w:val="decimal"/>
      <w:lvlText w:val="%7."/>
      <w:lvlJc w:val="left"/>
      <w:pPr>
        <w:ind w:left="9090" w:hanging="360"/>
      </w:pPr>
    </w:lvl>
    <w:lvl w:ilvl="7" w:tplc="0C090019" w:tentative="1">
      <w:start w:val="1"/>
      <w:numFmt w:val="lowerLetter"/>
      <w:lvlText w:val="%8."/>
      <w:lvlJc w:val="left"/>
      <w:pPr>
        <w:ind w:left="9810" w:hanging="360"/>
      </w:pPr>
    </w:lvl>
    <w:lvl w:ilvl="8" w:tplc="0C09001B" w:tentative="1">
      <w:start w:val="1"/>
      <w:numFmt w:val="lowerRoman"/>
      <w:lvlText w:val="%9."/>
      <w:lvlJc w:val="right"/>
      <w:pPr>
        <w:ind w:left="10530" w:hanging="180"/>
      </w:pPr>
    </w:lvl>
  </w:abstractNum>
  <w:abstractNum w:abstractNumId="41" w15:restartNumberingAfterBreak="0">
    <w:nsid w:val="5C933C5F"/>
    <w:multiLevelType w:val="hybridMultilevel"/>
    <w:tmpl w:val="1BC25CB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5C9B79D7"/>
    <w:multiLevelType w:val="hybridMultilevel"/>
    <w:tmpl w:val="5CD4CC8C"/>
    <w:lvl w:ilvl="0" w:tplc="837800D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DB41E74">
      <w:start w:val="1"/>
      <w:numFmt w:val="decimal"/>
      <w:lvlText w:val="%4."/>
      <w:lvlJc w:val="left"/>
      <w:pPr>
        <w:ind w:left="2880" w:hanging="360"/>
      </w:pPr>
      <w:rPr>
        <w:rFonts w:hint="default"/>
      </w:rPr>
    </w:lvl>
    <w:lvl w:ilvl="4" w:tplc="C4F21C9A">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BF1174"/>
    <w:multiLevelType w:val="hybridMultilevel"/>
    <w:tmpl w:val="699CE7D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5FF62DDB"/>
    <w:multiLevelType w:val="hybridMultilevel"/>
    <w:tmpl w:val="0AB2ABF6"/>
    <w:lvl w:ilvl="0" w:tplc="89D06FE2">
      <w:start w:val="2"/>
      <w:numFmt w:val="lowerRoman"/>
      <w:lvlText w:val="%1."/>
      <w:lvlJc w:val="left"/>
      <w:pPr>
        <w:ind w:left="1854" w:hanging="720"/>
      </w:pPr>
      <w:rPr>
        <w:rFonts w:hint="default"/>
        <w:b w:val="0"/>
      </w:rPr>
    </w:lvl>
    <w:lvl w:ilvl="1" w:tplc="34090019">
      <w:start w:val="1"/>
      <w:numFmt w:val="lowerLetter"/>
      <w:lvlText w:val="%2."/>
      <w:lvlJc w:val="left"/>
      <w:pPr>
        <w:ind w:left="2214" w:hanging="360"/>
      </w:pPr>
    </w:lvl>
    <w:lvl w:ilvl="2" w:tplc="3409001B" w:tentative="1">
      <w:start w:val="1"/>
      <w:numFmt w:val="lowerRoman"/>
      <w:lvlText w:val="%3."/>
      <w:lvlJc w:val="right"/>
      <w:pPr>
        <w:ind w:left="2934" w:hanging="180"/>
      </w:pPr>
    </w:lvl>
    <w:lvl w:ilvl="3" w:tplc="3409000F" w:tentative="1">
      <w:start w:val="1"/>
      <w:numFmt w:val="decimal"/>
      <w:lvlText w:val="%4."/>
      <w:lvlJc w:val="left"/>
      <w:pPr>
        <w:ind w:left="3654" w:hanging="360"/>
      </w:pPr>
    </w:lvl>
    <w:lvl w:ilvl="4" w:tplc="34090019" w:tentative="1">
      <w:start w:val="1"/>
      <w:numFmt w:val="lowerLetter"/>
      <w:lvlText w:val="%5."/>
      <w:lvlJc w:val="left"/>
      <w:pPr>
        <w:ind w:left="4374" w:hanging="360"/>
      </w:pPr>
    </w:lvl>
    <w:lvl w:ilvl="5" w:tplc="3409001B" w:tentative="1">
      <w:start w:val="1"/>
      <w:numFmt w:val="lowerRoman"/>
      <w:lvlText w:val="%6."/>
      <w:lvlJc w:val="right"/>
      <w:pPr>
        <w:ind w:left="5094" w:hanging="180"/>
      </w:pPr>
    </w:lvl>
    <w:lvl w:ilvl="6" w:tplc="3409000F" w:tentative="1">
      <w:start w:val="1"/>
      <w:numFmt w:val="decimal"/>
      <w:lvlText w:val="%7."/>
      <w:lvlJc w:val="left"/>
      <w:pPr>
        <w:ind w:left="5814" w:hanging="360"/>
      </w:pPr>
    </w:lvl>
    <w:lvl w:ilvl="7" w:tplc="34090019" w:tentative="1">
      <w:start w:val="1"/>
      <w:numFmt w:val="lowerLetter"/>
      <w:lvlText w:val="%8."/>
      <w:lvlJc w:val="left"/>
      <w:pPr>
        <w:ind w:left="6534" w:hanging="360"/>
      </w:pPr>
    </w:lvl>
    <w:lvl w:ilvl="8" w:tplc="3409001B" w:tentative="1">
      <w:start w:val="1"/>
      <w:numFmt w:val="lowerRoman"/>
      <w:lvlText w:val="%9."/>
      <w:lvlJc w:val="right"/>
      <w:pPr>
        <w:ind w:left="7254" w:hanging="180"/>
      </w:pPr>
    </w:lvl>
  </w:abstractNum>
  <w:abstractNum w:abstractNumId="45" w15:restartNumberingAfterBreak="0">
    <w:nsid w:val="5FF9319B"/>
    <w:multiLevelType w:val="hybridMultilevel"/>
    <w:tmpl w:val="6CA0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F72589"/>
    <w:multiLevelType w:val="hybridMultilevel"/>
    <w:tmpl w:val="CA0CAC2C"/>
    <w:lvl w:ilvl="0" w:tplc="8A94E0F6">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45B3A89"/>
    <w:multiLevelType w:val="hybridMultilevel"/>
    <w:tmpl w:val="A4BC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80DCB"/>
    <w:multiLevelType w:val="singleLevel"/>
    <w:tmpl w:val="3D262EC0"/>
    <w:lvl w:ilvl="0">
      <w:start w:val="1"/>
      <w:numFmt w:val="lowerRoman"/>
      <w:lvlText w:val="(%1)"/>
      <w:lvlJc w:val="left"/>
      <w:pPr>
        <w:tabs>
          <w:tab w:val="num" w:pos="1440"/>
        </w:tabs>
        <w:ind w:left="1440" w:hanging="720"/>
      </w:pPr>
    </w:lvl>
  </w:abstractNum>
  <w:abstractNum w:abstractNumId="49" w15:restartNumberingAfterBreak="0">
    <w:nsid w:val="67476086"/>
    <w:multiLevelType w:val="hybridMultilevel"/>
    <w:tmpl w:val="946EBFD6"/>
    <w:lvl w:ilvl="0" w:tplc="15D04662">
      <w:start w:val="1"/>
      <w:numFmt w:val="lowerRoman"/>
      <w:lvlText w:val="%1."/>
      <w:lvlJc w:val="left"/>
      <w:pPr>
        <w:ind w:left="1386" w:hanging="720"/>
      </w:pPr>
      <w:rPr>
        <w:rFonts w:ascii="Arial" w:eastAsia="Times New Roman" w:hAnsi="Arial" w:cs="Arial"/>
        <w:b w:val="0"/>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50" w15:restartNumberingAfterBreak="0">
    <w:nsid w:val="6DD679D8"/>
    <w:multiLevelType w:val="hybridMultilevel"/>
    <w:tmpl w:val="446AEC6C"/>
    <w:lvl w:ilvl="0" w:tplc="CE66DA8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6E853923"/>
    <w:multiLevelType w:val="hybridMultilevel"/>
    <w:tmpl w:val="450E8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E64B7A"/>
    <w:multiLevelType w:val="hybridMultilevel"/>
    <w:tmpl w:val="C62C12A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23D6DDE"/>
    <w:multiLevelType w:val="hybridMultilevel"/>
    <w:tmpl w:val="7B58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D57B16"/>
    <w:multiLevelType w:val="hybridMultilevel"/>
    <w:tmpl w:val="6D56DF66"/>
    <w:lvl w:ilvl="0" w:tplc="69C640C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73F601F3"/>
    <w:multiLevelType w:val="hybridMultilevel"/>
    <w:tmpl w:val="14EC0280"/>
    <w:lvl w:ilvl="0" w:tplc="877AB9E4">
      <w:start w:val="140"/>
      <w:numFmt w:val="decimal"/>
      <w:lvlText w:val="%1."/>
      <w:lvlJc w:val="left"/>
      <w:pPr>
        <w:ind w:left="4830" w:hanging="420"/>
      </w:pPr>
      <w:rPr>
        <w:rFonts w:hint="default"/>
      </w:rPr>
    </w:lvl>
    <w:lvl w:ilvl="1" w:tplc="0C090019" w:tentative="1">
      <w:start w:val="1"/>
      <w:numFmt w:val="lowerLetter"/>
      <w:lvlText w:val="%2."/>
      <w:lvlJc w:val="left"/>
      <w:pPr>
        <w:ind w:left="5490" w:hanging="360"/>
      </w:pPr>
    </w:lvl>
    <w:lvl w:ilvl="2" w:tplc="0C09001B" w:tentative="1">
      <w:start w:val="1"/>
      <w:numFmt w:val="lowerRoman"/>
      <w:lvlText w:val="%3."/>
      <w:lvlJc w:val="right"/>
      <w:pPr>
        <w:ind w:left="6210" w:hanging="180"/>
      </w:pPr>
    </w:lvl>
    <w:lvl w:ilvl="3" w:tplc="0C09000F" w:tentative="1">
      <w:start w:val="1"/>
      <w:numFmt w:val="decimal"/>
      <w:lvlText w:val="%4."/>
      <w:lvlJc w:val="left"/>
      <w:pPr>
        <w:ind w:left="6930" w:hanging="360"/>
      </w:pPr>
    </w:lvl>
    <w:lvl w:ilvl="4" w:tplc="0C090019">
      <w:start w:val="1"/>
      <w:numFmt w:val="lowerLetter"/>
      <w:lvlText w:val="%5."/>
      <w:lvlJc w:val="left"/>
      <w:pPr>
        <w:ind w:left="7650" w:hanging="360"/>
      </w:pPr>
    </w:lvl>
    <w:lvl w:ilvl="5" w:tplc="0C09001B" w:tentative="1">
      <w:start w:val="1"/>
      <w:numFmt w:val="lowerRoman"/>
      <w:lvlText w:val="%6."/>
      <w:lvlJc w:val="right"/>
      <w:pPr>
        <w:ind w:left="8370" w:hanging="180"/>
      </w:pPr>
    </w:lvl>
    <w:lvl w:ilvl="6" w:tplc="0C09000F" w:tentative="1">
      <w:start w:val="1"/>
      <w:numFmt w:val="decimal"/>
      <w:lvlText w:val="%7."/>
      <w:lvlJc w:val="left"/>
      <w:pPr>
        <w:ind w:left="9090" w:hanging="360"/>
      </w:pPr>
    </w:lvl>
    <w:lvl w:ilvl="7" w:tplc="0C090019" w:tentative="1">
      <w:start w:val="1"/>
      <w:numFmt w:val="lowerLetter"/>
      <w:lvlText w:val="%8."/>
      <w:lvlJc w:val="left"/>
      <w:pPr>
        <w:ind w:left="9810" w:hanging="360"/>
      </w:pPr>
    </w:lvl>
    <w:lvl w:ilvl="8" w:tplc="0C09001B" w:tentative="1">
      <w:start w:val="1"/>
      <w:numFmt w:val="lowerRoman"/>
      <w:lvlText w:val="%9."/>
      <w:lvlJc w:val="right"/>
      <w:pPr>
        <w:ind w:left="10530" w:hanging="180"/>
      </w:pPr>
    </w:lvl>
  </w:abstractNum>
  <w:abstractNum w:abstractNumId="56" w15:restartNumberingAfterBreak="0">
    <w:nsid w:val="75D0719E"/>
    <w:multiLevelType w:val="hybridMultilevel"/>
    <w:tmpl w:val="21B0D090"/>
    <w:lvl w:ilvl="0" w:tplc="893E9336">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768650A4"/>
    <w:multiLevelType w:val="hybridMultilevel"/>
    <w:tmpl w:val="37AC2776"/>
    <w:lvl w:ilvl="0" w:tplc="506EEAF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7C31317C"/>
    <w:multiLevelType w:val="hybridMultilevel"/>
    <w:tmpl w:val="9782FC2A"/>
    <w:lvl w:ilvl="0" w:tplc="BBB48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A22DC5"/>
    <w:multiLevelType w:val="hybridMultilevel"/>
    <w:tmpl w:val="2AFC7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1"/>
  </w:num>
  <w:num w:numId="3">
    <w:abstractNumId w:val="31"/>
    <w:lvlOverride w:ilvl="0">
      <w:lvl w:ilvl="0">
        <w:start w:val="1"/>
        <w:numFmt w:val="lowerRoman"/>
        <w:lvlText w:val="(%1)"/>
        <w:legacy w:legacy="1" w:legacySpace="0" w:legacyIndent="720"/>
        <w:lvlJc w:val="left"/>
        <w:pPr>
          <w:ind w:left="1440" w:hanging="720"/>
        </w:pPr>
      </w:lvl>
    </w:lvlOverride>
  </w:num>
  <w:num w:numId="4">
    <w:abstractNumId w:val="48"/>
  </w:num>
  <w:num w:numId="5">
    <w:abstractNumId w:val="20"/>
  </w:num>
  <w:num w:numId="6">
    <w:abstractNumId w:val="35"/>
  </w:num>
  <w:num w:numId="7">
    <w:abstractNumId w:val="0"/>
  </w:num>
  <w:num w:numId="8">
    <w:abstractNumId w:val="59"/>
  </w:num>
  <w:num w:numId="9">
    <w:abstractNumId w:val="42"/>
  </w:num>
  <w:num w:numId="10">
    <w:abstractNumId w:val="4"/>
  </w:num>
  <w:num w:numId="11">
    <w:abstractNumId w:val="56"/>
  </w:num>
  <w:num w:numId="12">
    <w:abstractNumId w:val="2"/>
  </w:num>
  <w:num w:numId="13">
    <w:abstractNumId w:val="44"/>
  </w:num>
  <w:num w:numId="14">
    <w:abstractNumId w:val="18"/>
  </w:num>
  <w:num w:numId="15">
    <w:abstractNumId w:val="11"/>
  </w:num>
  <w:num w:numId="16">
    <w:abstractNumId w:val="33"/>
  </w:num>
  <w:num w:numId="17">
    <w:abstractNumId w:val="49"/>
  </w:num>
  <w:num w:numId="18">
    <w:abstractNumId w:val="39"/>
  </w:num>
  <w:num w:numId="19">
    <w:abstractNumId w:val="52"/>
  </w:num>
  <w:num w:numId="20">
    <w:abstractNumId w:val="57"/>
  </w:num>
  <w:num w:numId="21">
    <w:abstractNumId w:val="17"/>
  </w:num>
  <w:num w:numId="22">
    <w:abstractNumId w:val="24"/>
  </w:num>
  <w:num w:numId="23">
    <w:abstractNumId w:val="43"/>
  </w:num>
  <w:num w:numId="24">
    <w:abstractNumId w:val="54"/>
  </w:num>
  <w:num w:numId="25">
    <w:abstractNumId w:val="23"/>
  </w:num>
  <w:num w:numId="26">
    <w:abstractNumId w:val="30"/>
  </w:num>
  <w:num w:numId="27">
    <w:abstractNumId w:val="25"/>
  </w:num>
  <w:num w:numId="28">
    <w:abstractNumId w:val="21"/>
  </w:num>
  <w:num w:numId="29">
    <w:abstractNumId w:val="8"/>
  </w:num>
  <w:num w:numId="30">
    <w:abstractNumId w:val="34"/>
  </w:num>
  <w:num w:numId="31">
    <w:abstractNumId w:val="53"/>
  </w:num>
  <w:num w:numId="32">
    <w:abstractNumId w:val="16"/>
  </w:num>
  <w:num w:numId="33">
    <w:abstractNumId w:val="47"/>
  </w:num>
  <w:num w:numId="34">
    <w:abstractNumId w:val="38"/>
  </w:num>
  <w:num w:numId="35">
    <w:abstractNumId w:val="36"/>
  </w:num>
  <w:num w:numId="36">
    <w:abstractNumId w:val="27"/>
  </w:num>
  <w:num w:numId="37">
    <w:abstractNumId w:val="29"/>
  </w:num>
  <w:num w:numId="38">
    <w:abstractNumId w:val="51"/>
  </w:num>
  <w:num w:numId="39">
    <w:abstractNumId w:val="45"/>
  </w:num>
  <w:num w:numId="40">
    <w:abstractNumId w:val="10"/>
  </w:num>
  <w:num w:numId="41">
    <w:abstractNumId w:val="9"/>
  </w:num>
  <w:num w:numId="42">
    <w:abstractNumId w:val="26"/>
  </w:num>
  <w:num w:numId="43">
    <w:abstractNumId w:val="1"/>
  </w:num>
  <w:num w:numId="44">
    <w:abstractNumId w:val="58"/>
  </w:num>
  <w:num w:numId="45">
    <w:abstractNumId w:val="41"/>
  </w:num>
  <w:num w:numId="46">
    <w:abstractNumId w:val="37"/>
  </w:num>
  <w:num w:numId="47">
    <w:abstractNumId w:val="50"/>
  </w:num>
  <w:num w:numId="48">
    <w:abstractNumId w:val="15"/>
  </w:num>
  <w:num w:numId="49">
    <w:abstractNumId w:val="28"/>
  </w:num>
  <w:num w:numId="50">
    <w:abstractNumId w:val="14"/>
  </w:num>
  <w:num w:numId="51">
    <w:abstractNumId w:val="3"/>
  </w:num>
  <w:num w:numId="52">
    <w:abstractNumId w:val="7"/>
  </w:num>
  <w:num w:numId="53">
    <w:abstractNumId w:val="12"/>
  </w:num>
  <w:num w:numId="54">
    <w:abstractNumId w:val="46"/>
  </w:num>
  <w:num w:numId="55">
    <w:abstractNumId w:val="22"/>
  </w:num>
  <w:num w:numId="56">
    <w:abstractNumId w:val="6"/>
  </w:num>
  <w:num w:numId="57">
    <w:abstractNumId w:val="55"/>
  </w:num>
  <w:num w:numId="58">
    <w:abstractNumId w:val="40"/>
  </w:num>
  <w:num w:numId="59">
    <w:abstractNumId w:val="32"/>
  </w:num>
  <w:num w:numId="60">
    <w:abstractNumId w:val="13"/>
  </w:num>
  <w:num w:numId="6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62"/>
    <w:rsid w:val="00004970"/>
    <w:rsid w:val="00004E26"/>
    <w:rsid w:val="000112AF"/>
    <w:rsid w:val="00015E6F"/>
    <w:rsid w:val="00020A57"/>
    <w:rsid w:val="00021E4C"/>
    <w:rsid w:val="00030682"/>
    <w:rsid w:val="00031C68"/>
    <w:rsid w:val="00033D45"/>
    <w:rsid w:val="00046637"/>
    <w:rsid w:val="0005044C"/>
    <w:rsid w:val="00060642"/>
    <w:rsid w:val="00063A34"/>
    <w:rsid w:val="0006626B"/>
    <w:rsid w:val="0006764E"/>
    <w:rsid w:val="0007677A"/>
    <w:rsid w:val="000767A5"/>
    <w:rsid w:val="0007783A"/>
    <w:rsid w:val="00084609"/>
    <w:rsid w:val="00085210"/>
    <w:rsid w:val="00086D68"/>
    <w:rsid w:val="000A0819"/>
    <w:rsid w:val="000A290C"/>
    <w:rsid w:val="000A3D6C"/>
    <w:rsid w:val="000A4F8D"/>
    <w:rsid w:val="000A55BC"/>
    <w:rsid w:val="000A6E6D"/>
    <w:rsid w:val="000A78AA"/>
    <w:rsid w:val="000B188C"/>
    <w:rsid w:val="000B74C5"/>
    <w:rsid w:val="000C15E8"/>
    <w:rsid w:val="000C3DAA"/>
    <w:rsid w:val="000D639E"/>
    <w:rsid w:val="000D6744"/>
    <w:rsid w:val="000E4AFA"/>
    <w:rsid w:val="000F1A7C"/>
    <w:rsid w:val="000F1FC3"/>
    <w:rsid w:val="00113500"/>
    <w:rsid w:val="001143BF"/>
    <w:rsid w:val="001235A3"/>
    <w:rsid w:val="001275BB"/>
    <w:rsid w:val="001279B5"/>
    <w:rsid w:val="00133FFA"/>
    <w:rsid w:val="001461C0"/>
    <w:rsid w:val="0015188F"/>
    <w:rsid w:val="00156B5A"/>
    <w:rsid w:val="00160E42"/>
    <w:rsid w:val="00164541"/>
    <w:rsid w:val="00170139"/>
    <w:rsid w:val="0017570B"/>
    <w:rsid w:val="00180942"/>
    <w:rsid w:val="00180FF4"/>
    <w:rsid w:val="001862D4"/>
    <w:rsid w:val="00186BF3"/>
    <w:rsid w:val="001944CE"/>
    <w:rsid w:val="001A6CF8"/>
    <w:rsid w:val="001B158B"/>
    <w:rsid w:val="001B3561"/>
    <w:rsid w:val="001B3952"/>
    <w:rsid w:val="001C14C3"/>
    <w:rsid w:val="001C25FF"/>
    <w:rsid w:val="001C3C73"/>
    <w:rsid w:val="001C3D2E"/>
    <w:rsid w:val="001D0C7D"/>
    <w:rsid w:val="001D3BFE"/>
    <w:rsid w:val="001D490C"/>
    <w:rsid w:val="001D66AE"/>
    <w:rsid w:val="001E3AFD"/>
    <w:rsid w:val="002007AC"/>
    <w:rsid w:val="00205AD1"/>
    <w:rsid w:val="00210B8F"/>
    <w:rsid w:val="00211D9D"/>
    <w:rsid w:val="00221F09"/>
    <w:rsid w:val="0022466A"/>
    <w:rsid w:val="0022772A"/>
    <w:rsid w:val="00230C32"/>
    <w:rsid w:val="0023273D"/>
    <w:rsid w:val="00240903"/>
    <w:rsid w:val="00240CE4"/>
    <w:rsid w:val="00252B47"/>
    <w:rsid w:val="00276A0E"/>
    <w:rsid w:val="002772D5"/>
    <w:rsid w:val="00280342"/>
    <w:rsid w:val="00280A69"/>
    <w:rsid w:val="002822E4"/>
    <w:rsid w:val="00282670"/>
    <w:rsid w:val="00283346"/>
    <w:rsid w:val="002839F4"/>
    <w:rsid w:val="002A32F5"/>
    <w:rsid w:val="002A39C8"/>
    <w:rsid w:val="002A6FC0"/>
    <w:rsid w:val="002B07DA"/>
    <w:rsid w:val="002B3DE1"/>
    <w:rsid w:val="002B69A2"/>
    <w:rsid w:val="002C1949"/>
    <w:rsid w:val="002C30D0"/>
    <w:rsid w:val="002C45B4"/>
    <w:rsid w:val="002D3749"/>
    <w:rsid w:val="002D55F3"/>
    <w:rsid w:val="002E2F45"/>
    <w:rsid w:val="002E6762"/>
    <w:rsid w:val="002E72E4"/>
    <w:rsid w:val="002F154B"/>
    <w:rsid w:val="002F3387"/>
    <w:rsid w:val="002F5FB5"/>
    <w:rsid w:val="003013F9"/>
    <w:rsid w:val="00302131"/>
    <w:rsid w:val="00306035"/>
    <w:rsid w:val="00306064"/>
    <w:rsid w:val="003068C2"/>
    <w:rsid w:val="00323096"/>
    <w:rsid w:val="00323C02"/>
    <w:rsid w:val="003256A4"/>
    <w:rsid w:val="00325B49"/>
    <w:rsid w:val="003262AB"/>
    <w:rsid w:val="0033228E"/>
    <w:rsid w:val="00334BF1"/>
    <w:rsid w:val="003368D7"/>
    <w:rsid w:val="00336F1E"/>
    <w:rsid w:val="0034297A"/>
    <w:rsid w:val="00346198"/>
    <w:rsid w:val="00354CB6"/>
    <w:rsid w:val="00356171"/>
    <w:rsid w:val="0036129E"/>
    <w:rsid w:val="00372D52"/>
    <w:rsid w:val="00373152"/>
    <w:rsid w:val="003731BA"/>
    <w:rsid w:val="00376F4C"/>
    <w:rsid w:val="003810F9"/>
    <w:rsid w:val="00385E70"/>
    <w:rsid w:val="00386573"/>
    <w:rsid w:val="00386F3B"/>
    <w:rsid w:val="003923F9"/>
    <w:rsid w:val="00393625"/>
    <w:rsid w:val="003937D9"/>
    <w:rsid w:val="00394C12"/>
    <w:rsid w:val="003957D7"/>
    <w:rsid w:val="003B09F1"/>
    <w:rsid w:val="003B0DE7"/>
    <w:rsid w:val="003B44F9"/>
    <w:rsid w:val="003B5892"/>
    <w:rsid w:val="003B6A78"/>
    <w:rsid w:val="003D7F27"/>
    <w:rsid w:val="003E12F1"/>
    <w:rsid w:val="003F08DD"/>
    <w:rsid w:val="003F17E2"/>
    <w:rsid w:val="003F2825"/>
    <w:rsid w:val="003F790D"/>
    <w:rsid w:val="004041FD"/>
    <w:rsid w:val="0040614C"/>
    <w:rsid w:val="00406AB3"/>
    <w:rsid w:val="00412E88"/>
    <w:rsid w:val="00413803"/>
    <w:rsid w:val="004153FF"/>
    <w:rsid w:val="00415BE3"/>
    <w:rsid w:val="00416618"/>
    <w:rsid w:val="00416A84"/>
    <w:rsid w:val="004176DE"/>
    <w:rsid w:val="00422F5E"/>
    <w:rsid w:val="0042365A"/>
    <w:rsid w:val="00432AD2"/>
    <w:rsid w:val="0043668B"/>
    <w:rsid w:val="004427C0"/>
    <w:rsid w:val="00444F9D"/>
    <w:rsid w:val="004469E7"/>
    <w:rsid w:val="00447F12"/>
    <w:rsid w:val="004574F3"/>
    <w:rsid w:val="0047112C"/>
    <w:rsid w:val="0047417B"/>
    <w:rsid w:val="00476FCB"/>
    <w:rsid w:val="00483E85"/>
    <w:rsid w:val="004858D4"/>
    <w:rsid w:val="00486BDD"/>
    <w:rsid w:val="004943CE"/>
    <w:rsid w:val="004B1AF2"/>
    <w:rsid w:val="004B2F0B"/>
    <w:rsid w:val="004B570F"/>
    <w:rsid w:val="004B7A19"/>
    <w:rsid w:val="004C0FFB"/>
    <w:rsid w:val="004C3454"/>
    <w:rsid w:val="004C7982"/>
    <w:rsid w:val="004D43CA"/>
    <w:rsid w:val="004D64E0"/>
    <w:rsid w:val="004D6661"/>
    <w:rsid w:val="004E05D1"/>
    <w:rsid w:val="004E6B93"/>
    <w:rsid w:val="004F06AB"/>
    <w:rsid w:val="004F0FEE"/>
    <w:rsid w:val="004F43E2"/>
    <w:rsid w:val="004F723D"/>
    <w:rsid w:val="004F7521"/>
    <w:rsid w:val="00504FBD"/>
    <w:rsid w:val="0050520C"/>
    <w:rsid w:val="00505377"/>
    <w:rsid w:val="00505C83"/>
    <w:rsid w:val="00506EE1"/>
    <w:rsid w:val="00515CCD"/>
    <w:rsid w:val="00532496"/>
    <w:rsid w:val="005458D2"/>
    <w:rsid w:val="005500F7"/>
    <w:rsid w:val="00550DB7"/>
    <w:rsid w:val="00550F83"/>
    <w:rsid w:val="005510F4"/>
    <w:rsid w:val="00553681"/>
    <w:rsid w:val="00553DF3"/>
    <w:rsid w:val="005553A2"/>
    <w:rsid w:val="00562C1F"/>
    <w:rsid w:val="00562E53"/>
    <w:rsid w:val="00567411"/>
    <w:rsid w:val="00570212"/>
    <w:rsid w:val="00586677"/>
    <w:rsid w:val="00591BE4"/>
    <w:rsid w:val="005A191B"/>
    <w:rsid w:val="005A4895"/>
    <w:rsid w:val="005A7BA3"/>
    <w:rsid w:val="005B00E9"/>
    <w:rsid w:val="005B3437"/>
    <w:rsid w:val="005B3644"/>
    <w:rsid w:val="005B5398"/>
    <w:rsid w:val="005B5DF3"/>
    <w:rsid w:val="005C22D4"/>
    <w:rsid w:val="005C530F"/>
    <w:rsid w:val="005C6913"/>
    <w:rsid w:val="005D23EF"/>
    <w:rsid w:val="005D2F64"/>
    <w:rsid w:val="005D67CD"/>
    <w:rsid w:val="005D67E7"/>
    <w:rsid w:val="005D70E0"/>
    <w:rsid w:val="005D72B8"/>
    <w:rsid w:val="005E30E1"/>
    <w:rsid w:val="005E65DD"/>
    <w:rsid w:val="005F4190"/>
    <w:rsid w:val="005F5576"/>
    <w:rsid w:val="005F7106"/>
    <w:rsid w:val="005F78C4"/>
    <w:rsid w:val="006017DF"/>
    <w:rsid w:val="0060305A"/>
    <w:rsid w:val="00603F0E"/>
    <w:rsid w:val="006070CA"/>
    <w:rsid w:val="00612B4D"/>
    <w:rsid w:val="006143B1"/>
    <w:rsid w:val="006215D5"/>
    <w:rsid w:val="00624F58"/>
    <w:rsid w:val="006313AC"/>
    <w:rsid w:val="00634774"/>
    <w:rsid w:val="006410B0"/>
    <w:rsid w:val="00641D72"/>
    <w:rsid w:val="0064266F"/>
    <w:rsid w:val="00644D54"/>
    <w:rsid w:val="00650609"/>
    <w:rsid w:val="00653729"/>
    <w:rsid w:val="00657E98"/>
    <w:rsid w:val="0066012D"/>
    <w:rsid w:val="00667BCD"/>
    <w:rsid w:val="00670064"/>
    <w:rsid w:val="0067638D"/>
    <w:rsid w:val="00676B85"/>
    <w:rsid w:val="00676E0F"/>
    <w:rsid w:val="00677A2A"/>
    <w:rsid w:val="00681BD0"/>
    <w:rsid w:val="006833E8"/>
    <w:rsid w:val="00683481"/>
    <w:rsid w:val="00685572"/>
    <w:rsid w:val="006B24EC"/>
    <w:rsid w:val="006C1B6A"/>
    <w:rsid w:val="006C4DF8"/>
    <w:rsid w:val="006D44B4"/>
    <w:rsid w:val="006E58D3"/>
    <w:rsid w:val="006E6EC0"/>
    <w:rsid w:val="006E77D8"/>
    <w:rsid w:val="006F0203"/>
    <w:rsid w:val="006F0BA4"/>
    <w:rsid w:val="006F5F4E"/>
    <w:rsid w:val="00703B69"/>
    <w:rsid w:val="0070401B"/>
    <w:rsid w:val="007100F9"/>
    <w:rsid w:val="0071408E"/>
    <w:rsid w:val="00714830"/>
    <w:rsid w:val="007154C9"/>
    <w:rsid w:val="00716373"/>
    <w:rsid w:val="00723C78"/>
    <w:rsid w:val="00724EE6"/>
    <w:rsid w:val="00732A17"/>
    <w:rsid w:val="007335F2"/>
    <w:rsid w:val="00742E28"/>
    <w:rsid w:val="00756411"/>
    <w:rsid w:val="00760B10"/>
    <w:rsid w:val="00761D0C"/>
    <w:rsid w:val="00770F34"/>
    <w:rsid w:val="007714C3"/>
    <w:rsid w:val="007731FB"/>
    <w:rsid w:val="00780FE8"/>
    <w:rsid w:val="00781C0F"/>
    <w:rsid w:val="00785AF6"/>
    <w:rsid w:val="00791F8F"/>
    <w:rsid w:val="00794C7C"/>
    <w:rsid w:val="007A5780"/>
    <w:rsid w:val="007A67C4"/>
    <w:rsid w:val="007B27E8"/>
    <w:rsid w:val="007B2A5C"/>
    <w:rsid w:val="007B6DCF"/>
    <w:rsid w:val="007D266B"/>
    <w:rsid w:val="007D3853"/>
    <w:rsid w:val="007E0264"/>
    <w:rsid w:val="007E0FF3"/>
    <w:rsid w:val="007E2894"/>
    <w:rsid w:val="007E440B"/>
    <w:rsid w:val="007E57FE"/>
    <w:rsid w:val="007E7C6C"/>
    <w:rsid w:val="007F0875"/>
    <w:rsid w:val="007F4162"/>
    <w:rsid w:val="008024A4"/>
    <w:rsid w:val="0080398B"/>
    <w:rsid w:val="0080506F"/>
    <w:rsid w:val="00807FC0"/>
    <w:rsid w:val="00813EB8"/>
    <w:rsid w:val="008140DD"/>
    <w:rsid w:val="008158DB"/>
    <w:rsid w:val="0082333D"/>
    <w:rsid w:val="008245D5"/>
    <w:rsid w:val="008257C5"/>
    <w:rsid w:val="00827B76"/>
    <w:rsid w:val="00834764"/>
    <w:rsid w:val="00834FC2"/>
    <w:rsid w:val="008418CC"/>
    <w:rsid w:val="00846571"/>
    <w:rsid w:val="00851915"/>
    <w:rsid w:val="008537BC"/>
    <w:rsid w:val="00857111"/>
    <w:rsid w:val="0085715F"/>
    <w:rsid w:val="00857ED0"/>
    <w:rsid w:val="008606BE"/>
    <w:rsid w:val="00866DD6"/>
    <w:rsid w:val="00870483"/>
    <w:rsid w:val="008711A9"/>
    <w:rsid w:val="00874CF3"/>
    <w:rsid w:val="00875115"/>
    <w:rsid w:val="008752EF"/>
    <w:rsid w:val="00875802"/>
    <w:rsid w:val="008764C2"/>
    <w:rsid w:val="00881A61"/>
    <w:rsid w:val="00883A7F"/>
    <w:rsid w:val="00884AF1"/>
    <w:rsid w:val="008878CB"/>
    <w:rsid w:val="00891CFA"/>
    <w:rsid w:val="00895766"/>
    <w:rsid w:val="008A370C"/>
    <w:rsid w:val="008B570D"/>
    <w:rsid w:val="008C129D"/>
    <w:rsid w:val="008C3AAA"/>
    <w:rsid w:val="008C3E87"/>
    <w:rsid w:val="008C7B5E"/>
    <w:rsid w:val="008D3611"/>
    <w:rsid w:val="008D6C74"/>
    <w:rsid w:val="008E171E"/>
    <w:rsid w:val="008E1947"/>
    <w:rsid w:val="008E6F74"/>
    <w:rsid w:val="008E722A"/>
    <w:rsid w:val="008F02F2"/>
    <w:rsid w:val="008F198D"/>
    <w:rsid w:val="008F675B"/>
    <w:rsid w:val="00901906"/>
    <w:rsid w:val="00901A1C"/>
    <w:rsid w:val="00911D26"/>
    <w:rsid w:val="00913371"/>
    <w:rsid w:val="009248D3"/>
    <w:rsid w:val="00924DBF"/>
    <w:rsid w:val="009379DF"/>
    <w:rsid w:val="00942131"/>
    <w:rsid w:val="00944C08"/>
    <w:rsid w:val="0094677F"/>
    <w:rsid w:val="00946EDF"/>
    <w:rsid w:val="009500F4"/>
    <w:rsid w:val="00950BB0"/>
    <w:rsid w:val="00951598"/>
    <w:rsid w:val="0095674C"/>
    <w:rsid w:val="00957E68"/>
    <w:rsid w:val="009731A0"/>
    <w:rsid w:val="00973E88"/>
    <w:rsid w:val="00974DA0"/>
    <w:rsid w:val="00977286"/>
    <w:rsid w:val="009842CE"/>
    <w:rsid w:val="009857BA"/>
    <w:rsid w:val="009A0B83"/>
    <w:rsid w:val="009A0F80"/>
    <w:rsid w:val="009A4EE4"/>
    <w:rsid w:val="009A5243"/>
    <w:rsid w:val="009A7415"/>
    <w:rsid w:val="009B07C9"/>
    <w:rsid w:val="009C180B"/>
    <w:rsid w:val="009C5C14"/>
    <w:rsid w:val="009D2287"/>
    <w:rsid w:val="009E4A92"/>
    <w:rsid w:val="009F050D"/>
    <w:rsid w:val="009F27F5"/>
    <w:rsid w:val="009F5C95"/>
    <w:rsid w:val="00A037E7"/>
    <w:rsid w:val="00A03DE1"/>
    <w:rsid w:val="00A06CA0"/>
    <w:rsid w:val="00A07121"/>
    <w:rsid w:val="00A10353"/>
    <w:rsid w:val="00A16141"/>
    <w:rsid w:val="00A1754B"/>
    <w:rsid w:val="00A175A7"/>
    <w:rsid w:val="00A219E8"/>
    <w:rsid w:val="00A25509"/>
    <w:rsid w:val="00A33C20"/>
    <w:rsid w:val="00A34B40"/>
    <w:rsid w:val="00A3655B"/>
    <w:rsid w:val="00A40318"/>
    <w:rsid w:val="00A4116A"/>
    <w:rsid w:val="00A42B95"/>
    <w:rsid w:val="00A51EF2"/>
    <w:rsid w:val="00A76606"/>
    <w:rsid w:val="00A76947"/>
    <w:rsid w:val="00A87346"/>
    <w:rsid w:val="00A92783"/>
    <w:rsid w:val="00AA1954"/>
    <w:rsid w:val="00AA3BE9"/>
    <w:rsid w:val="00AA3BFA"/>
    <w:rsid w:val="00AA5274"/>
    <w:rsid w:val="00AA7F2A"/>
    <w:rsid w:val="00AB3EEF"/>
    <w:rsid w:val="00AB5853"/>
    <w:rsid w:val="00AB6D04"/>
    <w:rsid w:val="00AB770C"/>
    <w:rsid w:val="00AD130C"/>
    <w:rsid w:val="00AD5279"/>
    <w:rsid w:val="00AD53B2"/>
    <w:rsid w:val="00AE4DBF"/>
    <w:rsid w:val="00AE621A"/>
    <w:rsid w:val="00AF3A03"/>
    <w:rsid w:val="00AF6547"/>
    <w:rsid w:val="00B01A62"/>
    <w:rsid w:val="00B01DFF"/>
    <w:rsid w:val="00B02D3D"/>
    <w:rsid w:val="00B074AB"/>
    <w:rsid w:val="00B13588"/>
    <w:rsid w:val="00B16AD2"/>
    <w:rsid w:val="00B24198"/>
    <w:rsid w:val="00B25F12"/>
    <w:rsid w:val="00B2685E"/>
    <w:rsid w:val="00B35452"/>
    <w:rsid w:val="00B358AE"/>
    <w:rsid w:val="00B440D5"/>
    <w:rsid w:val="00B44150"/>
    <w:rsid w:val="00B4433B"/>
    <w:rsid w:val="00B44F8F"/>
    <w:rsid w:val="00B47099"/>
    <w:rsid w:val="00B4732F"/>
    <w:rsid w:val="00B544F8"/>
    <w:rsid w:val="00B553D6"/>
    <w:rsid w:val="00B619EF"/>
    <w:rsid w:val="00B63300"/>
    <w:rsid w:val="00B662C0"/>
    <w:rsid w:val="00B70314"/>
    <w:rsid w:val="00B76594"/>
    <w:rsid w:val="00B77A41"/>
    <w:rsid w:val="00B77E03"/>
    <w:rsid w:val="00B806D5"/>
    <w:rsid w:val="00B80F7F"/>
    <w:rsid w:val="00B95B38"/>
    <w:rsid w:val="00B95FE2"/>
    <w:rsid w:val="00BA130D"/>
    <w:rsid w:val="00BA39F8"/>
    <w:rsid w:val="00BA537E"/>
    <w:rsid w:val="00BA7C5E"/>
    <w:rsid w:val="00BB2A38"/>
    <w:rsid w:val="00BB59B4"/>
    <w:rsid w:val="00BC2CEF"/>
    <w:rsid w:val="00BC5F47"/>
    <w:rsid w:val="00BD235D"/>
    <w:rsid w:val="00BD6720"/>
    <w:rsid w:val="00BD7C37"/>
    <w:rsid w:val="00BE10EA"/>
    <w:rsid w:val="00C018AB"/>
    <w:rsid w:val="00C0202E"/>
    <w:rsid w:val="00C030A4"/>
    <w:rsid w:val="00C1388C"/>
    <w:rsid w:val="00C13C20"/>
    <w:rsid w:val="00C21559"/>
    <w:rsid w:val="00C2406D"/>
    <w:rsid w:val="00C261EF"/>
    <w:rsid w:val="00C26547"/>
    <w:rsid w:val="00C36A36"/>
    <w:rsid w:val="00C4112B"/>
    <w:rsid w:val="00C51BA6"/>
    <w:rsid w:val="00C5384C"/>
    <w:rsid w:val="00C54175"/>
    <w:rsid w:val="00C56503"/>
    <w:rsid w:val="00C6626B"/>
    <w:rsid w:val="00C711C7"/>
    <w:rsid w:val="00C71A04"/>
    <w:rsid w:val="00C75FC3"/>
    <w:rsid w:val="00C86D50"/>
    <w:rsid w:val="00C930F2"/>
    <w:rsid w:val="00C94D02"/>
    <w:rsid w:val="00C94F94"/>
    <w:rsid w:val="00C951B3"/>
    <w:rsid w:val="00CA2AB0"/>
    <w:rsid w:val="00CA4CD7"/>
    <w:rsid w:val="00CB23C2"/>
    <w:rsid w:val="00CC4211"/>
    <w:rsid w:val="00CC48D2"/>
    <w:rsid w:val="00CC5841"/>
    <w:rsid w:val="00CC76E1"/>
    <w:rsid w:val="00CD5D6D"/>
    <w:rsid w:val="00CE046C"/>
    <w:rsid w:val="00D01A6A"/>
    <w:rsid w:val="00D118D6"/>
    <w:rsid w:val="00D1677B"/>
    <w:rsid w:val="00D2505B"/>
    <w:rsid w:val="00D2782F"/>
    <w:rsid w:val="00D27A00"/>
    <w:rsid w:val="00D305C5"/>
    <w:rsid w:val="00D34FCA"/>
    <w:rsid w:val="00D41E9C"/>
    <w:rsid w:val="00D54BB5"/>
    <w:rsid w:val="00D578D9"/>
    <w:rsid w:val="00D60073"/>
    <w:rsid w:val="00D6162F"/>
    <w:rsid w:val="00D66CAE"/>
    <w:rsid w:val="00D72EA1"/>
    <w:rsid w:val="00D83D81"/>
    <w:rsid w:val="00D86699"/>
    <w:rsid w:val="00D866EE"/>
    <w:rsid w:val="00DA30EF"/>
    <w:rsid w:val="00DA5481"/>
    <w:rsid w:val="00DA60E1"/>
    <w:rsid w:val="00DA63D6"/>
    <w:rsid w:val="00DA64B4"/>
    <w:rsid w:val="00DB057D"/>
    <w:rsid w:val="00DB0E47"/>
    <w:rsid w:val="00DB103E"/>
    <w:rsid w:val="00DB13EA"/>
    <w:rsid w:val="00DB6C25"/>
    <w:rsid w:val="00DB7413"/>
    <w:rsid w:val="00DC28EE"/>
    <w:rsid w:val="00DC5178"/>
    <w:rsid w:val="00DD1822"/>
    <w:rsid w:val="00DD3B68"/>
    <w:rsid w:val="00DE0120"/>
    <w:rsid w:val="00DE4F68"/>
    <w:rsid w:val="00DF2784"/>
    <w:rsid w:val="00DF7EAC"/>
    <w:rsid w:val="00E05557"/>
    <w:rsid w:val="00E075D7"/>
    <w:rsid w:val="00E201D1"/>
    <w:rsid w:val="00E21493"/>
    <w:rsid w:val="00E35768"/>
    <w:rsid w:val="00E42FE0"/>
    <w:rsid w:val="00E433C1"/>
    <w:rsid w:val="00E45288"/>
    <w:rsid w:val="00E465EA"/>
    <w:rsid w:val="00E63AEB"/>
    <w:rsid w:val="00E640F8"/>
    <w:rsid w:val="00E67EF9"/>
    <w:rsid w:val="00E82DB3"/>
    <w:rsid w:val="00E841F8"/>
    <w:rsid w:val="00E86355"/>
    <w:rsid w:val="00E92781"/>
    <w:rsid w:val="00E939A5"/>
    <w:rsid w:val="00E96438"/>
    <w:rsid w:val="00EA185E"/>
    <w:rsid w:val="00EA6418"/>
    <w:rsid w:val="00EB09FB"/>
    <w:rsid w:val="00EB2B0A"/>
    <w:rsid w:val="00EB420F"/>
    <w:rsid w:val="00EB4803"/>
    <w:rsid w:val="00EC1585"/>
    <w:rsid w:val="00EC32AF"/>
    <w:rsid w:val="00EC44E8"/>
    <w:rsid w:val="00EC50A0"/>
    <w:rsid w:val="00ED2A8D"/>
    <w:rsid w:val="00EE3A08"/>
    <w:rsid w:val="00EE5975"/>
    <w:rsid w:val="00EE7446"/>
    <w:rsid w:val="00EF41AB"/>
    <w:rsid w:val="00EF6058"/>
    <w:rsid w:val="00EF7CA5"/>
    <w:rsid w:val="00EF7CFA"/>
    <w:rsid w:val="00F00B07"/>
    <w:rsid w:val="00F06EFA"/>
    <w:rsid w:val="00F12C54"/>
    <w:rsid w:val="00F15562"/>
    <w:rsid w:val="00F16D12"/>
    <w:rsid w:val="00F2073B"/>
    <w:rsid w:val="00F21973"/>
    <w:rsid w:val="00F228A3"/>
    <w:rsid w:val="00F249C6"/>
    <w:rsid w:val="00F30BDD"/>
    <w:rsid w:val="00F34704"/>
    <w:rsid w:val="00F432CA"/>
    <w:rsid w:val="00F46300"/>
    <w:rsid w:val="00F46A63"/>
    <w:rsid w:val="00F47111"/>
    <w:rsid w:val="00F47DB5"/>
    <w:rsid w:val="00F544FA"/>
    <w:rsid w:val="00F600F2"/>
    <w:rsid w:val="00F64662"/>
    <w:rsid w:val="00F70B6F"/>
    <w:rsid w:val="00F8187B"/>
    <w:rsid w:val="00F81F09"/>
    <w:rsid w:val="00F8214A"/>
    <w:rsid w:val="00F8784B"/>
    <w:rsid w:val="00F90B13"/>
    <w:rsid w:val="00F91CAE"/>
    <w:rsid w:val="00F92C2C"/>
    <w:rsid w:val="00F93AB6"/>
    <w:rsid w:val="00F94EB7"/>
    <w:rsid w:val="00F9727F"/>
    <w:rsid w:val="00F97DF6"/>
    <w:rsid w:val="00FA2564"/>
    <w:rsid w:val="00FA6635"/>
    <w:rsid w:val="00FA75B2"/>
    <w:rsid w:val="00FA7F7D"/>
    <w:rsid w:val="00FB1BB3"/>
    <w:rsid w:val="00FB3CC9"/>
    <w:rsid w:val="00FB4222"/>
    <w:rsid w:val="00FD38FE"/>
    <w:rsid w:val="00FD7075"/>
    <w:rsid w:val="00FE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9"/>
    <w:pPr>
      <w:jc w:val="both"/>
    </w:pPr>
    <w:rPr>
      <w:rFonts w:ascii="Arial" w:hAnsi="Arial"/>
      <w:sz w:val="22"/>
      <w:szCs w:val="24"/>
      <w:lang w:eastAsia="zh-CN"/>
    </w:rPr>
  </w:style>
  <w:style w:type="paragraph" w:styleId="Heading1">
    <w:name w:val="heading 1"/>
    <w:basedOn w:val="Normal"/>
    <w:next w:val="Normal"/>
    <w:link w:val="Heading1Char"/>
    <w:uiPriority w:val="9"/>
    <w:qFormat/>
    <w:rsid w:val="00A25509"/>
    <w:pPr>
      <w:keepNext/>
      <w:numPr>
        <w:numId w:val="7"/>
      </w:numPr>
      <w:spacing w:after="240"/>
      <w:jc w:val="center"/>
      <w:outlineLvl w:val="0"/>
    </w:pPr>
    <w:rPr>
      <w:rFonts w:eastAsia="Times New Roman"/>
      <w:b/>
      <w:caps/>
      <w:kern w:val="28"/>
      <w:szCs w:val="20"/>
      <w:lang w:eastAsia="en-US"/>
    </w:rPr>
  </w:style>
  <w:style w:type="paragraph" w:styleId="Heading2">
    <w:name w:val="heading 2"/>
    <w:basedOn w:val="Normal"/>
    <w:next w:val="Normal"/>
    <w:link w:val="Heading2Char"/>
    <w:uiPriority w:val="9"/>
    <w:qFormat/>
    <w:rsid w:val="00A25509"/>
    <w:pPr>
      <w:keepNext/>
      <w:numPr>
        <w:ilvl w:val="1"/>
        <w:numId w:val="7"/>
      </w:numPr>
      <w:spacing w:after="240"/>
      <w:outlineLvl w:val="1"/>
    </w:pPr>
    <w:rPr>
      <w:rFonts w:eastAsia="Times New Roman"/>
      <w:b/>
      <w:szCs w:val="20"/>
      <w:lang w:eastAsia="en-US"/>
    </w:rPr>
  </w:style>
  <w:style w:type="paragraph" w:styleId="Heading3">
    <w:name w:val="heading 3"/>
    <w:basedOn w:val="Normal"/>
    <w:next w:val="Normal"/>
    <w:link w:val="Heading3Char"/>
    <w:uiPriority w:val="9"/>
    <w:qFormat/>
    <w:rsid w:val="00A25509"/>
    <w:pPr>
      <w:keepNext/>
      <w:numPr>
        <w:ilvl w:val="2"/>
        <w:numId w:val="7"/>
      </w:numPr>
      <w:spacing w:after="240"/>
      <w:outlineLvl w:val="2"/>
    </w:pPr>
    <w:rPr>
      <w:rFonts w:eastAsia="Times New Roman"/>
      <w:b/>
      <w:szCs w:val="20"/>
      <w:lang w:eastAsia="en-US"/>
    </w:rPr>
  </w:style>
  <w:style w:type="paragraph" w:styleId="Heading4">
    <w:name w:val="heading 4"/>
    <w:basedOn w:val="Normal"/>
    <w:next w:val="Normal"/>
    <w:qFormat/>
    <w:rsid w:val="00A25509"/>
    <w:pPr>
      <w:keepNext/>
      <w:numPr>
        <w:ilvl w:val="3"/>
        <w:numId w:val="7"/>
      </w:numPr>
      <w:spacing w:after="240"/>
      <w:jc w:val="left"/>
      <w:outlineLvl w:val="3"/>
    </w:pPr>
    <w:rPr>
      <w:rFonts w:eastAsia="Times New Roman"/>
      <w:b/>
      <w:szCs w:val="20"/>
      <w:lang w:eastAsia="en-US"/>
    </w:rPr>
  </w:style>
  <w:style w:type="paragraph" w:styleId="Heading5">
    <w:name w:val="heading 5"/>
    <w:basedOn w:val="Normal"/>
    <w:next w:val="Normal"/>
    <w:qFormat/>
    <w:rsid w:val="00A25509"/>
    <w:pPr>
      <w:numPr>
        <w:ilvl w:val="4"/>
        <w:numId w:val="7"/>
      </w:numPr>
      <w:spacing w:after="240"/>
      <w:outlineLvl w:val="4"/>
    </w:pPr>
    <w:rPr>
      <w:rFonts w:eastAsia="Times New Roman"/>
      <w:b/>
      <w:szCs w:val="20"/>
      <w:lang w:eastAsia="en-US"/>
    </w:rPr>
  </w:style>
  <w:style w:type="paragraph" w:styleId="Heading6">
    <w:name w:val="heading 6"/>
    <w:basedOn w:val="Normal"/>
    <w:next w:val="Normal"/>
    <w:qFormat/>
    <w:rsid w:val="00A25509"/>
    <w:pPr>
      <w:numPr>
        <w:ilvl w:val="5"/>
        <w:numId w:val="7"/>
      </w:numPr>
      <w:spacing w:before="240" w:after="60"/>
      <w:outlineLvl w:val="5"/>
    </w:pPr>
    <w:rPr>
      <w:rFonts w:eastAsia="Times New Roman"/>
      <w:i/>
      <w:szCs w:val="20"/>
      <w:lang w:eastAsia="en-US"/>
    </w:rPr>
  </w:style>
  <w:style w:type="paragraph" w:styleId="Heading7">
    <w:name w:val="heading 7"/>
    <w:basedOn w:val="Normal"/>
    <w:next w:val="Normal"/>
    <w:qFormat/>
    <w:rsid w:val="00A25509"/>
    <w:pPr>
      <w:numPr>
        <w:ilvl w:val="6"/>
        <w:numId w:val="7"/>
      </w:numPr>
      <w:spacing w:before="240" w:after="60"/>
      <w:outlineLvl w:val="6"/>
    </w:pPr>
    <w:rPr>
      <w:rFonts w:eastAsia="Times New Roman"/>
      <w:sz w:val="20"/>
      <w:szCs w:val="20"/>
      <w:lang w:eastAsia="en-US"/>
    </w:rPr>
  </w:style>
  <w:style w:type="paragraph" w:styleId="Heading8">
    <w:name w:val="heading 8"/>
    <w:basedOn w:val="Normal"/>
    <w:next w:val="Normal"/>
    <w:qFormat/>
    <w:rsid w:val="00A25509"/>
    <w:pPr>
      <w:numPr>
        <w:ilvl w:val="7"/>
        <w:numId w:val="7"/>
      </w:numPr>
      <w:spacing w:before="240" w:after="60"/>
      <w:outlineLvl w:val="7"/>
    </w:pPr>
    <w:rPr>
      <w:rFonts w:eastAsia="Times New Roman"/>
      <w:i/>
      <w:sz w:val="20"/>
      <w:szCs w:val="20"/>
      <w:lang w:eastAsia="en-US"/>
    </w:rPr>
  </w:style>
  <w:style w:type="paragraph" w:styleId="Heading9">
    <w:name w:val="heading 9"/>
    <w:basedOn w:val="Normal"/>
    <w:next w:val="Normal"/>
    <w:qFormat/>
    <w:rsid w:val="00A25509"/>
    <w:pPr>
      <w:numPr>
        <w:ilvl w:val="8"/>
        <w:numId w:val="7"/>
      </w:numPr>
      <w:spacing w:before="240" w:after="60"/>
      <w:outlineLvl w:val="8"/>
    </w:pPr>
    <w:rPr>
      <w:rFonts w:eastAsia="Times New Roman"/>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23D"/>
    <w:pPr>
      <w:tabs>
        <w:tab w:val="center" w:pos="4320"/>
        <w:tab w:val="right" w:pos="8640"/>
      </w:tabs>
    </w:pPr>
  </w:style>
  <w:style w:type="paragraph" w:styleId="Footer">
    <w:name w:val="footer"/>
    <w:basedOn w:val="Normal"/>
    <w:link w:val="FooterChar"/>
    <w:uiPriority w:val="99"/>
    <w:rsid w:val="004F723D"/>
    <w:pPr>
      <w:tabs>
        <w:tab w:val="center" w:pos="4320"/>
        <w:tab w:val="right" w:pos="8640"/>
      </w:tabs>
    </w:pPr>
  </w:style>
  <w:style w:type="paragraph" w:styleId="Date">
    <w:name w:val="Date"/>
    <w:basedOn w:val="Normal"/>
    <w:next w:val="Normal"/>
    <w:rsid w:val="00113500"/>
  </w:style>
  <w:style w:type="paragraph" w:styleId="FootnoteText">
    <w:name w:val="footnote text"/>
    <w:basedOn w:val="Normal"/>
    <w:link w:val="FootnoteTextChar"/>
    <w:uiPriority w:val="99"/>
    <w:rsid w:val="00A25509"/>
    <w:pPr>
      <w:ind w:left="187" w:hanging="187"/>
    </w:pPr>
    <w:rPr>
      <w:rFonts w:eastAsia="Times New Roman"/>
      <w:color w:val="000000"/>
      <w:sz w:val="18"/>
      <w:szCs w:val="20"/>
      <w:lang w:eastAsia="en-US"/>
    </w:rPr>
  </w:style>
  <w:style w:type="character" w:styleId="FootnoteReference">
    <w:name w:val="footnote reference"/>
    <w:basedOn w:val="DefaultParagraphFont"/>
    <w:uiPriority w:val="99"/>
    <w:semiHidden/>
    <w:rsid w:val="00A25509"/>
    <w:rPr>
      <w:vertAlign w:val="superscript"/>
    </w:rPr>
  </w:style>
  <w:style w:type="paragraph" w:styleId="TOC1">
    <w:name w:val="toc 1"/>
    <w:basedOn w:val="Normal"/>
    <w:next w:val="Normal"/>
    <w:autoRedefine/>
    <w:uiPriority w:val="39"/>
    <w:qFormat/>
    <w:rsid w:val="00C0202E"/>
    <w:pPr>
      <w:tabs>
        <w:tab w:val="left" w:pos="720"/>
        <w:tab w:val="right" w:pos="9360"/>
      </w:tabs>
      <w:spacing w:before="120" w:after="200"/>
      <w:jc w:val="center"/>
    </w:pPr>
    <w:rPr>
      <w:rFonts w:eastAsia="Times New Roman"/>
      <w:b/>
      <w:caps/>
      <w:noProof/>
      <w:sz w:val="24"/>
      <w:lang w:eastAsia="en-US"/>
    </w:rPr>
  </w:style>
  <w:style w:type="paragraph" w:styleId="TOC2">
    <w:name w:val="toc 2"/>
    <w:basedOn w:val="Normal"/>
    <w:next w:val="Normal"/>
    <w:autoRedefine/>
    <w:uiPriority w:val="39"/>
    <w:qFormat/>
    <w:rsid w:val="00A25509"/>
    <w:pPr>
      <w:tabs>
        <w:tab w:val="left" w:pos="720"/>
        <w:tab w:val="left" w:pos="1440"/>
        <w:tab w:val="right" w:pos="9360"/>
      </w:tabs>
      <w:ind w:left="720"/>
      <w:jc w:val="left"/>
    </w:pPr>
    <w:rPr>
      <w:rFonts w:eastAsia="Times New Roman"/>
      <w:noProof/>
      <w:color w:val="FF0000"/>
      <w:szCs w:val="20"/>
      <w:lang w:eastAsia="en-US"/>
    </w:rPr>
  </w:style>
  <w:style w:type="character" w:styleId="PageNumber">
    <w:name w:val="page number"/>
    <w:basedOn w:val="DefaultParagraphFont"/>
    <w:rsid w:val="00A25509"/>
  </w:style>
  <w:style w:type="paragraph" w:styleId="BodyTextIndent">
    <w:name w:val="Body Text Indent"/>
    <w:basedOn w:val="Normal"/>
    <w:rsid w:val="00A25509"/>
    <w:rPr>
      <w:rFonts w:eastAsia="Times New Roman"/>
      <w:color w:val="FF0000"/>
      <w:szCs w:val="20"/>
      <w:lang w:eastAsia="en-US"/>
    </w:rPr>
  </w:style>
  <w:style w:type="paragraph" w:styleId="BodyText">
    <w:name w:val="Body Text"/>
    <w:basedOn w:val="Normal"/>
    <w:rsid w:val="00A25509"/>
    <w:rPr>
      <w:rFonts w:eastAsia="Times New Roman"/>
      <w:b/>
      <w:szCs w:val="20"/>
      <w:lang w:eastAsia="en-US"/>
    </w:rPr>
  </w:style>
  <w:style w:type="paragraph" w:styleId="BodyText2">
    <w:name w:val="Body Text 2"/>
    <w:basedOn w:val="Normal"/>
    <w:rsid w:val="00A25509"/>
    <w:pPr>
      <w:jc w:val="center"/>
    </w:pPr>
    <w:rPr>
      <w:rFonts w:eastAsia="Times New Roman"/>
      <w:bCs/>
      <w:szCs w:val="20"/>
      <w:lang w:eastAsia="en-US"/>
    </w:rPr>
  </w:style>
  <w:style w:type="paragraph" w:styleId="BodyTextIndent2">
    <w:name w:val="Body Text Indent 2"/>
    <w:basedOn w:val="Normal"/>
    <w:rsid w:val="00A25509"/>
    <w:pPr>
      <w:spacing w:after="120" w:line="480" w:lineRule="auto"/>
      <w:ind w:left="360"/>
    </w:pPr>
    <w:rPr>
      <w:rFonts w:eastAsia="Times New Roman"/>
      <w:szCs w:val="20"/>
      <w:lang w:eastAsia="en-US"/>
    </w:rPr>
  </w:style>
  <w:style w:type="paragraph" w:styleId="BalloonText">
    <w:name w:val="Balloon Text"/>
    <w:basedOn w:val="Normal"/>
    <w:link w:val="BalloonTextChar"/>
    <w:uiPriority w:val="99"/>
    <w:rsid w:val="007F4162"/>
    <w:rPr>
      <w:rFonts w:ascii="Segoe UI" w:hAnsi="Segoe UI" w:cs="Segoe UI"/>
      <w:sz w:val="18"/>
      <w:szCs w:val="18"/>
    </w:rPr>
  </w:style>
  <w:style w:type="character" w:customStyle="1" w:styleId="BalloonTextChar">
    <w:name w:val="Balloon Text Char"/>
    <w:basedOn w:val="DefaultParagraphFont"/>
    <w:link w:val="BalloonText"/>
    <w:uiPriority w:val="99"/>
    <w:rsid w:val="007F4162"/>
    <w:rPr>
      <w:rFonts w:ascii="Segoe UI" w:hAnsi="Segoe UI" w:cs="Segoe UI"/>
      <w:sz w:val="18"/>
      <w:szCs w:val="18"/>
      <w:lang w:eastAsia="zh-CN"/>
    </w:rPr>
  </w:style>
  <w:style w:type="numbering" w:customStyle="1" w:styleId="NoList1">
    <w:name w:val="No List1"/>
    <w:next w:val="NoList"/>
    <w:uiPriority w:val="99"/>
    <w:semiHidden/>
    <w:unhideWhenUsed/>
    <w:rsid w:val="00346198"/>
  </w:style>
  <w:style w:type="character" w:customStyle="1" w:styleId="FootnoteTextChar">
    <w:name w:val="Footnote Text Char"/>
    <w:link w:val="FootnoteText"/>
    <w:uiPriority w:val="99"/>
    <w:rsid w:val="00346198"/>
    <w:rPr>
      <w:rFonts w:ascii="Arial" w:eastAsia="Times New Roman" w:hAnsi="Arial"/>
      <w:color w:val="000000"/>
      <w:sz w:val="18"/>
    </w:rPr>
  </w:style>
  <w:style w:type="paragraph" w:styleId="ListParagraph">
    <w:name w:val="List Paragraph"/>
    <w:basedOn w:val="Normal"/>
    <w:uiPriority w:val="34"/>
    <w:qFormat/>
    <w:rsid w:val="00346198"/>
    <w:pPr>
      <w:spacing w:after="160" w:line="259" w:lineRule="auto"/>
      <w:ind w:left="720"/>
      <w:contextualSpacing/>
      <w:jc w:val="left"/>
    </w:pPr>
    <w:rPr>
      <w:rFonts w:eastAsia="Calibri" w:cs="Arial"/>
      <w:szCs w:val="22"/>
      <w:lang w:eastAsia="en-US"/>
    </w:rPr>
  </w:style>
  <w:style w:type="character" w:customStyle="1" w:styleId="HeaderChar">
    <w:name w:val="Header Char"/>
    <w:basedOn w:val="DefaultParagraphFont"/>
    <w:link w:val="Header"/>
    <w:uiPriority w:val="99"/>
    <w:rsid w:val="00346198"/>
    <w:rPr>
      <w:rFonts w:ascii="Arial" w:hAnsi="Arial"/>
      <w:sz w:val="22"/>
      <w:szCs w:val="24"/>
      <w:lang w:eastAsia="zh-CN"/>
    </w:rPr>
  </w:style>
  <w:style w:type="character" w:customStyle="1" w:styleId="FooterChar">
    <w:name w:val="Footer Char"/>
    <w:basedOn w:val="DefaultParagraphFont"/>
    <w:link w:val="Footer"/>
    <w:uiPriority w:val="99"/>
    <w:rsid w:val="00346198"/>
    <w:rPr>
      <w:rFonts w:ascii="Arial" w:hAnsi="Arial"/>
      <w:sz w:val="22"/>
      <w:szCs w:val="24"/>
      <w:lang w:eastAsia="zh-CN"/>
    </w:rPr>
  </w:style>
  <w:style w:type="table" w:styleId="TableGrid">
    <w:name w:val="Table Grid"/>
    <w:basedOn w:val="TableNormal"/>
    <w:uiPriority w:val="59"/>
    <w:rsid w:val="0034619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346198"/>
    <w:pPr>
      <w:spacing w:before="240"/>
      <w:jc w:val="left"/>
    </w:pPr>
    <w:rPr>
      <w:rFonts w:ascii="Times New Roman" w:eastAsia="Times New Roman" w:hAnsi="Times New Roman"/>
      <w:kern w:val="28"/>
      <w:sz w:val="24"/>
      <w:szCs w:val="20"/>
      <w:lang w:eastAsia="en-US"/>
    </w:rPr>
  </w:style>
  <w:style w:type="paragraph" w:styleId="Revision">
    <w:name w:val="Revision"/>
    <w:hidden/>
    <w:uiPriority w:val="99"/>
    <w:semiHidden/>
    <w:rsid w:val="00346198"/>
    <w:rPr>
      <w:rFonts w:ascii="Arial" w:eastAsia="Calibri" w:hAnsi="Arial" w:cs="Arial"/>
      <w:sz w:val="22"/>
      <w:szCs w:val="22"/>
    </w:rPr>
  </w:style>
  <w:style w:type="character" w:customStyle="1" w:styleId="Heading1Char">
    <w:name w:val="Heading 1 Char"/>
    <w:link w:val="Heading1"/>
    <w:uiPriority w:val="9"/>
    <w:rsid w:val="00346198"/>
    <w:rPr>
      <w:rFonts w:ascii="Arial" w:eastAsia="Times New Roman" w:hAnsi="Arial"/>
      <w:b/>
      <w:caps/>
      <w:kern w:val="28"/>
      <w:sz w:val="22"/>
    </w:rPr>
  </w:style>
  <w:style w:type="paragraph" w:styleId="TOC3">
    <w:name w:val="toc 3"/>
    <w:basedOn w:val="Normal"/>
    <w:next w:val="Normal"/>
    <w:autoRedefine/>
    <w:uiPriority w:val="39"/>
    <w:unhideWhenUsed/>
    <w:qFormat/>
    <w:rsid w:val="00346198"/>
    <w:pPr>
      <w:spacing w:line="259" w:lineRule="auto"/>
      <w:ind w:left="440"/>
      <w:jc w:val="left"/>
    </w:pPr>
    <w:rPr>
      <w:rFonts w:ascii="Calibri" w:eastAsia="Calibri" w:hAnsi="Calibri" w:cs="Calibri"/>
      <w:sz w:val="20"/>
      <w:szCs w:val="20"/>
      <w:lang w:eastAsia="en-US"/>
    </w:rPr>
  </w:style>
  <w:style w:type="paragraph" w:styleId="TOC4">
    <w:name w:val="toc 4"/>
    <w:basedOn w:val="Normal"/>
    <w:next w:val="Normal"/>
    <w:autoRedefine/>
    <w:uiPriority w:val="39"/>
    <w:unhideWhenUsed/>
    <w:rsid w:val="00346198"/>
    <w:pPr>
      <w:spacing w:line="259" w:lineRule="auto"/>
      <w:ind w:left="660"/>
      <w:jc w:val="left"/>
    </w:pPr>
    <w:rPr>
      <w:rFonts w:ascii="Calibri" w:eastAsia="Calibri" w:hAnsi="Calibri" w:cs="Calibri"/>
      <w:sz w:val="20"/>
      <w:szCs w:val="20"/>
      <w:lang w:eastAsia="en-US"/>
    </w:rPr>
  </w:style>
  <w:style w:type="paragraph" w:styleId="TOC5">
    <w:name w:val="toc 5"/>
    <w:basedOn w:val="Normal"/>
    <w:next w:val="Normal"/>
    <w:autoRedefine/>
    <w:uiPriority w:val="39"/>
    <w:unhideWhenUsed/>
    <w:rsid w:val="00346198"/>
    <w:pPr>
      <w:spacing w:line="259" w:lineRule="auto"/>
      <w:ind w:left="880"/>
      <w:jc w:val="left"/>
    </w:pPr>
    <w:rPr>
      <w:rFonts w:ascii="Calibri" w:eastAsia="Calibri" w:hAnsi="Calibri" w:cs="Calibri"/>
      <w:sz w:val="20"/>
      <w:szCs w:val="20"/>
      <w:lang w:eastAsia="en-US"/>
    </w:rPr>
  </w:style>
  <w:style w:type="paragraph" w:styleId="TOC6">
    <w:name w:val="toc 6"/>
    <w:basedOn w:val="Normal"/>
    <w:next w:val="Normal"/>
    <w:autoRedefine/>
    <w:uiPriority w:val="39"/>
    <w:unhideWhenUsed/>
    <w:rsid w:val="00346198"/>
    <w:pPr>
      <w:spacing w:line="259" w:lineRule="auto"/>
      <w:ind w:left="1100"/>
      <w:jc w:val="left"/>
    </w:pPr>
    <w:rPr>
      <w:rFonts w:ascii="Calibri" w:eastAsia="Calibri" w:hAnsi="Calibri" w:cs="Calibri"/>
      <w:sz w:val="20"/>
      <w:szCs w:val="20"/>
      <w:lang w:eastAsia="en-US"/>
    </w:rPr>
  </w:style>
  <w:style w:type="paragraph" w:styleId="TOC7">
    <w:name w:val="toc 7"/>
    <w:basedOn w:val="Normal"/>
    <w:next w:val="Normal"/>
    <w:autoRedefine/>
    <w:uiPriority w:val="39"/>
    <w:unhideWhenUsed/>
    <w:rsid w:val="00346198"/>
    <w:pPr>
      <w:spacing w:line="259" w:lineRule="auto"/>
      <w:ind w:left="1320"/>
      <w:jc w:val="left"/>
    </w:pPr>
    <w:rPr>
      <w:rFonts w:ascii="Calibri" w:eastAsia="Calibri" w:hAnsi="Calibri" w:cs="Calibri"/>
      <w:sz w:val="20"/>
      <w:szCs w:val="20"/>
      <w:lang w:eastAsia="en-US"/>
    </w:rPr>
  </w:style>
  <w:style w:type="paragraph" w:styleId="TOC8">
    <w:name w:val="toc 8"/>
    <w:basedOn w:val="Normal"/>
    <w:next w:val="Normal"/>
    <w:autoRedefine/>
    <w:uiPriority w:val="39"/>
    <w:unhideWhenUsed/>
    <w:rsid w:val="00346198"/>
    <w:pPr>
      <w:spacing w:line="259" w:lineRule="auto"/>
      <w:ind w:left="1540"/>
      <w:jc w:val="left"/>
    </w:pPr>
    <w:rPr>
      <w:rFonts w:ascii="Calibri" w:eastAsia="Calibri" w:hAnsi="Calibri" w:cs="Calibri"/>
      <w:sz w:val="20"/>
      <w:szCs w:val="20"/>
      <w:lang w:eastAsia="en-US"/>
    </w:rPr>
  </w:style>
  <w:style w:type="paragraph" w:styleId="TOC9">
    <w:name w:val="toc 9"/>
    <w:basedOn w:val="Normal"/>
    <w:next w:val="Normal"/>
    <w:autoRedefine/>
    <w:uiPriority w:val="39"/>
    <w:unhideWhenUsed/>
    <w:rsid w:val="00346198"/>
    <w:pPr>
      <w:spacing w:line="259" w:lineRule="auto"/>
      <w:ind w:left="1760"/>
      <w:jc w:val="left"/>
    </w:pPr>
    <w:rPr>
      <w:rFonts w:ascii="Calibri" w:eastAsia="Calibri" w:hAnsi="Calibri" w:cs="Calibri"/>
      <w:sz w:val="20"/>
      <w:szCs w:val="20"/>
      <w:lang w:eastAsia="en-US"/>
    </w:rPr>
  </w:style>
  <w:style w:type="character" w:styleId="Hyperlink">
    <w:name w:val="Hyperlink"/>
    <w:uiPriority w:val="99"/>
    <w:unhideWhenUsed/>
    <w:rsid w:val="00346198"/>
    <w:rPr>
      <w:color w:val="0563C1"/>
      <w:u w:val="single"/>
    </w:rPr>
  </w:style>
  <w:style w:type="paragraph" w:styleId="TOCHeading">
    <w:name w:val="TOC Heading"/>
    <w:basedOn w:val="Heading1"/>
    <w:next w:val="Normal"/>
    <w:uiPriority w:val="39"/>
    <w:unhideWhenUsed/>
    <w:qFormat/>
    <w:rsid w:val="00346198"/>
    <w:pPr>
      <w:keepLines/>
      <w:numPr>
        <w:numId w:val="0"/>
      </w:numPr>
      <w:spacing w:before="480" w:after="0" w:line="276" w:lineRule="auto"/>
      <w:jc w:val="left"/>
      <w:outlineLvl w:val="9"/>
    </w:pPr>
    <w:rPr>
      <w:rFonts w:ascii="Calibri Light" w:hAnsi="Calibri Light"/>
      <w:bCs/>
      <w:caps w:val="0"/>
      <w:color w:val="2F5496"/>
      <w:kern w:val="0"/>
      <w:sz w:val="28"/>
      <w:szCs w:val="28"/>
      <w:lang w:val="x-none" w:eastAsia="x-none"/>
    </w:rPr>
  </w:style>
  <w:style w:type="character" w:styleId="CommentReference">
    <w:name w:val="annotation reference"/>
    <w:uiPriority w:val="99"/>
    <w:unhideWhenUsed/>
    <w:rsid w:val="00346198"/>
    <w:rPr>
      <w:sz w:val="16"/>
      <w:szCs w:val="16"/>
    </w:rPr>
  </w:style>
  <w:style w:type="paragraph" w:styleId="CommentText">
    <w:name w:val="annotation text"/>
    <w:basedOn w:val="Normal"/>
    <w:link w:val="CommentTextChar"/>
    <w:uiPriority w:val="99"/>
    <w:unhideWhenUsed/>
    <w:rsid w:val="00346198"/>
    <w:pPr>
      <w:spacing w:after="160" w:line="259" w:lineRule="auto"/>
      <w:jc w:val="left"/>
    </w:pPr>
    <w:rPr>
      <w:rFonts w:eastAsia="Calibri"/>
      <w:sz w:val="20"/>
      <w:szCs w:val="20"/>
      <w:lang w:eastAsia="en-US"/>
    </w:rPr>
  </w:style>
  <w:style w:type="character" w:customStyle="1" w:styleId="CommentTextChar">
    <w:name w:val="Comment Text Char"/>
    <w:basedOn w:val="DefaultParagraphFont"/>
    <w:link w:val="CommentText"/>
    <w:uiPriority w:val="99"/>
    <w:rsid w:val="00346198"/>
    <w:rPr>
      <w:rFonts w:ascii="Arial" w:eastAsia="Calibri" w:hAnsi="Arial"/>
    </w:rPr>
  </w:style>
  <w:style w:type="paragraph" w:styleId="CommentSubject">
    <w:name w:val="annotation subject"/>
    <w:basedOn w:val="CommentText"/>
    <w:next w:val="CommentText"/>
    <w:link w:val="CommentSubjectChar"/>
    <w:uiPriority w:val="99"/>
    <w:unhideWhenUsed/>
    <w:rsid w:val="00346198"/>
    <w:rPr>
      <w:b/>
      <w:bCs/>
    </w:rPr>
  </w:style>
  <w:style w:type="character" w:customStyle="1" w:styleId="CommentSubjectChar">
    <w:name w:val="Comment Subject Char"/>
    <w:basedOn w:val="CommentTextChar"/>
    <w:link w:val="CommentSubject"/>
    <w:uiPriority w:val="99"/>
    <w:rsid w:val="00346198"/>
    <w:rPr>
      <w:rFonts w:ascii="Arial" w:eastAsia="Calibri" w:hAnsi="Arial"/>
      <w:b/>
      <w:bCs/>
    </w:rPr>
  </w:style>
  <w:style w:type="table" w:customStyle="1" w:styleId="TableGrid1">
    <w:name w:val="Table Grid1"/>
    <w:basedOn w:val="TableNormal"/>
    <w:next w:val="TableGrid"/>
    <w:uiPriority w:val="59"/>
    <w:rsid w:val="00346198"/>
    <w:rPr>
      <w:rFonts w:ascii="Calibri" w:eastAsia="Times New Roma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346198"/>
    <w:rPr>
      <w:rFonts w:ascii="Arial" w:eastAsia="Times New Roman" w:hAnsi="Arial"/>
      <w:b/>
      <w:sz w:val="22"/>
    </w:rPr>
  </w:style>
  <w:style w:type="table" w:customStyle="1" w:styleId="TableGrid3">
    <w:name w:val="Table Grid3"/>
    <w:basedOn w:val="TableNormal"/>
    <w:next w:val="TableGrid"/>
    <w:uiPriority w:val="59"/>
    <w:rsid w:val="00CA4C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A4CD7"/>
    <w:rPr>
      <w:rFonts w:ascii="Arial" w:eastAsia="Times New Roman" w:hAnsi="Arial"/>
      <w:b/>
      <w:sz w:val="22"/>
    </w:rPr>
  </w:style>
  <w:style w:type="character" w:customStyle="1" w:styleId="UnresolvedMention1">
    <w:name w:val="Unresolved Mention1"/>
    <w:basedOn w:val="DefaultParagraphFont"/>
    <w:uiPriority w:val="99"/>
    <w:semiHidden/>
    <w:unhideWhenUsed/>
    <w:rsid w:val="00F219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4488">
      <w:bodyDiv w:val="1"/>
      <w:marLeft w:val="0"/>
      <w:marRight w:val="0"/>
      <w:marTop w:val="0"/>
      <w:marBottom w:val="0"/>
      <w:divBdr>
        <w:top w:val="none" w:sz="0" w:space="0" w:color="auto"/>
        <w:left w:val="none" w:sz="0" w:space="0" w:color="auto"/>
        <w:bottom w:val="none" w:sz="0" w:space="0" w:color="auto"/>
        <w:right w:val="none" w:sz="0" w:space="0" w:color="auto"/>
      </w:divBdr>
      <w:divsChild>
        <w:div w:id="899635745">
          <w:marLeft w:val="0"/>
          <w:marRight w:val="0"/>
          <w:marTop w:val="0"/>
          <w:marBottom w:val="0"/>
          <w:divBdr>
            <w:top w:val="none" w:sz="0" w:space="0" w:color="auto"/>
            <w:left w:val="none" w:sz="0" w:space="0" w:color="auto"/>
            <w:bottom w:val="none" w:sz="0" w:space="0" w:color="auto"/>
            <w:right w:val="none" w:sz="0" w:space="0" w:color="auto"/>
          </w:divBdr>
          <w:divsChild>
            <w:div w:id="107702688">
              <w:marLeft w:val="0"/>
              <w:marRight w:val="0"/>
              <w:marTop w:val="0"/>
              <w:marBottom w:val="0"/>
              <w:divBdr>
                <w:top w:val="none" w:sz="0" w:space="0" w:color="auto"/>
                <w:left w:val="none" w:sz="0" w:space="0" w:color="auto"/>
                <w:bottom w:val="none" w:sz="0" w:space="0" w:color="auto"/>
                <w:right w:val="none" w:sz="0" w:space="0" w:color="auto"/>
              </w:divBdr>
              <w:divsChild>
                <w:div w:id="1346905654">
                  <w:marLeft w:val="0"/>
                  <w:marRight w:val="0"/>
                  <w:marTop w:val="0"/>
                  <w:marBottom w:val="0"/>
                  <w:divBdr>
                    <w:top w:val="none" w:sz="0" w:space="0" w:color="auto"/>
                    <w:left w:val="none" w:sz="0" w:space="0" w:color="auto"/>
                    <w:bottom w:val="none" w:sz="0" w:space="0" w:color="auto"/>
                    <w:right w:val="none" w:sz="0" w:space="0" w:color="auto"/>
                  </w:divBdr>
                  <w:divsChild>
                    <w:div w:id="1084641338">
                      <w:marLeft w:val="0"/>
                      <w:marRight w:val="0"/>
                      <w:marTop w:val="45"/>
                      <w:marBottom w:val="0"/>
                      <w:divBdr>
                        <w:top w:val="none" w:sz="0" w:space="0" w:color="auto"/>
                        <w:left w:val="none" w:sz="0" w:space="0" w:color="auto"/>
                        <w:bottom w:val="none" w:sz="0" w:space="0" w:color="auto"/>
                        <w:right w:val="none" w:sz="0" w:space="0" w:color="auto"/>
                      </w:divBdr>
                      <w:divsChild>
                        <w:div w:id="2079936065">
                          <w:marLeft w:val="0"/>
                          <w:marRight w:val="0"/>
                          <w:marTop w:val="0"/>
                          <w:marBottom w:val="0"/>
                          <w:divBdr>
                            <w:top w:val="none" w:sz="0" w:space="0" w:color="auto"/>
                            <w:left w:val="none" w:sz="0" w:space="0" w:color="auto"/>
                            <w:bottom w:val="none" w:sz="0" w:space="0" w:color="auto"/>
                            <w:right w:val="none" w:sz="0" w:space="0" w:color="auto"/>
                          </w:divBdr>
                          <w:divsChild>
                            <w:div w:id="1125389824">
                              <w:marLeft w:val="12300"/>
                              <w:marRight w:val="0"/>
                              <w:marTop w:val="0"/>
                              <w:marBottom w:val="0"/>
                              <w:divBdr>
                                <w:top w:val="none" w:sz="0" w:space="0" w:color="auto"/>
                                <w:left w:val="none" w:sz="0" w:space="0" w:color="auto"/>
                                <w:bottom w:val="none" w:sz="0" w:space="0" w:color="auto"/>
                                <w:right w:val="none" w:sz="0" w:space="0" w:color="auto"/>
                              </w:divBdr>
                              <w:divsChild>
                                <w:div w:id="1473906473">
                                  <w:marLeft w:val="0"/>
                                  <w:marRight w:val="0"/>
                                  <w:marTop w:val="0"/>
                                  <w:marBottom w:val="0"/>
                                  <w:divBdr>
                                    <w:top w:val="none" w:sz="0" w:space="0" w:color="auto"/>
                                    <w:left w:val="none" w:sz="0" w:space="0" w:color="auto"/>
                                    <w:bottom w:val="none" w:sz="0" w:space="0" w:color="auto"/>
                                    <w:right w:val="none" w:sz="0" w:space="0" w:color="auto"/>
                                  </w:divBdr>
                                  <w:divsChild>
                                    <w:div w:id="1212381491">
                                      <w:marLeft w:val="0"/>
                                      <w:marRight w:val="0"/>
                                      <w:marTop w:val="0"/>
                                      <w:marBottom w:val="390"/>
                                      <w:divBdr>
                                        <w:top w:val="none" w:sz="0" w:space="0" w:color="auto"/>
                                        <w:left w:val="none" w:sz="0" w:space="0" w:color="auto"/>
                                        <w:bottom w:val="none" w:sz="0" w:space="0" w:color="auto"/>
                                        <w:right w:val="none" w:sz="0" w:space="0" w:color="auto"/>
                                      </w:divBdr>
                                      <w:divsChild>
                                        <w:div w:id="1340813831">
                                          <w:marLeft w:val="0"/>
                                          <w:marRight w:val="0"/>
                                          <w:marTop w:val="0"/>
                                          <w:marBottom w:val="0"/>
                                          <w:divBdr>
                                            <w:top w:val="none" w:sz="0" w:space="0" w:color="auto"/>
                                            <w:left w:val="none" w:sz="0" w:space="0" w:color="auto"/>
                                            <w:bottom w:val="none" w:sz="0" w:space="0" w:color="auto"/>
                                            <w:right w:val="none" w:sz="0" w:space="0" w:color="auto"/>
                                          </w:divBdr>
                                          <w:divsChild>
                                            <w:div w:id="398135833">
                                              <w:marLeft w:val="0"/>
                                              <w:marRight w:val="0"/>
                                              <w:marTop w:val="0"/>
                                              <w:marBottom w:val="0"/>
                                              <w:divBdr>
                                                <w:top w:val="none" w:sz="0" w:space="0" w:color="auto"/>
                                                <w:left w:val="none" w:sz="0" w:space="0" w:color="auto"/>
                                                <w:bottom w:val="none" w:sz="0" w:space="0" w:color="auto"/>
                                                <w:right w:val="none" w:sz="0" w:space="0" w:color="auto"/>
                                              </w:divBdr>
                                              <w:divsChild>
                                                <w:div w:id="1693920209">
                                                  <w:marLeft w:val="0"/>
                                                  <w:marRight w:val="0"/>
                                                  <w:marTop w:val="0"/>
                                                  <w:marBottom w:val="0"/>
                                                  <w:divBdr>
                                                    <w:top w:val="none" w:sz="0" w:space="0" w:color="auto"/>
                                                    <w:left w:val="none" w:sz="0" w:space="0" w:color="auto"/>
                                                    <w:bottom w:val="none" w:sz="0" w:space="0" w:color="auto"/>
                                                    <w:right w:val="none" w:sz="0" w:space="0" w:color="auto"/>
                                                  </w:divBdr>
                                                  <w:divsChild>
                                                    <w:div w:id="596910181">
                                                      <w:marLeft w:val="0"/>
                                                      <w:marRight w:val="0"/>
                                                      <w:marTop w:val="0"/>
                                                      <w:marBottom w:val="0"/>
                                                      <w:divBdr>
                                                        <w:top w:val="none" w:sz="0" w:space="0" w:color="auto"/>
                                                        <w:left w:val="none" w:sz="0" w:space="0" w:color="auto"/>
                                                        <w:bottom w:val="none" w:sz="0" w:space="0" w:color="auto"/>
                                                        <w:right w:val="none" w:sz="0" w:space="0" w:color="auto"/>
                                                      </w:divBdr>
                                                      <w:divsChild>
                                                        <w:div w:id="1589727108">
                                                          <w:marLeft w:val="0"/>
                                                          <w:marRight w:val="0"/>
                                                          <w:marTop w:val="0"/>
                                                          <w:marBottom w:val="0"/>
                                                          <w:divBdr>
                                                            <w:top w:val="none" w:sz="0" w:space="0" w:color="auto"/>
                                                            <w:left w:val="none" w:sz="0" w:space="0" w:color="auto"/>
                                                            <w:bottom w:val="none" w:sz="0" w:space="0" w:color="auto"/>
                                                            <w:right w:val="none" w:sz="0" w:space="0" w:color="auto"/>
                                                          </w:divBdr>
                                                          <w:divsChild>
                                                            <w:div w:id="1749841100">
                                                              <w:marLeft w:val="0"/>
                                                              <w:marRight w:val="0"/>
                                                              <w:marTop w:val="0"/>
                                                              <w:marBottom w:val="0"/>
                                                              <w:divBdr>
                                                                <w:top w:val="none" w:sz="0" w:space="0" w:color="auto"/>
                                                                <w:left w:val="none" w:sz="0" w:space="0" w:color="auto"/>
                                                                <w:bottom w:val="none" w:sz="0" w:space="0" w:color="auto"/>
                                                                <w:right w:val="none" w:sz="0" w:space="0" w:color="auto"/>
                                                              </w:divBdr>
                                                              <w:divsChild>
                                                                <w:div w:id="1922178977">
                                                                  <w:marLeft w:val="0"/>
                                                                  <w:marRight w:val="0"/>
                                                                  <w:marTop w:val="0"/>
                                                                  <w:marBottom w:val="0"/>
                                                                  <w:divBdr>
                                                                    <w:top w:val="none" w:sz="0" w:space="0" w:color="auto"/>
                                                                    <w:left w:val="none" w:sz="0" w:space="0" w:color="auto"/>
                                                                    <w:bottom w:val="none" w:sz="0" w:space="0" w:color="auto"/>
                                                                    <w:right w:val="none" w:sz="0" w:space="0" w:color="auto"/>
                                                                  </w:divBdr>
                                                                  <w:divsChild>
                                                                    <w:div w:id="249580175">
                                                                      <w:marLeft w:val="0"/>
                                                                      <w:marRight w:val="0"/>
                                                                      <w:marTop w:val="0"/>
                                                                      <w:marBottom w:val="0"/>
                                                                      <w:divBdr>
                                                                        <w:top w:val="none" w:sz="0" w:space="0" w:color="auto"/>
                                                                        <w:left w:val="none" w:sz="0" w:space="0" w:color="auto"/>
                                                                        <w:bottom w:val="none" w:sz="0" w:space="0" w:color="auto"/>
                                                                        <w:right w:val="none" w:sz="0" w:space="0" w:color="auto"/>
                                                                      </w:divBdr>
                                                                      <w:divsChild>
                                                                        <w:div w:id="1734893441">
                                                                          <w:marLeft w:val="0"/>
                                                                          <w:marRight w:val="0"/>
                                                                          <w:marTop w:val="0"/>
                                                                          <w:marBottom w:val="0"/>
                                                                          <w:divBdr>
                                                                            <w:top w:val="none" w:sz="0" w:space="0" w:color="auto"/>
                                                                            <w:left w:val="none" w:sz="0" w:space="0" w:color="auto"/>
                                                                            <w:bottom w:val="none" w:sz="0" w:space="0" w:color="auto"/>
                                                                            <w:right w:val="none" w:sz="0" w:space="0" w:color="auto"/>
                                                                          </w:divBdr>
                                                                          <w:divsChild>
                                                                            <w:div w:id="1380008624">
                                                                              <w:marLeft w:val="0"/>
                                                                              <w:marRight w:val="0"/>
                                                                              <w:marTop w:val="0"/>
                                                                              <w:marBottom w:val="0"/>
                                                                              <w:divBdr>
                                                                                <w:top w:val="none" w:sz="0" w:space="0" w:color="auto"/>
                                                                                <w:left w:val="none" w:sz="0" w:space="0" w:color="auto"/>
                                                                                <w:bottom w:val="none" w:sz="0" w:space="0" w:color="auto"/>
                                                                                <w:right w:val="none" w:sz="0" w:space="0" w:color="auto"/>
                                                                              </w:divBdr>
                                                                              <w:divsChild>
                                                                                <w:div w:id="15739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0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aymanfinancialreview.com/2016/11/01/the-benefits-of-secured-transactions-refo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BFE75F-E684-470D-95D5-8E1F53074793}"/>
</file>

<file path=customXml/itemProps2.xml><?xml version="1.0" encoding="utf-8"?>
<ds:datastoreItem xmlns:ds="http://schemas.openxmlformats.org/officeDocument/2006/customXml" ds:itemID="{3A51AD4B-ED20-4CBE-BF95-14DFFE9CEF0C}"/>
</file>

<file path=customXml/itemProps3.xml><?xml version="1.0" encoding="utf-8"?>
<ds:datastoreItem xmlns:ds="http://schemas.openxmlformats.org/officeDocument/2006/customXml" ds:itemID="{BE3EC65F-2BF6-4D44-96E1-5EF0185D5999}"/>
</file>

<file path=customXml/itemProps4.xml><?xml version="1.0" encoding="utf-8"?>
<ds:datastoreItem xmlns:ds="http://schemas.openxmlformats.org/officeDocument/2006/customXml" ds:itemID="{AA03F364-DA3A-4987-B9E7-9E3E4F7ADF41}"/>
</file>

<file path=docProps/app.xml><?xml version="1.0" encoding="utf-8"?>
<Properties xmlns="http://schemas.openxmlformats.org/officeDocument/2006/extended-properties" xmlns:vt="http://schemas.openxmlformats.org/officeDocument/2006/docPropsVTypes">
  <Template>Normal.dotm</Template>
  <TotalTime>0</TotalTime>
  <Pages>51</Pages>
  <Words>21517</Words>
  <Characters>120217</Characters>
  <Application>Microsoft Office Word</Application>
  <DocSecurity>0</DocSecurity>
  <Lines>1581</Lines>
  <Paragraphs>337</Paragraphs>
  <ScaleCrop>false</ScaleCrop>
  <HeadingPairs>
    <vt:vector size="2" baseType="variant">
      <vt:variant>
        <vt:lpstr>Title</vt:lpstr>
      </vt:variant>
      <vt:variant>
        <vt:i4>1</vt:i4>
      </vt:variant>
    </vt:vector>
  </HeadingPairs>
  <TitlesOfParts>
    <vt:vector size="1" baseType="lpstr">
      <vt:lpstr>Pacific Private Sector Development Initiative,  Midterm review</vt:lpstr>
    </vt:vector>
  </TitlesOfParts>
  <Company/>
  <LinksUpToDate>false</LinksUpToDate>
  <CharactersWithSpaces>141397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Private Sector Development Initiative,  Midterm review</dc:title>
  <dc:creator/>
  <cp:lastModifiedBy/>
  <cp:revision>1</cp:revision>
  <dcterms:created xsi:type="dcterms:W3CDTF">2018-12-20T03:25:00Z</dcterms:created>
  <dcterms:modified xsi:type="dcterms:W3CDTF">2018-12-20T03:25:00Z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c2ece493-a672-43b5-bd2c-c5a83f440b60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1213400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