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E07CA" w14:textId="77777777" w:rsidR="0059146A" w:rsidRDefault="0059146A" w:rsidP="005B5769">
      <w:pPr>
        <w:pStyle w:val="ListBullet"/>
        <w:tabs>
          <w:tab w:val="clear" w:pos="284"/>
        </w:tabs>
      </w:pPr>
    </w:p>
    <w:p w14:paraId="548D97B7" w14:textId="77777777" w:rsidR="0059146A" w:rsidRDefault="0059146A" w:rsidP="005B5769">
      <w:pPr>
        <w:pStyle w:val="ListBullet"/>
        <w:tabs>
          <w:tab w:val="clear" w:pos="284"/>
        </w:tabs>
      </w:pPr>
    </w:p>
    <w:p w14:paraId="57021E52" w14:textId="77777777" w:rsidR="0059146A" w:rsidRPr="0059146A" w:rsidRDefault="0059146A" w:rsidP="005B5769">
      <w:pPr>
        <w:pStyle w:val="ListBullet"/>
        <w:tabs>
          <w:tab w:val="clear" w:pos="284"/>
        </w:tabs>
      </w:pPr>
    </w:p>
    <w:p w14:paraId="07521DA3" w14:textId="77777777" w:rsidR="00A56F14" w:rsidRPr="0059146A" w:rsidRDefault="00A56F14" w:rsidP="0059146A">
      <w:pPr>
        <w:pStyle w:val="ListBullet"/>
        <w:tabs>
          <w:tab w:val="clear" w:pos="284"/>
        </w:tabs>
      </w:pPr>
    </w:p>
    <w:p w14:paraId="7447B4A1" w14:textId="77777777" w:rsidR="00A56F14" w:rsidRDefault="00A56F14" w:rsidP="00A56F14">
      <w:pPr>
        <w:spacing w:after="200" w:line="276" w:lineRule="auto"/>
        <w:rPr>
          <w:b/>
        </w:rPr>
      </w:pPr>
    </w:p>
    <w:p w14:paraId="7DE96A16" w14:textId="77777777" w:rsidR="00A56F14" w:rsidRDefault="00A56F14" w:rsidP="00A56F14">
      <w:pPr>
        <w:spacing w:after="200" w:line="276" w:lineRule="auto"/>
        <w:rPr>
          <w:b/>
        </w:rPr>
      </w:pPr>
    </w:p>
    <w:p w14:paraId="7E97D9E1" w14:textId="77777777" w:rsidR="00C6626C" w:rsidRDefault="00C6626C" w:rsidP="00A56F14"/>
    <w:p w14:paraId="228E91BD" w14:textId="77777777" w:rsidR="00C6626C" w:rsidRDefault="00C6626C" w:rsidP="00A56F14"/>
    <w:p w14:paraId="5279C305" w14:textId="77777777" w:rsidR="00C6626C" w:rsidRDefault="00C6626C" w:rsidP="00A56F14"/>
    <w:p w14:paraId="243B7BF9" w14:textId="77777777" w:rsidR="00C6626C" w:rsidRDefault="00C6626C" w:rsidP="00A56F14"/>
    <w:p w14:paraId="190FBB2D" w14:textId="77777777" w:rsidR="00C6626C" w:rsidRDefault="00C6626C" w:rsidP="00A56F14"/>
    <w:p w14:paraId="0B8C7E46" w14:textId="77777777" w:rsidR="00C6626C" w:rsidRDefault="00C6626C" w:rsidP="00A56F14"/>
    <w:p w14:paraId="27D4FD80" w14:textId="77777777" w:rsidR="00C6626C" w:rsidRDefault="00C6626C" w:rsidP="00A56F14"/>
    <w:p w14:paraId="310DE893" w14:textId="77777777" w:rsidR="00C6626C" w:rsidRDefault="00C6626C" w:rsidP="00A56F14"/>
    <w:p w14:paraId="7DA01768" w14:textId="77777777" w:rsidR="00C6626C" w:rsidRDefault="00C6626C" w:rsidP="00A56F14"/>
    <w:p w14:paraId="01AEDFFB" w14:textId="77777777" w:rsidR="00C6626C" w:rsidRDefault="00C6626C" w:rsidP="00A56F14"/>
    <w:p w14:paraId="2CD34294" w14:textId="77777777" w:rsidR="00C6626C" w:rsidRDefault="00C6626C" w:rsidP="00A56F14"/>
    <w:p w14:paraId="3FADE98E" w14:textId="77777777" w:rsidR="00C6626C" w:rsidRDefault="00C6626C" w:rsidP="00A56F14"/>
    <w:p w14:paraId="0DE5C980" w14:textId="77777777" w:rsidR="00C6626C" w:rsidRDefault="00C6626C" w:rsidP="00A56F14"/>
    <w:p w14:paraId="436FEFF8" w14:textId="77777777" w:rsidR="00C6626C" w:rsidRDefault="00C6626C" w:rsidP="00A56F14"/>
    <w:p w14:paraId="3855C6F9" w14:textId="77777777" w:rsidR="00C6626C" w:rsidRDefault="00C6626C" w:rsidP="00A56F14"/>
    <w:p w14:paraId="4DBF1C0B" w14:textId="77777777" w:rsidR="00C6626C" w:rsidRDefault="00C6626C" w:rsidP="00A56F14"/>
    <w:p w14:paraId="37A3A6D1" w14:textId="77777777" w:rsidR="00C6626C" w:rsidRDefault="00C6626C" w:rsidP="00A56F14"/>
    <w:p w14:paraId="1C436B15" w14:textId="77777777" w:rsidR="00C6626C" w:rsidRDefault="00C6626C" w:rsidP="00A56F14"/>
    <w:p w14:paraId="616FBF39" w14:textId="77777777" w:rsidR="00C6626C" w:rsidRDefault="00C6626C" w:rsidP="00A56F14"/>
    <w:p w14:paraId="1707C933" w14:textId="77777777" w:rsidR="00C6626C" w:rsidRDefault="00C6626C" w:rsidP="00A56F14"/>
    <w:p w14:paraId="20BE54B0" w14:textId="77777777" w:rsidR="00C6626C" w:rsidRDefault="00C6626C" w:rsidP="00A56F14"/>
    <w:p w14:paraId="40C3AF64" w14:textId="77777777"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1E42DFEA" wp14:editId="0694D799">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171FB5EB" wp14:editId="3692A7BA">
            <wp:simplePos x="0" y="0"/>
            <wp:positionH relativeFrom="page">
              <wp:posOffset>8890</wp:posOffset>
            </wp:positionH>
            <wp:positionV relativeFrom="page">
              <wp:posOffset>31750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14:paraId="2E2C65CC" w14:textId="77777777" w:rsidR="00C6626C" w:rsidRPr="002A51CA" w:rsidRDefault="00C6626C" w:rsidP="002A51CA">
      <w:pPr>
        <w:pStyle w:val="Title"/>
        <w:spacing w:after="120" w:line="600" w:lineRule="exact"/>
        <w:rPr>
          <w:spacing w:val="-20"/>
          <w:sz w:val="60"/>
        </w:rPr>
      </w:pPr>
      <w:r w:rsidRPr="002A51CA">
        <w:rPr>
          <w:spacing w:val="-20"/>
          <w:sz w:val="60"/>
        </w:rPr>
        <w:t>Report 2015-16</w:t>
      </w:r>
    </w:p>
    <w:p w14:paraId="784A0E1C" w14:textId="77777777" w:rsidR="00C6626C" w:rsidRDefault="00B44BC6" w:rsidP="00A56F14">
      <w:r>
        <w:rPr>
          <w:sz w:val="40"/>
        </w:rPr>
        <w:t>Pacific Regional Program</w:t>
      </w:r>
    </w:p>
    <w:p w14:paraId="4C0C418E" w14:textId="77777777" w:rsidR="00C6626C" w:rsidRPr="002A51CA" w:rsidRDefault="00C6626C" w:rsidP="00A56F14">
      <w:pPr>
        <w:rPr>
          <w:sz w:val="24"/>
        </w:rPr>
      </w:pPr>
      <w:r w:rsidRPr="002A51CA">
        <w:rPr>
          <w:sz w:val="24"/>
        </w:rPr>
        <w:t>September 2016</w:t>
      </w:r>
    </w:p>
    <w:p w14:paraId="0D3BC852" w14:textId="77777777" w:rsidR="00C6626C" w:rsidRDefault="00C6626C" w:rsidP="00A56F14">
      <w:pPr>
        <w:sectPr w:rsidR="00C6626C" w:rsidSect="00190C56">
          <w:headerReference w:type="default" r:id="rId13"/>
          <w:footerReference w:type="default" r:id="rId14"/>
          <w:pgSz w:w="11906" w:h="16838" w:code="9"/>
          <w:pgMar w:top="1952" w:right="1134" w:bottom="851" w:left="1134" w:header="1814" w:footer="567" w:gutter="0"/>
          <w:pgNumType w:start="0"/>
          <w:cols w:space="397"/>
          <w:docGrid w:linePitch="360"/>
        </w:sectPr>
      </w:pPr>
    </w:p>
    <w:p w14:paraId="49809C33" w14:textId="77777777"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14:paraId="65F52305" w14:textId="77777777" w:rsidR="0042738B" w:rsidRPr="00C61187" w:rsidRDefault="0042738B" w:rsidP="0042738B">
      <w:r>
        <w:t>This Aid Program Performance Report (APPR) evaluates the achievements and development results of Australia’s Pacific Regional aid program over the period July 2015 to June 2016.</w:t>
      </w:r>
      <w:r w:rsidRPr="00C61187">
        <w:t xml:space="preserve"> </w:t>
      </w:r>
    </w:p>
    <w:p w14:paraId="084D767F" w14:textId="77777777" w:rsidR="0042738B" w:rsidRDefault="0042738B" w:rsidP="0042738B">
      <w:r>
        <w:t>K</w:t>
      </w:r>
      <w:r w:rsidRPr="00C61187">
        <w:t>ey findings</w:t>
      </w:r>
      <w:r>
        <w:t xml:space="preserve"> and results include:</w:t>
      </w:r>
    </w:p>
    <w:p w14:paraId="1EC7AD65" w14:textId="77777777" w:rsidR="0042738B" w:rsidRDefault="0042738B" w:rsidP="0042738B">
      <w:pPr>
        <w:pStyle w:val="ListParagraph"/>
        <w:numPr>
          <w:ilvl w:val="0"/>
          <w:numId w:val="50"/>
        </w:numPr>
        <w:spacing w:after="160" w:line="280" w:lineRule="exact"/>
      </w:pPr>
      <w:r w:rsidRPr="00C74968">
        <w:rPr>
          <w:i/>
        </w:rPr>
        <w:t>Economic growth</w:t>
      </w:r>
      <w:r>
        <w:t>: t</w:t>
      </w:r>
      <w:r w:rsidR="00AA17C5">
        <w:t>he aid program leveraged over $70</w:t>
      </w:r>
      <w:r w:rsidRPr="006E0475">
        <w:t xml:space="preserve"> million of private sector investment</w:t>
      </w:r>
      <w:r>
        <w:t>;</w:t>
      </w:r>
      <w:r w:rsidRPr="006E0475">
        <w:t xml:space="preserve"> </w:t>
      </w:r>
      <w:r>
        <w:t xml:space="preserve">around 4,500 participants in the Seasonal Worker Programme; </w:t>
      </w:r>
      <w:r w:rsidRPr="004A34BE">
        <w:t>a further 1,526 Pacific islanders graduating with vocational qualifications from the Australia-Pacific Technical College</w:t>
      </w:r>
      <w:r>
        <w:t xml:space="preserve"> (APTC)</w:t>
      </w:r>
      <w:r w:rsidRPr="004A34BE">
        <w:t>, with 95 per cent of them finding employment</w:t>
      </w:r>
      <w:r>
        <w:t xml:space="preserve">; and </w:t>
      </w:r>
      <w:r w:rsidRPr="009F063C">
        <w:t>we engaged with 28 villages and 7</w:t>
      </w:r>
      <w:r>
        <w:t>,</w:t>
      </w:r>
      <w:r w:rsidRPr="009F063C">
        <w:t>400 people in Kiribati, Vanuatu and Solomon Islands to strengthen inshore fisheries management for food security and livelihoods</w:t>
      </w:r>
      <w:r>
        <w:t>.</w:t>
      </w:r>
    </w:p>
    <w:p w14:paraId="6D53CB90" w14:textId="77777777" w:rsidR="0042738B" w:rsidRPr="003614F0" w:rsidRDefault="0042738B" w:rsidP="0042738B">
      <w:pPr>
        <w:pStyle w:val="ListParagraph"/>
        <w:numPr>
          <w:ilvl w:val="0"/>
          <w:numId w:val="50"/>
        </w:numPr>
        <w:spacing w:after="160" w:line="280" w:lineRule="exact"/>
      </w:pPr>
      <w:r w:rsidRPr="00C74968">
        <w:rPr>
          <w:i/>
        </w:rPr>
        <w:t>Effective regional Institutions</w:t>
      </w:r>
      <w:r>
        <w:t xml:space="preserve">: </w:t>
      </w:r>
      <w:r w:rsidRPr="003614F0">
        <w:t xml:space="preserve">Australia is </w:t>
      </w:r>
      <w:r>
        <w:t>assisting</w:t>
      </w:r>
      <w:r w:rsidRPr="003614F0">
        <w:t xml:space="preserve"> regional organisations </w:t>
      </w:r>
      <w:r>
        <w:t xml:space="preserve">in the first year of implementation of the Framework of </w:t>
      </w:r>
      <w:r w:rsidRPr="003614F0">
        <w:t>Pacific Regionalism and continues to advocate for strong collaboration on regional priorities such as fisheries, climate change and disaster management.</w:t>
      </w:r>
    </w:p>
    <w:p w14:paraId="42B54547" w14:textId="77777777" w:rsidR="0042738B" w:rsidRDefault="0042738B" w:rsidP="0042738B">
      <w:pPr>
        <w:pStyle w:val="ListParagraph"/>
        <w:numPr>
          <w:ilvl w:val="0"/>
          <w:numId w:val="50"/>
        </w:numPr>
      </w:pPr>
      <w:r w:rsidRPr="00C74968">
        <w:rPr>
          <w:i/>
        </w:rPr>
        <w:t>Healthy and Resilient Communities</w:t>
      </w:r>
      <w:r>
        <w:t xml:space="preserve">: the aid program provided more than </w:t>
      </w:r>
      <w:r w:rsidRPr="00405183">
        <w:t>6</w:t>
      </w:r>
      <w:r>
        <w:t>,</w:t>
      </w:r>
      <w:r w:rsidRPr="00405183">
        <w:t xml:space="preserve">000 </w:t>
      </w:r>
      <w:r>
        <w:t>medical specialists</w:t>
      </w:r>
      <w:r w:rsidRPr="00405183">
        <w:t xml:space="preserve"> consultations and approximately 1</w:t>
      </w:r>
      <w:r>
        <w:t>,</w:t>
      </w:r>
      <w:r w:rsidRPr="00405183">
        <w:t xml:space="preserve">593 </w:t>
      </w:r>
      <w:r>
        <w:t>surgical procedures to people in the Pacific.</w:t>
      </w:r>
    </w:p>
    <w:p w14:paraId="3F2F9946" w14:textId="77777777" w:rsidR="0042738B" w:rsidRDefault="0042738B" w:rsidP="0042738B">
      <w:pPr>
        <w:pStyle w:val="ListParagraph"/>
        <w:numPr>
          <w:ilvl w:val="0"/>
          <w:numId w:val="50"/>
        </w:numPr>
      </w:pPr>
      <w:r w:rsidRPr="00C74968">
        <w:rPr>
          <w:i/>
        </w:rPr>
        <w:t>Empowering women and girls</w:t>
      </w:r>
      <w:r>
        <w:t>: we helped draft</w:t>
      </w:r>
      <w:r w:rsidRPr="00BA562C">
        <w:t xml:space="preserve"> a new Family Bill for Niue, commenced drafting a Domestic Violence Bill for Nauru and reviewed a draft Bill for the Cook Islands</w:t>
      </w:r>
      <w:r>
        <w:t>; and</w:t>
      </w:r>
      <w:r w:rsidRPr="00BA562C">
        <w:t xml:space="preserve"> </w:t>
      </w:r>
      <w:r>
        <w:t xml:space="preserve">marketplaces in Fiji were </w:t>
      </w:r>
      <w:r w:rsidRPr="00BA562C">
        <w:t>improved to better promote safety and access for its users, directly benefiting 1,600 market vendors</w:t>
      </w:r>
      <w:r>
        <w:t xml:space="preserve"> (1,100 women and 500 men).</w:t>
      </w:r>
    </w:p>
    <w:p w14:paraId="2017DC29" w14:textId="05D3D1C3" w:rsidR="0042738B" w:rsidRDefault="0042738B" w:rsidP="0042738B">
      <w:r>
        <w:t xml:space="preserve">Consolidation of the Pacific Regional program has progressed well with the number of </w:t>
      </w:r>
      <w:r w:rsidRPr="00D72D03">
        <w:t xml:space="preserve">investments </w:t>
      </w:r>
      <w:r>
        <w:t>in 2015</w:t>
      </w:r>
      <w:r w:rsidR="002E27B4">
        <w:noBreakHyphen/>
      </w:r>
      <w:r>
        <w:t xml:space="preserve">16 being reduced </w:t>
      </w:r>
      <w:r w:rsidRPr="00D72D03">
        <w:t xml:space="preserve">to 73 from a July 2013 </w:t>
      </w:r>
      <w:r>
        <w:t>baseline</w:t>
      </w:r>
      <w:r w:rsidRPr="00D72D03">
        <w:t xml:space="preserve"> of 98. This is a 25 per cent reduction.</w:t>
      </w:r>
      <w:r>
        <w:t xml:space="preserve"> More work will be undertaken to rationalise the regional program to make further funding available for new and emerging priorities of the government, including the Pacific Agreement on Closer Economic Relations (PACER) Plus Agreement, private sector d</w:t>
      </w:r>
      <w:r w:rsidR="004C6397">
        <w:t>evelopment, women’s empowerment</w:t>
      </w:r>
      <w:r>
        <w:t xml:space="preserve"> and climate change.</w:t>
      </w:r>
    </w:p>
    <w:p w14:paraId="4E65E08B" w14:textId="1FEF123A" w:rsidR="0042738B" w:rsidRPr="00B7290C" w:rsidRDefault="0042738B" w:rsidP="0042738B">
      <w:pPr>
        <w:rPr>
          <w:color w:val="auto"/>
        </w:rPr>
      </w:pPr>
      <w:r w:rsidRPr="00B7290C">
        <w:rPr>
          <w:color w:val="auto"/>
        </w:rPr>
        <w:t xml:space="preserve">The Pacific Regional program has demonstrated sound effectiveness and efficiency in its investments. </w:t>
      </w:r>
      <w:r w:rsidR="00013D0E">
        <w:rPr>
          <w:color w:val="auto"/>
        </w:rPr>
        <w:t xml:space="preserve">While </w:t>
      </w:r>
      <w:r w:rsidRPr="00B7290C">
        <w:rPr>
          <w:color w:val="auto"/>
        </w:rPr>
        <w:t>Aid Quality Check (AQC) satisfactory ratings for</w:t>
      </w:r>
      <w:r w:rsidR="004C6397" w:rsidRPr="00B7290C">
        <w:rPr>
          <w:color w:val="auto"/>
        </w:rPr>
        <w:t xml:space="preserve"> effectiveness </w:t>
      </w:r>
      <w:r w:rsidR="00013D0E">
        <w:rPr>
          <w:color w:val="auto"/>
        </w:rPr>
        <w:t xml:space="preserve">reduced </w:t>
      </w:r>
      <w:r w:rsidR="004C6397" w:rsidRPr="00B7290C">
        <w:rPr>
          <w:color w:val="auto"/>
        </w:rPr>
        <w:t xml:space="preserve">from 94 per cent of investments in 2015 to </w:t>
      </w:r>
      <w:r w:rsidR="00013D0E">
        <w:rPr>
          <w:color w:val="auto"/>
        </w:rPr>
        <w:t>85</w:t>
      </w:r>
      <w:r w:rsidR="004C6397" w:rsidRPr="00B7290C">
        <w:rPr>
          <w:color w:val="auto"/>
        </w:rPr>
        <w:t xml:space="preserve"> per cent</w:t>
      </w:r>
      <w:r w:rsidRPr="00B7290C">
        <w:rPr>
          <w:color w:val="auto"/>
        </w:rPr>
        <w:t xml:space="preserve"> in 2016</w:t>
      </w:r>
      <w:r w:rsidR="00013D0E">
        <w:rPr>
          <w:color w:val="auto"/>
        </w:rPr>
        <w:t>, this is due to increased robustness of scoring rather than reduced performance</w:t>
      </w:r>
      <w:r w:rsidR="002C22C0">
        <w:rPr>
          <w:color w:val="auto"/>
        </w:rPr>
        <w:t xml:space="preserve"> of programs</w:t>
      </w:r>
      <w:r w:rsidRPr="00B7290C">
        <w:rPr>
          <w:color w:val="auto"/>
        </w:rPr>
        <w:t xml:space="preserve">. For efficiency, satisfactory ratings </w:t>
      </w:r>
      <w:r w:rsidR="00013D0E">
        <w:rPr>
          <w:color w:val="auto"/>
        </w:rPr>
        <w:t xml:space="preserve">reduced from </w:t>
      </w:r>
      <w:r w:rsidR="004C6397" w:rsidRPr="00B7290C">
        <w:rPr>
          <w:color w:val="auto"/>
        </w:rPr>
        <w:t>95 per cent</w:t>
      </w:r>
      <w:r w:rsidRPr="00B7290C">
        <w:rPr>
          <w:color w:val="auto"/>
        </w:rPr>
        <w:t xml:space="preserve"> in 201</w:t>
      </w:r>
      <w:r w:rsidR="00013D0E">
        <w:rPr>
          <w:color w:val="auto"/>
        </w:rPr>
        <w:t>5 to 88 per cent in 2016, again due to improved robustness</w:t>
      </w:r>
      <w:r w:rsidR="002C22C0">
        <w:rPr>
          <w:color w:val="auto"/>
        </w:rPr>
        <w:t xml:space="preserve"> of scoring</w:t>
      </w:r>
      <w:r w:rsidRPr="00B7290C">
        <w:rPr>
          <w:color w:val="auto"/>
        </w:rPr>
        <w:t>. Gender remains the poorest</w:t>
      </w:r>
      <w:r w:rsidR="00A779FC" w:rsidRPr="00B7290C">
        <w:rPr>
          <w:color w:val="auto"/>
        </w:rPr>
        <w:t xml:space="preserve"> performing criteria</w:t>
      </w:r>
      <w:r w:rsidR="00013D0E">
        <w:rPr>
          <w:color w:val="auto"/>
        </w:rPr>
        <w:t>, although t</w:t>
      </w:r>
      <w:r w:rsidRPr="00B7290C">
        <w:rPr>
          <w:color w:val="auto"/>
        </w:rPr>
        <w:t>he level of satisfactory ratings for gender has increased from 7</w:t>
      </w:r>
      <w:r w:rsidR="004C6397" w:rsidRPr="00B7290C">
        <w:rPr>
          <w:color w:val="auto"/>
        </w:rPr>
        <w:t>1 per cent of investments in 2015 to 7</w:t>
      </w:r>
      <w:r w:rsidR="00CF320D">
        <w:rPr>
          <w:color w:val="auto"/>
        </w:rPr>
        <w:t>3</w:t>
      </w:r>
      <w:r w:rsidR="004C6397" w:rsidRPr="00B7290C">
        <w:rPr>
          <w:color w:val="auto"/>
        </w:rPr>
        <w:t xml:space="preserve"> per cent</w:t>
      </w:r>
      <w:r w:rsidRPr="00B7290C">
        <w:rPr>
          <w:color w:val="auto"/>
        </w:rPr>
        <w:t xml:space="preserve"> in 2016 which demonstrates the program is progressing towards the Empowering Women a</w:t>
      </w:r>
      <w:r w:rsidR="004C6397" w:rsidRPr="00B7290C">
        <w:rPr>
          <w:color w:val="auto"/>
        </w:rPr>
        <w:t>nd Girls Strategic Target of 80 per cent</w:t>
      </w:r>
      <w:r w:rsidRPr="00B7290C">
        <w:rPr>
          <w:color w:val="auto"/>
        </w:rPr>
        <w:t>.</w:t>
      </w:r>
    </w:p>
    <w:p w14:paraId="3564118F" w14:textId="77777777" w:rsidR="00C6626C" w:rsidRPr="00C61187" w:rsidRDefault="00CA3DA8" w:rsidP="002A51CA">
      <w:pPr>
        <w:pStyle w:val="ListBullet"/>
        <w:tabs>
          <w:tab w:val="clear" w:pos="284"/>
        </w:tabs>
        <w:spacing w:before="360"/>
        <w:rPr>
          <w:kern w:val="28"/>
        </w:rPr>
      </w:pPr>
      <w:r>
        <w:rPr>
          <w:rFonts w:asciiTheme="majorHAnsi" w:eastAsiaTheme="majorEastAsia" w:hAnsiTheme="majorHAnsi" w:cstheme="majorBidi"/>
          <w:caps/>
          <w:color w:val="495965" w:themeColor="text2"/>
          <w:sz w:val="38"/>
          <w:szCs w:val="26"/>
          <w:lang w:val="en-GB" w:eastAsia="en-US"/>
        </w:rPr>
        <w:t>Context</w:t>
      </w:r>
    </w:p>
    <w:p w14:paraId="5B02655A" w14:textId="77777777" w:rsidR="006F1C78" w:rsidRDefault="00482F07" w:rsidP="002A51CA">
      <w:r>
        <w:t>The P</w:t>
      </w:r>
      <w:r w:rsidR="00A73A4E">
        <w:t xml:space="preserve">acific faces a range of developmental challenges. </w:t>
      </w:r>
      <w:r w:rsidR="00CA3DA8">
        <w:t>In much of the P</w:t>
      </w:r>
      <w:r w:rsidR="00A73A4E">
        <w:t>acific, economic growth is not keeping pace with population growth. Distance and weak infrastructure makes international trade expensive. Narrow production bases and im</w:t>
      </w:r>
      <w:r w:rsidR="00507AD8">
        <w:t>ported fuel supplies make most P</w:t>
      </w:r>
      <w:r w:rsidR="00A73A4E">
        <w:t xml:space="preserve">acific island countries particularly vulnerable to commodity price fluctuations. The private sector is typically small with large informal economies. Greater regional trade and economic integration is needed. The Pacific is well behind on social and economic indicators. </w:t>
      </w:r>
      <w:r w:rsidR="00A779FC">
        <w:t>P</w:t>
      </w:r>
      <w:r w:rsidR="00A73A4E">
        <w:t xml:space="preserve">rogress </w:t>
      </w:r>
      <w:r w:rsidR="00A779FC">
        <w:t>towards</w:t>
      </w:r>
      <w:r w:rsidR="00A73A4E">
        <w:t xml:space="preserve"> meeting the Millennium Development Goals that finished in 2015</w:t>
      </w:r>
      <w:r w:rsidR="00A779FC">
        <w:t xml:space="preserve"> was disappointing</w:t>
      </w:r>
      <w:r w:rsidR="00A73A4E">
        <w:t>. Violence, a l</w:t>
      </w:r>
      <w:r w:rsidR="00551ADA">
        <w:t>a</w:t>
      </w:r>
      <w:r w:rsidR="00A73A4E">
        <w:t>ck of women in leadership roles and constrained financial opportunities limit women’s economic participation. The region is particularly vulnerable to the impacts of climate change</w:t>
      </w:r>
      <w:r>
        <w:t xml:space="preserve"> and natural disasters</w:t>
      </w:r>
      <w:r w:rsidR="00A73A4E">
        <w:t>.</w:t>
      </w:r>
    </w:p>
    <w:p w14:paraId="05F715B3" w14:textId="729000F4" w:rsidR="0042738B" w:rsidRPr="00CA3DA8" w:rsidRDefault="0042738B" w:rsidP="0042738B">
      <w:r w:rsidRPr="00FC2F92">
        <w:t xml:space="preserve">Australia </w:t>
      </w:r>
      <w:r>
        <w:t>is</w:t>
      </w:r>
      <w:r w:rsidRPr="00FC2F92">
        <w:t xml:space="preserve"> the largest aid donor to the Pacific</w:t>
      </w:r>
      <w:r>
        <w:t xml:space="preserve"> contributing 46</w:t>
      </w:r>
      <w:r w:rsidR="00494540">
        <w:t xml:space="preserve"> per cent</w:t>
      </w:r>
      <w:r>
        <w:t xml:space="preserve"> of all official development assistance (ODA) to the region. The Pacific r</w:t>
      </w:r>
      <w:r w:rsidRPr="00CA3DA8">
        <w:t>egional program compl</w:t>
      </w:r>
      <w:r w:rsidR="00013D0E">
        <w:t>e</w:t>
      </w:r>
      <w:r w:rsidRPr="00CA3DA8">
        <w:t xml:space="preserve">ments the work of bilateral programs with a focus on areas where a regional approach would be more effective. The Aid Investment Plan for the Pacific Regional Program (published in September 2015) establishes the four objectives for the Regional program: </w:t>
      </w:r>
      <w:r w:rsidRPr="00CA3DA8">
        <w:lastRenderedPageBreak/>
        <w:t>supporting increased economic growth; the development of more efficient regional institutions; healthy and resilient communities; and the empowerment of women and girls in the Pacific.</w:t>
      </w:r>
    </w:p>
    <w:p w14:paraId="73082BFF" w14:textId="77777777" w:rsidR="00C6626C" w:rsidRPr="002A51CA" w:rsidRDefault="00C6626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14:paraId="1B8CC9C7" w14:textId="77777777" w:rsidR="0042738B" w:rsidRDefault="0042738B" w:rsidP="0042738B">
      <w:r>
        <w:t xml:space="preserve">Expenditure for the Pacific Regional Program was $176.9 million in 2015-16. The allocation for 2015-16 is 10 per cent less than the allocation for 2014-15, but </w:t>
      </w:r>
      <w:r w:rsidR="007667CD">
        <w:t>is expected to</w:t>
      </w:r>
      <w:r>
        <w:t xml:space="preserve"> rise in subsequent years.</w:t>
      </w:r>
    </w:p>
    <w:p w14:paraId="03259FC1" w14:textId="77777777" w:rsidR="00573C79" w:rsidRDefault="00573C79" w:rsidP="002A51CA">
      <w:r w:rsidRPr="00573C79">
        <w:t>The Pacific Regional program includes aid activities where benefit can be attributed to p</w:t>
      </w:r>
      <w:r>
        <w:t xml:space="preserve">articular countries. In 2015-16 this was </w:t>
      </w:r>
      <w:r w:rsidRPr="00573C79">
        <w:t xml:space="preserve">$82.5 million. This </w:t>
      </w:r>
      <w:r>
        <w:t>amount is</w:t>
      </w:r>
      <w:r w:rsidRPr="00573C79">
        <w:t xml:space="preserve"> counted towards the total ODA of the</w:t>
      </w:r>
      <w:r>
        <w:t>se</w:t>
      </w:r>
      <w:r w:rsidRPr="00573C79">
        <w:t xml:space="preserve"> </w:t>
      </w:r>
      <w:r>
        <w:t>recipient</w:t>
      </w:r>
      <w:r w:rsidRPr="00573C79">
        <w:t xml:space="preserve"> countries.</w:t>
      </w:r>
    </w:p>
    <w:p w14:paraId="556E5507" w14:textId="77777777" w:rsidR="00807B34" w:rsidRDefault="00000585" w:rsidP="00807B34">
      <w:r>
        <w:t>This report only covers the P</w:t>
      </w:r>
      <w:r w:rsidR="00573C79">
        <w:t>acific Regi</w:t>
      </w:r>
      <w:r w:rsidR="00060AB0">
        <w:t>o</w:t>
      </w:r>
      <w:r w:rsidR="00573C79">
        <w:t>nal program managed by the Department of Foreign Affairs</w:t>
      </w:r>
      <w:r w:rsidR="00AB1D00">
        <w:t xml:space="preserve"> and Trade</w:t>
      </w:r>
      <w:r w:rsidR="00D729B4">
        <w:t xml:space="preserve"> (DFAT)</w:t>
      </w:r>
      <w:r w:rsidR="00573C79">
        <w:t>. Other agencies (including the Australian Federal Police, Attorney-General’s Department, and Department of Immigration and Border Protection) also provid</w:t>
      </w:r>
      <w:r w:rsidR="00133A08">
        <w:t>ed $10.6 million in support of P</w:t>
      </w:r>
      <w:r w:rsidR="00573C79">
        <w:t>acific programs in 2015-16.</w:t>
      </w:r>
    </w:p>
    <w:p w14:paraId="04C0C3F1" w14:textId="72CD8A48" w:rsidR="00807B34" w:rsidRPr="00D25B2D" w:rsidRDefault="00807B34" w:rsidP="00807B34">
      <w:pPr>
        <w:rPr>
          <w:b/>
          <w:color w:val="000000" w:themeColor="text1"/>
          <w:sz w:val="24"/>
        </w:rPr>
      </w:pPr>
      <w:r w:rsidRPr="00D25B2D">
        <w:rPr>
          <w:b/>
          <w:color w:val="000000" w:themeColor="text1"/>
          <w:sz w:val="24"/>
        </w:rPr>
        <w:t xml:space="preserve">Table </w:t>
      </w:r>
      <w:r w:rsidRPr="00D25B2D">
        <w:rPr>
          <w:b/>
          <w:color w:val="000000" w:themeColor="text1"/>
          <w:sz w:val="24"/>
        </w:rPr>
        <w:fldChar w:fldCharType="begin"/>
      </w:r>
      <w:r w:rsidRPr="00D25B2D">
        <w:rPr>
          <w:b/>
          <w:color w:val="000000" w:themeColor="text1"/>
          <w:sz w:val="24"/>
        </w:rPr>
        <w:instrText xml:space="preserve"> SEQ Table \* ARABIC </w:instrText>
      </w:r>
      <w:r w:rsidRPr="00D25B2D">
        <w:rPr>
          <w:b/>
          <w:color w:val="000000" w:themeColor="text1"/>
          <w:sz w:val="24"/>
        </w:rPr>
        <w:fldChar w:fldCharType="separate"/>
      </w:r>
      <w:r w:rsidR="00E23169">
        <w:rPr>
          <w:b/>
          <w:noProof/>
          <w:color w:val="000000" w:themeColor="text1"/>
          <w:sz w:val="24"/>
        </w:rPr>
        <w:t>1</w:t>
      </w:r>
      <w:r w:rsidRPr="00D25B2D">
        <w:rPr>
          <w:b/>
          <w:noProof/>
          <w:color w:val="000000" w:themeColor="text1"/>
          <w:sz w:val="24"/>
        </w:rPr>
        <w:fldChar w:fldCharType="end"/>
      </w:r>
      <w:r w:rsidRPr="00D25B2D">
        <w:rPr>
          <w:b/>
          <w:color w:val="000000" w:themeColor="text1"/>
          <w:sz w:val="24"/>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807B34" w:rsidRPr="003B0793" w14:paraId="22D2BEB9" w14:textId="77777777" w:rsidTr="00E1090D">
        <w:trPr>
          <w:trHeight w:hRule="exact" w:val="284"/>
        </w:trPr>
        <w:tc>
          <w:tcPr>
            <w:tcW w:w="6204" w:type="dxa"/>
            <w:vAlign w:val="center"/>
          </w:tcPr>
          <w:p w14:paraId="7229A939" w14:textId="77777777" w:rsidR="00807B34" w:rsidRPr="003B0793" w:rsidRDefault="00807B34" w:rsidP="00E1090D">
            <w:pPr>
              <w:keepNext/>
              <w:spacing w:before="0" w:after="0" w:line="280" w:lineRule="exact"/>
              <w:rPr>
                <w:rFonts w:eastAsia="Times New Roman"/>
                <w:b/>
                <w:sz w:val="17"/>
                <w:szCs w:val="17"/>
              </w:rPr>
            </w:pPr>
            <w:r w:rsidRPr="00D25B2D">
              <w:rPr>
                <w:rFonts w:eastAsia="Times New Roman"/>
                <w:b/>
                <w:color w:val="000000" w:themeColor="text1"/>
                <w:sz w:val="17"/>
                <w:szCs w:val="17"/>
              </w:rPr>
              <w:t>Objective</w:t>
            </w:r>
          </w:p>
        </w:tc>
        <w:tc>
          <w:tcPr>
            <w:tcW w:w="992" w:type="dxa"/>
            <w:vAlign w:val="center"/>
          </w:tcPr>
          <w:p w14:paraId="434DE425" w14:textId="77777777" w:rsidR="00807B34" w:rsidRPr="003B0793" w:rsidRDefault="00807B34" w:rsidP="00E1090D">
            <w:pPr>
              <w:keepNext/>
              <w:spacing w:before="0" w:after="0" w:line="280" w:lineRule="exact"/>
              <w:rPr>
                <w:rFonts w:eastAsia="Times New Roman"/>
                <w:sz w:val="17"/>
                <w:szCs w:val="17"/>
              </w:rPr>
            </w:pPr>
            <w:r w:rsidRPr="00D25B2D">
              <w:rPr>
                <w:rFonts w:eastAsia="Times New Roman"/>
                <w:b/>
                <w:color w:val="000000" w:themeColor="text1"/>
                <w:sz w:val="17"/>
                <w:szCs w:val="17"/>
              </w:rPr>
              <w:t>A$ million</w:t>
            </w:r>
          </w:p>
        </w:tc>
        <w:tc>
          <w:tcPr>
            <w:tcW w:w="1525" w:type="dxa"/>
            <w:vAlign w:val="center"/>
          </w:tcPr>
          <w:p w14:paraId="1E3643C6" w14:textId="77777777" w:rsidR="00807B34" w:rsidRPr="003B0793" w:rsidRDefault="00807B34" w:rsidP="00E1090D">
            <w:pPr>
              <w:keepNext/>
              <w:spacing w:before="0" w:after="0" w:line="280" w:lineRule="exact"/>
              <w:rPr>
                <w:rFonts w:eastAsia="Times New Roman"/>
                <w:sz w:val="17"/>
                <w:szCs w:val="17"/>
              </w:rPr>
            </w:pPr>
            <w:r w:rsidRPr="00D25B2D">
              <w:rPr>
                <w:rFonts w:eastAsia="Times New Roman"/>
                <w:b/>
                <w:color w:val="000000" w:themeColor="text1"/>
                <w:sz w:val="17"/>
                <w:szCs w:val="17"/>
              </w:rPr>
              <w:t>% of total ODA</w:t>
            </w:r>
          </w:p>
        </w:tc>
      </w:tr>
      <w:tr w:rsidR="00807B34" w:rsidRPr="003B0793" w14:paraId="767C738F" w14:textId="77777777" w:rsidTr="00E1090D">
        <w:trPr>
          <w:trHeight w:hRule="exact" w:val="284"/>
        </w:trPr>
        <w:tc>
          <w:tcPr>
            <w:tcW w:w="6204" w:type="dxa"/>
            <w:vAlign w:val="center"/>
          </w:tcPr>
          <w:p w14:paraId="09EB971A" w14:textId="77777777" w:rsidR="00807B34" w:rsidRPr="003B0793" w:rsidRDefault="00807B34" w:rsidP="00E1090D">
            <w:pPr>
              <w:keepNext/>
              <w:spacing w:before="0" w:after="0" w:line="280" w:lineRule="exact"/>
              <w:rPr>
                <w:rFonts w:eastAsia="Times New Roman"/>
                <w:b/>
                <w:i/>
                <w:sz w:val="17"/>
                <w:szCs w:val="17"/>
              </w:rPr>
            </w:pPr>
            <w:r w:rsidRPr="00D25B2D">
              <w:rPr>
                <w:rFonts w:eastAsia="Times New Roman"/>
                <w:b/>
                <w:i/>
                <w:color w:val="000000" w:themeColor="text1"/>
                <w:sz w:val="17"/>
                <w:szCs w:val="17"/>
              </w:rPr>
              <w:t xml:space="preserve">Pacific Regional </w:t>
            </w:r>
          </w:p>
        </w:tc>
        <w:tc>
          <w:tcPr>
            <w:tcW w:w="992" w:type="dxa"/>
            <w:vAlign w:val="center"/>
          </w:tcPr>
          <w:p w14:paraId="2E107665" w14:textId="77777777" w:rsidR="00807B34" w:rsidRPr="003B0793" w:rsidRDefault="00807B34" w:rsidP="00E1090D">
            <w:pPr>
              <w:keepNext/>
              <w:spacing w:before="0" w:after="0" w:line="280" w:lineRule="exact"/>
              <w:rPr>
                <w:rFonts w:eastAsia="Times New Roman"/>
                <w:b/>
                <w:sz w:val="17"/>
                <w:szCs w:val="17"/>
              </w:rPr>
            </w:pPr>
          </w:p>
        </w:tc>
        <w:tc>
          <w:tcPr>
            <w:tcW w:w="1525" w:type="dxa"/>
            <w:vAlign w:val="center"/>
          </w:tcPr>
          <w:p w14:paraId="489AD223" w14:textId="77777777" w:rsidR="00807B34" w:rsidRPr="003B0793" w:rsidRDefault="00807B34" w:rsidP="00E1090D">
            <w:pPr>
              <w:keepNext/>
              <w:spacing w:before="0" w:after="0" w:line="280" w:lineRule="exact"/>
              <w:rPr>
                <w:rFonts w:eastAsia="Times New Roman"/>
                <w:b/>
                <w:sz w:val="17"/>
                <w:szCs w:val="17"/>
              </w:rPr>
            </w:pPr>
          </w:p>
        </w:tc>
      </w:tr>
      <w:tr w:rsidR="00807B34" w:rsidRPr="003B0793" w14:paraId="69D1C3B4" w14:textId="77777777" w:rsidTr="0083730A">
        <w:tc>
          <w:tcPr>
            <w:tcW w:w="6204" w:type="dxa"/>
          </w:tcPr>
          <w:p w14:paraId="1F6A35E7" w14:textId="77777777" w:rsidR="00807B34" w:rsidRPr="00D25B2D" w:rsidRDefault="00807B34" w:rsidP="00E1090D">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1:  Economic Growth</w:t>
            </w:r>
          </w:p>
          <w:p w14:paraId="48A2A99F" w14:textId="77777777" w:rsidR="00807B34" w:rsidRPr="004C65C1" w:rsidRDefault="00807B34" w:rsidP="00E1090D">
            <w:pPr>
              <w:keepNext/>
              <w:spacing w:before="0" w:after="0" w:line="280" w:lineRule="exact"/>
              <w:rPr>
                <w:rFonts w:eastAsia="Times New Roman"/>
                <w:i/>
                <w:color w:val="899CAA" w:themeColor="text2" w:themeTint="99"/>
                <w:sz w:val="17"/>
                <w:szCs w:val="17"/>
              </w:rPr>
            </w:pPr>
            <w:r>
              <w:rPr>
                <w:rFonts w:eastAsia="Times New Roman"/>
                <w:i/>
                <w:sz w:val="17"/>
                <w:szCs w:val="17"/>
              </w:rPr>
              <w:t xml:space="preserve">      </w:t>
            </w:r>
            <w:r w:rsidRPr="004C65C1">
              <w:rPr>
                <w:rFonts w:eastAsia="Times New Roman"/>
                <w:i/>
                <w:color w:val="899CAA" w:themeColor="text2" w:themeTint="99"/>
                <w:sz w:val="17"/>
                <w:szCs w:val="17"/>
              </w:rPr>
              <w:t>Private Sector Initiatives and Aid for Trade</w:t>
            </w:r>
          </w:p>
          <w:p w14:paraId="23521646" w14:textId="77777777" w:rsidR="00807B34" w:rsidRPr="004C65C1" w:rsidRDefault="00807B34" w:rsidP="00E1090D">
            <w:pPr>
              <w:keepNext/>
              <w:spacing w:before="0" w:after="0" w:line="280" w:lineRule="exact"/>
              <w:rPr>
                <w:rFonts w:eastAsia="Times New Roman"/>
                <w:i/>
                <w:color w:val="899CAA" w:themeColor="text2" w:themeTint="99"/>
                <w:sz w:val="17"/>
                <w:szCs w:val="17"/>
              </w:rPr>
            </w:pPr>
            <w:r w:rsidRPr="004C65C1">
              <w:rPr>
                <w:rFonts w:eastAsia="Times New Roman"/>
                <w:i/>
                <w:color w:val="899CAA" w:themeColor="text2" w:themeTint="99"/>
                <w:sz w:val="17"/>
                <w:szCs w:val="17"/>
              </w:rPr>
              <w:t xml:space="preserve">      Fisheries</w:t>
            </w:r>
          </w:p>
          <w:p w14:paraId="1F2D4948" w14:textId="77777777" w:rsidR="00807B34" w:rsidRPr="00046A4E" w:rsidRDefault="00807B34" w:rsidP="00E1090D">
            <w:pPr>
              <w:keepNext/>
              <w:spacing w:before="0" w:after="0" w:line="280" w:lineRule="exact"/>
              <w:rPr>
                <w:rFonts w:eastAsia="Times New Roman"/>
                <w:i/>
                <w:sz w:val="17"/>
                <w:szCs w:val="17"/>
              </w:rPr>
            </w:pPr>
            <w:r w:rsidRPr="004C65C1">
              <w:rPr>
                <w:rFonts w:eastAsia="Times New Roman"/>
                <w:i/>
                <w:color w:val="899CAA" w:themeColor="text2" w:themeTint="99"/>
                <w:sz w:val="17"/>
                <w:szCs w:val="17"/>
              </w:rPr>
              <w:t xml:space="preserve">      Education</w:t>
            </w:r>
          </w:p>
        </w:tc>
        <w:tc>
          <w:tcPr>
            <w:tcW w:w="992" w:type="dxa"/>
          </w:tcPr>
          <w:p w14:paraId="27611E6F"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98.3</w:t>
            </w:r>
          </w:p>
          <w:p w14:paraId="53D9428B"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39.0</w:t>
            </w:r>
          </w:p>
          <w:p w14:paraId="50DAAD81"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11.2</w:t>
            </w:r>
          </w:p>
          <w:p w14:paraId="703F13FD" w14:textId="77777777" w:rsidR="00807B34" w:rsidRPr="003B0793" w:rsidRDefault="00807B34" w:rsidP="00E1090D">
            <w:pPr>
              <w:keepNext/>
              <w:spacing w:before="0" w:after="0" w:line="280" w:lineRule="exact"/>
              <w:jc w:val="right"/>
              <w:rPr>
                <w:rFonts w:eastAsia="Times New Roman"/>
                <w:sz w:val="17"/>
                <w:szCs w:val="17"/>
              </w:rPr>
            </w:pPr>
            <w:r>
              <w:rPr>
                <w:rFonts w:eastAsia="Times New Roman"/>
                <w:i/>
                <w:color w:val="899CAA" w:themeColor="text2" w:themeTint="99"/>
                <w:sz w:val="17"/>
                <w:szCs w:val="17"/>
              </w:rPr>
              <w:t>48.1</w:t>
            </w:r>
          </w:p>
        </w:tc>
        <w:tc>
          <w:tcPr>
            <w:tcW w:w="1525" w:type="dxa"/>
          </w:tcPr>
          <w:p w14:paraId="3EEEC0DA"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47.4%</w:t>
            </w:r>
          </w:p>
          <w:p w14:paraId="6869536B"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sidRPr="004C65C1">
              <w:rPr>
                <w:rFonts w:eastAsia="Times New Roman"/>
                <w:i/>
                <w:color w:val="899CAA" w:themeColor="text2" w:themeTint="99"/>
                <w:sz w:val="17"/>
                <w:szCs w:val="17"/>
              </w:rPr>
              <w:t>18.8%</w:t>
            </w:r>
          </w:p>
          <w:p w14:paraId="2BB2231D"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sidRPr="004C65C1">
              <w:rPr>
                <w:rFonts w:eastAsia="Times New Roman"/>
                <w:i/>
                <w:color w:val="899CAA" w:themeColor="text2" w:themeTint="99"/>
                <w:sz w:val="17"/>
                <w:szCs w:val="17"/>
              </w:rPr>
              <w:t>5.4%</w:t>
            </w:r>
          </w:p>
          <w:p w14:paraId="6BF9D0F2" w14:textId="77777777" w:rsidR="00807B34" w:rsidRPr="004C65C1" w:rsidRDefault="00807B34" w:rsidP="00E1090D">
            <w:pPr>
              <w:keepNext/>
              <w:spacing w:before="0" w:after="0" w:line="280" w:lineRule="exact"/>
              <w:jc w:val="right"/>
              <w:rPr>
                <w:rFonts w:eastAsia="Times New Roman"/>
                <w:i/>
                <w:sz w:val="17"/>
                <w:szCs w:val="17"/>
              </w:rPr>
            </w:pPr>
            <w:r w:rsidRPr="004C65C1">
              <w:rPr>
                <w:rFonts w:eastAsia="Times New Roman"/>
                <w:i/>
                <w:color w:val="899CAA" w:themeColor="text2" w:themeTint="99"/>
                <w:sz w:val="17"/>
                <w:szCs w:val="17"/>
              </w:rPr>
              <w:t>23.2%</w:t>
            </w:r>
          </w:p>
        </w:tc>
      </w:tr>
      <w:tr w:rsidR="00807B34" w:rsidRPr="003B0793" w14:paraId="4AEEA0CC" w14:textId="77777777" w:rsidTr="0083730A">
        <w:tc>
          <w:tcPr>
            <w:tcW w:w="6204" w:type="dxa"/>
          </w:tcPr>
          <w:p w14:paraId="2F4DD0E5" w14:textId="77777777" w:rsidR="00807B34" w:rsidRPr="00D25B2D" w:rsidRDefault="00807B34" w:rsidP="00E1090D">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2:  Effective Regional Institutions</w:t>
            </w:r>
          </w:p>
          <w:p w14:paraId="5753A85F" w14:textId="77777777" w:rsidR="00807B34" w:rsidRPr="004C65C1" w:rsidRDefault="00807B34" w:rsidP="00E1090D">
            <w:pPr>
              <w:keepNext/>
              <w:spacing w:before="0" w:after="0" w:line="280" w:lineRule="exact"/>
              <w:rPr>
                <w:rFonts w:eastAsia="Times New Roman"/>
                <w:i/>
                <w:color w:val="899CAA" w:themeColor="text2" w:themeTint="99"/>
                <w:sz w:val="17"/>
                <w:szCs w:val="17"/>
              </w:rPr>
            </w:pPr>
            <w:r>
              <w:rPr>
                <w:rFonts w:eastAsia="Times New Roman"/>
                <w:sz w:val="17"/>
                <w:szCs w:val="17"/>
              </w:rPr>
              <w:t xml:space="preserve">      </w:t>
            </w:r>
            <w:r w:rsidRPr="004C65C1">
              <w:rPr>
                <w:rFonts w:eastAsia="Times New Roman"/>
                <w:i/>
                <w:color w:val="899CAA" w:themeColor="text2" w:themeTint="99"/>
                <w:sz w:val="17"/>
                <w:szCs w:val="17"/>
              </w:rPr>
              <w:t>Regional Institutions</w:t>
            </w:r>
          </w:p>
          <w:p w14:paraId="3F6F33C8" w14:textId="77777777" w:rsidR="00807B34" w:rsidRPr="003B0793" w:rsidRDefault="00807B34" w:rsidP="00E1090D">
            <w:pPr>
              <w:keepNext/>
              <w:spacing w:before="0" w:after="0" w:line="280" w:lineRule="exact"/>
              <w:rPr>
                <w:rFonts w:eastAsia="Times New Roman"/>
                <w:sz w:val="17"/>
                <w:szCs w:val="17"/>
              </w:rPr>
            </w:pPr>
            <w:r w:rsidRPr="004C65C1">
              <w:rPr>
                <w:rFonts w:eastAsia="Times New Roman"/>
                <w:i/>
                <w:color w:val="899CAA" w:themeColor="text2" w:themeTint="99"/>
                <w:sz w:val="17"/>
                <w:szCs w:val="17"/>
              </w:rPr>
              <w:t xml:space="preserve">      Governance</w:t>
            </w:r>
          </w:p>
        </w:tc>
        <w:tc>
          <w:tcPr>
            <w:tcW w:w="992" w:type="dxa"/>
          </w:tcPr>
          <w:p w14:paraId="28224F62"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41.4</w:t>
            </w:r>
          </w:p>
          <w:p w14:paraId="474C2044"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sidRPr="004C65C1">
              <w:rPr>
                <w:rFonts w:eastAsia="Times New Roman"/>
                <w:i/>
                <w:color w:val="899CAA" w:themeColor="text2" w:themeTint="99"/>
                <w:sz w:val="17"/>
                <w:szCs w:val="17"/>
              </w:rPr>
              <w:t>21.7</w:t>
            </w:r>
          </w:p>
          <w:p w14:paraId="4E7EBD59" w14:textId="77777777" w:rsidR="00807B34" w:rsidRPr="004C65C1" w:rsidRDefault="00807B34" w:rsidP="00E1090D">
            <w:pPr>
              <w:keepNext/>
              <w:spacing w:before="0" w:after="0" w:line="280" w:lineRule="exact"/>
              <w:jc w:val="right"/>
              <w:rPr>
                <w:rFonts w:eastAsia="Times New Roman"/>
                <w:i/>
                <w:sz w:val="17"/>
                <w:szCs w:val="17"/>
              </w:rPr>
            </w:pPr>
            <w:r w:rsidRPr="004C65C1">
              <w:rPr>
                <w:rFonts w:eastAsia="Times New Roman"/>
                <w:i/>
                <w:color w:val="899CAA" w:themeColor="text2" w:themeTint="99"/>
                <w:sz w:val="17"/>
                <w:szCs w:val="17"/>
              </w:rPr>
              <w:t>19.7</w:t>
            </w:r>
          </w:p>
        </w:tc>
        <w:tc>
          <w:tcPr>
            <w:tcW w:w="1525" w:type="dxa"/>
          </w:tcPr>
          <w:p w14:paraId="6F32E7B4"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20.0%</w:t>
            </w:r>
          </w:p>
          <w:p w14:paraId="0EEFE592" w14:textId="77777777" w:rsidR="00807B34" w:rsidRPr="004C65C1" w:rsidRDefault="00807B34" w:rsidP="00E1090D">
            <w:pPr>
              <w:keepNext/>
              <w:spacing w:before="0" w:after="0" w:line="280" w:lineRule="exact"/>
              <w:jc w:val="right"/>
              <w:rPr>
                <w:rFonts w:eastAsia="Times New Roman"/>
                <w:i/>
                <w:color w:val="899CAA" w:themeColor="text2" w:themeTint="99"/>
                <w:sz w:val="17"/>
                <w:szCs w:val="17"/>
              </w:rPr>
            </w:pPr>
            <w:r w:rsidRPr="004C65C1">
              <w:rPr>
                <w:rFonts w:eastAsia="Times New Roman"/>
                <w:i/>
                <w:color w:val="899CAA" w:themeColor="text2" w:themeTint="99"/>
                <w:sz w:val="17"/>
                <w:szCs w:val="17"/>
              </w:rPr>
              <w:t>10.5%</w:t>
            </w:r>
          </w:p>
          <w:p w14:paraId="2446CB36" w14:textId="77777777" w:rsidR="00807B34" w:rsidRPr="004C65C1" w:rsidRDefault="00807B34" w:rsidP="00E1090D">
            <w:pPr>
              <w:keepNext/>
              <w:tabs>
                <w:tab w:val="center" w:pos="654"/>
                <w:tab w:val="right" w:pos="1309"/>
              </w:tabs>
              <w:spacing w:before="0" w:after="0" w:line="280" w:lineRule="exact"/>
              <w:rPr>
                <w:rFonts w:eastAsia="Times New Roman"/>
                <w:i/>
                <w:sz w:val="17"/>
                <w:szCs w:val="17"/>
              </w:rPr>
            </w:pPr>
            <w:r>
              <w:rPr>
                <w:rFonts w:eastAsia="Times New Roman"/>
                <w:sz w:val="17"/>
                <w:szCs w:val="17"/>
              </w:rPr>
              <w:tab/>
            </w:r>
            <w:r>
              <w:rPr>
                <w:rFonts w:eastAsia="Times New Roman"/>
                <w:sz w:val="17"/>
                <w:szCs w:val="17"/>
              </w:rPr>
              <w:tab/>
            </w:r>
            <w:r w:rsidRPr="004C65C1">
              <w:rPr>
                <w:rFonts w:eastAsia="Times New Roman"/>
                <w:i/>
                <w:color w:val="899CAA" w:themeColor="text2" w:themeTint="99"/>
                <w:sz w:val="17"/>
                <w:szCs w:val="17"/>
              </w:rPr>
              <w:t>9.5%</w:t>
            </w:r>
          </w:p>
        </w:tc>
      </w:tr>
      <w:tr w:rsidR="00807B34" w:rsidRPr="003B0793" w14:paraId="047755D4" w14:textId="77777777" w:rsidTr="0083730A">
        <w:tc>
          <w:tcPr>
            <w:tcW w:w="6204" w:type="dxa"/>
          </w:tcPr>
          <w:p w14:paraId="3F9B8535" w14:textId="77777777" w:rsidR="00807B34" w:rsidRPr="00D25B2D" w:rsidRDefault="00807B34" w:rsidP="00E1090D">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3:  Healthy and Resilient Communities</w:t>
            </w:r>
          </w:p>
          <w:p w14:paraId="4C520697" w14:textId="77777777" w:rsidR="00807B34" w:rsidRPr="00D25B2D" w:rsidRDefault="00807B34" w:rsidP="00E1090D">
            <w:pPr>
              <w:keepNext/>
              <w:spacing w:before="0" w:after="0" w:line="280" w:lineRule="exact"/>
              <w:rPr>
                <w:rFonts w:eastAsia="Times New Roman"/>
                <w:i/>
                <w:color w:val="899CAA" w:themeColor="text2" w:themeTint="99"/>
                <w:sz w:val="17"/>
                <w:szCs w:val="17"/>
              </w:rPr>
            </w:pPr>
            <w:r>
              <w:rPr>
                <w:rFonts w:eastAsia="Times New Roman"/>
                <w:sz w:val="17"/>
                <w:szCs w:val="17"/>
              </w:rPr>
              <w:t xml:space="preserve">      </w:t>
            </w:r>
            <w:r w:rsidRPr="00D25B2D">
              <w:rPr>
                <w:rFonts w:eastAsia="Times New Roman"/>
                <w:i/>
                <w:color w:val="899CAA" w:themeColor="text2" w:themeTint="99"/>
                <w:sz w:val="17"/>
                <w:szCs w:val="17"/>
              </w:rPr>
              <w:t>Health and Disability Support</w:t>
            </w:r>
          </w:p>
          <w:p w14:paraId="01D39B83" w14:textId="77777777" w:rsidR="00807B34" w:rsidRPr="003B0793" w:rsidRDefault="00807B34" w:rsidP="00E1090D">
            <w:pPr>
              <w:keepNext/>
              <w:spacing w:before="0" w:after="0" w:line="280" w:lineRule="exact"/>
              <w:rPr>
                <w:rFonts w:eastAsia="Times New Roman"/>
                <w:sz w:val="17"/>
                <w:szCs w:val="17"/>
              </w:rPr>
            </w:pPr>
            <w:r w:rsidRPr="00D25B2D">
              <w:rPr>
                <w:rFonts w:eastAsia="Times New Roman"/>
                <w:i/>
                <w:color w:val="899CAA" w:themeColor="text2" w:themeTint="99"/>
                <w:sz w:val="17"/>
                <w:szCs w:val="17"/>
              </w:rPr>
              <w:t xml:space="preserve">      Climate Change Adaptation and Disaster Risk Reduction</w:t>
            </w:r>
          </w:p>
        </w:tc>
        <w:tc>
          <w:tcPr>
            <w:tcW w:w="992" w:type="dxa"/>
          </w:tcPr>
          <w:p w14:paraId="2E019D19"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2</w:t>
            </w:r>
            <w:r>
              <w:rPr>
                <w:rFonts w:eastAsia="Times New Roman"/>
                <w:color w:val="000000" w:themeColor="text1"/>
                <w:sz w:val="17"/>
                <w:szCs w:val="17"/>
              </w:rPr>
              <w:t>3.8</w:t>
            </w:r>
          </w:p>
          <w:p w14:paraId="0EF49DE1" w14:textId="77777777" w:rsidR="00807B34" w:rsidRPr="00D25B2D" w:rsidRDefault="00807B34" w:rsidP="00E1090D">
            <w:pPr>
              <w:keepNext/>
              <w:spacing w:before="0" w:after="0" w:line="280" w:lineRule="exact"/>
              <w:jc w:val="right"/>
              <w:rPr>
                <w:rFonts w:eastAsia="Times New Roman"/>
                <w:i/>
                <w:color w:val="899CAA" w:themeColor="text2" w:themeTint="99"/>
                <w:sz w:val="17"/>
                <w:szCs w:val="17"/>
              </w:rPr>
            </w:pPr>
            <w:r w:rsidRPr="00D25B2D">
              <w:rPr>
                <w:rFonts w:eastAsia="Times New Roman"/>
                <w:i/>
                <w:color w:val="899CAA" w:themeColor="text2" w:themeTint="99"/>
                <w:sz w:val="17"/>
                <w:szCs w:val="17"/>
              </w:rPr>
              <w:t>7.9</w:t>
            </w:r>
          </w:p>
          <w:p w14:paraId="59598A64" w14:textId="77777777" w:rsidR="00807B34" w:rsidRPr="00D25B2D" w:rsidRDefault="00C10C54" w:rsidP="00E1090D">
            <w:pPr>
              <w:keepNext/>
              <w:spacing w:before="0" w:after="0" w:line="280" w:lineRule="exact"/>
              <w:jc w:val="right"/>
              <w:rPr>
                <w:rFonts w:eastAsia="Times New Roman"/>
                <w:i/>
                <w:sz w:val="17"/>
                <w:szCs w:val="17"/>
              </w:rPr>
            </w:pPr>
            <w:r>
              <w:rPr>
                <w:rFonts w:eastAsia="Times New Roman"/>
                <w:i/>
                <w:color w:val="899CAA" w:themeColor="text2" w:themeTint="99"/>
                <w:sz w:val="17"/>
                <w:szCs w:val="17"/>
              </w:rPr>
              <w:t>15.9</w:t>
            </w:r>
          </w:p>
        </w:tc>
        <w:tc>
          <w:tcPr>
            <w:tcW w:w="1525" w:type="dxa"/>
          </w:tcPr>
          <w:p w14:paraId="5B1F0D5F" w14:textId="77777777" w:rsidR="00807B34" w:rsidRPr="00D25B2D" w:rsidRDefault="00807B34" w:rsidP="00E1090D">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11.</w:t>
            </w:r>
            <w:r>
              <w:rPr>
                <w:rFonts w:eastAsia="Times New Roman"/>
                <w:color w:val="000000" w:themeColor="text1"/>
                <w:sz w:val="17"/>
                <w:szCs w:val="17"/>
              </w:rPr>
              <w:t>5</w:t>
            </w:r>
            <w:r w:rsidRPr="00D25B2D">
              <w:rPr>
                <w:rFonts w:eastAsia="Times New Roman"/>
                <w:color w:val="000000" w:themeColor="text1"/>
                <w:sz w:val="17"/>
                <w:szCs w:val="17"/>
              </w:rPr>
              <w:t>%</w:t>
            </w:r>
          </w:p>
          <w:p w14:paraId="5150D6B1" w14:textId="77777777" w:rsidR="00807B34" w:rsidRPr="00D25B2D" w:rsidRDefault="00807B34" w:rsidP="00E1090D">
            <w:pPr>
              <w:keepNext/>
              <w:spacing w:before="0" w:after="0" w:line="280" w:lineRule="exact"/>
              <w:jc w:val="right"/>
              <w:rPr>
                <w:rFonts w:eastAsia="Times New Roman"/>
                <w:i/>
                <w:color w:val="899CAA" w:themeColor="text2" w:themeTint="99"/>
                <w:sz w:val="17"/>
                <w:szCs w:val="17"/>
              </w:rPr>
            </w:pPr>
            <w:r w:rsidRPr="00D25B2D">
              <w:rPr>
                <w:rFonts w:eastAsia="Times New Roman"/>
                <w:i/>
                <w:color w:val="899CAA" w:themeColor="text2" w:themeTint="99"/>
                <w:sz w:val="17"/>
                <w:szCs w:val="17"/>
              </w:rPr>
              <w:t>3.</w:t>
            </w:r>
            <w:r>
              <w:rPr>
                <w:rFonts w:eastAsia="Times New Roman"/>
                <w:i/>
                <w:color w:val="899CAA" w:themeColor="text2" w:themeTint="99"/>
                <w:sz w:val="17"/>
                <w:szCs w:val="17"/>
              </w:rPr>
              <w:t>9</w:t>
            </w:r>
            <w:r w:rsidRPr="00D25B2D">
              <w:rPr>
                <w:rFonts w:eastAsia="Times New Roman"/>
                <w:i/>
                <w:color w:val="899CAA" w:themeColor="text2" w:themeTint="99"/>
                <w:sz w:val="17"/>
                <w:szCs w:val="17"/>
              </w:rPr>
              <w:t>%</w:t>
            </w:r>
          </w:p>
          <w:p w14:paraId="254934B2" w14:textId="77777777" w:rsidR="00807B34" w:rsidRPr="00D25B2D" w:rsidRDefault="00807B34" w:rsidP="00E1090D">
            <w:pPr>
              <w:keepNext/>
              <w:spacing w:before="0" w:after="0" w:line="280" w:lineRule="exact"/>
              <w:jc w:val="right"/>
              <w:rPr>
                <w:rFonts w:eastAsia="Times New Roman"/>
                <w:i/>
                <w:sz w:val="17"/>
                <w:szCs w:val="17"/>
              </w:rPr>
            </w:pPr>
            <w:r w:rsidRPr="00D25B2D">
              <w:rPr>
                <w:rFonts w:eastAsia="Times New Roman"/>
                <w:i/>
                <w:color w:val="899CAA" w:themeColor="text2" w:themeTint="99"/>
                <w:sz w:val="17"/>
                <w:szCs w:val="17"/>
              </w:rPr>
              <w:t>7.6%</w:t>
            </w:r>
          </w:p>
        </w:tc>
      </w:tr>
      <w:tr w:rsidR="00807B34" w:rsidRPr="00D25B2D" w14:paraId="54E6D70B" w14:textId="77777777" w:rsidTr="0083730A">
        <w:tc>
          <w:tcPr>
            <w:tcW w:w="6204" w:type="dxa"/>
          </w:tcPr>
          <w:p w14:paraId="71244C3A" w14:textId="77777777" w:rsidR="00807B34" w:rsidRPr="00D25B2D" w:rsidRDefault="00807B34" w:rsidP="0083730A">
            <w:pPr>
              <w:keepNext/>
              <w:spacing w:before="40" w:after="40" w:line="280" w:lineRule="exact"/>
              <w:rPr>
                <w:rFonts w:eastAsia="Times New Roman"/>
                <w:color w:val="000000" w:themeColor="text1"/>
                <w:sz w:val="17"/>
                <w:szCs w:val="17"/>
              </w:rPr>
            </w:pPr>
            <w:r w:rsidRPr="00D25B2D">
              <w:rPr>
                <w:rFonts w:eastAsia="Times New Roman"/>
                <w:color w:val="000000" w:themeColor="text1"/>
                <w:sz w:val="17"/>
                <w:szCs w:val="17"/>
              </w:rPr>
              <w:t>Objective 4:  Empowering Women and Girls</w:t>
            </w:r>
          </w:p>
        </w:tc>
        <w:tc>
          <w:tcPr>
            <w:tcW w:w="992" w:type="dxa"/>
          </w:tcPr>
          <w:p w14:paraId="188D3F57" w14:textId="77777777" w:rsidR="00807B34" w:rsidRPr="00D25B2D" w:rsidRDefault="00807B34" w:rsidP="0083730A">
            <w:pPr>
              <w:keepNext/>
              <w:spacing w:before="40" w:after="40" w:line="280" w:lineRule="exact"/>
              <w:jc w:val="right"/>
              <w:rPr>
                <w:rFonts w:eastAsia="Times New Roman"/>
                <w:color w:val="000000" w:themeColor="text1"/>
                <w:sz w:val="17"/>
                <w:szCs w:val="17"/>
              </w:rPr>
            </w:pPr>
            <w:r w:rsidRPr="00D25B2D">
              <w:rPr>
                <w:rFonts w:eastAsia="Times New Roman"/>
                <w:color w:val="000000" w:themeColor="text1"/>
                <w:sz w:val="17"/>
                <w:szCs w:val="17"/>
              </w:rPr>
              <w:t>13.4</w:t>
            </w:r>
          </w:p>
        </w:tc>
        <w:tc>
          <w:tcPr>
            <w:tcW w:w="1525" w:type="dxa"/>
          </w:tcPr>
          <w:p w14:paraId="7DC3A03A" w14:textId="77777777" w:rsidR="00807B34" w:rsidRPr="00D25B2D" w:rsidRDefault="00807B34" w:rsidP="0083730A">
            <w:pPr>
              <w:keepNext/>
              <w:spacing w:before="40" w:after="40" w:line="280" w:lineRule="exact"/>
              <w:jc w:val="right"/>
              <w:rPr>
                <w:rFonts w:eastAsia="Times New Roman"/>
                <w:color w:val="000000" w:themeColor="text1"/>
                <w:sz w:val="17"/>
                <w:szCs w:val="17"/>
              </w:rPr>
            </w:pPr>
            <w:r w:rsidRPr="00D25B2D">
              <w:rPr>
                <w:rFonts w:eastAsia="Times New Roman"/>
                <w:color w:val="000000" w:themeColor="text1"/>
                <w:sz w:val="17"/>
                <w:szCs w:val="17"/>
              </w:rPr>
              <w:t>6.5%</w:t>
            </w:r>
          </w:p>
        </w:tc>
      </w:tr>
      <w:tr w:rsidR="00807B34" w:rsidRPr="003B0793" w14:paraId="29191A43" w14:textId="77777777" w:rsidTr="0083730A">
        <w:tc>
          <w:tcPr>
            <w:tcW w:w="6204" w:type="dxa"/>
          </w:tcPr>
          <w:p w14:paraId="36D49225" w14:textId="77777777" w:rsidR="00807B34" w:rsidRPr="003B0793" w:rsidRDefault="00807B34" w:rsidP="00E1090D">
            <w:pPr>
              <w:keepNext/>
              <w:spacing w:before="0" w:after="0" w:line="280" w:lineRule="exact"/>
              <w:rPr>
                <w:rFonts w:eastAsia="Times New Roman"/>
                <w:b/>
                <w:sz w:val="17"/>
                <w:szCs w:val="17"/>
              </w:rPr>
            </w:pPr>
            <w:r w:rsidRPr="00D25B2D">
              <w:rPr>
                <w:rFonts w:eastAsia="Times New Roman"/>
                <w:b/>
                <w:color w:val="000000" w:themeColor="text1"/>
                <w:sz w:val="17"/>
                <w:szCs w:val="17"/>
              </w:rPr>
              <w:t>Sub-Total Pacific Regional</w:t>
            </w:r>
          </w:p>
        </w:tc>
        <w:tc>
          <w:tcPr>
            <w:tcW w:w="992" w:type="dxa"/>
          </w:tcPr>
          <w:p w14:paraId="13F7646B" w14:textId="77777777" w:rsidR="00807B34" w:rsidRPr="00132D41" w:rsidRDefault="00807B34" w:rsidP="00E1090D">
            <w:pPr>
              <w:keepNext/>
              <w:spacing w:before="0" w:after="0" w:line="280" w:lineRule="exact"/>
              <w:jc w:val="right"/>
              <w:rPr>
                <w:rFonts w:eastAsia="Times New Roman"/>
                <w:b/>
                <w:sz w:val="17"/>
                <w:szCs w:val="17"/>
              </w:rPr>
            </w:pPr>
            <w:r w:rsidRPr="00D25B2D">
              <w:rPr>
                <w:rFonts w:eastAsia="Times New Roman"/>
                <w:b/>
                <w:color w:val="000000" w:themeColor="text1"/>
                <w:sz w:val="17"/>
                <w:szCs w:val="17"/>
              </w:rPr>
              <w:t>176.9</w:t>
            </w:r>
          </w:p>
        </w:tc>
        <w:tc>
          <w:tcPr>
            <w:tcW w:w="1525" w:type="dxa"/>
          </w:tcPr>
          <w:p w14:paraId="14D42195" w14:textId="77777777" w:rsidR="00807B34" w:rsidRPr="00132D41" w:rsidRDefault="00807B34" w:rsidP="00E1090D">
            <w:pPr>
              <w:keepNext/>
              <w:spacing w:before="0" w:after="0" w:line="280" w:lineRule="exact"/>
              <w:jc w:val="right"/>
              <w:rPr>
                <w:rFonts w:eastAsia="Times New Roman"/>
                <w:b/>
                <w:sz w:val="17"/>
                <w:szCs w:val="17"/>
              </w:rPr>
            </w:pPr>
            <w:r w:rsidRPr="00D25B2D">
              <w:rPr>
                <w:rFonts w:eastAsia="Times New Roman"/>
                <w:b/>
                <w:color w:val="000000" w:themeColor="text1"/>
                <w:sz w:val="17"/>
                <w:szCs w:val="17"/>
              </w:rPr>
              <w:t>85.4%</w:t>
            </w:r>
          </w:p>
        </w:tc>
      </w:tr>
      <w:tr w:rsidR="00807B34" w:rsidRPr="003B0793" w14:paraId="230E8FE2" w14:textId="77777777" w:rsidTr="0083730A">
        <w:tc>
          <w:tcPr>
            <w:tcW w:w="6204" w:type="dxa"/>
          </w:tcPr>
          <w:p w14:paraId="43113A9B" w14:textId="77777777" w:rsidR="00807B34" w:rsidRPr="003B0793" w:rsidRDefault="00807B34" w:rsidP="00E1090D">
            <w:pPr>
              <w:keepNext/>
              <w:spacing w:before="0" w:after="0" w:line="280" w:lineRule="exact"/>
              <w:rPr>
                <w:rFonts w:eastAsia="Times New Roman"/>
                <w:sz w:val="17"/>
                <w:szCs w:val="17"/>
              </w:rPr>
            </w:pPr>
            <w:r w:rsidRPr="00D25B2D">
              <w:rPr>
                <w:rFonts w:eastAsia="Times New Roman"/>
                <w:color w:val="000000" w:themeColor="text1"/>
                <w:sz w:val="17"/>
                <w:szCs w:val="17"/>
              </w:rPr>
              <w:t>Regional and Global</w:t>
            </w:r>
          </w:p>
        </w:tc>
        <w:tc>
          <w:tcPr>
            <w:tcW w:w="992" w:type="dxa"/>
          </w:tcPr>
          <w:p w14:paraId="070223FA" w14:textId="77777777" w:rsidR="00807B34" w:rsidRPr="003B0793" w:rsidRDefault="00807B34" w:rsidP="00E1090D">
            <w:pPr>
              <w:keepNext/>
              <w:spacing w:before="0" w:after="0" w:line="280" w:lineRule="exact"/>
              <w:jc w:val="right"/>
              <w:rPr>
                <w:rFonts w:eastAsia="Times New Roman"/>
                <w:sz w:val="17"/>
                <w:szCs w:val="17"/>
              </w:rPr>
            </w:pPr>
            <w:r w:rsidRPr="00D25B2D">
              <w:rPr>
                <w:rFonts w:eastAsia="Times New Roman"/>
                <w:color w:val="000000" w:themeColor="text1"/>
                <w:sz w:val="17"/>
                <w:szCs w:val="17"/>
              </w:rPr>
              <w:t>19.7</w:t>
            </w:r>
          </w:p>
        </w:tc>
        <w:tc>
          <w:tcPr>
            <w:tcW w:w="1525" w:type="dxa"/>
          </w:tcPr>
          <w:p w14:paraId="782AF539" w14:textId="77777777" w:rsidR="00807B34" w:rsidRPr="003B0793" w:rsidRDefault="00807B34" w:rsidP="00E1090D">
            <w:pPr>
              <w:keepNext/>
              <w:spacing w:before="0" w:after="0" w:line="280" w:lineRule="exact"/>
              <w:jc w:val="right"/>
              <w:rPr>
                <w:rFonts w:eastAsia="Times New Roman"/>
                <w:sz w:val="17"/>
                <w:szCs w:val="17"/>
              </w:rPr>
            </w:pPr>
            <w:r w:rsidRPr="00D25B2D">
              <w:rPr>
                <w:rFonts w:eastAsia="Times New Roman"/>
                <w:color w:val="000000" w:themeColor="text1"/>
                <w:sz w:val="17"/>
                <w:szCs w:val="17"/>
              </w:rPr>
              <w:t>9.5%</w:t>
            </w:r>
          </w:p>
        </w:tc>
      </w:tr>
      <w:tr w:rsidR="00807B34" w:rsidRPr="003B0793" w14:paraId="426BE8F1" w14:textId="77777777" w:rsidTr="0083730A">
        <w:tc>
          <w:tcPr>
            <w:tcW w:w="6204" w:type="dxa"/>
          </w:tcPr>
          <w:p w14:paraId="00B29477" w14:textId="77777777" w:rsidR="00807B34" w:rsidRPr="003B0793" w:rsidRDefault="00807B34" w:rsidP="00E1090D">
            <w:pPr>
              <w:keepNext/>
              <w:spacing w:before="0" w:after="0" w:line="280" w:lineRule="exact"/>
              <w:rPr>
                <w:rFonts w:eastAsia="Times New Roman"/>
                <w:sz w:val="17"/>
                <w:szCs w:val="17"/>
              </w:rPr>
            </w:pPr>
            <w:r w:rsidRPr="00D25B2D">
              <w:rPr>
                <w:rFonts w:eastAsia="Times New Roman"/>
                <w:color w:val="000000" w:themeColor="text1"/>
                <w:sz w:val="17"/>
                <w:szCs w:val="17"/>
              </w:rPr>
              <w:t>Other Government Departments</w:t>
            </w:r>
          </w:p>
        </w:tc>
        <w:tc>
          <w:tcPr>
            <w:tcW w:w="992" w:type="dxa"/>
          </w:tcPr>
          <w:p w14:paraId="5DF65805" w14:textId="77777777" w:rsidR="00807B34" w:rsidRPr="003B0793" w:rsidRDefault="00807B34" w:rsidP="00E1090D">
            <w:pPr>
              <w:keepNext/>
              <w:spacing w:before="0" w:after="0" w:line="280" w:lineRule="exact"/>
              <w:jc w:val="right"/>
              <w:rPr>
                <w:rFonts w:eastAsia="Times New Roman"/>
                <w:sz w:val="17"/>
                <w:szCs w:val="17"/>
              </w:rPr>
            </w:pPr>
            <w:r w:rsidRPr="00D25B2D">
              <w:rPr>
                <w:rFonts w:eastAsia="Times New Roman"/>
                <w:color w:val="000000" w:themeColor="text1"/>
                <w:sz w:val="17"/>
                <w:szCs w:val="17"/>
              </w:rPr>
              <w:t>10.6</w:t>
            </w:r>
          </w:p>
        </w:tc>
        <w:tc>
          <w:tcPr>
            <w:tcW w:w="1525" w:type="dxa"/>
          </w:tcPr>
          <w:p w14:paraId="4E9B99E6" w14:textId="77777777" w:rsidR="00807B34" w:rsidRPr="003B0793" w:rsidRDefault="00807B34" w:rsidP="00E1090D">
            <w:pPr>
              <w:keepNext/>
              <w:spacing w:before="0" w:after="0" w:line="280" w:lineRule="exact"/>
              <w:jc w:val="right"/>
              <w:rPr>
                <w:rFonts w:eastAsia="Times New Roman"/>
                <w:sz w:val="17"/>
                <w:szCs w:val="17"/>
              </w:rPr>
            </w:pPr>
            <w:r w:rsidRPr="00D25B2D">
              <w:rPr>
                <w:rFonts w:eastAsia="Times New Roman"/>
                <w:color w:val="000000" w:themeColor="text1"/>
                <w:sz w:val="17"/>
                <w:szCs w:val="17"/>
              </w:rPr>
              <w:t>5.1%</w:t>
            </w:r>
          </w:p>
        </w:tc>
      </w:tr>
      <w:tr w:rsidR="00807B34" w:rsidRPr="003B0793" w14:paraId="1C9AA4B4" w14:textId="77777777" w:rsidTr="0083730A">
        <w:tc>
          <w:tcPr>
            <w:tcW w:w="6204" w:type="dxa"/>
          </w:tcPr>
          <w:p w14:paraId="40D43DF7" w14:textId="77777777" w:rsidR="00807B34" w:rsidRPr="003B0793" w:rsidRDefault="00807B34" w:rsidP="00E1090D">
            <w:pPr>
              <w:keepNext/>
              <w:spacing w:before="0" w:after="0" w:line="280" w:lineRule="exact"/>
              <w:rPr>
                <w:rFonts w:eastAsia="Times New Roman"/>
                <w:b/>
                <w:sz w:val="17"/>
                <w:szCs w:val="17"/>
              </w:rPr>
            </w:pPr>
            <w:r w:rsidRPr="00D25B2D">
              <w:rPr>
                <w:rFonts w:eastAsia="Times New Roman"/>
                <w:b/>
                <w:color w:val="000000" w:themeColor="text1"/>
                <w:sz w:val="17"/>
                <w:szCs w:val="17"/>
              </w:rPr>
              <w:t>Total ODA Expenditure</w:t>
            </w:r>
          </w:p>
        </w:tc>
        <w:tc>
          <w:tcPr>
            <w:tcW w:w="992" w:type="dxa"/>
          </w:tcPr>
          <w:p w14:paraId="295A1375" w14:textId="77777777" w:rsidR="00807B34" w:rsidRPr="00132D41" w:rsidRDefault="00807B34" w:rsidP="00E1090D">
            <w:pPr>
              <w:keepNext/>
              <w:spacing w:before="0" w:after="0" w:line="280" w:lineRule="exact"/>
              <w:jc w:val="right"/>
              <w:rPr>
                <w:rFonts w:eastAsia="Times New Roman"/>
                <w:b/>
                <w:sz w:val="17"/>
                <w:szCs w:val="17"/>
              </w:rPr>
            </w:pPr>
            <w:r w:rsidRPr="00D25B2D">
              <w:rPr>
                <w:rFonts w:eastAsia="Times New Roman"/>
                <w:b/>
                <w:color w:val="000000" w:themeColor="text1"/>
                <w:sz w:val="17"/>
                <w:szCs w:val="17"/>
              </w:rPr>
              <w:t>207.2</w:t>
            </w:r>
          </w:p>
        </w:tc>
        <w:tc>
          <w:tcPr>
            <w:tcW w:w="1525" w:type="dxa"/>
          </w:tcPr>
          <w:p w14:paraId="7FA94A77" w14:textId="77777777" w:rsidR="00807B34" w:rsidRPr="00132D41" w:rsidRDefault="00807B34" w:rsidP="00E1090D">
            <w:pPr>
              <w:keepNext/>
              <w:spacing w:before="0" w:after="0" w:line="280" w:lineRule="exact"/>
              <w:jc w:val="right"/>
              <w:rPr>
                <w:rFonts w:eastAsia="Times New Roman"/>
                <w:b/>
                <w:sz w:val="17"/>
                <w:szCs w:val="17"/>
              </w:rPr>
            </w:pPr>
            <w:r w:rsidRPr="00D25B2D">
              <w:rPr>
                <w:rFonts w:eastAsia="Times New Roman"/>
                <w:b/>
                <w:color w:val="000000" w:themeColor="text1"/>
                <w:sz w:val="17"/>
                <w:szCs w:val="17"/>
              </w:rPr>
              <w:t>100%</w:t>
            </w:r>
          </w:p>
        </w:tc>
      </w:tr>
    </w:tbl>
    <w:p w14:paraId="73AD4F66" w14:textId="77777777" w:rsidR="00EB30F4" w:rsidRPr="005A4363" w:rsidRDefault="002A51CA" w:rsidP="00E1090D">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w:t>
      </w:r>
      <w:r w:rsidR="005A4363">
        <w:rPr>
          <w:rFonts w:asciiTheme="majorHAnsi" w:eastAsiaTheme="majorEastAsia" w:hAnsiTheme="majorHAnsi" w:cstheme="majorBidi"/>
          <w:caps/>
          <w:color w:val="495965" w:themeColor="text2"/>
          <w:sz w:val="38"/>
          <w:szCs w:val="26"/>
          <w:lang w:val="en-GB" w:eastAsia="en-US"/>
        </w:rPr>
        <w:t>ctives</w:t>
      </w:r>
      <w:r w:rsidR="005A4363">
        <w:rPr>
          <w:rFonts w:asciiTheme="majorHAnsi" w:eastAsiaTheme="majorEastAsia" w:hAnsiTheme="majorHAnsi" w:cstheme="majorBidi"/>
          <w:caps/>
          <w:color w:val="495965" w:themeColor="text2"/>
          <w:sz w:val="38"/>
          <w:szCs w:val="26"/>
          <w:lang w:val="en-GB" w:eastAsia="en-US"/>
        </w:rPr>
        <w:tab/>
      </w:r>
    </w:p>
    <w:p w14:paraId="5ACBFD3B" w14:textId="77777777" w:rsidR="002A51CA" w:rsidRPr="00C61187" w:rsidRDefault="00EB30F4" w:rsidP="002A51CA">
      <w:r>
        <w:t>Effective progress was maintained this year under the economic growth and empowering women and girls objectives.</w:t>
      </w:r>
      <w:r w:rsidR="00F051A8">
        <w:t xml:space="preserve"> </w:t>
      </w:r>
      <w:r w:rsidR="00D00EBA">
        <w:t xml:space="preserve">Progress under the </w:t>
      </w:r>
      <w:r w:rsidR="00927EA3">
        <w:t xml:space="preserve">effective regional institutions and </w:t>
      </w:r>
      <w:r w:rsidR="00D00EBA">
        <w:t xml:space="preserve">healthy and resilient communities objectives </w:t>
      </w:r>
      <w:r w:rsidR="00C92443">
        <w:t xml:space="preserve">were maintained at amber </w:t>
      </w:r>
      <w:r w:rsidR="00133A08">
        <w:t>because</w:t>
      </w:r>
      <w:r w:rsidR="00F051A8">
        <w:t xml:space="preserve"> of </w:t>
      </w:r>
      <w:r w:rsidR="00133A08">
        <w:t>the need to improve</w:t>
      </w:r>
      <w:r w:rsidR="00F051A8">
        <w:t xml:space="preserve"> </w:t>
      </w:r>
      <w:r w:rsidR="00742456">
        <w:t xml:space="preserve">effectiveness, </w:t>
      </w:r>
      <w:r w:rsidR="00F051A8">
        <w:t xml:space="preserve">monitoring and evaluation, </w:t>
      </w:r>
      <w:r w:rsidR="00742456">
        <w:t xml:space="preserve">sustainability and </w:t>
      </w:r>
      <w:r w:rsidR="00F051A8">
        <w:t>gender</w:t>
      </w:r>
      <w:r w:rsidR="00742456">
        <w:t xml:space="preserve"> in a number of investments</w:t>
      </w:r>
      <w:r w:rsidR="00F051A8">
        <w:t>.</w:t>
      </w:r>
    </w:p>
    <w:p w14:paraId="5EBE9FF7" w14:textId="6106E74E"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E23169">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7" w:type="pct"/>
        <w:tblLook w:val="0000" w:firstRow="0" w:lastRow="0" w:firstColumn="0" w:lastColumn="0" w:noHBand="0" w:noVBand="0"/>
      </w:tblPr>
      <w:tblGrid>
        <w:gridCol w:w="6562"/>
        <w:gridCol w:w="1389"/>
        <w:gridCol w:w="1411"/>
      </w:tblGrid>
      <w:tr w:rsidR="00E1090D" w:rsidRPr="003B0793" w14:paraId="1D825BE4" w14:textId="77777777" w:rsidTr="00E1090D">
        <w:trPr>
          <w:cnfStyle w:val="000000010000" w:firstRow="0" w:lastRow="0" w:firstColumn="0" w:lastColumn="0" w:oddVBand="0" w:evenVBand="0" w:oddHBand="0" w:evenHBand="1" w:firstRowFirstColumn="0" w:firstRowLastColumn="0" w:lastRowFirstColumn="0" w:lastRowLastColumn="0"/>
          <w:trHeight w:val="567"/>
        </w:trPr>
        <w:tc>
          <w:tcPr>
            <w:tcW w:w="6752" w:type="dxa"/>
          </w:tcPr>
          <w:p w14:paraId="520BB746" w14:textId="77777777" w:rsidR="00E1090D" w:rsidRPr="003B0793" w:rsidRDefault="00E1090D"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9744" behindDoc="0" locked="0" layoutInCell="1" allowOverlap="1" wp14:anchorId="33395C9E" wp14:editId="3AA2EF44">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Objective</w:t>
            </w:r>
          </w:p>
        </w:tc>
        <w:tc>
          <w:tcPr>
            <w:tcW w:w="1361" w:type="dxa"/>
          </w:tcPr>
          <w:p w14:paraId="2682CB87" w14:textId="77777777" w:rsidR="00E1090D" w:rsidRPr="003B0793" w:rsidRDefault="00E1090D"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1369" w:type="dxa"/>
          </w:tcPr>
          <w:p w14:paraId="02C6BE62" w14:textId="77777777" w:rsidR="00E1090D" w:rsidRPr="003B0793" w:rsidRDefault="00E1090D"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Current Rating</w:t>
            </w:r>
          </w:p>
        </w:tc>
      </w:tr>
      <w:tr w:rsidR="00E1090D" w:rsidRPr="003B0793" w14:paraId="6C700F84" w14:textId="77777777" w:rsidTr="00E1090D">
        <w:trPr>
          <w:cnfStyle w:val="000000010000" w:firstRow="0" w:lastRow="0" w:firstColumn="0" w:lastColumn="0" w:oddVBand="0" w:evenVBand="0" w:oddHBand="0" w:evenHBand="1" w:firstRowFirstColumn="0" w:firstRowLastColumn="0" w:lastRowFirstColumn="0" w:lastRowLastColumn="0"/>
        </w:trPr>
        <w:tc>
          <w:tcPr>
            <w:tcW w:w="6752" w:type="dxa"/>
          </w:tcPr>
          <w:p w14:paraId="2D0C0CB4" w14:textId="77777777" w:rsidR="00E1090D" w:rsidRPr="003B0793" w:rsidRDefault="00E1090D"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1</w:t>
            </w:r>
            <w:r>
              <w:rPr>
                <w:rFonts w:asciiTheme="minorHAnsi" w:eastAsia="Times New Roman" w:hAnsiTheme="minorHAnsi"/>
                <w:iCs/>
                <w:szCs w:val="17"/>
                <w:lang w:eastAsia="en-US"/>
              </w:rPr>
              <w:t>:  Economic Growth</w:t>
            </w:r>
          </w:p>
        </w:tc>
        <w:tc>
          <w:tcPr>
            <w:tcW w:w="1361" w:type="dxa"/>
            <w:shd w:val="clear" w:color="auto" w:fill="7FB64D" w:themeFill="accent3" w:themeFillShade="BF"/>
            <w:noWrap/>
          </w:tcPr>
          <w:p w14:paraId="42501BD3" w14:textId="77777777" w:rsidR="00E1090D" w:rsidRPr="003B0793" w:rsidRDefault="00E1090D"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c>
          <w:tcPr>
            <w:tcW w:w="1369" w:type="dxa"/>
            <w:shd w:val="clear" w:color="auto" w:fill="7FB64D" w:themeFill="accent3" w:themeFillShade="BF"/>
            <w:noWrap/>
          </w:tcPr>
          <w:p w14:paraId="16483D9B" w14:textId="77777777" w:rsidR="00E1090D" w:rsidRPr="003B0793" w:rsidRDefault="00E1090D"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Green</w:t>
            </w:r>
          </w:p>
        </w:tc>
      </w:tr>
      <w:tr w:rsidR="00E1090D" w:rsidRPr="003B0793" w14:paraId="41F696E5" w14:textId="77777777" w:rsidTr="00E1090D">
        <w:trPr>
          <w:cnfStyle w:val="000000010000" w:firstRow="0" w:lastRow="0" w:firstColumn="0" w:lastColumn="0" w:oddVBand="0" w:evenVBand="0" w:oddHBand="0" w:evenHBand="1" w:firstRowFirstColumn="0" w:firstRowLastColumn="0" w:lastRowFirstColumn="0" w:lastRowLastColumn="0"/>
        </w:trPr>
        <w:tc>
          <w:tcPr>
            <w:tcW w:w="6752" w:type="dxa"/>
          </w:tcPr>
          <w:p w14:paraId="22101B3D" w14:textId="77777777" w:rsidR="00E1090D" w:rsidRPr="003B0793" w:rsidRDefault="00E1090D"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2</w:t>
            </w:r>
            <w:r>
              <w:rPr>
                <w:rFonts w:asciiTheme="minorHAnsi" w:eastAsia="Times New Roman" w:hAnsiTheme="minorHAnsi"/>
                <w:iCs/>
                <w:szCs w:val="17"/>
                <w:lang w:eastAsia="en-US"/>
              </w:rPr>
              <w:t>:  Effective Regional Institutions</w:t>
            </w:r>
          </w:p>
        </w:tc>
        <w:tc>
          <w:tcPr>
            <w:tcW w:w="1361" w:type="dxa"/>
            <w:shd w:val="clear" w:color="auto" w:fill="FFC000"/>
            <w:noWrap/>
          </w:tcPr>
          <w:p w14:paraId="5EF1B65F" w14:textId="77777777" w:rsidR="00E1090D" w:rsidRPr="003B0793" w:rsidRDefault="00E1090D"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1369" w:type="dxa"/>
            <w:shd w:val="clear" w:color="auto" w:fill="FFC000"/>
            <w:noWrap/>
          </w:tcPr>
          <w:p w14:paraId="79EE31BA" w14:textId="77777777" w:rsidR="00E1090D" w:rsidRPr="003B0793" w:rsidRDefault="00E1090D"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Amber</w:t>
            </w:r>
          </w:p>
        </w:tc>
      </w:tr>
      <w:tr w:rsidR="00E1090D" w:rsidRPr="003B0793" w14:paraId="39D1AECE" w14:textId="77777777" w:rsidTr="00E1090D">
        <w:trPr>
          <w:cnfStyle w:val="000000010000" w:firstRow="0" w:lastRow="0" w:firstColumn="0" w:lastColumn="0" w:oddVBand="0" w:evenVBand="0" w:oddHBand="0" w:evenHBand="1" w:firstRowFirstColumn="0" w:firstRowLastColumn="0" w:lastRowFirstColumn="0" w:lastRowLastColumn="0"/>
        </w:trPr>
        <w:tc>
          <w:tcPr>
            <w:tcW w:w="6752" w:type="dxa"/>
          </w:tcPr>
          <w:p w14:paraId="2C079F71" w14:textId="77777777" w:rsidR="00E1090D" w:rsidRPr="003B0793" w:rsidRDefault="00E1090D"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3</w:t>
            </w:r>
            <w:r>
              <w:rPr>
                <w:rFonts w:asciiTheme="minorHAnsi" w:eastAsia="Times New Roman" w:hAnsiTheme="minorHAnsi"/>
                <w:iCs/>
                <w:szCs w:val="17"/>
                <w:lang w:eastAsia="en-US"/>
              </w:rPr>
              <w:t>:  Healthy and Resilient Communities</w:t>
            </w:r>
          </w:p>
        </w:tc>
        <w:tc>
          <w:tcPr>
            <w:tcW w:w="1361" w:type="dxa"/>
            <w:shd w:val="clear" w:color="auto" w:fill="FFC000"/>
            <w:noWrap/>
          </w:tcPr>
          <w:p w14:paraId="3B7C7A22" w14:textId="77777777" w:rsidR="00E1090D" w:rsidRPr="003B0793" w:rsidRDefault="00E1090D" w:rsidP="004241C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1369" w:type="dxa"/>
            <w:shd w:val="clear" w:color="auto" w:fill="FFC000"/>
            <w:noWrap/>
          </w:tcPr>
          <w:p w14:paraId="31663A27" w14:textId="77777777" w:rsidR="00E1090D" w:rsidRPr="003B0793" w:rsidRDefault="00E1090D" w:rsidP="0083730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r>
      <w:tr w:rsidR="00E1090D" w:rsidRPr="003B0793" w14:paraId="17E40CFC" w14:textId="77777777" w:rsidTr="00E1090D">
        <w:trPr>
          <w:cnfStyle w:val="000000010000" w:firstRow="0" w:lastRow="0" w:firstColumn="0" w:lastColumn="0" w:oddVBand="0" w:evenVBand="0" w:oddHBand="0" w:evenHBand="1" w:firstRowFirstColumn="0" w:firstRowLastColumn="0" w:lastRowFirstColumn="0" w:lastRowLastColumn="0"/>
        </w:trPr>
        <w:tc>
          <w:tcPr>
            <w:tcW w:w="6752" w:type="dxa"/>
          </w:tcPr>
          <w:p w14:paraId="3C2BD700" w14:textId="77777777" w:rsidR="00E1090D" w:rsidRPr="003B0793" w:rsidRDefault="00E1090D" w:rsidP="00D15A00">
            <w:pPr>
              <w:keepLines/>
              <w:spacing w:before="40" w:after="40" w:line="200" w:lineRule="atLeast"/>
              <w:rPr>
                <w:rFonts w:eastAsia="Times New Roman"/>
                <w:iCs/>
                <w:szCs w:val="17"/>
              </w:rPr>
            </w:pPr>
            <w:r>
              <w:rPr>
                <w:rFonts w:eastAsia="Times New Roman"/>
                <w:iCs/>
                <w:szCs w:val="17"/>
              </w:rPr>
              <w:t>Objective 4:  Empowering Women and Girls</w:t>
            </w:r>
          </w:p>
        </w:tc>
        <w:tc>
          <w:tcPr>
            <w:tcW w:w="1361" w:type="dxa"/>
            <w:tcBorders>
              <w:bottom w:val="single" w:sz="12" w:space="0" w:color="000000" w:themeColor="text1"/>
            </w:tcBorders>
            <w:shd w:val="clear" w:color="auto" w:fill="7FB64D" w:themeFill="accent3" w:themeFillShade="BF"/>
            <w:noWrap/>
          </w:tcPr>
          <w:p w14:paraId="78E3DD62" w14:textId="77777777" w:rsidR="00E1090D" w:rsidRPr="003B0793" w:rsidRDefault="00E1090D" w:rsidP="004241C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c>
          <w:tcPr>
            <w:tcW w:w="1369" w:type="dxa"/>
            <w:tcBorders>
              <w:bottom w:val="single" w:sz="12" w:space="0" w:color="000000" w:themeColor="text1"/>
            </w:tcBorders>
            <w:shd w:val="clear" w:color="auto" w:fill="7FB64D" w:themeFill="accent3" w:themeFillShade="BF"/>
            <w:noWrap/>
          </w:tcPr>
          <w:p w14:paraId="58B0F641" w14:textId="77777777" w:rsidR="00E1090D" w:rsidRPr="003B0793" w:rsidRDefault="00E1090D" w:rsidP="00D15A00">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Green</w:t>
            </w:r>
          </w:p>
        </w:tc>
      </w:tr>
    </w:tbl>
    <w:p w14:paraId="22D2CC35" w14:textId="77777777" w:rsidR="002A51CA" w:rsidRPr="003B0793" w:rsidRDefault="002A51CA" w:rsidP="0042738B">
      <w:pPr>
        <w:spacing w:before="0" w:after="0" w:line="180" w:lineRule="atLeast"/>
        <w:jc w:val="both"/>
        <w:rPr>
          <w:rFonts w:eastAsia="Times New Roman"/>
          <w:b/>
          <w:sz w:val="16"/>
          <w:szCs w:val="14"/>
        </w:rPr>
      </w:pPr>
      <w:r w:rsidRPr="003B0793">
        <w:rPr>
          <w:rFonts w:eastAsia="Times New Roman"/>
          <w:b/>
          <w:color w:val="72AF2F"/>
          <w:sz w:val="16"/>
          <w:szCs w:val="14"/>
        </w:rPr>
        <w:lastRenderedPageBreak/>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14:paraId="0BF0CAA0" w14:textId="77777777" w:rsidR="002A51CA" w:rsidRPr="003B0793" w:rsidRDefault="002A51CA" w:rsidP="0042738B">
      <w:pPr>
        <w:spacing w:before="0" w:after="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14:paraId="2F9A0689" w14:textId="77777777" w:rsidR="001B2D08" w:rsidRPr="003B0793" w:rsidRDefault="002A51CA" w:rsidP="0042738B">
      <w:pPr>
        <w:spacing w:before="0" w:after="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14:paraId="42F98844" w14:textId="77777777" w:rsidR="00D537B0" w:rsidRDefault="00D537B0" w:rsidP="00EE45B2">
      <w:pPr>
        <w:spacing w:before="360" w:after="1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w:t>
      </w:r>
      <w:r w:rsidR="009F063C">
        <w:rPr>
          <w:rFonts w:asciiTheme="majorHAnsi" w:eastAsiaTheme="majorEastAsia" w:hAnsiTheme="majorHAnsi" w:cstheme="majorBidi"/>
          <w:caps/>
          <w:sz w:val="38"/>
          <w:szCs w:val="26"/>
        </w:rPr>
        <w:t>: economic growth</w:t>
      </w:r>
    </w:p>
    <w:p w14:paraId="79ED7204" w14:textId="77777777" w:rsidR="00C42849" w:rsidRPr="005F2DEE" w:rsidRDefault="00C42849" w:rsidP="00C42849">
      <w:pPr>
        <w:pStyle w:val="BodyText"/>
        <w:rPr>
          <w:rFonts w:asciiTheme="minorHAnsi" w:eastAsiaTheme="minorHAnsi" w:hAnsiTheme="minorHAnsi" w:cstheme="minorBidi"/>
          <w:color w:val="495965" w:themeColor="text2"/>
          <w:sz w:val="22"/>
          <w:szCs w:val="22"/>
          <w:lang w:val="en-GB" w:eastAsia="en-US"/>
        </w:rPr>
      </w:pPr>
      <w:r w:rsidRPr="00B7290C">
        <w:rPr>
          <w:rFonts w:asciiTheme="minorHAnsi" w:eastAsiaTheme="minorHAnsi" w:hAnsiTheme="minorHAnsi" w:cstheme="minorBidi"/>
          <w:sz w:val="22"/>
          <w:szCs w:val="22"/>
          <w:lang w:val="en-GB" w:eastAsia="en-US"/>
        </w:rPr>
        <w:t>Economic growth is essential to improve development outcomes in the Pacific, which is why it accounts for around half of our regional investment to the Pacific. Our support aims to improve the capacity for growth, such as helping the private sector, improving education outcomes, improving access to finance, and encouraging trade and economic integration.</w:t>
      </w:r>
      <w:r w:rsidR="00C92443" w:rsidRPr="00B7290C">
        <w:rPr>
          <w:rFonts w:asciiTheme="minorHAnsi" w:eastAsiaTheme="minorHAnsi" w:hAnsiTheme="minorHAnsi" w:cstheme="minorBidi"/>
          <w:sz w:val="22"/>
          <w:szCs w:val="22"/>
          <w:lang w:val="en-GB" w:eastAsia="en-US"/>
        </w:rPr>
        <w:t xml:space="preserve"> The rating has remained green for this year because of continuing good AQC results. Performance benchmarks were all significantly exceeded</w:t>
      </w:r>
      <w:r w:rsidR="00D729B4" w:rsidRPr="00B7290C">
        <w:rPr>
          <w:rFonts w:asciiTheme="minorHAnsi" w:eastAsiaTheme="minorHAnsi" w:hAnsiTheme="minorHAnsi" w:cstheme="minorBidi"/>
          <w:sz w:val="22"/>
          <w:szCs w:val="22"/>
          <w:lang w:val="en-GB" w:eastAsia="en-US"/>
        </w:rPr>
        <w:t>,</w:t>
      </w:r>
      <w:r w:rsidR="00C92443" w:rsidRPr="00B7290C">
        <w:rPr>
          <w:rFonts w:asciiTheme="minorHAnsi" w:eastAsiaTheme="minorHAnsi" w:hAnsiTheme="minorHAnsi" w:cstheme="minorBidi"/>
          <w:sz w:val="22"/>
          <w:szCs w:val="22"/>
          <w:lang w:val="en-GB" w:eastAsia="en-US"/>
        </w:rPr>
        <w:t xml:space="preserve"> including leveraging of private sector investment, increasing fishing revenues, and APTC graduates.</w:t>
      </w:r>
    </w:p>
    <w:p w14:paraId="253BF113" w14:textId="77777777" w:rsidR="004A34BE" w:rsidRPr="005F2DEE" w:rsidRDefault="00C42849"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r w:rsidRPr="005F2DEE">
        <w:rPr>
          <w:rFonts w:asciiTheme="minorHAnsi" w:eastAsiaTheme="minorHAnsi" w:hAnsiTheme="minorHAnsi" w:cstheme="minorBidi"/>
          <w:b/>
          <w:color w:val="495965" w:themeColor="text2"/>
          <w:sz w:val="22"/>
          <w:szCs w:val="22"/>
          <w:lang w:val="en-GB" w:eastAsia="en-US"/>
        </w:rPr>
        <w:t>Private Sector Initiatives</w:t>
      </w:r>
    </w:p>
    <w:p w14:paraId="079C35DB" w14:textId="77777777" w:rsidR="00C42849" w:rsidRPr="005F2DEE" w:rsidRDefault="00C42849" w:rsidP="00C42849">
      <w:pPr>
        <w:tabs>
          <w:tab w:val="left" w:pos="284"/>
        </w:tabs>
        <w:spacing w:after="120" w:line="280" w:lineRule="exact"/>
      </w:pPr>
      <w:r w:rsidRPr="005F2DEE">
        <w:t>In 2</w:t>
      </w:r>
      <w:r w:rsidR="0042738B">
        <w:t>015-16, we focused on innovative ways</w:t>
      </w:r>
      <w:r w:rsidRPr="005F2DEE">
        <w:t xml:space="preserve"> </w:t>
      </w:r>
      <w:r w:rsidR="0042738B" w:rsidRPr="005F2DEE">
        <w:t xml:space="preserve">to support economic growth </w:t>
      </w:r>
      <w:r w:rsidRPr="005F2DEE">
        <w:t xml:space="preserve">through the private sector. We commenced a pilot with The Difference Incubator to bring impact investment to the region. The Developing Northern Australia White Paper gave DFAT the lead role in a new pilot, the Pacific Worker – Northern Microstates Pilot Program, which will bring up to 250 workers from Kiribati, Nauru and Niue to work in northern Australia for up to three years. </w:t>
      </w:r>
      <w:r w:rsidR="00060AB0" w:rsidRPr="00060AB0">
        <w:t xml:space="preserve">We also mobilised new private sector investments in Pacific Islands’ productive capacity through our continuing Pacific Partnership with the International Finance Corporation.  This was complemented by business environment reform through the Private Sector Development Initiative </w:t>
      </w:r>
      <w:r w:rsidR="00D729B4">
        <w:t>with the Asian Development Bank (ADB).</w:t>
      </w:r>
    </w:p>
    <w:p w14:paraId="0ECABEC5" w14:textId="77777777" w:rsidR="00C42849" w:rsidRPr="00D90821" w:rsidRDefault="00C42849" w:rsidP="00D90821">
      <w:pPr>
        <w:pStyle w:val="BodyText"/>
      </w:pPr>
      <w:r w:rsidRPr="00D90821">
        <w:t>Key results:</w:t>
      </w:r>
    </w:p>
    <w:p w14:paraId="1305457D" w14:textId="77777777" w:rsidR="00A64EFE" w:rsidRPr="005F2DEE" w:rsidRDefault="00A64EFE"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The aid program leveraged</w:t>
      </w:r>
      <w:r w:rsidR="005321F2">
        <w:rPr>
          <w:rFonts w:asciiTheme="minorHAnsi" w:eastAsiaTheme="minorHAnsi" w:hAnsiTheme="minorHAnsi" w:cstheme="minorBidi"/>
          <w:color w:val="495965" w:themeColor="text2"/>
          <w:sz w:val="22"/>
          <w:szCs w:val="22"/>
          <w:lang w:val="en-GB" w:eastAsia="en-US"/>
        </w:rPr>
        <w:t xml:space="preserve"> $511 million </w:t>
      </w:r>
      <w:r w:rsidRPr="005F2DEE">
        <w:rPr>
          <w:rFonts w:asciiTheme="minorHAnsi" w:eastAsiaTheme="minorHAnsi" w:hAnsiTheme="minorHAnsi" w:cstheme="minorBidi"/>
          <w:color w:val="495965" w:themeColor="text2"/>
          <w:sz w:val="22"/>
          <w:szCs w:val="22"/>
          <w:lang w:val="en-GB" w:eastAsia="en-US"/>
        </w:rPr>
        <w:t>of private sector investment by December 2015.</w:t>
      </w:r>
    </w:p>
    <w:p w14:paraId="4C478F8C" w14:textId="77777777" w:rsidR="00C42849" w:rsidRPr="005F2DEE" w:rsidRDefault="00C42849"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DFAT’s innovative pilot with The Difference Incubator brought impact investors to the Pacific for the first time. Working in Samoa, Tonga and Vanuatu, The Difference Incubator helped companies become investment ready, and the first investme</w:t>
      </w:r>
      <w:r w:rsidR="000C57BF">
        <w:rPr>
          <w:rFonts w:asciiTheme="minorHAnsi" w:eastAsiaTheme="minorHAnsi" w:hAnsiTheme="minorHAnsi" w:cstheme="minorBidi"/>
          <w:color w:val="495965" w:themeColor="text2"/>
          <w:sz w:val="22"/>
          <w:szCs w:val="22"/>
          <w:lang w:val="en-GB" w:eastAsia="en-US"/>
        </w:rPr>
        <w:t>nts will be made in late 2016. To date i</w:t>
      </w:r>
      <w:r w:rsidRPr="005F2DEE">
        <w:rPr>
          <w:rFonts w:asciiTheme="minorHAnsi" w:eastAsiaTheme="minorHAnsi" w:hAnsiTheme="minorHAnsi" w:cstheme="minorBidi"/>
          <w:color w:val="495965" w:themeColor="text2"/>
          <w:sz w:val="22"/>
          <w:szCs w:val="22"/>
          <w:lang w:val="en-GB" w:eastAsia="en-US"/>
        </w:rPr>
        <w:t xml:space="preserve">t has </w:t>
      </w:r>
      <w:r w:rsidR="000C57BF">
        <w:rPr>
          <w:rFonts w:asciiTheme="minorHAnsi" w:eastAsiaTheme="minorHAnsi" w:hAnsiTheme="minorHAnsi" w:cstheme="minorBidi"/>
          <w:color w:val="495965" w:themeColor="text2"/>
          <w:sz w:val="22"/>
          <w:szCs w:val="22"/>
          <w:lang w:val="en-GB" w:eastAsia="en-US"/>
        </w:rPr>
        <w:t xml:space="preserve">had </w:t>
      </w:r>
      <w:r w:rsidRPr="005F2DEE">
        <w:rPr>
          <w:rFonts w:asciiTheme="minorHAnsi" w:eastAsiaTheme="minorHAnsi" w:hAnsiTheme="minorHAnsi" w:cstheme="minorBidi"/>
          <w:color w:val="495965" w:themeColor="text2"/>
          <w:sz w:val="22"/>
          <w:szCs w:val="22"/>
          <w:lang w:val="en-GB" w:eastAsia="en-US"/>
        </w:rPr>
        <w:t>a strong focus on women-led enterprises.</w:t>
      </w:r>
    </w:p>
    <w:p w14:paraId="705ABE1B" w14:textId="77777777" w:rsidR="00C42849" w:rsidRPr="005F2DEE" w:rsidRDefault="000C57BF"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In 2015-16, w</w:t>
      </w:r>
      <w:r w:rsidR="00C42849" w:rsidRPr="005F2DEE">
        <w:rPr>
          <w:rFonts w:asciiTheme="minorHAnsi" w:eastAsiaTheme="minorHAnsi" w:hAnsiTheme="minorHAnsi" w:cstheme="minorBidi"/>
          <w:color w:val="495965" w:themeColor="text2"/>
          <w:sz w:val="22"/>
          <w:szCs w:val="22"/>
          <w:lang w:val="en-GB" w:eastAsia="en-US"/>
        </w:rPr>
        <w:t xml:space="preserve">e established the Pacific Worker – Northern Microstates Pilot Program, which will provide certificate-qualified workers for the tourism and aged care industries. DFAT </w:t>
      </w:r>
      <w:r>
        <w:rPr>
          <w:rFonts w:asciiTheme="minorHAnsi" w:eastAsiaTheme="minorHAnsi" w:hAnsiTheme="minorHAnsi" w:cstheme="minorBidi"/>
          <w:color w:val="495965" w:themeColor="text2"/>
          <w:sz w:val="22"/>
          <w:szCs w:val="22"/>
          <w:lang w:val="en-GB" w:eastAsia="en-US"/>
        </w:rPr>
        <w:t>worked</w:t>
      </w:r>
      <w:r w:rsidR="00C42849" w:rsidRPr="005F2DEE">
        <w:rPr>
          <w:rFonts w:asciiTheme="minorHAnsi" w:eastAsiaTheme="minorHAnsi" w:hAnsiTheme="minorHAnsi" w:cstheme="minorBidi"/>
          <w:color w:val="495965" w:themeColor="text2"/>
          <w:sz w:val="22"/>
          <w:szCs w:val="22"/>
          <w:lang w:val="en-GB" w:eastAsia="en-US"/>
        </w:rPr>
        <w:t xml:space="preserve"> closely with the Department of Employment and the Department of Immigration and Border Protection, along with four major employers, to design the Pilot.</w:t>
      </w:r>
    </w:p>
    <w:p w14:paraId="643C0040" w14:textId="77777777" w:rsidR="00C42849" w:rsidRPr="005F2DEE" w:rsidRDefault="00C42849"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The Seasonal Worker Programme continued to perform strongly, with </w:t>
      </w:r>
      <w:r w:rsidR="000D6167" w:rsidRPr="005F2DEE">
        <w:rPr>
          <w:rFonts w:asciiTheme="minorHAnsi" w:eastAsiaTheme="minorHAnsi" w:hAnsiTheme="minorHAnsi" w:cstheme="minorBidi"/>
          <w:color w:val="495965" w:themeColor="text2"/>
          <w:sz w:val="22"/>
          <w:szCs w:val="22"/>
          <w:lang w:val="en-GB" w:eastAsia="en-US"/>
        </w:rPr>
        <w:t>around 4</w:t>
      </w:r>
      <w:r w:rsidRPr="005F2DEE">
        <w:rPr>
          <w:rFonts w:asciiTheme="minorHAnsi" w:eastAsiaTheme="minorHAnsi" w:hAnsiTheme="minorHAnsi" w:cstheme="minorBidi"/>
          <w:color w:val="495965" w:themeColor="text2"/>
          <w:sz w:val="22"/>
          <w:szCs w:val="22"/>
          <w:lang w:val="en-GB" w:eastAsia="en-US"/>
        </w:rPr>
        <w:t xml:space="preserve">,500 </w:t>
      </w:r>
      <w:r w:rsidR="00720877" w:rsidRPr="005F2DEE">
        <w:rPr>
          <w:rFonts w:asciiTheme="minorHAnsi" w:eastAsiaTheme="minorHAnsi" w:hAnsiTheme="minorHAnsi" w:cstheme="minorBidi"/>
          <w:color w:val="495965" w:themeColor="text2"/>
          <w:sz w:val="22"/>
          <w:szCs w:val="22"/>
          <w:lang w:val="en-GB" w:eastAsia="en-US"/>
        </w:rPr>
        <w:t>visas granted</w:t>
      </w:r>
      <w:r w:rsidRPr="005F2DEE">
        <w:rPr>
          <w:rFonts w:asciiTheme="minorHAnsi" w:eastAsiaTheme="minorHAnsi" w:hAnsiTheme="minorHAnsi" w:cstheme="minorBidi"/>
          <w:color w:val="495965" w:themeColor="text2"/>
          <w:sz w:val="22"/>
          <w:szCs w:val="22"/>
          <w:lang w:val="en-GB" w:eastAsia="en-US"/>
        </w:rPr>
        <w:t xml:space="preserve"> in 2015-16</w:t>
      </w:r>
      <w:r w:rsidR="000D6167" w:rsidRPr="005F2DEE">
        <w:rPr>
          <w:rFonts w:asciiTheme="minorHAnsi" w:eastAsiaTheme="minorHAnsi" w:hAnsiTheme="minorHAnsi" w:cstheme="minorBidi"/>
          <w:color w:val="495965" w:themeColor="text2"/>
          <w:sz w:val="22"/>
          <w:szCs w:val="22"/>
          <w:lang w:val="en-GB" w:eastAsia="en-US"/>
        </w:rPr>
        <w:t xml:space="preserve"> (an increase of 40 per cent on the previous year)</w:t>
      </w:r>
      <w:r w:rsidRPr="005F2DEE">
        <w:rPr>
          <w:rFonts w:asciiTheme="minorHAnsi" w:eastAsiaTheme="minorHAnsi" w:hAnsiTheme="minorHAnsi" w:cstheme="minorBidi"/>
          <w:color w:val="495965" w:themeColor="text2"/>
          <w:sz w:val="22"/>
          <w:szCs w:val="22"/>
          <w:lang w:val="en-GB" w:eastAsia="en-US"/>
        </w:rPr>
        <w:t>. The new Labou</w:t>
      </w:r>
      <w:r w:rsidR="000C57BF">
        <w:rPr>
          <w:rFonts w:asciiTheme="minorHAnsi" w:eastAsiaTheme="minorHAnsi" w:hAnsiTheme="minorHAnsi" w:cstheme="minorBidi"/>
          <w:color w:val="495965" w:themeColor="text2"/>
          <w:sz w:val="22"/>
          <w:szCs w:val="22"/>
          <w:lang w:val="en-GB" w:eastAsia="en-US"/>
        </w:rPr>
        <w:t>r Mobility Assistance Program improved</w:t>
      </w:r>
      <w:r w:rsidRPr="005F2DEE">
        <w:rPr>
          <w:rFonts w:asciiTheme="minorHAnsi" w:eastAsiaTheme="minorHAnsi" w:hAnsiTheme="minorHAnsi" w:cstheme="minorBidi"/>
          <w:color w:val="495965" w:themeColor="text2"/>
          <w:sz w:val="22"/>
          <w:szCs w:val="22"/>
          <w:lang w:val="en-GB" w:eastAsia="en-US"/>
        </w:rPr>
        <w:t xml:space="preserve"> partner country's management of workers</w:t>
      </w:r>
      <w:r w:rsidR="007667CD">
        <w:rPr>
          <w:rFonts w:asciiTheme="minorHAnsi" w:eastAsiaTheme="minorHAnsi" w:hAnsiTheme="minorHAnsi" w:cstheme="minorBidi"/>
          <w:color w:val="495965" w:themeColor="text2"/>
          <w:sz w:val="22"/>
          <w:szCs w:val="22"/>
          <w:lang w:val="en-GB" w:eastAsia="en-US"/>
        </w:rPr>
        <w:t>,</w:t>
      </w:r>
      <w:r w:rsidRPr="005F2DEE">
        <w:rPr>
          <w:rFonts w:asciiTheme="minorHAnsi" w:eastAsiaTheme="minorHAnsi" w:hAnsiTheme="minorHAnsi" w:cstheme="minorBidi"/>
          <w:color w:val="495965" w:themeColor="text2"/>
          <w:sz w:val="22"/>
          <w:szCs w:val="22"/>
          <w:lang w:val="en-GB" w:eastAsia="en-US"/>
        </w:rPr>
        <w:t xml:space="preserve"> providing better information and assistance for participants.</w:t>
      </w:r>
    </w:p>
    <w:p w14:paraId="6CE28D8F" w14:textId="77777777" w:rsidR="00C42849" w:rsidRDefault="00AB1D00"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DFAT</w:t>
      </w:r>
      <w:r w:rsidR="00C42849" w:rsidRPr="005F2DEE">
        <w:rPr>
          <w:rFonts w:asciiTheme="minorHAnsi" w:eastAsiaTheme="minorHAnsi" w:hAnsiTheme="minorHAnsi" w:cstheme="minorBidi"/>
          <w:color w:val="495965" w:themeColor="text2"/>
          <w:sz w:val="22"/>
          <w:szCs w:val="22"/>
          <w:lang w:val="en-GB" w:eastAsia="en-US"/>
        </w:rPr>
        <w:t xml:space="preserve"> worked closely with </w:t>
      </w:r>
      <w:r>
        <w:rPr>
          <w:rFonts w:asciiTheme="minorHAnsi" w:eastAsiaTheme="minorHAnsi" w:hAnsiTheme="minorHAnsi" w:cstheme="minorBidi"/>
          <w:color w:val="495965" w:themeColor="text2"/>
          <w:sz w:val="22"/>
          <w:szCs w:val="22"/>
          <w:lang w:val="en-GB" w:eastAsia="en-US"/>
        </w:rPr>
        <w:t>Westpac</w:t>
      </w:r>
      <w:r w:rsidR="00C42849" w:rsidRPr="005F2DEE">
        <w:rPr>
          <w:rFonts w:asciiTheme="minorHAnsi" w:eastAsiaTheme="minorHAnsi" w:hAnsiTheme="minorHAnsi" w:cstheme="minorBidi"/>
          <w:color w:val="495965" w:themeColor="text2"/>
          <w:sz w:val="22"/>
          <w:szCs w:val="22"/>
          <w:lang w:val="en-GB" w:eastAsia="en-US"/>
        </w:rPr>
        <w:t xml:space="preserve"> to lower the cost of remittances between Australia and Pacific island countries. Westpac is now one of the lowest-cost providers</w:t>
      </w:r>
      <w:r w:rsidR="000C57BF">
        <w:rPr>
          <w:rFonts w:asciiTheme="minorHAnsi" w:eastAsiaTheme="minorHAnsi" w:hAnsiTheme="minorHAnsi" w:cstheme="minorBidi"/>
          <w:color w:val="495965" w:themeColor="text2"/>
          <w:sz w:val="22"/>
          <w:szCs w:val="22"/>
          <w:lang w:val="en-GB" w:eastAsia="en-US"/>
        </w:rPr>
        <w:t xml:space="preserve"> for remittances to and from</w:t>
      </w:r>
      <w:r w:rsidR="00C42849" w:rsidRPr="005F2DEE">
        <w:rPr>
          <w:rFonts w:asciiTheme="minorHAnsi" w:eastAsiaTheme="minorHAnsi" w:hAnsiTheme="minorHAnsi" w:cstheme="minorBidi"/>
          <w:color w:val="495965" w:themeColor="text2"/>
          <w:sz w:val="22"/>
          <w:szCs w:val="22"/>
          <w:lang w:val="en-GB" w:eastAsia="en-US"/>
        </w:rPr>
        <w:t xml:space="preserve"> Fiji, Papua New Guinea and Vanuatu.</w:t>
      </w:r>
    </w:p>
    <w:p w14:paraId="4A5D9FE2" w14:textId="77777777" w:rsidR="00060AB0" w:rsidRPr="00060AB0" w:rsidRDefault="00060AB0" w:rsidP="00060AB0">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060AB0">
        <w:rPr>
          <w:rFonts w:asciiTheme="minorHAnsi" w:eastAsiaTheme="minorHAnsi" w:hAnsiTheme="minorHAnsi" w:cstheme="minorBidi"/>
          <w:color w:val="495965" w:themeColor="text2"/>
          <w:sz w:val="22"/>
          <w:szCs w:val="22"/>
          <w:lang w:val="en-GB" w:eastAsia="en-US"/>
        </w:rPr>
        <w:t xml:space="preserve">DFAT’s Pacific Partnership with the International Finance Corporation accelerated the flow of private investments in the Pacific. In 2015, the Partnership mobilised private investments worth $53 million, including direct International Finance Corporation investment of $23 million, and facilitated new lending of </w:t>
      </w:r>
      <w:r w:rsidR="007667CD">
        <w:rPr>
          <w:rFonts w:asciiTheme="minorHAnsi" w:eastAsiaTheme="minorHAnsi" w:hAnsiTheme="minorHAnsi" w:cstheme="minorBidi"/>
          <w:color w:val="495965" w:themeColor="text2"/>
          <w:sz w:val="22"/>
          <w:szCs w:val="22"/>
          <w:lang w:val="en-GB" w:eastAsia="en-US"/>
        </w:rPr>
        <w:t>$</w:t>
      </w:r>
      <w:r w:rsidR="00AB1D00">
        <w:rPr>
          <w:rFonts w:asciiTheme="minorHAnsi" w:eastAsiaTheme="minorHAnsi" w:hAnsiTheme="minorHAnsi" w:cstheme="minorBidi"/>
          <w:color w:val="495965" w:themeColor="text2"/>
          <w:sz w:val="22"/>
          <w:szCs w:val="22"/>
          <w:lang w:val="en-GB" w:eastAsia="en-US"/>
        </w:rPr>
        <w:t xml:space="preserve">6.3 </w:t>
      </w:r>
      <w:r w:rsidRPr="00060AB0">
        <w:rPr>
          <w:rFonts w:asciiTheme="minorHAnsi" w:eastAsiaTheme="minorHAnsi" w:hAnsiTheme="minorHAnsi" w:cstheme="minorBidi"/>
          <w:color w:val="495965" w:themeColor="text2"/>
          <w:sz w:val="22"/>
          <w:szCs w:val="22"/>
          <w:lang w:val="en-GB" w:eastAsia="en-US"/>
        </w:rPr>
        <w:t xml:space="preserve">million to small and medium enterprises. </w:t>
      </w:r>
    </w:p>
    <w:p w14:paraId="04CB818A" w14:textId="77777777" w:rsidR="00060AB0" w:rsidRPr="00060AB0" w:rsidRDefault="00060AB0" w:rsidP="00060AB0">
      <w:pPr>
        <w:pStyle w:val="ListBullet"/>
        <w:numPr>
          <w:ilvl w:val="1"/>
          <w:numId w:val="49"/>
        </w:numPr>
        <w:tabs>
          <w:tab w:val="clear" w:pos="284"/>
          <w:tab w:val="left" w:pos="720"/>
        </w:tabs>
        <w:rPr>
          <w:rFonts w:asciiTheme="minorHAnsi" w:eastAsiaTheme="minorHAnsi" w:hAnsiTheme="minorHAnsi" w:cstheme="minorBidi"/>
          <w:color w:val="495965" w:themeColor="text2"/>
          <w:sz w:val="22"/>
          <w:szCs w:val="22"/>
          <w:lang w:val="en-GB" w:eastAsia="en-US"/>
        </w:rPr>
      </w:pPr>
      <w:r w:rsidRPr="00060AB0">
        <w:rPr>
          <w:rFonts w:asciiTheme="minorHAnsi" w:eastAsiaTheme="minorHAnsi" w:hAnsiTheme="minorHAnsi" w:cstheme="minorBidi"/>
          <w:color w:val="495965" w:themeColor="text2"/>
          <w:sz w:val="22"/>
          <w:szCs w:val="22"/>
          <w:lang w:val="en-GB" w:eastAsia="en-US"/>
        </w:rPr>
        <w:lastRenderedPageBreak/>
        <w:t xml:space="preserve">International Finance Corporation </w:t>
      </w:r>
      <w:r w:rsidR="000C57BF">
        <w:rPr>
          <w:rFonts w:asciiTheme="minorHAnsi" w:eastAsiaTheme="minorHAnsi" w:hAnsiTheme="minorHAnsi" w:cstheme="minorBidi"/>
          <w:color w:val="495965" w:themeColor="text2"/>
          <w:sz w:val="22"/>
          <w:szCs w:val="22"/>
          <w:lang w:val="en-GB" w:eastAsia="en-US"/>
        </w:rPr>
        <w:t>provided</w:t>
      </w:r>
      <w:r w:rsidRPr="00060AB0">
        <w:rPr>
          <w:rFonts w:asciiTheme="minorHAnsi" w:eastAsiaTheme="minorHAnsi" w:hAnsiTheme="minorHAnsi" w:cstheme="minorBidi"/>
          <w:color w:val="495965" w:themeColor="text2"/>
          <w:sz w:val="22"/>
          <w:szCs w:val="22"/>
          <w:lang w:val="en-GB" w:eastAsia="en-US"/>
        </w:rPr>
        <w:t xml:space="preserve"> a loan of </w:t>
      </w:r>
      <w:r w:rsidR="005321F2">
        <w:rPr>
          <w:rFonts w:asciiTheme="minorHAnsi" w:eastAsiaTheme="minorHAnsi" w:hAnsiTheme="minorHAnsi" w:cstheme="minorBidi"/>
          <w:color w:val="495965" w:themeColor="text2"/>
          <w:sz w:val="22"/>
          <w:szCs w:val="22"/>
          <w:lang w:val="en-GB" w:eastAsia="en-US"/>
        </w:rPr>
        <w:t>US</w:t>
      </w:r>
      <w:r w:rsidRPr="00060AB0">
        <w:rPr>
          <w:rFonts w:asciiTheme="minorHAnsi" w:eastAsiaTheme="minorHAnsi" w:hAnsiTheme="minorHAnsi" w:cstheme="minorBidi"/>
          <w:color w:val="495965" w:themeColor="text2"/>
          <w:sz w:val="22"/>
          <w:szCs w:val="22"/>
          <w:lang w:val="en-GB" w:eastAsia="en-US"/>
        </w:rPr>
        <w:t xml:space="preserve">$10 million </w:t>
      </w:r>
      <w:r w:rsidR="005321F2">
        <w:rPr>
          <w:rFonts w:asciiTheme="minorHAnsi" w:eastAsiaTheme="minorHAnsi" w:hAnsiTheme="minorHAnsi" w:cstheme="minorBidi"/>
          <w:color w:val="495965" w:themeColor="text2"/>
          <w:sz w:val="22"/>
          <w:szCs w:val="22"/>
          <w:lang w:val="en-GB" w:eastAsia="en-US"/>
        </w:rPr>
        <w:t>(A$</w:t>
      </w:r>
      <w:r w:rsidR="00282C0E">
        <w:rPr>
          <w:rFonts w:asciiTheme="minorHAnsi" w:eastAsiaTheme="minorHAnsi" w:hAnsiTheme="minorHAnsi" w:cstheme="minorBidi"/>
          <w:color w:val="495965" w:themeColor="text2"/>
          <w:sz w:val="22"/>
          <w:szCs w:val="22"/>
          <w:lang w:val="en-GB" w:eastAsia="en-US"/>
        </w:rPr>
        <w:t>13</w:t>
      </w:r>
      <w:r w:rsidR="005321F2">
        <w:rPr>
          <w:rFonts w:asciiTheme="minorHAnsi" w:eastAsiaTheme="minorHAnsi" w:hAnsiTheme="minorHAnsi" w:cstheme="minorBidi"/>
          <w:color w:val="495965" w:themeColor="text2"/>
          <w:sz w:val="22"/>
          <w:szCs w:val="22"/>
          <w:lang w:val="en-GB" w:eastAsia="en-US"/>
        </w:rPr>
        <w:t xml:space="preserve"> million) </w:t>
      </w:r>
      <w:r w:rsidRPr="00060AB0">
        <w:rPr>
          <w:rFonts w:asciiTheme="minorHAnsi" w:eastAsiaTheme="minorHAnsi" w:hAnsiTheme="minorHAnsi" w:cstheme="minorBidi"/>
          <w:color w:val="495965" w:themeColor="text2"/>
          <w:sz w:val="22"/>
          <w:szCs w:val="22"/>
          <w:lang w:val="en-GB" w:eastAsia="en-US"/>
        </w:rPr>
        <w:t xml:space="preserve">to the Solomon Island’s only tuna processor, </w:t>
      </w:r>
      <w:proofErr w:type="spellStart"/>
      <w:r w:rsidRPr="00060AB0">
        <w:rPr>
          <w:rFonts w:asciiTheme="minorHAnsi" w:eastAsiaTheme="minorHAnsi" w:hAnsiTheme="minorHAnsi" w:cstheme="minorBidi"/>
          <w:color w:val="495965" w:themeColor="text2"/>
          <w:sz w:val="22"/>
          <w:szCs w:val="22"/>
          <w:lang w:val="en-GB" w:eastAsia="en-US"/>
        </w:rPr>
        <w:t>SolTuna</w:t>
      </w:r>
      <w:proofErr w:type="spellEnd"/>
      <w:r w:rsidRPr="00060AB0">
        <w:rPr>
          <w:rFonts w:asciiTheme="minorHAnsi" w:eastAsiaTheme="minorHAnsi" w:hAnsiTheme="minorHAnsi" w:cstheme="minorBidi"/>
          <w:color w:val="495965" w:themeColor="text2"/>
          <w:sz w:val="22"/>
          <w:szCs w:val="22"/>
          <w:lang w:val="en-GB" w:eastAsia="en-US"/>
        </w:rPr>
        <w:t>, to expand and upgrade the processing plant, and help the country retain a greater proportion of the value-add to its own tuna resources. This is expected to create an additional 500</w:t>
      </w:r>
      <w:r w:rsidR="00F3555F">
        <w:rPr>
          <w:rFonts w:asciiTheme="minorHAnsi" w:eastAsiaTheme="minorHAnsi" w:hAnsiTheme="minorHAnsi" w:cstheme="minorBidi"/>
          <w:color w:val="495965" w:themeColor="text2"/>
          <w:sz w:val="22"/>
          <w:szCs w:val="22"/>
          <w:lang w:val="en-GB" w:eastAsia="en-US"/>
        </w:rPr>
        <w:t xml:space="preserve"> jobs</w:t>
      </w:r>
      <w:r w:rsidR="00AB1D00">
        <w:rPr>
          <w:rFonts w:asciiTheme="minorHAnsi" w:eastAsiaTheme="minorHAnsi" w:hAnsiTheme="minorHAnsi" w:cstheme="minorBidi"/>
          <w:color w:val="495965" w:themeColor="text2"/>
          <w:sz w:val="22"/>
          <w:szCs w:val="22"/>
          <w:lang w:val="en-GB" w:eastAsia="en-US"/>
        </w:rPr>
        <w:t xml:space="preserve"> (including 350 women)</w:t>
      </w:r>
      <w:r w:rsidR="00F3555F">
        <w:rPr>
          <w:rFonts w:asciiTheme="minorHAnsi" w:eastAsiaTheme="minorHAnsi" w:hAnsiTheme="minorHAnsi" w:cstheme="minorBidi"/>
          <w:color w:val="495965" w:themeColor="text2"/>
          <w:sz w:val="22"/>
          <w:szCs w:val="22"/>
          <w:lang w:val="en-GB" w:eastAsia="en-US"/>
        </w:rPr>
        <w:t xml:space="preserve"> over the next five years</w:t>
      </w:r>
      <w:r w:rsidRPr="00060AB0">
        <w:rPr>
          <w:rFonts w:asciiTheme="minorHAnsi" w:eastAsiaTheme="minorHAnsi" w:hAnsiTheme="minorHAnsi" w:cstheme="minorBidi"/>
          <w:color w:val="495965" w:themeColor="text2"/>
          <w:sz w:val="22"/>
          <w:szCs w:val="22"/>
          <w:lang w:val="en-GB" w:eastAsia="en-US"/>
        </w:rPr>
        <w:t>.</w:t>
      </w:r>
    </w:p>
    <w:p w14:paraId="0E3535D8" w14:textId="77777777" w:rsidR="00060AB0" w:rsidRPr="00060AB0" w:rsidRDefault="00060AB0" w:rsidP="00060AB0">
      <w:pPr>
        <w:pStyle w:val="ListBullet"/>
        <w:numPr>
          <w:ilvl w:val="1"/>
          <w:numId w:val="49"/>
        </w:numPr>
        <w:tabs>
          <w:tab w:val="clear" w:pos="284"/>
          <w:tab w:val="left" w:pos="720"/>
        </w:tabs>
        <w:rPr>
          <w:rFonts w:asciiTheme="minorHAnsi" w:eastAsiaTheme="minorHAnsi" w:hAnsiTheme="minorHAnsi" w:cstheme="minorBidi"/>
          <w:color w:val="495965" w:themeColor="text2"/>
          <w:sz w:val="22"/>
          <w:szCs w:val="22"/>
          <w:lang w:val="en-GB" w:eastAsia="en-US"/>
        </w:rPr>
      </w:pPr>
      <w:r w:rsidRPr="00060AB0">
        <w:rPr>
          <w:rFonts w:asciiTheme="minorHAnsi" w:eastAsiaTheme="minorHAnsi" w:hAnsiTheme="minorHAnsi" w:cstheme="minorBidi"/>
          <w:color w:val="495965" w:themeColor="text2"/>
          <w:sz w:val="22"/>
          <w:szCs w:val="22"/>
          <w:lang w:val="en-GB" w:eastAsia="en-US"/>
        </w:rPr>
        <w:t xml:space="preserve">International Finance Corporation provided trade finance support to Bank South Pacific to facilitate the successful import from Europe of three Rubber Tyre Gantries on behalf of </w:t>
      </w:r>
      <w:r w:rsidR="00D729B4">
        <w:rPr>
          <w:rFonts w:asciiTheme="minorHAnsi" w:eastAsiaTheme="minorHAnsi" w:hAnsiTheme="minorHAnsi" w:cstheme="minorBidi"/>
          <w:color w:val="495965" w:themeColor="text2"/>
          <w:sz w:val="22"/>
          <w:szCs w:val="22"/>
          <w:lang w:val="en-GB" w:eastAsia="en-US"/>
        </w:rPr>
        <w:t>Papua New Guinea (</w:t>
      </w:r>
      <w:r w:rsidRPr="00060AB0">
        <w:rPr>
          <w:rFonts w:asciiTheme="minorHAnsi" w:eastAsiaTheme="minorHAnsi" w:hAnsiTheme="minorHAnsi" w:cstheme="minorBidi"/>
          <w:color w:val="495965" w:themeColor="text2"/>
          <w:sz w:val="22"/>
          <w:szCs w:val="22"/>
          <w:lang w:val="en-GB" w:eastAsia="en-US"/>
        </w:rPr>
        <w:t>PNG</w:t>
      </w:r>
      <w:r w:rsidR="00D729B4">
        <w:rPr>
          <w:rFonts w:asciiTheme="minorHAnsi" w:eastAsiaTheme="minorHAnsi" w:hAnsiTheme="minorHAnsi" w:cstheme="minorBidi"/>
          <w:color w:val="495965" w:themeColor="text2"/>
          <w:sz w:val="22"/>
          <w:szCs w:val="22"/>
          <w:lang w:val="en-GB" w:eastAsia="en-US"/>
        </w:rPr>
        <w:t>)</w:t>
      </w:r>
      <w:r w:rsidRPr="00060AB0">
        <w:rPr>
          <w:rFonts w:asciiTheme="minorHAnsi" w:eastAsiaTheme="minorHAnsi" w:hAnsiTheme="minorHAnsi" w:cstheme="minorBidi"/>
          <w:color w:val="495965" w:themeColor="text2"/>
          <w:sz w:val="22"/>
          <w:szCs w:val="22"/>
          <w:lang w:val="en-GB" w:eastAsia="en-US"/>
        </w:rPr>
        <w:t xml:space="preserve"> Ports. The gantries have enabled significant efficiency and safety gains at the heavily congested Port Moresby Port.</w:t>
      </w:r>
    </w:p>
    <w:p w14:paraId="2A5F677A" w14:textId="77777777" w:rsidR="00060AB0" w:rsidRPr="00060AB0" w:rsidRDefault="00060AB0" w:rsidP="00060AB0">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060AB0">
        <w:rPr>
          <w:rFonts w:asciiTheme="minorHAnsi" w:eastAsiaTheme="minorHAnsi" w:hAnsiTheme="minorHAnsi" w:cstheme="minorBidi"/>
          <w:color w:val="495965" w:themeColor="text2"/>
          <w:sz w:val="22"/>
          <w:szCs w:val="22"/>
          <w:lang w:val="en-GB" w:eastAsia="en-US"/>
        </w:rPr>
        <w:t xml:space="preserve">Through 2015-16, the business law reform team from </w:t>
      </w:r>
      <w:r w:rsidR="000C57BF">
        <w:rPr>
          <w:rFonts w:asciiTheme="minorHAnsi" w:eastAsiaTheme="minorHAnsi" w:hAnsiTheme="minorHAnsi" w:cstheme="minorBidi"/>
          <w:color w:val="495965" w:themeColor="text2"/>
          <w:sz w:val="22"/>
          <w:szCs w:val="22"/>
          <w:lang w:val="en-GB" w:eastAsia="en-US"/>
        </w:rPr>
        <w:t>DFAT’s</w:t>
      </w:r>
      <w:r w:rsidRPr="00060AB0">
        <w:rPr>
          <w:rFonts w:asciiTheme="minorHAnsi" w:eastAsiaTheme="minorHAnsi" w:hAnsiTheme="minorHAnsi" w:cstheme="minorBidi"/>
          <w:color w:val="495965" w:themeColor="text2"/>
          <w:sz w:val="22"/>
          <w:szCs w:val="22"/>
          <w:lang w:val="en-GB" w:eastAsia="en-US"/>
        </w:rPr>
        <w:t xml:space="preserve"> Private Sector Development Initiative was active in 34 initiatives in 11 Pacific countries.  Company law and registry reforms have been successfully implemented in Samoa and Solomon Islands, increasing the annual rate of company formation by an average of 114 per cent and reducing the time it takes to form a company from an average of 24 days to a little over a day. The new companies formed have supported the creation of nearly 2,000 new jobs and over $100 million in new investment.</w:t>
      </w:r>
    </w:p>
    <w:p w14:paraId="29117C27" w14:textId="77777777" w:rsidR="00CF2559" w:rsidRDefault="00CF2559" w:rsidP="00C42849">
      <w:pPr>
        <w:pStyle w:val="ListBullet"/>
        <w:numPr>
          <w:ilvl w:val="0"/>
          <w:numId w:val="42"/>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Through the Pacific Financial Inclusion Program, we facilitated the take up of mobile-based insurance products in PNG to over 700,000 policy holders (one-third women). In the Solomon Islands, we facilitated a growth of 24 per cent in microfinance and loans for sol</w:t>
      </w:r>
      <w:r w:rsidR="00060AB0">
        <w:rPr>
          <w:rFonts w:asciiTheme="minorHAnsi" w:eastAsiaTheme="minorHAnsi" w:hAnsiTheme="minorHAnsi" w:cstheme="minorBidi"/>
          <w:color w:val="495965" w:themeColor="text2"/>
          <w:sz w:val="22"/>
          <w:szCs w:val="22"/>
          <w:lang w:val="en-GB" w:eastAsia="en-US"/>
        </w:rPr>
        <w:t>ar energy (100 per cent women).</w:t>
      </w:r>
    </w:p>
    <w:p w14:paraId="1ED4ACED" w14:textId="77777777" w:rsidR="00060AB0" w:rsidRPr="00D90821" w:rsidRDefault="00060AB0" w:rsidP="00060AB0">
      <w:pPr>
        <w:pStyle w:val="BodyText"/>
      </w:pPr>
      <w:r w:rsidRPr="00D90821">
        <w:t>Factors affec</w:t>
      </w:r>
      <w:r w:rsidR="000C57BF">
        <w:t>ting progress and future action</w:t>
      </w:r>
      <w:r w:rsidRPr="00D90821">
        <w:rPr>
          <w:rFonts w:eastAsiaTheme="minorHAnsi"/>
        </w:rPr>
        <w:t>:</w:t>
      </w:r>
    </w:p>
    <w:p w14:paraId="5FFAC1E2" w14:textId="77777777" w:rsidR="00060AB0" w:rsidRPr="005F2DEE" w:rsidRDefault="00060AB0" w:rsidP="00060AB0">
      <w:pPr>
        <w:pStyle w:val="ListBullet"/>
        <w:tabs>
          <w:tab w:val="clear" w:pos="284"/>
          <w:tab w:val="left" w:pos="720"/>
        </w:tabs>
        <w:rPr>
          <w:rFonts w:asciiTheme="minorHAnsi" w:eastAsiaTheme="minorHAnsi" w:hAnsiTheme="minorHAnsi" w:cstheme="minorBidi"/>
          <w:color w:val="495965" w:themeColor="text2"/>
          <w:sz w:val="22"/>
          <w:szCs w:val="22"/>
          <w:lang w:val="en-GB" w:eastAsia="en-US"/>
        </w:rPr>
      </w:pPr>
      <w:r w:rsidRPr="00060AB0">
        <w:rPr>
          <w:rFonts w:asciiTheme="minorHAnsi" w:eastAsiaTheme="minorHAnsi" w:hAnsiTheme="minorHAnsi" w:cstheme="minorBidi"/>
          <w:color w:val="495965" w:themeColor="text2"/>
          <w:sz w:val="22"/>
          <w:szCs w:val="22"/>
          <w:lang w:val="en-GB" w:eastAsia="en-US"/>
        </w:rPr>
        <w:t>The increasing number of development partners implementing private sector development reforms and seeking to promote bilateral investment opportunities requires close co</w:t>
      </w:r>
      <w:r w:rsidR="00B54B46">
        <w:rPr>
          <w:rFonts w:asciiTheme="minorHAnsi" w:eastAsiaTheme="minorHAnsi" w:hAnsiTheme="minorHAnsi" w:cstheme="minorBidi"/>
          <w:color w:val="495965" w:themeColor="text2"/>
          <w:sz w:val="22"/>
          <w:szCs w:val="22"/>
          <w:lang w:val="en-GB" w:eastAsia="en-US"/>
        </w:rPr>
        <w:t xml:space="preserve">ordination </w:t>
      </w:r>
      <w:r w:rsidRPr="00060AB0">
        <w:rPr>
          <w:rFonts w:asciiTheme="minorHAnsi" w:eastAsiaTheme="minorHAnsi" w:hAnsiTheme="minorHAnsi" w:cstheme="minorBidi"/>
          <w:color w:val="495965" w:themeColor="text2"/>
          <w:sz w:val="22"/>
          <w:szCs w:val="22"/>
          <w:lang w:val="en-GB" w:eastAsia="en-US"/>
        </w:rPr>
        <w:t xml:space="preserve">to preserve the integrity of the reforms, </w:t>
      </w:r>
      <w:r w:rsidR="00B54B46">
        <w:rPr>
          <w:rFonts w:asciiTheme="minorHAnsi" w:eastAsiaTheme="minorHAnsi" w:hAnsiTheme="minorHAnsi" w:cstheme="minorBidi"/>
          <w:color w:val="495965" w:themeColor="text2"/>
          <w:sz w:val="22"/>
          <w:szCs w:val="22"/>
          <w:lang w:val="en-GB" w:eastAsia="en-US"/>
        </w:rPr>
        <w:t>and</w:t>
      </w:r>
      <w:r w:rsidRPr="00060AB0">
        <w:rPr>
          <w:rFonts w:asciiTheme="minorHAnsi" w:eastAsiaTheme="minorHAnsi" w:hAnsiTheme="minorHAnsi" w:cstheme="minorBidi"/>
          <w:color w:val="495965" w:themeColor="text2"/>
          <w:sz w:val="22"/>
          <w:szCs w:val="22"/>
          <w:lang w:val="en-GB" w:eastAsia="en-US"/>
        </w:rPr>
        <w:t xml:space="preserve"> reduce the time required from government counterparts.</w:t>
      </w:r>
    </w:p>
    <w:p w14:paraId="31ECE760" w14:textId="77777777" w:rsidR="00C42849" w:rsidRPr="005F2DEE" w:rsidRDefault="00C42849" w:rsidP="00287095">
      <w:pPr>
        <w:pStyle w:val="BodyText"/>
        <w:spacing w:before="120"/>
        <w:rPr>
          <w:rFonts w:asciiTheme="minorHAnsi" w:eastAsiaTheme="minorHAnsi" w:hAnsiTheme="minorHAnsi" w:cstheme="minorBidi"/>
          <w:b/>
          <w:color w:val="495965" w:themeColor="text2"/>
          <w:sz w:val="22"/>
          <w:szCs w:val="22"/>
          <w:lang w:val="en-GB" w:eastAsia="en-US"/>
        </w:rPr>
      </w:pPr>
      <w:r w:rsidRPr="005F2DEE">
        <w:rPr>
          <w:rFonts w:asciiTheme="minorHAnsi" w:eastAsiaTheme="minorHAnsi" w:hAnsiTheme="minorHAnsi" w:cstheme="minorBidi"/>
          <w:b/>
          <w:color w:val="495965" w:themeColor="text2"/>
          <w:sz w:val="22"/>
          <w:szCs w:val="22"/>
          <w:lang w:val="en-GB" w:eastAsia="en-US"/>
        </w:rPr>
        <w:t>Aid for Trade</w:t>
      </w:r>
    </w:p>
    <w:p w14:paraId="68751368" w14:textId="77777777" w:rsidR="00C42849" w:rsidRPr="005F2DEE" w:rsidRDefault="00C42849" w:rsidP="00C42849">
      <w:pPr>
        <w:tabs>
          <w:tab w:val="left" w:pos="284"/>
        </w:tabs>
        <w:spacing w:after="120" w:line="280" w:lineRule="exact"/>
      </w:pPr>
      <w:r w:rsidRPr="005F2DEE">
        <w:t xml:space="preserve">The Pacific Regional Program is on track to have at least 20 per cent of </w:t>
      </w:r>
      <w:r w:rsidR="00D729B4">
        <w:t>investments supporting Pacific I</w:t>
      </w:r>
      <w:r w:rsidRPr="005F2DEE">
        <w:t>slanders to trade and invest by 2020</w:t>
      </w:r>
      <w:r w:rsidR="000C57BF">
        <w:t>, a strategic target for Australia’s aid program</w:t>
      </w:r>
      <w:r w:rsidRPr="005F2DEE">
        <w:t xml:space="preserve">. Alongside our private sector support, Aid for Trade work supports the growth of exports, investment and regional trade integration in the Pacific. </w:t>
      </w:r>
    </w:p>
    <w:p w14:paraId="6E766C32" w14:textId="77777777" w:rsidR="00C42849" w:rsidRPr="00D90821" w:rsidRDefault="00C42849" w:rsidP="00D90821">
      <w:pPr>
        <w:pStyle w:val="BodyText"/>
      </w:pPr>
      <w:r w:rsidRPr="00D90821">
        <w:t>Key results:</w:t>
      </w:r>
    </w:p>
    <w:p w14:paraId="5021BE30" w14:textId="77777777" w:rsidR="00C42849" w:rsidRPr="005F2DEE" w:rsidRDefault="00C42849" w:rsidP="00C42849">
      <w:pPr>
        <w:pStyle w:val="ListBullet"/>
        <w:numPr>
          <w:ilvl w:val="0"/>
          <w:numId w:val="43"/>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DFAT increased its support for the Pacific Islands Trade and Invest</w:t>
      </w:r>
      <w:r w:rsidR="00551ADA">
        <w:rPr>
          <w:rFonts w:asciiTheme="minorHAnsi" w:eastAsiaTheme="minorHAnsi" w:hAnsiTheme="minorHAnsi" w:cstheme="minorBidi"/>
          <w:color w:val="495965" w:themeColor="text2"/>
          <w:sz w:val="22"/>
          <w:szCs w:val="22"/>
          <w:lang w:val="en-GB" w:eastAsia="en-US"/>
        </w:rPr>
        <w:t>ment</w:t>
      </w:r>
      <w:r w:rsidRPr="005F2DEE">
        <w:rPr>
          <w:rFonts w:asciiTheme="minorHAnsi" w:eastAsiaTheme="minorHAnsi" w:hAnsiTheme="minorHAnsi" w:cstheme="minorBidi"/>
          <w:color w:val="495965" w:themeColor="text2"/>
          <w:sz w:val="22"/>
          <w:szCs w:val="22"/>
          <w:lang w:val="en-GB" w:eastAsia="en-US"/>
        </w:rPr>
        <w:t xml:space="preserve"> network, recognising its success in increasing trade, investment and tourism in the Pacific. Australia will provide $3</w:t>
      </w:r>
      <w:r w:rsidR="000D6167" w:rsidRPr="005F2DEE">
        <w:rPr>
          <w:rFonts w:asciiTheme="minorHAnsi" w:eastAsiaTheme="minorHAnsi" w:hAnsiTheme="minorHAnsi" w:cstheme="minorBidi"/>
          <w:color w:val="495965" w:themeColor="text2"/>
          <w:sz w:val="22"/>
          <w:szCs w:val="22"/>
          <w:lang w:val="en-GB" w:eastAsia="en-US"/>
        </w:rPr>
        <w:t>.5</w:t>
      </w:r>
      <w:r w:rsidRPr="005F2DEE">
        <w:rPr>
          <w:rFonts w:asciiTheme="minorHAnsi" w:eastAsiaTheme="minorHAnsi" w:hAnsiTheme="minorHAnsi" w:cstheme="minorBidi"/>
          <w:color w:val="495965" w:themeColor="text2"/>
          <w:sz w:val="22"/>
          <w:szCs w:val="22"/>
          <w:lang w:val="en-GB" w:eastAsia="en-US"/>
        </w:rPr>
        <w:t xml:space="preserve"> million per annum to the network, including support </w:t>
      </w:r>
      <w:r w:rsidR="00D729B4">
        <w:rPr>
          <w:rFonts w:asciiTheme="minorHAnsi" w:eastAsiaTheme="minorHAnsi" w:hAnsiTheme="minorHAnsi" w:cstheme="minorBidi"/>
          <w:color w:val="495965" w:themeColor="text2"/>
          <w:sz w:val="22"/>
          <w:szCs w:val="22"/>
          <w:lang w:val="en-GB" w:eastAsia="en-US"/>
        </w:rPr>
        <w:t>to</w:t>
      </w:r>
      <w:r w:rsidRPr="005F2DEE">
        <w:rPr>
          <w:rFonts w:asciiTheme="minorHAnsi" w:eastAsiaTheme="minorHAnsi" w:hAnsiTheme="minorHAnsi" w:cstheme="minorBidi"/>
          <w:color w:val="495965" w:themeColor="text2"/>
          <w:sz w:val="22"/>
          <w:szCs w:val="22"/>
          <w:lang w:val="en-GB" w:eastAsia="en-US"/>
        </w:rPr>
        <w:t xml:space="preserve"> focus on women’s business and the creati</w:t>
      </w:r>
      <w:r w:rsidR="00F4653E" w:rsidRPr="005F2DEE">
        <w:rPr>
          <w:rFonts w:asciiTheme="minorHAnsi" w:eastAsiaTheme="minorHAnsi" w:hAnsiTheme="minorHAnsi" w:cstheme="minorBidi"/>
          <w:color w:val="495965" w:themeColor="text2"/>
          <w:sz w:val="22"/>
          <w:szCs w:val="22"/>
          <w:lang w:val="en-GB" w:eastAsia="en-US"/>
        </w:rPr>
        <w:t>ve arts.</w:t>
      </w:r>
    </w:p>
    <w:p w14:paraId="398A1360" w14:textId="77777777" w:rsidR="00407E32" w:rsidRPr="005F2DEE" w:rsidRDefault="00C42849" w:rsidP="00407E32">
      <w:pPr>
        <w:pStyle w:val="ListBullet"/>
        <w:numPr>
          <w:ilvl w:val="0"/>
          <w:numId w:val="43"/>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The Pacific Horticultural and Agricultural Market Access Program (PHAMA) </w:t>
      </w:r>
      <w:r w:rsidR="00407E32" w:rsidRPr="005F2DEE">
        <w:rPr>
          <w:rFonts w:asciiTheme="minorHAnsi" w:eastAsiaTheme="minorHAnsi" w:hAnsiTheme="minorHAnsi" w:cstheme="minorBidi"/>
          <w:color w:val="495965" w:themeColor="text2"/>
          <w:sz w:val="22"/>
          <w:szCs w:val="22"/>
          <w:lang w:val="en-GB" w:eastAsia="en-US"/>
        </w:rPr>
        <w:t>achiev</w:t>
      </w:r>
      <w:r w:rsidR="00942650" w:rsidRPr="005F2DEE">
        <w:rPr>
          <w:rFonts w:asciiTheme="minorHAnsi" w:eastAsiaTheme="minorHAnsi" w:hAnsiTheme="minorHAnsi" w:cstheme="minorBidi"/>
          <w:color w:val="495965" w:themeColor="text2"/>
          <w:sz w:val="22"/>
          <w:szCs w:val="22"/>
          <w:lang w:val="en-GB" w:eastAsia="en-US"/>
        </w:rPr>
        <w:t>ed a range of results</w:t>
      </w:r>
      <w:r w:rsidR="00407E32" w:rsidRPr="005F2DEE">
        <w:rPr>
          <w:rFonts w:asciiTheme="minorHAnsi" w:eastAsiaTheme="minorHAnsi" w:hAnsiTheme="minorHAnsi" w:cstheme="minorBidi"/>
          <w:color w:val="495965" w:themeColor="text2"/>
          <w:sz w:val="22"/>
          <w:szCs w:val="22"/>
          <w:lang w:val="en-GB" w:eastAsia="en-US"/>
        </w:rPr>
        <w:t>:</w:t>
      </w:r>
    </w:p>
    <w:p w14:paraId="01161ED9" w14:textId="77777777" w:rsidR="00407E32" w:rsidRPr="005F2DEE" w:rsidRDefault="00407E32" w:rsidP="00407E32">
      <w:pPr>
        <w:pStyle w:val="ListBullet"/>
        <w:numPr>
          <w:ilvl w:val="1"/>
          <w:numId w:val="43"/>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established the region’s first third party legality assurance system In the Solomon Islands for sawn timber, safeguarding several thousand jobs and $7 million in exports, </w:t>
      </w:r>
    </w:p>
    <w:p w14:paraId="48AA1D8F" w14:textId="77777777" w:rsidR="00407E32" w:rsidRPr="005F2DEE" w:rsidRDefault="00407E32" w:rsidP="00407E32">
      <w:pPr>
        <w:pStyle w:val="ListBullet"/>
        <w:numPr>
          <w:ilvl w:val="1"/>
          <w:numId w:val="43"/>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undertook cocoa drier trials in the Solomon Islands, Vanuatu and Samoa to improve quality and supply to higher value markets;</w:t>
      </w:r>
    </w:p>
    <w:p w14:paraId="413CCFAA" w14:textId="77777777" w:rsidR="00407E32" w:rsidRPr="005F2DEE" w:rsidRDefault="00407E32" w:rsidP="00407E32">
      <w:pPr>
        <w:pStyle w:val="ListBullet"/>
        <w:numPr>
          <w:ilvl w:val="1"/>
          <w:numId w:val="43"/>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improved market access into Australia for Fiji ginger, a market worth $7 million per year for 700 ginger farmers; and</w:t>
      </w:r>
    </w:p>
    <w:p w14:paraId="54F79475" w14:textId="77777777" w:rsidR="00407E32" w:rsidRPr="005F2DEE" w:rsidRDefault="00C42849" w:rsidP="00407E32">
      <w:pPr>
        <w:pStyle w:val="ListBullet"/>
        <w:numPr>
          <w:ilvl w:val="1"/>
          <w:numId w:val="48"/>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undertook a gender review of its operations in Samoa, Tonga and Solomon Islands, and is doing more to help women integrate with commodity value chains.</w:t>
      </w:r>
    </w:p>
    <w:p w14:paraId="39073554" w14:textId="7856C1E1" w:rsidR="00C42849" w:rsidRPr="005F2DEE" w:rsidRDefault="00C42849" w:rsidP="00F5057E">
      <w:pPr>
        <w:pStyle w:val="ListBullet"/>
        <w:numPr>
          <w:ilvl w:val="0"/>
          <w:numId w:val="44"/>
        </w:numPr>
        <w:tabs>
          <w:tab w:val="clear" w:pos="284"/>
          <w:tab w:val="left" w:pos="720"/>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A variety of initiatives help Pacific Island Countries to negotiate, consult with their stakeholders and undertake research and analysis to inform their positions in PACER Plus negotiations</w:t>
      </w:r>
      <w:r w:rsidR="00F5057E" w:rsidRPr="005F2DEE">
        <w:rPr>
          <w:rFonts w:asciiTheme="minorHAnsi" w:eastAsiaTheme="minorHAnsi" w:hAnsiTheme="minorHAnsi" w:cstheme="minorBidi"/>
          <w:color w:val="495965" w:themeColor="text2"/>
          <w:sz w:val="22"/>
          <w:szCs w:val="22"/>
          <w:lang w:val="en-GB" w:eastAsia="en-US"/>
        </w:rPr>
        <w:t>. F</w:t>
      </w:r>
      <w:r w:rsidRPr="005F2DEE">
        <w:rPr>
          <w:rFonts w:asciiTheme="minorHAnsi" w:eastAsiaTheme="minorHAnsi" w:hAnsiTheme="minorHAnsi" w:cstheme="minorBidi"/>
          <w:color w:val="495965" w:themeColor="text2"/>
          <w:sz w:val="22"/>
          <w:szCs w:val="22"/>
          <w:lang w:val="en-GB" w:eastAsia="en-US"/>
        </w:rPr>
        <w:t xml:space="preserve">or example, in </w:t>
      </w:r>
      <w:r w:rsidRPr="005F2DEE">
        <w:rPr>
          <w:rFonts w:asciiTheme="minorHAnsi" w:eastAsiaTheme="minorHAnsi" w:hAnsiTheme="minorHAnsi" w:cstheme="minorBidi"/>
          <w:color w:val="495965" w:themeColor="text2"/>
          <w:sz w:val="22"/>
          <w:szCs w:val="22"/>
          <w:lang w:val="en-GB" w:eastAsia="en-US"/>
        </w:rPr>
        <w:lastRenderedPageBreak/>
        <w:t>201</w:t>
      </w:r>
      <w:r w:rsidR="00500440">
        <w:rPr>
          <w:rFonts w:asciiTheme="minorHAnsi" w:eastAsiaTheme="minorHAnsi" w:hAnsiTheme="minorHAnsi" w:cstheme="minorBidi"/>
          <w:color w:val="495965" w:themeColor="text2"/>
          <w:sz w:val="22"/>
          <w:szCs w:val="22"/>
          <w:lang w:val="en-GB" w:eastAsia="en-US"/>
        </w:rPr>
        <w:t>5</w:t>
      </w:r>
      <w:r w:rsidRPr="005F2DEE">
        <w:rPr>
          <w:rFonts w:asciiTheme="minorHAnsi" w:eastAsiaTheme="minorHAnsi" w:hAnsiTheme="minorHAnsi" w:cstheme="minorBidi"/>
          <w:color w:val="495965" w:themeColor="text2"/>
          <w:sz w:val="22"/>
          <w:szCs w:val="22"/>
          <w:lang w:val="en-GB" w:eastAsia="en-US"/>
        </w:rPr>
        <w:noBreakHyphen/>
        <w:t>1</w:t>
      </w:r>
      <w:r w:rsidR="00500440">
        <w:rPr>
          <w:rFonts w:asciiTheme="minorHAnsi" w:eastAsiaTheme="minorHAnsi" w:hAnsiTheme="minorHAnsi" w:cstheme="minorBidi"/>
          <w:color w:val="495965" w:themeColor="text2"/>
          <w:sz w:val="22"/>
          <w:szCs w:val="22"/>
          <w:lang w:val="en-GB" w:eastAsia="en-US"/>
        </w:rPr>
        <w:t>6</w:t>
      </w:r>
      <w:r w:rsidRPr="005F2DEE">
        <w:rPr>
          <w:rFonts w:asciiTheme="minorHAnsi" w:eastAsiaTheme="minorHAnsi" w:hAnsiTheme="minorHAnsi" w:cstheme="minorBidi"/>
          <w:color w:val="495965" w:themeColor="text2"/>
          <w:sz w:val="22"/>
          <w:szCs w:val="22"/>
          <w:lang w:val="en-GB" w:eastAsia="en-US"/>
        </w:rPr>
        <w:t>, Australia’s funding for the Office of the Chief Trade Adviser in Port Vila, Vanuatu, provided advice and support to help Pacific Island Countries participate in PACER Plus negotiations.</w:t>
      </w:r>
    </w:p>
    <w:p w14:paraId="6495B5C6" w14:textId="77777777" w:rsidR="005321F2" w:rsidRDefault="005321F2"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p>
    <w:p w14:paraId="5E6B5A19" w14:textId="77777777" w:rsidR="009F063C" w:rsidRPr="005F2DEE" w:rsidRDefault="009F063C"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r w:rsidRPr="005F2DEE">
        <w:rPr>
          <w:rFonts w:asciiTheme="minorHAnsi" w:eastAsiaTheme="minorHAnsi" w:hAnsiTheme="minorHAnsi" w:cstheme="minorBidi"/>
          <w:b/>
          <w:color w:val="495965" w:themeColor="text2"/>
          <w:sz w:val="22"/>
          <w:szCs w:val="22"/>
          <w:lang w:val="en-GB" w:eastAsia="en-US"/>
        </w:rPr>
        <w:t>Fisheries</w:t>
      </w:r>
    </w:p>
    <w:p w14:paraId="576C63DF" w14:textId="77777777" w:rsidR="009F063C" w:rsidRPr="005F2DEE" w:rsidRDefault="009F063C" w:rsidP="009F063C">
      <w:pPr>
        <w:spacing w:after="160" w:line="280" w:lineRule="exact"/>
      </w:pPr>
      <w:r w:rsidRPr="005F2DEE">
        <w:t>Fisheries remain a key economic driver in the Pacific region.  The offsho</w:t>
      </w:r>
      <w:r w:rsidR="007667CD">
        <w:t xml:space="preserve">re tuna sector provides over </w:t>
      </w:r>
      <w:r w:rsidR="0037098B">
        <w:t>US$350 (</w:t>
      </w:r>
      <w:r w:rsidR="005321F2">
        <w:t>A</w:t>
      </w:r>
      <w:r w:rsidR="007667CD">
        <w:t>$460</w:t>
      </w:r>
      <w:r w:rsidRPr="005F2DEE">
        <w:t xml:space="preserve"> million</w:t>
      </w:r>
      <w:r w:rsidR="0037098B">
        <w:t>)</w:t>
      </w:r>
      <w:r w:rsidRPr="005F2DEE">
        <w:t xml:space="preserve"> in direct revenues and makes significant contributions to </w:t>
      </w:r>
      <w:r w:rsidR="004A6E19">
        <w:t>Gross Domestic Product (</w:t>
      </w:r>
      <w:r w:rsidRPr="005F2DEE">
        <w:t>GDP</w:t>
      </w:r>
      <w:r w:rsidR="004A6E19">
        <w:t>)</w:t>
      </w:r>
      <w:r w:rsidRPr="005F2DEE">
        <w:t xml:space="preserve"> and employment. The inshore sector is critical to food security and livelihoods. The highly migratory nature of offshore tuna stocks makes a regional approach to management essential. Our investments in regional fisheries also reflect the Australian Gov</w:t>
      </w:r>
      <w:r w:rsidR="004A6E19">
        <w:t>ernment’s commitment to enhance</w:t>
      </w:r>
      <w:r w:rsidRPr="005F2DEE">
        <w:t xml:space="preserve"> engagement in the broader Agriculture, Fisheries and Water sectors as part of Australia’s global aid policy framework. DFAT works closely with the Departments of Agriculture, Defence and Environment, and with the Australian Fisheries Management Authority (AFMA) and the Australian Centre for International Agricultural Research (ACIAR).</w:t>
      </w:r>
    </w:p>
    <w:p w14:paraId="74404656" w14:textId="77777777" w:rsidR="009F063C" w:rsidRPr="005F2DEE" w:rsidRDefault="009F063C" w:rsidP="009F063C">
      <w:pPr>
        <w:spacing w:after="160" w:line="280" w:lineRule="exact"/>
      </w:pPr>
      <w:r w:rsidRPr="005F2DEE">
        <w:t>Australia’s aid and technical support is critical to the Forum Fisheries Agency’s (FFA) effective engagement in the complex management of offshore tuna stocks. Our support to the Fisheries, Aquaculture and Marine Ecosystems Division of the Secretariat of the Pacific Community (SPC</w:t>
      </w:r>
      <w:r w:rsidRPr="005F2DEE">
        <w:noBreakHyphen/>
        <w:t xml:space="preserve">FAME) helps underpin world-class stock assessments for offshore fisheries. SPC-FAME also takes the lead role in responding to the growing challenges within the inshore sector. In partnership with ACIAR, we are helping communities to manage their own inshore fish resources sustainably. </w:t>
      </w:r>
    </w:p>
    <w:p w14:paraId="60D759C3" w14:textId="77777777" w:rsidR="009F063C" w:rsidRPr="00D90821" w:rsidRDefault="009F063C" w:rsidP="00D90821">
      <w:pPr>
        <w:pStyle w:val="BodyText"/>
      </w:pPr>
      <w:r w:rsidRPr="00D90821">
        <w:t>Key results:</w:t>
      </w:r>
    </w:p>
    <w:p w14:paraId="409B65E2"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Economic returns: Revenues, employment and exports have all increased, despite depressed prices. </w:t>
      </w:r>
      <w:r w:rsidR="00E81560">
        <w:rPr>
          <w:rFonts w:asciiTheme="minorHAnsi" w:eastAsiaTheme="minorHAnsi" w:hAnsiTheme="minorHAnsi" w:cstheme="minorBidi"/>
          <w:color w:val="495965" w:themeColor="text2"/>
          <w:sz w:val="22"/>
          <w:szCs w:val="22"/>
          <w:lang w:val="en-GB" w:eastAsia="en-US"/>
        </w:rPr>
        <w:t>Pacific Island countries</w:t>
      </w:r>
      <w:r w:rsidRPr="005F2DEE">
        <w:rPr>
          <w:rFonts w:asciiTheme="minorHAnsi" w:eastAsiaTheme="minorHAnsi" w:hAnsiTheme="minorHAnsi" w:cstheme="minorBidi"/>
          <w:color w:val="495965" w:themeColor="text2"/>
          <w:sz w:val="22"/>
          <w:szCs w:val="22"/>
          <w:lang w:val="en-GB" w:eastAsia="en-US"/>
        </w:rPr>
        <w:t xml:space="preserve"> successfully renegotiated terms for the US Tuna Treaty </w:t>
      </w:r>
      <w:r w:rsidR="002B3E2A">
        <w:rPr>
          <w:rFonts w:asciiTheme="minorHAnsi" w:eastAsiaTheme="minorHAnsi" w:hAnsiTheme="minorHAnsi" w:cstheme="minorBidi"/>
          <w:color w:val="495965" w:themeColor="text2"/>
          <w:sz w:val="22"/>
          <w:szCs w:val="22"/>
          <w:lang w:val="en-GB" w:eastAsia="en-US"/>
        </w:rPr>
        <w:t>(</w:t>
      </w:r>
      <w:r w:rsidRPr="005F2DEE">
        <w:rPr>
          <w:rFonts w:asciiTheme="minorHAnsi" w:eastAsiaTheme="minorHAnsi" w:hAnsiTheme="minorHAnsi" w:cstheme="minorBidi"/>
          <w:color w:val="495965" w:themeColor="text2"/>
          <w:sz w:val="22"/>
          <w:szCs w:val="22"/>
          <w:lang w:val="en-GB" w:eastAsia="en-US"/>
        </w:rPr>
        <w:t xml:space="preserve">in July), pending the United States rescinding their notification of withdrawal (lodged January 2016). </w:t>
      </w:r>
    </w:p>
    <w:p w14:paraId="24A052FD"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Pacific Fisheries Ministers (including Australia’s) endorsed the first report cards against targets for enhanced revenues, employment and food security in the Regional Roadmap for Sustainable Pacific Fisheries endorsed by Leaders in 2015 (the Roadmap); reviewed monitoring, control and surveillance measures; and developed options for increasing economic returns from fisheries as tasked by Leaders.</w:t>
      </w:r>
    </w:p>
    <w:p w14:paraId="359C7D1E"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SPC –FAME, FFA and Australia jointly launched the Contribution of Fisheries to the Economies of Pacific Island Countries and Territories Report (July 2016) – the third in the series providing significant insights into national and regional fisheries trends.</w:t>
      </w:r>
    </w:p>
    <w:p w14:paraId="4F78AD22"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Management:  The Australian Government Department of Agriculture secured endorsement in the Western and Central Pacific Fisheries Commission (WCPFC) of Harvest Strategy work plan, which allows countries to agree on targets for long-term sustainability and profitability.</w:t>
      </w:r>
    </w:p>
    <w:p w14:paraId="6396C4E5"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Food security:  In partnership with ACIAR, we </w:t>
      </w:r>
      <w:r w:rsidR="00282C0E">
        <w:rPr>
          <w:rFonts w:asciiTheme="minorHAnsi" w:eastAsiaTheme="minorHAnsi" w:hAnsiTheme="minorHAnsi" w:cstheme="minorBidi"/>
          <w:color w:val="495965" w:themeColor="text2"/>
          <w:sz w:val="22"/>
          <w:szCs w:val="22"/>
          <w:lang w:val="en-GB" w:eastAsia="en-US"/>
        </w:rPr>
        <w:t>worked</w:t>
      </w:r>
      <w:r w:rsidRPr="005F2DEE">
        <w:rPr>
          <w:rFonts w:asciiTheme="minorHAnsi" w:eastAsiaTheme="minorHAnsi" w:hAnsiTheme="minorHAnsi" w:cstheme="minorBidi"/>
          <w:color w:val="495965" w:themeColor="text2"/>
          <w:sz w:val="22"/>
          <w:szCs w:val="22"/>
          <w:lang w:val="en-GB" w:eastAsia="en-US"/>
        </w:rPr>
        <w:t xml:space="preserve"> with 28 villages and 7</w:t>
      </w:r>
      <w:r w:rsidR="00551ADA">
        <w:rPr>
          <w:rFonts w:asciiTheme="minorHAnsi" w:eastAsiaTheme="minorHAnsi" w:hAnsiTheme="minorHAnsi" w:cstheme="minorBidi"/>
          <w:color w:val="495965" w:themeColor="text2"/>
          <w:sz w:val="22"/>
          <w:szCs w:val="22"/>
          <w:lang w:val="en-GB" w:eastAsia="en-US"/>
        </w:rPr>
        <w:t>,</w:t>
      </w:r>
      <w:r w:rsidRPr="005F2DEE">
        <w:rPr>
          <w:rFonts w:asciiTheme="minorHAnsi" w:eastAsiaTheme="minorHAnsi" w:hAnsiTheme="minorHAnsi" w:cstheme="minorBidi"/>
          <w:color w:val="495965" w:themeColor="text2"/>
          <w:sz w:val="22"/>
          <w:szCs w:val="22"/>
          <w:lang w:val="en-GB" w:eastAsia="en-US"/>
        </w:rPr>
        <w:t>400 people in Kiribati, Vanuatu and Solomon Islands to strengthen inshore fisheries management for food security and livelihoods.</w:t>
      </w:r>
    </w:p>
    <w:p w14:paraId="2A0C7356" w14:textId="77777777" w:rsidR="009F063C" w:rsidRPr="005F2DEE" w:rsidRDefault="009F063C" w:rsidP="009F063C">
      <w:pPr>
        <w:pStyle w:val="ListBullet"/>
        <w:numPr>
          <w:ilvl w:val="0"/>
          <w:numId w:val="37"/>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 xml:space="preserve">Women and fisheries:  Pacific Fisheries Ministers (including Australia’s) enthusiastically endorsed FFA’s new Gender Framework. </w:t>
      </w:r>
    </w:p>
    <w:p w14:paraId="3AB18488" w14:textId="77777777" w:rsidR="009F063C" w:rsidRPr="00D90821" w:rsidRDefault="009F063C" w:rsidP="00D90821">
      <w:pPr>
        <w:pStyle w:val="BodyText"/>
      </w:pPr>
      <w:r w:rsidRPr="00D90821">
        <w:t>Factors affecting progress and future actions</w:t>
      </w:r>
      <w:r w:rsidR="00363D14" w:rsidRPr="00D90821">
        <w:rPr>
          <w:rFonts w:eastAsiaTheme="minorHAnsi"/>
        </w:rPr>
        <w:t>:</w:t>
      </w:r>
    </w:p>
    <w:p w14:paraId="47362A86" w14:textId="77777777" w:rsidR="009F063C" w:rsidRPr="005F2DEE" w:rsidRDefault="009F063C" w:rsidP="009F063C">
      <w:pPr>
        <w:spacing w:after="160" w:line="280" w:lineRule="exact"/>
      </w:pPr>
      <w:r w:rsidRPr="005F2DEE">
        <w:t>Overfishing by modern fleets threatens the sustainability of fish resources. The development of harvest strategies for all key tuna stocks is an ambitious and lengthy process - the full cooperation of all WCPFC members is required but cannot be guaranteed. Transparency and governance issues and the high cost of doing business impact on the success of local development.  Depressed tuna prices and maintaining access to export markets are enduring issues. Population growth, over</w:t>
      </w:r>
      <w:r w:rsidRPr="005F2DEE">
        <w:noBreakHyphen/>
        <w:t xml:space="preserve">exploitation and environmental factors </w:t>
      </w:r>
      <w:r w:rsidRPr="005F2DEE">
        <w:lastRenderedPageBreak/>
        <w:t>threaten inshore fisheries, and the sector in tur</w:t>
      </w:r>
      <w:r w:rsidR="000E193D" w:rsidRPr="005F2DEE">
        <w:t xml:space="preserve">n struggles to secure funding. </w:t>
      </w:r>
      <w:r w:rsidRPr="005F2DEE">
        <w:t xml:space="preserve">In 2016-17, Australia will work with our regional partners to help implement the Roadmap, which will improve sustainability and profitability in both the inshore and offshore fisheries sectors. </w:t>
      </w:r>
    </w:p>
    <w:p w14:paraId="040A3DB6" w14:textId="77777777" w:rsidR="004A34BE" w:rsidRPr="005F2DEE" w:rsidRDefault="004A34BE" w:rsidP="00287095">
      <w:pPr>
        <w:pStyle w:val="BodyText"/>
        <w:spacing w:before="120"/>
        <w:rPr>
          <w:rFonts w:asciiTheme="minorHAnsi" w:eastAsiaTheme="minorHAnsi" w:hAnsiTheme="minorHAnsi" w:cstheme="minorBidi"/>
          <w:b/>
          <w:color w:val="495965" w:themeColor="text2"/>
          <w:sz w:val="22"/>
          <w:szCs w:val="22"/>
          <w:lang w:val="en-GB" w:eastAsia="en-US"/>
        </w:rPr>
      </w:pPr>
      <w:r w:rsidRPr="005F2DEE">
        <w:rPr>
          <w:rFonts w:asciiTheme="minorHAnsi" w:eastAsiaTheme="minorHAnsi" w:hAnsiTheme="minorHAnsi" w:cstheme="minorBidi"/>
          <w:b/>
          <w:color w:val="495965" w:themeColor="text2"/>
          <w:sz w:val="22"/>
          <w:szCs w:val="22"/>
          <w:lang w:val="en-GB" w:eastAsia="en-US"/>
        </w:rPr>
        <w:t>Education</w:t>
      </w:r>
    </w:p>
    <w:p w14:paraId="17EE193B" w14:textId="77777777" w:rsidR="004A34BE" w:rsidRPr="005F2DEE" w:rsidRDefault="004A34BE" w:rsidP="004A34BE">
      <w:pPr>
        <w:pStyle w:val="BodyText"/>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Australia’s long-term focus is to ensure that all Pacific Islanders have the skills needed to lead a productive life and contribute to economic growth. In 2014-15, the regional education program continued its focus on benchmarking education system institutional capacity, policy development and implementation and supporting quality provision of tertiary education as a major contributor to economic growth.</w:t>
      </w:r>
    </w:p>
    <w:p w14:paraId="244AA30F" w14:textId="77777777" w:rsidR="004A34BE" w:rsidRPr="005F2DEE" w:rsidRDefault="004A34BE" w:rsidP="004A34BE">
      <w:pPr>
        <w:pStyle w:val="BodyText"/>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Key results:</w:t>
      </w:r>
    </w:p>
    <w:p w14:paraId="5E5E39E2" w14:textId="77777777" w:rsidR="000C57BF" w:rsidRPr="005F2DEE" w:rsidRDefault="00D853C3" w:rsidP="000C57BF">
      <w:pPr>
        <w:pStyle w:val="ListBullet"/>
        <w:numPr>
          <w:ilvl w:val="0"/>
          <w:numId w:val="46"/>
        </w:numPr>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 xml:space="preserve">The </w:t>
      </w:r>
      <w:r w:rsidR="004A34BE" w:rsidRPr="000C57BF">
        <w:rPr>
          <w:rFonts w:asciiTheme="minorHAnsi" w:eastAsiaTheme="minorHAnsi" w:hAnsiTheme="minorHAnsi" w:cstheme="minorBidi"/>
          <w:color w:val="495965" w:themeColor="text2"/>
          <w:sz w:val="22"/>
          <w:szCs w:val="22"/>
          <w:lang w:val="en-GB" w:eastAsia="en-US"/>
        </w:rPr>
        <w:t>Australia-Pacific Technica</w:t>
      </w:r>
      <w:r>
        <w:rPr>
          <w:rFonts w:asciiTheme="minorHAnsi" w:eastAsiaTheme="minorHAnsi" w:hAnsiTheme="minorHAnsi" w:cstheme="minorBidi"/>
          <w:color w:val="495965" w:themeColor="text2"/>
          <w:sz w:val="22"/>
          <w:szCs w:val="22"/>
          <w:lang w:val="en-GB" w:eastAsia="en-US"/>
        </w:rPr>
        <w:t xml:space="preserve">l College (APTC), a region-wide college focussed on </w:t>
      </w:r>
      <w:r w:rsidRPr="000C57BF">
        <w:rPr>
          <w:rFonts w:asciiTheme="minorHAnsi" w:eastAsiaTheme="minorHAnsi" w:hAnsiTheme="minorHAnsi" w:cstheme="minorBidi"/>
          <w:color w:val="495965" w:themeColor="text2"/>
          <w:sz w:val="22"/>
          <w:szCs w:val="22"/>
          <w:lang w:val="en-GB" w:eastAsia="en-US"/>
        </w:rPr>
        <w:t>technical and vocational education and training (TVET)</w:t>
      </w:r>
      <w:r>
        <w:rPr>
          <w:rFonts w:asciiTheme="minorHAnsi" w:eastAsiaTheme="minorHAnsi" w:hAnsiTheme="minorHAnsi" w:cstheme="minorBidi"/>
          <w:color w:val="495965" w:themeColor="text2"/>
          <w:sz w:val="22"/>
          <w:szCs w:val="22"/>
          <w:lang w:val="en-GB" w:eastAsia="en-US"/>
        </w:rPr>
        <w:t>, continues</w:t>
      </w:r>
      <w:r w:rsidR="00F172F1" w:rsidRPr="000C57BF">
        <w:rPr>
          <w:rFonts w:asciiTheme="minorHAnsi" w:eastAsiaTheme="minorHAnsi" w:hAnsiTheme="minorHAnsi" w:cstheme="minorBidi"/>
          <w:color w:val="495965" w:themeColor="text2"/>
          <w:sz w:val="22"/>
          <w:szCs w:val="22"/>
          <w:lang w:val="en-GB" w:eastAsia="en-US"/>
        </w:rPr>
        <w:t xml:space="preserve"> to </w:t>
      </w:r>
      <w:r w:rsidR="004A34BE" w:rsidRPr="000C57BF">
        <w:rPr>
          <w:rFonts w:asciiTheme="minorHAnsi" w:eastAsiaTheme="minorHAnsi" w:hAnsiTheme="minorHAnsi" w:cstheme="minorBidi"/>
          <w:color w:val="495965" w:themeColor="text2"/>
          <w:sz w:val="22"/>
          <w:szCs w:val="22"/>
          <w:lang w:val="en-GB" w:eastAsia="en-US"/>
        </w:rPr>
        <w:t>generate extensive goodwill among Pacific stakeholders, produce high quality graduates</w:t>
      </w:r>
      <w:r w:rsidR="004A34BE" w:rsidRPr="000C57BF" w:rsidDel="00F3082D">
        <w:rPr>
          <w:rFonts w:asciiTheme="minorHAnsi" w:eastAsiaTheme="minorHAnsi" w:hAnsiTheme="minorHAnsi" w:cstheme="minorBidi"/>
          <w:color w:val="495965" w:themeColor="text2"/>
          <w:sz w:val="22"/>
          <w:szCs w:val="22"/>
          <w:lang w:val="en-GB" w:eastAsia="en-US"/>
        </w:rPr>
        <w:t xml:space="preserve"> </w:t>
      </w:r>
      <w:r w:rsidR="004A34BE" w:rsidRPr="000C57BF">
        <w:rPr>
          <w:rFonts w:asciiTheme="minorHAnsi" w:eastAsiaTheme="minorHAnsi" w:hAnsiTheme="minorHAnsi" w:cstheme="minorBidi"/>
          <w:color w:val="495965" w:themeColor="text2"/>
          <w:sz w:val="22"/>
          <w:szCs w:val="22"/>
          <w:lang w:val="en-GB" w:eastAsia="en-US"/>
        </w:rPr>
        <w:t xml:space="preserve">(increasing the supply of relevant skills in the Pacific), and help raise the quality of </w:t>
      </w:r>
      <w:r>
        <w:rPr>
          <w:rFonts w:asciiTheme="minorHAnsi" w:eastAsiaTheme="minorHAnsi" w:hAnsiTheme="minorHAnsi" w:cstheme="minorBidi"/>
          <w:color w:val="495965" w:themeColor="text2"/>
          <w:sz w:val="22"/>
          <w:szCs w:val="22"/>
          <w:lang w:val="en-GB" w:eastAsia="en-US"/>
        </w:rPr>
        <w:t>training</w:t>
      </w:r>
      <w:r w:rsidR="004A34BE" w:rsidRPr="000C57BF">
        <w:rPr>
          <w:rFonts w:asciiTheme="minorHAnsi" w:eastAsiaTheme="minorHAnsi" w:hAnsiTheme="minorHAnsi" w:cstheme="minorBidi"/>
          <w:color w:val="495965" w:themeColor="text2"/>
          <w:sz w:val="22"/>
          <w:szCs w:val="22"/>
          <w:lang w:val="en-GB" w:eastAsia="en-US"/>
        </w:rPr>
        <w:t xml:space="preserve"> systems in the Pacific. In 2015-16, 1,526 Pacific Islanders (40 per cent women) graduated from APTC with internationally-recognised qualifications in </w:t>
      </w:r>
      <w:r w:rsidR="00282C0E">
        <w:rPr>
          <w:rFonts w:asciiTheme="minorHAnsi" w:eastAsiaTheme="minorHAnsi" w:hAnsiTheme="minorHAnsi" w:cstheme="minorBidi"/>
          <w:color w:val="495965" w:themeColor="text2"/>
          <w:sz w:val="22"/>
          <w:szCs w:val="22"/>
          <w:lang w:val="en-GB" w:eastAsia="en-US"/>
        </w:rPr>
        <w:t>areas of demand. M</w:t>
      </w:r>
      <w:r w:rsidR="004A34BE" w:rsidRPr="000C57BF">
        <w:rPr>
          <w:rFonts w:asciiTheme="minorHAnsi" w:eastAsiaTheme="minorHAnsi" w:hAnsiTheme="minorHAnsi" w:cstheme="minorBidi"/>
          <w:color w:val="495965" w:themeColor="text2"/>
          <w:sz w:val="22"/>
          <w:szCs w:val="22"/>
          <w:lang w:val="en-GB" w:eastAsia="en-US"/>
        </w:rPr>
        <w:t>ore t</w:t>
      </w:r>
      <w:r w:rsidR="00CF2450" w:rsidRPr="000C57BF">
        <w:rPr>
          <w:rFonts w:asciiTheme="minorHAnsi" w:eastAsiaTheme="minorHAnsi" w:hAnsiTheme="minorHAnsi" w:cstheme="minorBidi"/>
          <w:color w:val="495965" w:themeColor="text2"/>
          <w:sz w:val="22"/>
          <w:szCs w:val="22"/>
          <w:lang w:val="en-GB" w:eastAsia="en-US"/>
        </w:rPr>
        <w:t>han 95 per cent are employed.</w:t>
      </w:r>
      <w:r w:rsidR="000C57BF" w:rsidRPr="000C57BF">
        <w:rPr>
          <w:rFonts w:asciiTheme="minorHAnsi" w:eastAsiaTheme="minorHAnsi" w:hAnsiTheme="minorHAnsi" w:cstheme="minorBidi"/>
          <w:color w:val="495965" w:themeColor="text2"/>
          <w:sz w:val="22"/>
          <w:szCs w:val="22"/>
          <w:lang w:val="en-GB" w:eastAsia="en-US"/>
        </w:rPr>
        <w:t xml:space="preserve"> </w:t>
      </w:r>
    </w:p>
    <w:p w14:paraId="5FDF7F39" w14:textId="77777777" w:rsidR="004A34BE" w:rsidRPr="000C57BF" w:rsidRDefault="004A34BE" w:rsidP="009E727E">
      <w:pPr>
        <w:pStyle w:val="ListBullet"/>
        <w:numPr>
          <w:ilvl w:val="0"/>
          <w:numId w:val="46"/>
        </w:numPr>
        <w:rPr>
          <w:rFonts w:asciiTheme="minorHAnsi" w:eastAsiaTheme="minorHAnsi" w:hAnsiTheme="minorHAnsi" w:cstheme="minorBidi"/>
          <w:color w:val="495965" w:themeColor="text2"/>
          <w:sz w:val="22"/>
          <w:szCs w:val="22"/>
          <w:lang w:val="en-GB" w:eastAsia="en-US"/>
        </w:rPr>
      </w:pPr>
      <w:r w:rsidRPr="000C57BF">
        <w:rPr>
          <w:rFonts w:asciiTheme="minorHAnsi" w:eastAsiaTheme="minorHAnsi" w:hAnsiTheme="minorHAnsi" w:cstheme="minorBidi"/>
          <w:color w:val="495965" w:themeColor="text2"/>
          <w:sz w:val="22"/>
          <w:szCs w:val="22"/>
          <w:lang w:val="en-GB" w:eastAsia="en-US"/>
        </w:rPr>
        <w:t xml:space="preserve">University of the South Pacific (USP): The </w:t>
      </w:r>
      <w:r w:rsidR="00282C0E">
        <w:rPr>
          <w:rFonts w:asciiTheme="minorHAnsi" w:eastAsiaTheme="minorHAnsi" w:hAnsiTheme="minorHAnsi" w:cstheme="minorBidi"/>
          <w:color w:val="495965" w:themeColor="text2"/>
          <w:sz w:val="22"/>
          <w:szCs w:val="22"/>
          <w:lang w:val="en-GB" w:eastAsia="en-US"/>
        </w:rPr>
        <w:t xml:space="preserve">Pacific </w:t>
      </w:r>
      <w:r w:rsidRPr="000C57BF">
        <w:rPr>
          <w:rFonts w:asciiTheme="minorHAnsi" w:eastAsiaTheme="minorHAnsi" w:hAnsiTheme="minorHAnsi" w:cstheme="minorBidi"/>
          <w:color w:val="495965" w:themeColor="text2"/>
          <w:sz w:val="22"/>
          <w:szCs w:val="22"/>
          <w:lang w:val="en-GB" w:eastAsia="en-US"/>
        </w:rPr>
        <w:t xml:space="preserve">Regional program provides core-funding for USP, supporting the provision of quality, internationally-recognised higher education in the Pacific. </w:t>
      </w:r>
      <w:r w:rsidR="0083730A" w:rsidRPr="000C57BF">
        <w:rPr>
          <w:rFonts w:asciiTheme="minorHAnsi" w:eastAsiaTheme="minorHAnsi" w:hAnsiTheme="minorHAnsi" w:cstheme="minorBidi"/>
          <w:color w:val="495965" w:themeColor="text2"/>
          <w:sz w:val="22"/>
          <w:szCs w:val="22"/>
          <w:lang w:val="en-GB" w:eastAsia="en-US"/>
        </w:rPr>
        <w:t>Australia is USP’s largest contri</w:t>
      </w:r>
      <w:r w:rsidR="00B17592" w:rsidRPr="000C57BF">
        <w:rPr>
          <w:rFonts w:asciiTheme="minorHAnsi" w:eastAsiaTheme="minorHAnsi" w:hAnsiTheme="minorHAnsi" w:cstheme="minorBidi"/>
          <w:color w:val="495965" w:themeColor="text2"/>
          <w:sz w:val="22"/>
          <w:szCs w:val="22"/>
          <w:lang w:val="en-GB" w:eastAsia="en-US"/>
        </w:rPr>
        <w:t>butor of development assistance</w:t>
      </w:r>
      <w:r w:rsidR="0083730A" w:rsidRPr="000C57BF">
        <w:rPr>
          <w:rFonts w:asciiTheme="minorHAnsi" w:eastAsiaTheme="minorHAnsi" w:hAnsiTheme="minorHAnsi" w:cstheme="minorBidi"/>
          <w:color w:val="495965" w:themeColor="text2"/>
          <w:sz w:val="22"/>
          <w:szCs w:val="22"/>
          <w:lang w:val="en-GB" w:eastAsia="en-US"/>
        </w:rPr>
        <w:t xml:space="preserve">. Australia’s funding targets the </w:t>
      </w:r>
      <w:r w:rsidR="002B3E2A" w:rsidRPr="000C57BF">
        <w:rPr>
          <w:rFonts w:asciiTheme="minorHAnsi" w:eastAsiaTheme="minorHAnsi" w:hAnsiTheme="minorHAnsi" w:cstheme="minorBidi"/>
          <w:color w:val="495965" w:themeColor="text2"/>
          <w:sz w:val="22"/>
          <w:szCs w:val="22"/>
          <w:lang w:val="en-GB" w:eastAsia="en-US"/>
        </w:rPr>
        <w:t>U</w:t>
      </w:r>
      <w:r w:rsidR="0083730A" w:rsidRPr="000C57BF">
        <w:rPr>
          <w:rFonts w:asciiTheme="minorHAnsi" w:eastAsiaTheme="minorHAnsi" w:hAnsiTheme="minorHAnsi" w:cstheme="minorBidi"/>
          <w:color w:val="495965" w:themeColor="text2"/>
          <w:sz w:val="22"/>
          <w:szCs w:val="22"/>
          <w:lang w:val="en-GB" w:eastAsia="en-US"/>
        </w:rPr>
        <w:t xml:space="preserve">niversity’s Strategic Plan, and the Mid-Term Review of the Plan </w:t>
      </w:r>
      <w:r w:rsidR="00B17592" w:rsidRPr="000C57BF">
        <w:rPr>
          <w:rFonts w:asciiTheme="minorHAnsi" w:eastAsiaTheme="minorHAnsi" w:hAnsiTheme="minorHAnsi" w:cstheme="minorBidi"/>
          <w:color w:val="495965" w:themeColor="text2"/>
          <w:sz w:val="22"/>
          <w:szCs w:val="22"/>
          <w:lang w:val="en-GB" w:eastAsia="en-US"/>
        </w:rPr>
        <w:t>in 2015 stated that there has been considerable progress</w:t>
      </w:r>
      <w:r w:rsidR="0083730A" w:rsidRPr="000C57BF">
        <w:rPr>
          <w:rFonts w:asciiTheme="minorHAnsi" w:eastAsiaTheme="minorHAnsi" w:hAnsiTheme="minorHAnsi" w:cstheme="minorBidi"/>
          <w:color w:val="495965" w:themeColor="text2"/>
          <w:sz w:val="22"/>
          <w:szCs w:val="22"/>
          <w:lang w:val="en-GB" w:eastAsia="en-US"/>
        </w:rPr>
        <w:t xml:space="preserve"> made.</w:t>
      </w:r>
      <w:r w:rsidR="00B17592" w:rsidRPr="000C57BF">
        <w:rPr>
          <w:rFonts w:asciiTheme="minorHAnsi" w:eastAsiaTheme="minorHAnsi" w:hAnsiTheme="minorHAnsi" w:cstheme="minorBidi"/>
          <w:color w:val="495965" w:themeColor="text2"/>
          <w:sz w:val="22"/>
          <w:szCs w:val="22"/>
          <w:lang w:val="en-GB" w:eastAsia="en-US"/>
        </w:rPr>
        <w:t xml:space="preserve"> </w:t>
      </w:r>
      <w:r w:rsidRPr="000C57BF">
        <w:rPr>
          <w:rFonts w:asciiTheme="minorHAnsi" w:eastAsiaTheme="minorHAnsi" w:hAnsiTheme="minorHAnsi" w:cstheme="minorBidi"/>
          <w:color w:val="495965" w:themeColor="text2"/>
          <w:sz w:val="22"/>
          <w:szCs w:val="22"/>
          <w:lang w:val="en-GB" w:eastAsia="en-US"/>
        </w:rPr>
        <w:t xml:space="preserve">In 2015, a total of 4,174 students graduated, with 55 per cent being women. </w:t>
      </w:r>
      <w:r w:rsidR="00404648" w:rsidRPr="000C57BF">
        <w:rPr>
          <w:rFonts w:asciiTheme="minorHAnsi" w:eastAsiaTheme="minorHAnsi" w:hAnsiTheme="minorHAnsi" w:cstheme="minorBidi"/>
          <w:color w:val="495965" w:themeColor="text2"/>
          <w:sz w:val="22"/>
          <w:szCs w:val="22"/>
          <w:lang w:val="en-GB" w:eastAsia="en-US"/>
        </w:rPr>
        <w:t xml:space="preserve">USP increased its international profile through research and accreditation of courses, including the </w:t>
      </w:r>
      <w:r w:rsidR="00E81560">
        <w:rPr>
          <w:rFonts w:asciiTheme="minorHAnsi" w:eastAsiaTheme="minorHAnsi" w:hAnsiTheme="minorHAnsi" w:cstheme="minorBidi"/>
          <w:color w:val="495965" w:themeColor="text2"/>
          <w:sz w:val="22"/>
          <w:szCs w:val="22"/>
          <w:lang w:val="en-GB" w:eastAsia="en-US"/>
        </w:rPr>
        <w:t>Master of Business Administration (</w:t>
      </w:r>
      <w:r w:rsidR="00404648" w:rsidRPr="000C57BF">
        <w:rPr>
          <w:rFonts w:asciiTheme="minorHAnsi" w:eastAsiaTheme="minorHAnsi" w:hAnsiTheme="minorHAnsi" w:cstheme="minorBidi"/>
          <w:color w:val="495965" w:themeColor="text2"/>
          <w:sz w:val="22"/>
          <w:szCs w:val="22"/>
          <w:lang w:val="en-GB" w:eastAsia="en-US"/>
        </w:rPr>
        <w:t>MBA</w:t>
      </w:r>
      <w:r w:rsidR="00E81560">
        <w:rPr>
          <w:rFonts w:asciiTheme="minorHAnsi" w:eastAsiaTheme="minorHAnsi" w:hAnsiTheme="minorHAnsi" w:cstheme="minorBidi"/>
          <w:color w:val="495965" w:themeColor="text2"/>
          <w:sz w:val="22"/>
          <w:szCs w:val="22"/>
          <w:lang w:val="en-GB" w:eastAsia="en-US"/>
        </w:rPr>
        <w:t>)</w:t>
      </w:r>
      <w:r w:rsidR="00404648" w:rsidRPr="000C57BF">
        <w:rPr>
          <w:rFonts w:asciiTheme="minorHAnsi" w:eastAsiaTheme="minorHAnsi" w:hAnsiTheme="minorHAnsi" w:cstheme="minorBidi"/>
          <w:color w:val="495965" w:themeColor="text2"/>
          <w:sz w:val="22"/>
          <w:szCs w:val="22"/>
          <w:lang w:val="en-GB" w:eastAsia="en-US"/>
        </w:rPr>
        <w:t xml:space="preserve"> program, as well as programs in law, accounting and finance, tourism and hospitality, computing and software engineering.</w:t>
      </w:r>
    </w:p>
    <w:p w14:paraId="1C208BAB" w14:textId="77777777" w:rsidR="004A34BE" w:rsidRPr="005F2DEE" w:rsidRDefault="00D853C3" w:rsidP="009E727E">
      <w:pPr>
        <w:pStyle w:val="ListBullet"/>
        <w:numPr>
          <w:ilvl w:val="0"/>
          <w:numId w:val="46"/>
        </w:numPr>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Work by t</w:t>
      </w:r>
      <w:r w:rsidR="004A34BE" w:rsidRPr="005F2DEE">
        <w:rPr>
          <w:rFonts w:asciiTheme="minorHAnsi" w:eastAsiaTheme="minorHAnsi" w:hAnsiTheme="minorHAnsi" w:cstheme="minorBidi"/>
          <w:color w:val="495965" w:themeColor="text2"/>
          <w:sz w:val="22"/>
          <w:szCs w:val="22"/>
          <w:lang w:val="en-GB" w:eastAsia="en-US"/>
        </w:rPr>
        <w:t>he Pacific Community (SPC) Education Management Info</w:t>
      </w:r>
      <w:r>
        <w:rPr>
          <w:rFonts w:asciiTheme="minorHAnsi" w:eastAsiaTheme="minorHAnsi" w:hAnsiTheme="minorHAnsi" w:cstheme="minorBidi"/>
          <w:color w:val="495965" w:themeColor="text2"/>
          <w:sz w:val="22"/>
          <w:szCs w:val="22"/>
          <w:lang w:val="en-GB" w:eastAsia="en-US"/>
        </w:rPr>
        <w:t>rmation System (EMIS) facility resulted in</w:t>
      </w:r>
      <w:r w:rsidR="004A34BE" w:rsidRPr="005F2DEE">
        <w:rPr>
          <w:rFonts w:asciiTheme="minorHAnsi" w:eastAsiaTheme="minorHAnsi" w:hAnsiTheme="minorHAnsi" w:cstheme="minorBidi"/>
          <w:color w:val="495965" w:themeColor="text2"/>
          <w:sz w:val="22"/>
          <w:szCs w:val="22"/>
          <w:lang w:val="en-GB" w:eastAsia="en-US"/>
        </w:rPr>
        <w:t xml:space="preserve"> the improved coverage of primary schools data in the region, with twelve countries achieving over 95% response rate for annual primary school surveys. The EMIS </w:t>
      </w:r>
      <w:r w:rsidR="009E727E" w:rsidRPr="005F2DEE">
        <w:rPr>
          <w:rFonts w:asciiTheme="minorHAnsi" w:eastAsiaTheme="minorHAnsi" w:hAnsiTheme="minorHAnsi" w:cstheme="minorBidi"/>
          <w:color w:val="495965" w:themeColor="text2"/>
          <w:sz w:val="22"/>
          <w:szCs w:val="22"/>
          <w:lang w:val="en-GB" w:eastAsia="en-US"/>
        </w:rPr>
        <w:t>facility</w:t>
      </w:r>
      <w:r w:rsidR="00B77847" w:rsidRPr="005F2DEE">
        <w:rPr>
          <w:rFonts w:asciiTheme="minorHAnsi" w:eastAsiaTheme="minorHAnsi" w:hAnsiTheme="minorHAnsi" w:cstheme="minorBidi"/>
          <w:color w:val="495965" w:themeColor="text2"/>
          <w:sz w:val="22"/>
          <w:szCs w:val="22"/>
          <w:lang w:val="en-GB" w:eastAsia="en-US"/>
        </w:rPr>
        <w:t>, in partnership with UNESCO Institute of Statistics,</w:t>
      </w:r>
      <w:r w:rsidR="009E727E" w:rsidRPr="005F2DEE">
        <w:rPr>
          <w:rFonts w:asciiTheme="minorHAnsi" w:eastAsiaTheme="minorHAnsi" w:hAnsiTheme="minorHAnsi" w:cstheme="minorBidi"/>
          <w:color w:val="495965" w:themeColor="text2"/>
          <w:sz w:val="22"/>
          <w:szCs w:val="22"/>
          <w:lang w:val="en-GB" w:eastAsia="en-US"/>
        </w:rPr>
        <w:t xml:space="preserve"> has</w:t>
      </w:r>
      <w:r w:rsidR="004A34BE" w:rsidRPr="005F2DEE">
        <w:rPr>
          <w:rFonts w:asciiTheme="minorHAnsi" w:eastAsiaTheme="minorHAnsi" w:hAnsiTheme="minorHAnsi" w:cstheme="minorBidi"/>
          <w:color w:val="495965" w:themeColor="text2"/>
          <w:sz w:val="22"/>
          <w:szCs w:val="22"/>
          <w:lang w:val="en-GB" w:eastAsia="en-US"/>
        </w:rPr>
        <w:t xml:space="preserve"> also completed data quality assessments </w:t>
      </w:r>
      <w:r w:rsidR="00B77847" w:rsidRPr="005F2DEE">
        <w:rPr>
          <w:rFonts w:asciiTheme="minorHAnsi" w:eastAsiaTheme="minorHAnsi" w:hAnsiTheme="minorHAnsi" w:cstheme="minorBidi"/>
          <w:color w:val="495965" w:themeColor="text2"/>
          <w:sz w:val="22"/>
          <w:szCs w:val="22"/>
          <w:lang w:val="en-GB" w:eastAsia="en-US"/>
        </w:rPr>
        <w:t xml:space="preserve">in Samoa, </w:t>
      </w:r>
      <w:r w:rsidR="004A34BE" w:rsidRPr="005F2DEE">
        <w:rPr>
          <w:rFonts w:asciiTheme="minorHAnsi" w:eastAsiaTheme="minorHAnsi" w:hAnsiTheme="minorHAnsi" w:cstheme="minorBidi"/>
          <w:color w:val="495965" w:themeColor="text2"/>
          <w:sz w:val="22"/>
          <w:szCs w:val="22"/>
          <w:lang w:val="en-GB" w:eastAsia="en-US"/>
        </w:rPr>
        <w:t xml:space="preserve">Tonga </w:t>
      </w:r>
      <w:r w:rsidR="00B77847" w:rsidRPr="005F2DEE">
        <w:rPr>
          <w:rFonts w:asciiTheme="minorHAnsi" w:eastAsiaTheme="minorHAnsi" w:hAnsiTheme="minorHAnsi" w:cstheme="minorBidi"/>
          <w:color w:val="495965" w:themeColor="text2"/>
          <w:sz w:val="22"/>
          <w:szCs w:val="22"/>
          <w:lang w:val="en-GB" w:eastAsia="en-US"/>
        </w:rPr>
        <w:t xml:space="preserve">and Kiribati </w:t>
      </w:r>
      <w:r w:rsidR="004A34BE" w:rsidRPr="005F2DEE">
        <w:rPr>
          <w:rFonts w:asciiTheme="minorHAnsi" w:eastAsiaTheme="minorHAnsi" w:hAnsiTheme="minorHAnsi" w:cstheme="minorBidi"/>
          <w:color w:val="495965" w:themeColor="text2"/>
          <w:sz w:val="22"/>
          <w:szCs w:val="22"/>
          <w:lang w:val="en-GB" w:eastAsia="en-US"/>
        </w:rPr>
        <w:t>that will determine the focus of future support.</w:t>
      </w:r>
    </w:p>
    <w:p w14:paraId="279AF06C" w14:textId="77777777" w:rsidR="004A34BE" w:rsidRPr="005F2DEE" w:rsidRDefault="004A34BE" w:rsidP="009E727E">
      <w:pPr>
        <w:pStyle w:val="ListBullet"/>
        <w:numPr>
          <w:ilvl w:val="0"/>
          <w:numId w:val="46"/>
        </w:numPr>
        <w:tabs>
          <w:tab w:val="clear" w:pos="284"/>
        </w:tabs>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The Pacific Benchmarking Education for Re</w:t>
      </w:r>
      <w:r w:rsidR="00841FBA">
        <w:rPr>
          <w:rFonts w:asciiTheme="minorHAnsi" w:eastAsiaTheme="minorHAnsi" w:hAnsiTheme="minorHAnsi" w:cstheme="minorBidi"/>
          <w:color w:val="495965" w:themeColor="text2"/>
          <w:sz w:val="22"/>
          <w:szCs w:val="22"/>
          <w:lang w:val="en-GB" w:eastAsia="en-US"/>
        </w:rPr>
        <w:t>sults (</w:t>
      </w:r>
      <w:proofErr w:type="spellStart"/>
      <w:r w:rsidR="00841FBA">
        <w:rPr>
          <w:rFonts w:asciiTheme="minorHAnsi" w:eastAsiaTheme="minorHAnsi" w:hAnsiTheme="minorHAnsi" w:cstheme="minorBidi"/>
          <w:color w:val="495965" w:themeColor="text2"/>
          <w:sz w:val="22"/>
          <w:szCs w:val="22"/>
          <w:lang w:val="en-GB" w:eastAsia="en-US"/>
        </w:rPr>
        <w:t>PaBER</w:t>
      </w:r>
      <w:proofErr w:type="spellEnd"/>
      <w:r w:rsidR="00841FBA">
        <w:rPr>
          <w:rFonts w:asciiTheme="minorHAnsi" w:eastAsiaTheme="minorHAnsi" w:hAnsiTheme="minorHAnsi" w:cstheme="minorBidi"/>
          <w:color w:val="495965" w:themeColor="text2"/>
          <w:sz w:val="22"/>
          <w:szCs w:val="22"/>
          <w:lang w:val="en-GB" w:eastAsia="en-US"/>
        </w:rPr>
        <w:t>) Project (2012–</w:t>
      </w:r>
      <w:r w:rsidRPr="005F2DEE">
        <w:rPr>
          <w:rFonts w:asciiTheme="minorHAnsi" w:eastAsiaTheme="minorHAnsi" w:hAnsiTheme="minorHAnsi" w:cstheme="minorBidi"/>
          <w:color w:val="495965" w:themeColor="text2"/>
          <w:sz w:val="22"/>
          <w:szCs w:val="22"/>
          <w:lang w:val="en-GB" w:eastAsia="en-US"/>
        </w:rPr>
        <w:t xml:space="preserve">16): The </w:t>
      </w:r>
      <w:proofErr w:type="spellStart"/>
      <w:r w:rsidRPr="005F2DEE">
        <w:rPr>
          <w:rFonts w:asciiTheme="minorHAnsi" w:eastAsiaTheme="minorHAnsi" w:hAnsiTheme="minorHAnsi" w:cstheme="minorBidi"/>
          <w:color w:val="495965" w:themeColor="text2"/>
          <w:sz w:val="22"/>
          <w:szCs w:val="22"/>
          <w:lang w:val="en-GB" w:eastAsia="en-US"/>
        </w:rPr>
        <w:t>PaBER</w:t>
      </w:r>
      <w:proofErr w:type="spellEnd"/>
      <w:r w:rsidRPr="005F2DEE">
        <w:rPr>
          <w:rFonts w:asciiTheme="minorHAnsi" w:eastAsiaTheme="minorHAnsi" w:hAnsiTheme="minorHAnsi" w:cstheme="minorBidi"/>
          <w:color w:val="495965" w:themeColor="text2"/>
          <w:sz w:val="22"/>
          <w:szCs w:val="22"/>
          <w:lang w:val="en-GB" w:eastAsia="en-US"/>
        </w:rPr>
        <w:t xml:space="preserve"> pilot pro</w:t>
      </w:r>
      <w:r w:rsidR="00551ADA">
        <w:rPr>
          <w:rFonts w:asciiTheme="minorHAnsi" w:eastAsiaTheme="minorHAnsi" w:hAnsiTheme="minorHAnsi" w:cstheme="minorBidi"/>
          <w:color w:val="495965" w:themeColor="text2"/>
          <w:sz w:val="22"/>
          <w:szCs w:val="22"/>
          <w:lang w:val="en-GB" w:eastAsia="en-US"/>
        </w:rPr>
        <w:t>ject</w:t>
      </w:r>
      <w:r w:rsidRPr="005F2DEE">
        <w:rPr>
          <w:rFonts w:asciiTheme="minorHAnsi" w:eastAsiaTheme="minorHAnsi" w:hAnsiTheme="minorHAnsi" w:cstheme="minorBidi"/>
          <w:color w:val="495965" w:themeColor="text2"/>
          <w:sz w:val="22"/>
          <w:szCs w:val="22"/>
          <w:lang w:val="en-GB" w:eastAsia="en-US"/>
        </w:rPr>
        <w:t xml:space="preserve"> assisted three Pacific country education systems (PNG, Samoa and Solomon Islands) undertake evidence-base</w:t>
      </w:r>
      <w:r w:rsidR="002B3E2A">
        <w:rPr>
          <w:rFonts w:asciiTheme="minorHAnsi" w:eastAsiaTheme="minorHAnsi" w:hAnsiTheme="minorHAnsi" w:cstheme="minorBidi"/>
          <w:color w:val="495965" w:themeColor="text2"/>
          <w:sz w:val="22"/>
          <w:szCs w:val="22"/>
          <w:lang w:val="en-GB" w:eastAsia="en-US"/>
        </w:rPr>
        <w:t>d</w:t>
      </w:r>
      <w:r w:rsidRPr="005F2DEE">
        <w:rPr>
          <w:rFonts w:asciiTheme="minorHAnsi" w:eastAsiaTheme="minorHAnsi" w:hAnsiTheme="minorHAnsi" w:cstheme="minorBidi"/>
          <w:color w:val="495965" w:themeColor="text2"/>
          <w:sz w:val="22"/>
          <w:szCs w:val="22"/>
          <w:lang w:val="en-GB" w:eastAsia="en-US"/>
        </w:rPr>
        <w:t xml:space="preserve"> system-level analysis of institutional capacity, policy development and implementation – benchmarked against international standards. With strong buy-in from governments, key findings are supporting ongoing institutional and policy reforms</w:t>
      </w:r>
      <w:r w:rsidR="002B3E2A">
        <w:rPr>
          <w:rFonts w:asciiTheme="minorHAnsi" w:eastAsiaTheme="minorHAnsi" w:hAnsiTheme="minorHAnsi" w:cstheme="minorBidi"/>
          <w:color w:val="495965" w:themeColor="text2"/>
          <w:sz w:val="22"/>
          <w:szCs w:val="22"/>
          <w:lang w:val="en-GB" w:eastAsia="en-US"/>
        </w:rPr>
        <w:t xml:space="preserve">, which are supporting </w:t>
      </w:r>
      <w:r w:rsidRPr="005F2DEE">
        <w:rPr>
          <w:rFonts w:asciiTheme="minorHAnsi" w:eastAsiaTheme="minorHAnsi" w:hAnsiTheme="minorHAnsi" w:cstheme="minorBidi"/>
          <w:color w:val="495965" w:themeColor="text2"/>
          <w:sz w:val="22"/>
          <w:szCs w:val="22"/>
          <w:lang w:val="en-GB" w:eastAsia="en-US"/>
        </w:rPr>
        <w:t xml:space="preserve">the development and review of national education plans. </w:t>
      </w:r>
      <w:proofErr w:type="spellStart"/>
      <w:r w:rsidRPr="005F2DEE">
        <w:rPr>
          <w:rFonts w:asciiTheme="minorHAnsi" w:eastAsiaTheme="minorHAnsi" w:hAnsiTheme="minorHAnsi" w:cstheme="minorBidi"/>
          <w:color w:val="495965" w:themeColor="text2"/>
          <w:sz w:val="22"/>
          <w:szCs w:val="22"/>
          <w:lang w:val="en-GB" w:eastAsia="en-US"/>
        </w:rPr>
        <w:t>PaBER</w:t>
      </w:r>
      <w:proofErr w:type="spellEnd"/>
      <w:r w:rsidRPr="005F2DEE">
        <w:rPr>
          <w:rFonts w:asciiTheme="minorHAnsi" w:eastAsiaTheme="minorHAnsi" w:hAnsiTheme="minorHAnsi" w:cstheme="minorBidi"/>
          <w:color w:val="495965" w:themeColor="text2"/>
          <w:sz w:val="22"/>
          <w:szCs w:val="22"/>
          <w:lang w:val="en-GB" w:eastAsia="en-US"/>
        </w:rPr>
        <w:t xml:space="preserve"> also generated </w:t>
      </w:r>
      <w:r w:rsidR="00282C0E">
        <w:rPr>
          <w:rFonts w:asciiTheme="minorHAnsi" w:eastAsiaTheme="minorHAnsi" w:hAnsiTheme="minorHAnsi" w:cstheme="minorBidi"/>
          <w:color w:val="495965" w:themeColor="text2"/>
          <w:sz w:val="22"/>
          <w:szCs w:val="22"/>
          <w:lang w:val="en-GB" w:eastAsia="en-US"/>
        </w:rPr>
        <w:t>important</w:t>
      </w:r>
      <w:r w:rsidRPr="005F2DEE">
        <w:rPr>
          <w:rFonts w:asciiTheme="minorHAnsi" w:eastAsiaTheme="minorHAnsi" w:hAnsiTheme="minorHAnsi" w:cstheme="minorBidi"/>
          <w:color w:val="495965" w:themeColor="text2"/>
          <w:sz w:val="22"/>
          <w:szCs w:val="22"/>
          <w:lang w:val="en-GB" w:eastAsia="en-US"/>
        </w:rPr>
        <w:t xml:space="preserve"> collective action (coordination, cooperation and collaboration) – key elements of a </w:t>
      </w:r>
      <w:r w:rsidR="009E727E" w:rsidRPr="005F2DEE">
        <w:rPr>
          <w:rFonts w:asciiTheme="minorHAnsi" w:eastAsiaTheme="minorHAnsi" w:hAnsiTheme="minorHAnsi" w:cstheme="minorBidi"/>
          <w:color w:val="495965" w:themeColor="text2"/>
          <w:sz w:val="22"/>
          <w:szCs w:val="22"/>
          <w:lang w:val="en-GB" w:eastAsia="en-US"/>
        </w:rPr>
        <w:t>successful regional approach.</w:t>
      </w:r>
    </w:p>
    <w:p w14:paraId="7E0615C7" w14:textId="77777777" w:rsidR="004A34BE" w:rsidRPr="00D90821" w:rsidRDefault="004A34BE" w:rsidP="00D90821">
      <w:pPr>
        <w:pStyle w:val="BodyText"/>
      </w:pPr>
      <w:r w:rsidRPr="00D90821">
        <w:t>Factors affect</w:t>
      </w:r>
      <w:r w:rsidR="00363D14" w:rsidRPr="00D90821">
        <w:rPr>
          <w:rFonts w:eastAsiaTheme="minorHAnsi"/>
        </w:rPr>
        <w:t>ing progress and future actions</w:t>
      </w:r>
      <w:r w:rsidR="002B3E2A">
        <w:rPr>
          <w:rFonts w:eastAsiaTheme="minorHAnsi"/>
        </w:rPr>
        <w:t>:</w:t>
      </w:r>
    </w:p>
    <w:p w14:paraId="4A7E7C7D" w14:textId="77777777" w:rsidR="001D0E7E" w:rsidRDefault="004A34BE" w:rsidP="004A34BE">
      <w:pPr>
        <w:pStyle w:val="ListBullet"/>
        <w:rPr>
          <w:rFonts w:asciiTheme="minorHAnsi" w:eastAsiaTheme="minorHAnsi" w:hAnsiTheme="minorHAnsi" w:cstheme="minorBidi"/>
          <w:color w:val="495965" w:themeColor="text2"/>
          <w:sz w:val="22"/>
          <w:szCs w:val="22"/>
          <w:lang w:val="en-GB" w:eastAsia="en-US"/>
        </w:rPr>
      </w:pPr>
      <w:r w:rsidRPr="005F2DEE">
        <w:rPr>
          <w:rFonts w:asciiTheme="minorHAnsi" w:eastAsiaTheme="minorHAnsi" w:hAnsiTheme="minorHAnsi" w:cstheme="minorBidi"/>
          <w:color w:val="495965" w:themeColor="text2"/>
          <w:sz w:val="22"/>
          <w:szCs w:val="22"/>
          <w:lang w:val="en-GB" w:eastAsia="en-US"/>
        </w:rPr>
        <w:t>Remaining constraints to capacity of Pacific regional partner agencies and national qualifications authorities continue to limit progre</w:t>
      </w:r>
      <w:r w:rsidR="00CF2559" w:rsidRPr="005F2DEE">
        <w:rPr>
          <w:rFonts w:asciiTheme="minorHAnsi" w:eastAsiaTheme="minorHAnsi" w:hAnsiTheme="minorHAnsi" w:cstheme="minorBidi"/>
          <w:color w:val="495965" w:themeColor="text2"/>
          <w:sz w:val="22"/>
          <w:szCs w:val="22"/>
          <w:lang w:val="en-GB" w:eastAsia="en-US"/>
        </w:rPr>
        <w:t xml:space="preserve">ss against program objectives. </w:t>
      </w:r>
      <w:r w:rsidRPr="005F2DEE">
        <w:rPr>
          <w:rFonts w:asciiTheme="minorHAnsi" w:eastAsiaTheme="minorHAnsi" w:hAnsiTheme="minorHAnsi" w:cstheme="minorBidi"/>
          <w:color w:val="495965" w:themeColor="text2"/>
          <w:sz w:val="22"/>
          <w:szCs w:val="22"/>
          <w:lang w:val="en-GB" w:eastAsia="en-US"/>
        </w:rPr>
        <w:t>Successful program consolidation during 2014-15 included progress on both collection of vital education data and establishment of strategies for future data co</w:t>
      </w:r>
      <w:r w:rsidR="009E727E" w:rsidRPr="005F2DEE">
        <w:rPr>
          <w:rFonts w:asciiTheme="minorHAnsi" w:eastAsiaTheme="minorHAnsi" w:hAnsiTheme="minorHAnsi" w:cstheme="minorBidi"/>
          <w:color w:val="495965" w:themeColor="text2"/>
          <w:sz w:val="22"/>
          <w:szCs w:val="22"/>
          <w:lang w:val="en-GB" w:eastAsia="en-US"/>
        </w:rPr>
        <w:t>llection, aggregation and use.</w:t>
      </w:r>
      <w:r w:rsidR="00CE7451" w:rsidRPr="005F2DEE">
        <w:rPr>
          <w:rFonts w:asciiTheme="minorHAnsi" w:eastAsiaTheme="minorHAnsi" w:hAnsiTheme="minorHAnsi" w:cstheme="minorBidi"/>
          <w:color w:val="495965" w:themeColor="text2"/>
          <w:sz w:val="22"/>
          <w:szCs w:val="22"/>
          <w:lang w:val="en-GB" w:eastAsia="en-US"/>
        </w:rPr>
        <w:t xml:space="preserve"> </w:t>
      </w:r>
      <w:r w:rsidRPr="005F2DEE">
        <w:rPr>
          <w:rFonts w:asciiTheme="minorHAnsi" w:eastAsiaTheme="minorHAnsi" w:hAnsiTheme="minorHAnsi" w:cstheme="minorBidi"/>
          <w:color w:val="495965" w:themeColor="text2"/>
          <w:sz w:val="22"/>
          <w:szCs w:val="22"/>
          <w:lang w:val="en-GB" w:eastAsia="en-US"/>
        </w:rPr>
        <w:t>Work with regional institutions will target quality assurance and recognition of qualifications. With employer input, we will tailor tr</w:t>
      </w:r>
      <w:r w:rsidR="00CF2559" w:rsidRPr="005F2DEE">
        <w:rPr>
          <w:rFonts w:asciiTheme="minorHAnsi" w:eastAsiaTheme="minorHAnsi" w:hAnsiTheme="minorHAnsi" w:cstheme="minorBidi"/>
          <w:color w:val="495965" w:themeColor="text2"/>
          <w:sz w:val="22"/>
          <w:szCs w:val="22"/>
          <w:lang w:val="en-GB" w:eastAsia="en-US"/>
        </w:rPr>
        <w:t xml:space="preserve">aining to labour market needs. </w:t>
      </w:r>
      <w:r w:rsidRPr="005F2DEE">
        <w:rPr>
          <w:rFonts w:asciiTheme="minorHAnsi" w:eastAsiaTheme="minorHAnsi" w:hAnsiTheme="minorHAnsi" w:cstheme="minorBidi"/>
          <w:color w:val="495965" w:themeColor="text2"/>
          <w:sz w:val="22"/>
          <w:szCs w:val="22"/>
          <w:lang w:val="en-GB" w:eastAsia="en-US"/>
        </w:rPr>
        <w:t xml:space="preserve">We will foster graduate access to Australia’s employment market. </w:t>
      </w:r>
    </w:p>
    <w:p w14:paraId="717A915D" w14:textId="77777777" w:rsidR="001D0E7E" w:rsidRDefault="001D0E7E" w:rsidP="004A34BE">
      <w:pPr>
        <w:pStyle w:val="ListBullet"/>
        <w:rPr>
          <w:rFonts w:asciiTheme="minorHAnsi" w:eastAsiaTheme="minorHAnsi" w:hAnsiTheme="minorHAnsi" w:cstheme="minorBidi"/>
          <w:color w:val="495965" w:themeColor="text2"/>
          <w:sz w:val="22"/>
          <w:szCs w:val="22"/>
          <w:lang w:val="en-GB" w:eastAsia="en-US"/>
        </w:rPr>
      </w:pPr>
    </w:p>
    <w:p w14:paraId="65B7757E" w14:textId="77777777" w:rsidR="00D537B0" w:rsidRDefault="009F063C"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Objective 2: Effective regional institutions</w:t>
      </w:r>
    </w:p>
    <w:p w14:paraId="4A23557D" w14:textId="77777777" w:rsidR="009E727E" w:rsidRPr="00363D14" w:rsidRDefault="009E727E" w:rsidP="002A51CA">
      <w:pPr>
        <w:pStyle w:val="ListBullet"/>
        <w:tabs>
          <w:tab w:val="clear" w:pos="284"/>
        </w:tabs>
        <w:spacing w:before="360"/>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As a member of the major regional organisations, as well as their most significant development partner, Australia plays a key role in enabling them to contribute to regional growth, stability and development.</w:t>
      </w:r>
      <w:r w:rsidR="00363D14" w:rsidRPr="00363D14">
        <w:rPr>
          <w:rFonts w:asciiTheme="minorHAnsi" w:eastAsiaTheme="minorHAnsi" w:hAnsiTheme="minorHAnsi" w:cstheme="minorBidi"/>
          <w:color w:val="495965" w:themeColor="text2"/>
          <w:sz w:val="22"/>
          <w:szCs w:val="22"/>
          <w:lang w:val="en-GB" w:eastAsia="en-US"/>
        </w:rPr>
        <w:t xml:space="preserve"> The rating for this objective has remained at amber. While there has been good results and progress with the governance investments there is still more progress to be made with strengthening regional institutions.</w:t>
      </w:r>
      <w:r w:rsidR="0042738B">
        <w:rPr>
          <w:rFonts w:asciiTheme="minorHAnsi" w:eastAsiaTheme="minorHAnsi" w:hAnsiTheme="minorHAnsi" w:cstheme="minorBidi"/>
          <w:color w:val="495965" w:themeColor="text2"/>
          <w:sz w:val="22"/>
          <w:szCs w:val="22"/>
          <w:lang w:val="en-GB" w:eastAsia="en-US"/>
        </w:rPr>
        <w:t xml:space="preserve"> In particular, we need to work more closely with regional organisations to improve prioritisation, accelerate corporate reforms and address significant financial challenges.</w:t>
      </w:r>
    </w:p>
    <w:p w14:paraId="489379C5" w14:textId="77777777" w:rsidR="00D537B0" w:rsidRPr="00363D14" w:rsidRDefault="004A34BE"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r w:rsidRPr="00363D14">
        <w:rPr>
          <w:rFonts w:asciiTheme="minorHAnsi" w:eastAsiaTheme="minorHAnsi" w:hAnsiTheme="minorHAnsi" w:cstheme="minorBidi"/>
          <w:b/>
          <w:color w:val="495965" w:themeColor="text2"/>
          <w:sz w:val="22"/>
          <w:szCs w:val="22"/>
          <w:lang w:val="en-GB" w:eastAsia="en-US"/>
        </w:rPr>
        <w:t>Regional Institutions</w:t>
      </w:r>
    </w:p>
    <w:p w14:paraId="5CB360D8" w14:textId="77777777" w:rsidR="00B8680A" w:rsidRPr="00363D14" w:rsidRDefault="0096436D" w:rsidP="0096436D">
      <w:pPr>
        <w:spacing w:after="160" w:line="280" w:lineRule="exact"/>
      </w:pPr>
      <w:r w:rsidRPr="00363D14">
        <w:t xml:space="preserve">Most of Australia’s regional program is delivered through partnerships with five major </w:t>
      </w:r>
      <w:r w:rsidR="00543E60" w:rsidRPr="00363D14">
        <w:t>Pacific regional organisations</w:t>
      </w:r>
      <w:r w:rsidRPr="00363D14">
        <w:t xml:space="preserve">: the Pacific Islands Forum Secretariat (PIFS), the </w:t>
      </w:r>
      <w:r w:rsidR="00282C0E">
        <w:t>Pacific Community (SPC)</w:t>
      </w:r>
      <w:r w:rsidRPr="00363D14">
        <w:t>, the Secretariat of the Pacific Regional Environment Programme (</w:t>
      </w:r>
      <w:r w:rsidR="00E81560">
        <w:t xml:space="preserve">SPREP), </w:t>
      </w:r>
      <w:r w:rsidR="00282C0E">
        <w:t>Forum Fisheries Agency (</w:t>
      </w:r>
      <w:r w:rsidR="00E81560">
        <w:t>FFA</w:t>
      </w:r>
      <w:r w:rsidR="00282C0E">
        <w:t>)</w:t>
      </w:r>
      <w:r w:rsidR="00E81560">
        <w:t xml:space="preserve"> and </w:t>
      </w:r>
      <w:r w:rsidR="00282C0E">
        <w:t>the University of the South Pacific (</w:t>
      </w:r>
      <w:r w:rsidR="00E81560">
        <w:t>USP</w:t>
      </w:r>
      <w:r w:rsidR="00282C0E">
        <w:t>)</w:t>
      </w:r>
      <w:r w:rsidR="00363D14">
        <w:t xml:space="preserve">. </w:t>
      </w:r>
      <w:r w:rsidRPr="00363D14">
        <w:t>The past year has presented major challenges for our regional organisations including the first year’s implementation of the Framework of Pa</w:t>
      </w:r>
      <w:r w:rsidR="00A32AEB" w:rsidRPr="00363D14">
        <w:t>cific Regionalism (Framework)</w:t>
      </w:r>
      <w:r w:rsidR="002B3E2A">
        <w:t xml:space="preserve"> and achieving sustainable budget management</w:t>
      </w:r>
      <w:r w:rsidR="00A32AEB" w:rsidRPr="00363D14">
        <w:t xml:space="preserve">. </w:t>
      </w:r>
      <w:r w:rsidRPr="00363D14">
        <w:t xml:space="preserve">Australia is helping PIFS and other regional organisations to develop an effective Framework process and continues to advocate for strong collaboration on other regional priorities such as fisheries, and climate </w:t>
      </w:r>
      <w:r w:rsidR="00BA2ED0" w:rsidRPr="00363D14">
        <w:t>change and disaster management.</w:t>
      </w:r>
      <w:r w:rsidR="00B8680A" w:rsidRPr="00363D14">
        <w:t xml:space="preserve"> </w:t>
      </w:r>
    </w:p>
    <w:p w14:paraId="689715FC" w14:textId="77777777" w:rsidR="0096436D" w:rsidRPr="00D90821" w:rsidRDefault="0096436D" w:rsidP="00D90821">
      <w:pPr>
        <w:pStyle w:val="BodyText"/>
      </w:pPr>
      <w:r w:rsidRPr="00D90821">
        <w:t>Key results:</w:t>
      </w:r>
    </w:p>
    <w:p w14:paraId="07334462" w14:textId="77777777" w:rsidR="0096436D" w:rsidRPr="00363D14" w:rsidRDefault="0096436D" w:rsidP="00A32AEB">
      <w:pPr>
        <w:pStyle w:val="ListBullet"/>
        <w:numPr>
          <w:ilvl w:val="0"/>
          <w:numId w:val="47"/>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PIFS convened a Forum Foreign Ministers Meeting in July 2015, hosted by the Australian Foreign Minister</w:t>
      </w:r>
      <w:r w:rsidR="00282C0E">
        <w:rPr>
          <w:rFonts w:asciiTheme="minorHAnsi" w:eastAsiaTheme="minorHAnsi" w:hAnsiTheme="minorHAnsi" w:cstheme="minorBidi"/>
          <w:color w:val="495965" w:themeColor="text2"/>
          <w:sz w:val="22"/>
          <w:szCs w:val="22"/>
          <w:lang w:val="en-GB" w:eastAsia="en-US"/>
        </w:rPr>
        <w:t xml:space="preserve">, the Hon. Julie Bishop MP, in Sydney. </w:t>
      </w:r>
      <w:r w:rsidRPr="00363D14">
        <w:rPr>
          <w:rFonts w:asciiTheme="minorHAnsi" w:eastAsiaTheme="minorHAnsi" w:hAnsiTheme="minorHAnsi" w:cstheme="minorBidi"/>
          <w:color w:val="495965" w:themeColor="text2"/>
          <w:sz w:val="22"/>
          <w:szCs w:val="22"/>
          <w:lang w:val="en-GB" w:eastAsia="en-US"/>
        </w:rPr>
        <w:t>The meeting was the first for a number of years and facilitated productive discussions on disaster management and international engagement in the lead up to the Leaders Forum in September 2015. Its success led to Forum Leaders asking that</w:t>
      </w:r>
      <w:r w:rsidR="00551ADA">
        <w:rPr>
          <w:rFonts w:asciiTheme="minorHAnsi" w:eastAsiaTheme="minorHAnsi" w:hAnsiTheme="minorHAnsi" w:cstheme="minorBidi"/>
          <w:color w:val="495965" w:themeColor="text2"/>
          <w:sz w:val="22"/>
          <w:szCs w:val="22"/>
          <w:lang w:val="en-GB" w:eastAsia="en-US"/>
        </w:rPr>
        <w:t xml:space="preserve"> the</w:t>
      </w:r>
      <w:r w:rsidRPr="00363D14">
        <w:rPr>
          <w:rFonts w:asciiTheme="minorHAnsi" w:eastAsiaTheme="minorHAnsi" w:hAnsiTheme="minorHAnsi" w:cstheme="minorBidi"/>
          <w:color w:val="495965" w:themeColor="text2"/>
          <w:sz w:val="22"/>
          <w:szCs w:val="22"/>
          <w:lang w:val="en-GB" w:eastAsia="en-US"/>
        </w:rPr>
        <w:t xml:space="preserve"> Forum Foreign Ministers Meeting become an annual event.</w:t>
      </w:r>
    </w:p>
    <w:p w14:paraId="54D3234A" w14:textId="77777777" w:rsidR="0096436D" w:rsidRPr="00363D14" w:rsidRDefault="0096436D" w:rsidP="00A32AEB">
      <w:pPr>
        <w:pStyle w:val="ListBullet"/>
        <w:numPr>
          <w:ilvl w:val="0"/>
          <w:numId w:val="47"/>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 xml:space="preserve">The establishment of a Specialist Subcommittee on Regionalism and the commencement of an open public policy process led to a prioritised regional agenda with five regional priorities approved by Forum Leaders at their meeting in Papua New Guinea.  The Forum Leaders Troika also met with civil society representatives (including </w:t>
      </w:r>
      <w:r w:rsidR="00304AD9" w:rsidRPr="00363D14">
        <w:rPr>
          <w:rFonts w:asciiTheme="minorHAnsi" w:eastAsiaTheme="minorHAnsi" w:hAnsiTheme="minorHAnsi" w:cstheme="minorBidi"/>
          <w:color w:val="495965" w:themeColor="text2"/>
          <w:sz w:val="22"/>
          <w:szCs w:val="22"/>
          <w:lang w:val="en-GB" w:eastAsia="en-US"/>
        </w:rPr>
        <w:t xml:space="preserve">persons with </w:t>
      </w:r>
      <w:r w:rsidRPr="00363D14">
        <w:rPr>
          <w:rFonts w:asciiTheme="minorHAnsi" w:eastAsiaTheme="minorHAnsi" w:hAnsiTheme="minorHAnsi" w:cstheme="minorBidi"/>
          <w:color w:val="495965" w:themeColor="text2"/>
          <w:sz w:val="22"/>
          <w:szCs w:val="22"/>
          <w:lang w:val="en-GB" w:eastAsia="en-US"/>
        </w:rPr>
        <w:t>disabilities) to hear their views on the five priorities. These events were considered a milestone for PIFS, given Leaders</w:t>
      </w:r>
      <w:r w:rsidR="002B3E2A">
        <w:rPr>
          <w:rFonts w:asciiTheme="minorHAnsi" w:eastAsiaTheme="minorHAnsi" w:hAnsiTheme="minorHAnsi" w:cstheme="minorBidi"/>
          <w:color w:val="495965" w:themeColor="text2"/>
          <w:sz w:val="22"/>
          <w:szCs w:val="22"/>
          <w:lang w:val="en-GB" w:eastAsia="en-US"/>
        </w:rPr>
        <w:t>’</w:t>
      </w:r>
      <w:r w:rsidRPr="00363D14">
        <w:rPr>
          <w:rFonts w:asciiTheme="minorHAnsi" w:eastAsiaTheme="minorHAnsi" w:hAnsiTheme="minorHAnsi" w:cstheme="minorBidi"/>
          <w:color w:val="495965" w:themeColor="text2"/>
          <w:sz w:val="22"/>
          <w:szCs w:val="22"/>
          <w:lang w:val="en-GB" w:eastAsia="en-US"/>
        </w:rPr>
        <w:t xml:space="preserve"> vision for an inclusive and participatory process for regionalism.</w:t>
      </w:r>
    </w:p>
    <w:p w14:paraId="42FDB6DC" w14:textId="77777777" w:rsidR="0096436D" w:rsidRDefault="0096436D" w:rsidP="00A32AEB">
      <w:pPr>
        <w:pStyle w:val="ListBullet"/>
        <w:numPr>
          <w:ilvl w:val="0"/>
          <w:numId w:val="47"/>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In November 2015, the SPC’s governing council endorsed the organis</w:t>
      </w:r>
      <w:r w:rsidR="00841FBA">
        <w:rPr>
          <w:rFonts w:asciiTheme="minorHAnsi" w:eastAsiaTheme="minorHAnsi" w:hAnsiTheme="minorHAnsi" w:cstheme="minorBidi"/>
          <w:color w:val="495965" w:themeColor="text2"/>
          <w:sz w:val="22"/>
          <w:szCs w:val="22"/>
          <w:lang w:val="en-GB" w:eastAsia="en-US"/>
        </w:rPr>
        <w:t>ation’s new Strategic Plan 2016–</w:t>
      </w:r>
      <w:r w:rsidRPr="00363D14">
        <w:rPr>
          <w:rFonts w:asciiTheme="minorHAnsi" w:eastAsiaTheme="minorHAnsi" w:hAnsiTheme="minorHAnsi" w:cstheme="minorBidi"/>
          <w:color w:val="495965" w:themeColor="text2"/>
          <w:sz w:val="22"/>
          <w:szCs w:val="22"/>
          <w:lang w:val="en-GB" w:eastAsia="en-US"/>
        </w:rPr>
        <w:t>20.  The plan sets out future directions for the organisation and is informing the prioritisation of its activities to streamline operations and place SPC on a more sustainable footing.</w:t>
      </w:r>
    </w:p>
    <w:p w14:paraId="1A5CDBC2" w14:textId="77777777" w:rsidR="00D90821" w:rsidRDefault="00D90821" w:rsidP="00A32AEB">
      <w:pPr>
        <w:pStyle w:val="ListBullet"/>
        <w:numPr>
          <w:ilvl w:val="0"/>
          <w:numId w:val="47"/>
        </w:numPr>
        <w:tabs>
          <w:tab w:val="clear" w:pos="284"/>
        </w:tabs>
        <w:rPr>
          <w:rFonts w:asciiTheme="minorHAnsi" w:eastAsiaTheme="minorHAnsi" w:hAnsiTheme="minorHAnsi" w:cstheme="minorBidi"/>
          <w:color w:val="495965" w:themeColor="text2"/>
          <w:sz w:val="22"/>
          <w:szCs w:val="22"/>
          <w:lang w:val="en-GB" w:eastAsia="en-US"/>
        </w:rPr>
      </w:pPr>
      <w:r w:rsidRPr="0033510B">
        <w:rPr>
          <w:rFonts w:asciiTheme="minorHAnsi" w:eastAsiaTheme="minorHAnsi" w:hAnsiTheme="minorHAnsi" w:cstheme="minorBidi"/>
          <w:color w:val="495965" w:themeColor="text2"/>
          <w:sz w:val="22"/>
          <w:szCs w:val="22"/>
          <w:lang w:val="en-GB" w:eastAsia="en-US"/>
        </w:rPr>
        <w:t xml:space="preserve">DFAT’s Regional Advisory Services </w:t>
      </w:r>
      <w:r w:rsidR="00551ADA">
        <w:rPr>
          <w:rFonts w:asciiTheme="minorHAnsi" w:eastAsiaTheme="minorHAnsi" w:hAnsiTheme="minorHAnsi" w:cstheme="minorBidi"/>
          <w:color w:val="495965" w:themeColor="text2"/>
          <w:sz w:val="22"/>
          <w:szCs w:val="22"/>
          <w:lang w:val="en-GB" w:eastAsia="en-US"/>
        </w:rPr>
        <w:t xml:space="preserve">(RAS) </w:t>
      </w:r>
      <w:r w:rsidRPr="0033510B">
        <w:rPr>
          <w:rFonts w:asciiTheme="minorHAnsi" w:eastAsiaTheme="minorHAnsi" w:hAnsiTheme="minorHAnsi" w:cstheme="minorBidi"/>
          <w:color w:val="495965" w:themeColor="text2"/>
          <w:sz w:val="22"/>
          <w:szCs w:val="22"/>
          <w:lang w:val="en-GB" w:eastAsia="en-US"/>
        </w:rPr>
        <w:t>continued to provide high quality and targeted assistance to PROs to support organisational reform.   PIFS received support to develop the Strategic Results Framework 2016-18 (resulting in more transparent allocation of funds to results) and implement quarterly performance reviews.   Ongoing RAS support has also contributed to major improvements in SPC’s monitoring and evaluation capability, including the development of an improved Results Report.</w:t>
      </w:r>
    </w:p>
    <w:p w14:paraId="7767600A" w14:textId="77777777" w:rsidR="0033510B" w:rsidRPr="0033510B" w:rsidRDefault="0033510B" w:rsidP="0033510B">
      <w:pPr>
        <w:pStyle w:val="BodyText"/>
        <w:rPr>
          <w:rFonts w:eastAsiaTheme="minorHAnsi"/>
        </w:rPr>
      </w:pPr>
      <w:r w:rsidRPr="0033510B">
        <w:rPr>
          <w:rFonts w:eastAsiaTheme="minorHAnsi"/>
        </w:rPr>
        <w:t>Factors affecting progress and future actions</w:t>
      </w:r>
      <w:r>
        <w:rPr>
          <w:rFonts w:eastAsiaTheme="minorHAnsi"/>
        </w:rPr>
        <w:t>:</w:t>
      </w:r>
    </w:p>
    <w:p w14:paraId="53DC532C" w14:textId="77777777" w:rsidR="0033510B" w:rsidRPr="00363D14" w:rsidRDefault="0033510B" w:rsidP="0033510B">
      <w:pPr>
        <w:spacing w:after="160" w:line="280" w:lineRule="exact"/>
      </w:pPr>
      <w:r w:rsidRPr="0033510B">
        <w:t>Three of Australia’s most important regional partners, PIFS, SPC and SPREP are facing significant financial challenges, necessitating forced savings, delayed recruitment, financial reforms and pr</w:t>
      </w:r>
      <w:r>
        <w:t xml:space="preserve">ioritisation of work programs. </w:t>
      </w:r>
      <w:r w:rsidRPr="0033510B">
        <w:t xml:space="preserve">Australia, along with other members, </w:t>
      </w:r>
      <w:r>
        <w:t>is</w:t>
      </w:r>
      <w:r w:rsidRPr="0033510B">
        <w:t xml:space="preserve"> helping </w:t>
      </w:r>
      <w:r>
        <w:t xml:space="preserve">to </w:t>
      </w:r>
      <w:r w:rsidRPr="0033510B">
        <w:t xml:space="preserve">address these challenges including by participating in working groups and providing tailored technical assistance.  Australia welcomes the opportunity for regional organisations to review and streamline their operations, </w:t>
      </w:r>
      <w:r w:rsidR="002B3E2A">
        <w:t>given the</w:t>
      </w:r>
      <w:r w:rsidRPr="0033510B">
        <w:t xml:space="preserve"> financial and organisational constraints</w:t>
      </w:r>
      <w:r w:rsidR="002B3E2A">
        <w:t xml:space="preserve"> that currently</w:t>
      </w:r>
      <w:r w:rsidRPr="0033510B">
        <w:t xml:space="preserve"> affect delivery of services.</w:t>
      </w:r>
    </w:p>
    <w:p w14:paraId="466F9C6B" w14:textId="77777777" w:rsidR="0096436D" w:rsidRPr="00363D14" w:rsidRDefault="0096436D"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r w:rsidRPr="00363D14">
        <w:rPr>
          <w:rFonts w:asciiTheme="minorHAnsi" w:eastAsiaTheme="minorHAnsi" w:hAnsiTheme="minorHAnsi" w:cstheme="minorBidi"/>
          <w:b/>
          <w:color w:val="495965" w:themeColor="text2"/>
          <w:sz w:val="22"/>
          <w:szCs w:val="22"/>
          <w:lang w:val="en-GB" w:eastAsia="en-US"/>
        </w:rPr>
        <w:lastRenderedPageBreak/>
        <w:t>Governance</w:t>
      </w:r>
    </w:p>
    <w:p w14:paraId="42D0A21E" w14:textId="77777777" w:rsidR="0096436D" w:rsidRPr="00363D14" w:rsidRDefault="0096436D" w:rsidP="0096436D">
      <w:pPr>
        <w:spacing w:after="160" w:line="280" w:lineRule="exact"/>
      </w:pPr>
      <w:r w:rsidRPr="00363D14">
        <w:t>Australia also supported regional investments that promote effective governance in individual Pacific Island countries through a range of services, including: technical assistance, capacity building and professional development, social protection and inclusion, media, and leadership skills.</w:t>
      </w:r>
    </w:p>
    <w:p w14:paraId="58E82C4B" w14:textId="77777777" w:rsidR="0096436D" w:rsidRPr="00D90821" w:rsidRDefault="0096436D" w:rsidP="00D90821">
      <w:pPr>
        <w:pStyle w:val="BodyText"/>
      </w:pPr>
      <w:r w:rsidRPr="00D90821">
        <w:t>Key results:</w:t>
      </w:r>
    </w:p>
    <w:p w14:paraId="5DF81974" w14:textId="77777777" w:rsidR="0096436D" w:rsidRPr="00363D14" w:rsidRDefault="0033510B"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sidRPr="0033510B">
        <w:rPr>
          <w:rFonts w:asciiTheme="minorHAnsi" w:eastAsiaTheme="minorHAnsi" w:hAnsiTheme="minorHAnsi" w:cstheme="minorBidi"/>
          <w:color w:val="495965" w:themeColor="text2"/>
          <w:sz w:val="22"/>
          <w:szCs w:val="22"/>
          <w:lang w:val="en-GB" w:eastAsia="en-US"/>
        </w:rPr>
        <w:t>The Pacific Technical Assistance Mechanism (PACTAM) Phase 2 was launched on 1 July 2015 and provides logistical and performance management support to approximately 50 technical advisers placed across ten Pacific governments</w:t>
      </w:r>
      <w:r>
        <w:rPr>
          <w:rFonts w:asciiTheme="minorHAnsi" w:eastAsiaTheme="minorHAnsi" w:hAnsiTheme="minorHAnsi" w:cstheme="minorBidi"/>
          <w:color w:val="495965" w:themeColor="text2"/>
          <w:sz w:val="22"/>
          <w:szCs w:val="22"/>
          <w:lang w:val="en-GB" w:eastAsia="en-US"/>
        </w:rPr>
        <w:t xml:space="preserve">. </w:t>
      </w:r>
      <w:r w:rsidRPr="0033510B">
        <w:rPr>
          <w:rFonts w:asciiTheme="minorHAnsi" w:eastAsiaTheme="minorHAnsi" w:hAnsiTheme="minorHAnsi" w:cstheme="minorBidi"/>
          <w:color w:val="495965" w:themeColor="text2"/>
          <w:sz w:val="22"/>
          <w:szCs w:val="22"/>
          <w:lang w:val="en-GB" w:eastAsia="en-US"/>
        </w:rPr>
        <w:t>Advisers work in a wide range of sectors including health, financial management, education, gender equality and fisheries.  The Tax Reform Implementation Adviser in Nauru has contributed to the successful implementation of tax reforms and record levels of tax revenue during the first phase, 60 per cent higher than originally estimated.</w:t>
      </w:r>
    </w:p>
    <w:p w14:paraId="11F559AD" w14:textId="2C1B58E6" w:rsidR="0096436D" w:rsidRPr="00363D14" w:rsidRDefault="0096436D"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 xml:space="preserve">The Pacific Leadership Program’s support to Vanuatu’s Women In Shared Decision Making (WIDSM) has  contributed to  the first five women </w:t>
      </w:r>
      <w:r w:rsidR="00282C0E">
        <w:rPr>
          <w:rFonts w:asciiTheme="minorHAnsi" w:eastAsiaTheme="minorHAnsi" w:hAnsiTheme="minorHAnsi" w:cstheme="minorBidi"/>
          <w:color w:val="495965" w:themeColor="text2"/>
          <w:sz w:val="22"/>
          <w:szCs w:val="22"/>
          <w:lang w:val="en-GB" w:eastAsia="en-US"/>
        </w:rPr>
        <w:t xml:space="preserve">councillors elected into the </w:t>
      </w:r>
      <w:proofErr w:type="spellStart"/>
      <w:r w:rsidR="00282C0E">
        <w:rPr>
          <w:rFonts w:asciiTheme="minorHAnsi" w:eastAsiaTheme="minorHAnsi" w:hAnsiTheme="minorHAnsi" w:cstheme="minorBidi"/>
          <w:color w:val="495965" w:themeColor="text2"/>
          <w:sz w:val="22"/>
          <w:szCs w:val="22"/>
          <w:lang w:val="en-GB" w:eastAsia="en-US"/>
        </w:rPr>
        <w:t>Lugan</w:t>
      </w:r>
      <w:r w:rsidRPr="00363D14">
        <w:rPr>
          <w:rFonts w:asciiTheme="minorHAnsi" w:eastAsiaTheme="minorHAnsi" w:hAnsiTheme="minorHAnsi" w:cstheme="minorBidi"/>
          <w:color w:val="495965" w:themeColor="text2"/>
          <w:sz w:val="22"/>
          <w:szCs w:val="22"/>
          <w:lang w:val="en-GB" w:eastAsia="en-US"/>
        </w:rPr>
        <w:t>ville</w:t>
      </w:r>
      <w:proofErr w:type="spellEnd"/>
      <w:r w:rsidRPr="00363D14">
        <w:rPr>
          <w:rFonts w:asciiTheme="minorHAnsi" w:eastAsiaTheme="minorHAnsi" w:hAnsiTheme="minorHAnsi" w:cstheme="minorBidi"/>
          <w:color w:val="495965" w:themeColor="text2"/>
          <w:sz w:val="22"/>
          <w:szCs w:val="22"/>
          <w:lang w:val="en-GB" w:eastAsia="en-US"/>
        </w:rPr>
        <w:t xml:space="preserve"> Municipal Council, with o</w:t>
      </w:r>
      <w:r w:rsidR="00060AB0">
        <w:rPr>
          <w:rFonts w:asciiTheme="minorHAnsi" w:eastAsiaTheme="minorHAnsi" w:hAnsiTheme="minorHAnsi" w:cstheme="minorBidi"/>
          <w:color w:val="495965" w:themeColor="text2"/>
          <w:sz w:val="22"/>
          <w:szCs w:val="22"/>
          <w:lang w:val="en-GB" w:eastAsia="en-US"/>
        </w:rPr>
        <w:t>ne  appointed as Deputy Mayor.</w:t>
      </w:r>
    </w:p>
    <w:p w14:paraId="0C7DEFDB" w14:textId="77777777" w:rsidR="0096436D" w:rsidRPr="00363D14" w:rsidRDefault="0096436D"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 xml:space="preserve">The United Nations Development Fund’s (UNDP) Pacific Centre provided technical assistance to the Tongan Parliament on the United Nations Convention Against Corruption (UNCAC) which has led to the establishment of </w:t>
      </w:r>
      <w:r w:rsidR="002B3E2A">
        <w:rPr>
          <w:rFonts w:asciiTheme="minorHAnsi" w:eastAsiaTheme="minorHAnsi" w:hAnsiTheme="minorHAnsi" w:cstheme="minorBidi"/>
          <w:color w:val="495965" w:themeColor="text2"/>
          <w:sz w:val="22"/>
          <w:szCs w:val="22"/>
          <w:lang w:val="en-GB" w:eastAsia="en-US"/>
        </w:rPr>
        <w:t>Tonga’s</w:t>
      </w:r>
      <w:r w:rsidRPr="00363D14">
        <w:rPr>
          <w:rFonts w:asciiTheme="minorHAnsi" w:eastAsiaTheme="minorHAnsi" w:hAnsiTheme="minorHAnsi" w:cstheme="minorBidi"/>
          <w:color w:val="495965" w:themeColor="text2"/>
          <w:sz w:val="22"/>
          <w:szCs w:val="22"/>
          <w:lang w:val="en-GB" w:eastAsia="en-US"/>
        </w:rPr>
        <w:t xml:space="preserve"> first Standing Committee on Anti-Corruption.  </w:t>
      </w:r>
    </w:p>
    <w:p w14:paraId="56676C44" w14:textId="77777777" w:rsidR="0096436D" w:rsidRPr="00363D14" w:rsidRDefault="0096436D"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With Australian support to the Pacific Regional Audit Initiative</w:t>
      </w:r>
      <w:r w:rsidR="002B3E2A">
        <w:rPr>
          <w:rFonts w:asciiTheme="minorHAnsi" w:eastAsiaTheme="minorHAnsi" w:hAnsiTheme="minorHAnsi" w:cstheme="minorBidi"/>
          <w:color w:val="495965" w:themeColor="text2"/>
          <w:sz w:val="22"/>
          <w:szCs w:val="22"/>
          <w:lang w:val="en-GB" w:eastAsia="en-US"/>
        </w:rPr>
        <w:t xml:space="preserve"> 94% of</w:t>
      </w:r>
      <w:r w:rsidRPr="00363D14">
        <w:rPr>
          <w:rFonts w:asciiTheme="minorHAnsi" w:eastAsiaTheme="minorHAnsi" w:hAnsiTheme="minorHAnsi" w:cstheme="minorBidi"/>
          <w:color w:val="495965" w:themeColor="text2"/>
          <w:sz w:val="22"/>
          <w:szCs w:val="22"/>
          <w:lang w:val="en-GB" w:eastAsia="en-US"/>
        </w:rPr>
        <w:t xml:space="preserve"> Pacific Supreme Audit Institutions (SAIs) have maintained their capability rating as satisfactory in 2015, compared to 57 percent in 2011. This capability rating is assessed against the International Organisation of Supreme Audit Institutions (INTOSAI) Standards.  </w:t>
      </w:r>
    </w:p>
    <w:p w14:paraId="58B14006" w14:textId="77777777" w:rsidR="002B3E2A" w:rsidRDefault="0096436D"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sidRPr="00363D14">
        <w:rPr>
          <w:rFonts w:asciiTheme="minorHAnsi" w:eastAsiaTheme="minorHAnsi" w:hAnsiTheme="minorHAnsi" w:cstheme="minorBidi"/>
          <w:color w:val="495965" w:themeColor="text2"/>
          <w:sz w:val="22"/>
          <w:szCs w:val="22"/>
          <w:lang w:val="en-GB" w:eastAsia="en-US"/>
        </w:rPr>
        <w:t>Through the Pacific Financial Technical Assistance Centre’s (PFTAC) support, the Government of Fiji (</w:t>
      </w:r>
      <w:proofErr w:type="spellStart"/>
      <w:r w:rsidRPr="00363D14">
        <w:rPr>
          <w:rFonts w:asciiTheme="minorHAnsi" w:eastAsiaTheme="minorHAnsi" w:hAnsiTheme="minorHAnsi" w:cstheme="minorBidi"/>
          <w:color w:val="495965" w:themeColor="text2"/>
          <w:sz w:val="22"/>
          <w:szCs w:val="22"/>
          <w:lang w:val="en-GB" w:eastAsia="en-US"/>
        </w:rPr>
        <w:t>GoF</w:t>
      </w:r>
      <w:proofErr w:type="spellEnd"/>
      <w:r w:rsidRPr="00363D14">
        <w:rPr>
          <w:rFonts w:asciiTheme="minorHAnsi" w:eastAsiaTheme="minorHAnsi" w:hAnsiTheme="minorHAnsi" w:cstheme="minorBidi"/>
          <w:color w:val="495965" w:themeColor="text2"/>
          <w:sz w:val="22"/>
          <w:szCs w:val="22"/>
          <w:lang w:val="en-GB" w:eastAsia="en-US"/>
        </w:rPr>
        <w:t>) has improved its financial statements through the first phase of its accounting reform to fully comply with International Public Sector Accounting Standards (IPSAS-cash basis) ensuring more reliable and transparent financial reporting practices. The Fiji Revenue and Customs Authority (FRCA) is also setting up a project team and governance arrangements to launch the first Compliance Improvement Strategy which is being i</w:t>
      </w:r>
      <w:r w:rsidR="002B3E2A">
        <w:rPr>
          <w:rFonts w:asciiTheme="minorHAnsi" w:eastAsiaTheme="minorHAnsi" w:hAnsiTheme="minorHAnsi" w:cstheme="minorBidi"/>
          <w:color w:val="495965" w:themeColor="text2"/>
          <w:sz w:val="22"/>
          <w:szCs w:val="22"/>
          <w:lang w:val="en-GB" w:eastAsia="en-US"/>
        </w:rPr>
        <w:t>mplemented from January</w:t>
      </w:r>
      <w:r w:rsidR="00060AB0">
        <w:rPr>
          <w:rFonts w:asciiTheme="minorHAnsi" w:eastAsiaTheme="minorHAnsi" w:hAnsiTheme="minorHAnsi" w:cstheme="minorBidi"/>
          <w:color w:val="495965" w:themeColor="text2"/>
          <w:sz w:val="22"/>
          <w:szCs w:val="22"/>
          <w:lang w:val="en-GB" w:eastAsia="en-US"/>
        </w:rPr>
        <w:t xml:space="preserve"> 2016.</w:t>
      </w:r>
    </w:p>
    <w:p w14:paraId="22F1FF6C" w14:textId="77777777" w:rsidR="0096436D" w:rsidRPr="00363D14" w:rsidRDefault="002B3E2A" w:rsidP="0096436D">
      <w:pPr>
        <w:pStyle w:val="ListBullet"/>
        <w:numPr>
          <w:ilvl w:val="0"/>
          <w:numId w:val="45"/>
        </w:numPr>
        <w:tabs>
          <w:tab w:val="clear" w:pos="284"/>
        </w:tabs>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The UNDP in the Pacific has undergone significant operational changes with the merging of the Pacific Centre with the UNDP Multi Country Office to increase its responsiveness and effectiveness including the better alignment of technical expertise with broader UNDP countries activities.</w:t>
      </w:r>
      <w:r w:rsidR="00060AB0">
        <w:rPr>
          <w:rFonts w:asciiTheme="minorHAnsi" w:eastAsiaTheme="minorHAnsi" w:hAnsiTheme="minorHAnsi" w:cstheme="minorBidi"/>
          <w:color w:val="495965" w:themeColor="text2"/>
          <w:sz w:val="22"/>
          <w:szCs w:val="22"/>
          <w:lang w:val="en-GB" w:eastAsia="en-US"/>
        </w:rPr>
        <w:t> </w:t>
      </w:r>
    </w:p>
    <w:p w14:paraId="38E09286" w14:textId="77777777" w:rsidR="0096436D" w:rsidRPr="00D90821" w:rsidRDefault="0096436D" w:rsidP="00D90821">
      <w:pPr>
        <w:pStyle w:val="BodyText"/>
      </w:pPr>
      <w:r w:rsidRPr="00D90821">
        <w:t>Factors affecting progress and future actions</w:t>
      </w:r>
      <w:r w:rsidR="00363D14" w:rsidRPr="00D90821">
        <w:rPr>
          <w:rFonts w:eastAsiaTheme="minorHAnsi"/>
        </w:rPr>
        <w:t>:</w:t>
      </w:r>
    </w:p>
    <w:p w14:paraId="1A61F2AD" w14:textId="77777777" w:rsidR="00CD4910" w:rsidRDefault="0096436D" w:rsidP="00CD4910">
      <w:pPr>
        <w:spacing w:after="160" w:line="280" w:lineRule="exact"/>
      </w:pPr>
      <w:r w:rsidRPr="00363D14">
        <w:t xml:space="preserve">In 2015-16, DFAT continued to rationalise governance activities to support </w:t>
      </w:r>
      <w:r w:rsidR="002B3E2A">
        <w:t xml:space="preserve">all </w:t>
      </w:r>
      <w:r w:rsidRPr="00363D14">
        <w:t xml:space="preserve">four objectives in the regional program.  Consolidation is intended to reduce transaction costs and the complexity of the regional program to allow better delivery on objectives.  With many investments ending in the next two years, DFAT </w:t>
      </w:r>
      <w:r w:rsidR="002B3E2A">
        <w:t xml:space="preserve">will ensure future activities target </w:t>
      </w:r>
      <w:r w:rsidRPr="00363D14">
        <w:t>emerging priorities and more effective delivery mechanisms.</w:t>
      </w:r>
    </w:p>
    <w:p w14:paraId="3AA7A214" w14:textId="77777777" w:rsidR="001D0E7E" w:rsidRDefault="001D0E7E" w:rsidP="00CD4910">
      <w:pPr>
        <w:spacing w:after="160" w:line="280" w:lineRule="exact"/>
      </w:pPr>
    </w:p>
    <w:p w14:paraId="4C019AD4" w14:textId="77777777" w:rsidR="001D0E7E" w:rsidRDefault="001D0E7E" w:rsidP="00CD4910">
      <w:pPr>
        <w:spacing w:after="160" w:line="280" w:lineRule="exact"/>
      </w:pPr>
    </w:p>
    <w:p w14:paraId="749D8E61" w14:textId="77777777" w:rsidR="001D0E7E" w:rsidRDefault="001D0E7E" w:rsidP="00CD4910">
      <w:pPr>
        <w:spacing w:after="160" w:line="280" w:lineRule="exact"/>
      </w:pPr>
    </w:p>
    <w:p w14:paraId="5B6C177F" w14:textId="77777777" w:rsidR="001D0E7E" w:rsidRPr="00363D14" w:rsidRDefault="001D0E7E" w:rsidP="00CD4910">
      <w:pPr>
        <w:spacing w:after="160" w:line="280" w:lineRule="exact"/>
      </w:pPr>
    </w:p>
    <w:p w14:paraId="3D0B4A44" w14:textId="77777777" w:rsidR="002E27B4" w:rsidRDefault="002E27B4"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14:paraId="5CCE5181" w14:textId="77E5917C" w:rsidR="00D537B0" w:rsidRDefault="00D537B0"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Objective 3: Healthy and resilient communities</w:t>
      </w:r>
    </w:p>
    <w:p w14:paraId="7219B10E" w14:textId="77777777" w:rsidR="00C10C54" w:rsidRPr="00B7290C" w:rsidRDefault="00D90821" w:rsidP="005556BA">
      <w:pPr>
        <w:pStyle w:val="ListBullet"/>
        <w:tabs>
          <w:tab w:val="clear" w:pos="284"/>
        </w:tabs>
        <w:spacing w:before="240"/>
        <w:rPr>
          <w:rFonts w:asciiTheme="minorHAnsi" w:eastAsiaTheme="minorHAnsi" w:hAnsiTheme="minorHAnsi" w:cstheme="minorBidi"/>
          <w:sz w:val="22"/>
          <w:szCs w:val="22"/>
          <w:lang w:val="en-GB" w:eastAsia="en-US"/>
        </w:rPr>
      </w:pPr>
      <w:r w:rsidRPr="00B7290C">
        <w:rPr>
          <w:rFonts w:asciiTheme="minorHAnsi" w:eastAsiaTheme="minorHAnsi" w:hAnsiTheme="minorHAnsi" w:cstheme="minorBidi"/>
          <w:sz w:val="22"/>
          <w:szCs w:val="22"/>
          <w:lang w:val="en-GB" w:eastAsia="en-US"/>
        </w:rPr>
        <w:t>The rating for this objective will remain at amber this year. While there have been improvements in the results for the health sector, including AQC ratings, further work is need</w:t>
      </w:r>
      <w:r w:rsidR="00551ADA" w:rsidRPr="00B7290C">
        <w:rPr>
          <w:rFonts w:asciiTheme="minorHAnsi" w:eastAsiaTheme="minorHAnsi" w:hAnsiTheme="minorHAnsi" w:cstheme="minorBidi"/>
          <w:sz w:val="22"/>
          <w:szCs w:val="22"/>
          <w:lang w:val="en-GB" w:eastAsia="en-US"/>
        </w:rPr>
        <w:t>ed</w:t>
      </w:r>
      <w:r w:rsidRPr="00B7290C">
        <w:rPr>
          <w:rFonts w:asciiTheme="minorHAnsi" w:eastAsiaTheme="minorHAnsi" w:hAnsiTheme="minorHAnsi" w:cstheme="minorBidi"/>
          <w:sz w:val="22"/>
          <w:szCs w:val="22"/>
          <w:lang w:val="en-GB" w:eastAsia="en-US"/>
        </w:rPr>
        <w:t xml:space="preserve"> to </w:t>
      </w:r>
      <w:r w:rsidR="005C6FC1" w:rsidRPr="00B7290C">
        <w:rPr>
          <w:rFonts w:asciiTheme="minorHAnsi" w:eastAsiaTheme="minorHAnsi" w:hAnsiTheme="minorHAnsi" w:cstheme="minorBidi"/>
          <w:sz w:val="22"/>
          <w:szCs w:val="22"/>
          <w:lang w:val="en-GB" w:eastAsia="en-US"/>
        </w:rPr>
        <w:t xml:space="preserve">improve the coherence and consolidate our regional </w:t>
      </w:r>
      <w:r w:rsidRPr="00B7290C">
        <w:rPr>
          <w:rFonts w:asciiTheme="minorHAnsi" w:eastAsiaTheme="minorHAnsi" w:hAnsiTheme="minorHAnsi" w:cstheme="minorBidi"/>
          <w:sz w:val="22"/>
          <w:szCs w:val="22"/>
          <w:lang w:val="en-GB" w:eastAsia="en-US"/>
        </w:rPr>
        <w:t xml:space="preserve">investments to address climate change in the region. </w:t>
      </w:r>
      <w:r w:rsidR="000C57BF" w:rsidRPr="00B7290C">
        <w:rPr>
          <w:rFonts w:asciiTheme="minorHAnsi" w:eastAsiaTheme="minorHAnsi" w:hAnsiTheme="minorHAnsi" w:cstheme="minorBidi"/>
          <w:sz w:val="22"/>
          <w:szCs w:val="22"/>
          <w:lang w:val="en-GB" w:eastAsia="en-US"/>
        </w:rPr>
        <w:t>Our investments in climate change and resilience haven’t worked together as a portfolio. There is an increasing need for a coordinated and harmonised response to climate change in the region.</w:t>
      </w:r>
    </w:p>
    <w:p w14:paraId="5EAA5534" w14:textId="77777777" w:rsidR="00A32AEB" w:rsidRPr="00287095" w:rsidRDefault="00A32AEB" w:rsidP="00287095">
      <w:pPr>
        <w:pStyle w:val="ListBullet"/>
        <w:tabs>
          <w:tab w:val="clear" w:pos="284"/>
        </w:tabs>
        <w:spacing w:before="120"/>
        <w:rPr>
          <w:rFonts w:asciiTheme="minorHAnsi" w:eastAsiaTheme="minorHAnsi" w:hAnsiTheme="minorHAnsi" w:cstheme="minorBidi"/>
          <w:b/>
          <w:color w:val="495965" w:themeColor="text2"/>
          <w:sz w:val="22"/>
          <w:szCs w:val="22"/>
          <w:lang w:val="en-GB" w:eastAsia="en-US"/>
        </w:rPr>
      </w:pPr>
      <w:r w:rsidRPr="00287095">
        <w:rPr>
          <w:rFonts w:asciiTheme="minorHAnsi" w:eastAsiaTheme="minorHAnsi" w:hAnsiTheme="minorHAnsi" w:cstheme="minorBidi"/>
          <w:b/>
          <w:color w:val="495965" w:themeColor="text2"/>
          <w:sz w:val="22"/>
          <w:szCs w:val="22"/>
          <w:lang w:val="en-GB" w:eastAsia="en-US"/>
        </w:rPr>
        <w:t>Health</w:t>
      </w:r>
      <w:r w:rsidR="009E3085" w:rsidRPr="00287095">
        <w:rPr>
          <w:rFonts w:asciiTheme="minorHAnsi" w:eastAsiaTheme="minorHAnsi" w:hAnsiTheme="minorHAnsi" w:cstheme="minorBidi"/>
          <w:b/>
          <w:color w:val="495965" w:themeColor="text2"/>
          <w:sz w:val="22"/>
          <w:szCs w:val="22"/>
          <w:lang w:val="en-GB" w:eastAsia="en-US"/>
        </w:rPr>
        <w:t xml:space="preserve"> and disability support</w:t>
      </w:r>
    </w:p>
    <w:p w14:paraId="4793941E" w14:textId="77777777" w:rsidR="00A32AEB" w:rsidRPr="00287095" w:rsidRDefault="009E3085" w:rsidP="00590591">
      <w:pPr>
        <w:spacing w:after="160" w:line="280" w:lineRule="exact"/>
      </w:pPr>
      <w:r w:rsidRPr="00287095">
        <w:t xml:space="preserve">Australia’s health and disability support helps women, men and children to lead healthy productive lives. </w:t>
      </w:r>
      <w:r w:rsidR="00A32AEB" w:rsidRPr="00287095">
        <w:t>A healthy, resilient population contributes to economic growth and development.  In the Pacific, strong health systems are a key component of human development, supporting poverty reduction, productivity and women’s empowerment. Complementing Australia’s bilateral health investments, the Pacific regional health program focuses on challenges that benefit from a regional approach.  This includes strengthening regional health security; improving the quality of workforce training and clinical services; and improving sexual and reproductive health</w:t>
      </w:r>
      <w:r w:rsidRPr="00287095">
        <w:t xml:space="preserve"> services</w:t>
      </w:r>
      <w:r w:rsidR="00250041" w:rsidRPr="00287095">
        <w:t xml:space="preserve">. </w:t>
      </w:r>
      <w:r w:rsidRPr="00287095">
        <w:t>The regional program places great importance on disability-inclusive development.</w:t>
      </w:r>
    </w:p>
    <w:p w14:paraId="03A60FC7" w14:textId="77777777" w:rsidR="00A32AEB" w:rsidRPr="00287095" w:rsidRDefault="00A32AEB" w:rsidP="00287095">
      <w:pPr>
        <w:pStyle w:val="BodyText"/>
      </w:pPr>
      <w:r w:rsidRPr="00287095">
        <w:t>Key results:</w:t>
      </w:r>
    </w:p>
    <w:p w14:paraId="14B806B5" w14:textId="77777777" w:rsidR="00A32AEB" w:rsidRPr="00287095" w:rsidRDefault="00A32AEB"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Strengthening regional health governance and information: Australia’s support to the World Health Organisation</w:t>
      </w:r>
      <w:r w:rsidR="00E81560">
        <w:rPr>
          <w:rFonts w:asciiTheme="minorHAnsi" w:eastAsiaTheme="minorHAnsi" w:hAnsiTheme="minorHAnsi" w:cstheme="minorBidi"/>
          <w:color w:val="495965" w:themeColor="text2"/>
          <w:sz w:val="22"/>
          <w:szCs w:val="22"/>
          <w:lang w:val="en-GB" w:eastAsia="en-US"/>
        </w:rPr>
        <w:t xml:space="preserve"> (WHO)</w:t>
      </w:r>
      <w:r w:rsidRPr="00287095">
        <w:rPr>
          <w:rFonts w:asciiTheme="minorHAnsi" w:eastAsiaTheme="minorHAnsi" w:hAnsiTheme="minorHAnsi" w:cstheme="minorBidi"/>
          <w:color w:val="495965" w:themeColor="text2"/>
          <w:sz w:val="22"/>
          <w:szCs w:val="22"/>
          <w:lang w:val="en-GB" w:eastAsia="en-US"/>
        </w:rPr>
        <w:t xml:space="preserve"> helped to establish core indicators to demonstrate progress towards the Healthy Islands Vision, thereby promoting regional norms and standards.</w:t>
      </w:r>
    </w:p>
    <w:p w14:paraId="72E6172E" w14:textId="77777777" w:rsidR="00A32AEB" w:rsidRPr="00287095" w:rsidRDefault="00A32AEB"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 xml:space="preserve">Strengthening regional health security:  Australia provided core support to The Pacific Community to strengthen regional disease surveillance. </w:t>
      </w:r>
      <w:r w:rsidR="00D330B3" w:rsidRPr="00287095">
        <w:rPr>
          <w:rFonts w:asciiTheme="minorHAnsi" w:eastAsiaTheme="minorHAnsi" w:hAnsiTheme="minorHAnsi" w:cstheme="minorBidi"/>
          <w:color w:val="495965" w:themeColor="text2"/>
          <w:sz w:val="22"/>
          <w:szCs w:val="22"/>
          <w:lang w:val="en-GB" w:eastAsia="en-US"/>
        </w:rPr>
        <w:t xml:space="preserve">This included support for syndromic surveillance for mass-gatherings at the Commonwealth Youth games in Samoa in 2015. </w:t>
      </w:r>
      <w:r w:rsidRPr="00287095">
        <w:rPr>
          <w:rFonts w:asciiTheme="minorHAnsi" w:eastAsiaTheme="minorHAnsi" w:hAnsiTheme="minorHAnsi" w:cstheme="minorBidi"/>
          <w:color w:val="495965" w:themeColor="text2"/>
          <w:sz w:val="22"/>
          <w:szCs w:val="22"/>
          <w:lang w:val="en-GB" w:eastAsia="en-US"/>
        </w:rPr>
        <w:t xml:space="preserve">Australia’s support to </w:t>
      </w:r>
      <w:r w:rsidR="00E81560">
        <w:rPr>
          <w:rFonts w:asciiTheme="minorHAnsi" w:eastAsiaTheme="minorHAnsi" w:hAnsiTheme="minorHAnsi" w:cstheme="minorBidi"/>
          <w:color w:val="495965" w:themeColor="text2"/>
          <w:sz w:val="22"/>
          <w:szCs w:val="22"/>
          <w:lang w:val="en-GB" w:eastAsia="en-US"/>
        </w:rPr>
        <w:t>WHO</w:t>
      </w:r>
      <w:r w:rsidRPr="00287095">
        <w:rPr>
          <w:rFonts w:asciiTheme="minorHAnsi" w:eastAsiaTheme="minorHAnsi" w:hAnsiTheme="minorHAnsi" w:cstheme="minorBidi"/>
          <w:color w:val="495965" w:themeColor="text2"/>
          <w:sz w:val="22"/>
          <w:szCs w:val="22"/>
          <w:lang w:val="en-GB" w:eastAsia="en-US"/>
        </w:rPr>
        <w:t xml:space="preserve"> contributed to improving the capacity of 13 countries to detect and respond to diseases outbreaks. Australia also supported the </w:t>
      </w:r>
      <w:r w:rsidR="00D330B3" w:rsidRPr="00287095">
        <w:rPr>
          <w:rFonts w:asciiTheme="minorHAnsi" w:eastAsiaTheme="minorHAnsi" w:hAnsiTheme="minorHAnsi" w:cstheme="minorBidi"/>
          <w:color w:val="495965" w:themeColor="text2"/>
          <w:sz w:val="22"/>
          <w:szCs w:val="22"/>
          <w:lang w:val="en-GB" w:eastAsia="en-US"/>
        </w:rPr>
        <w:t xml:space="preserve">development and implementation of the </w:t>
      </w:r>
      <w:proofErr w:type="spellStart"/>
      <w:r w:rsidRPr="00287095">
        <w:rPr>
          <w:rFonts w:asciiTheme="minorHAnsi" w:eastAsiaTheme="minorHAnsi" w:hAnsiTheme="minorHAnsi" w:cstheme="minorBidi"/>
          <w:color w:val="495965" w:themeColor="text2"/>
          <w:sz w:val="22"/>
          <w:szCs w:val="22"/>
          <w:lang w:val="en-GB" w:eastAsia="en-US"/>
        </w:rPr>
        <w:t>Zika</w:t>
      </w:r>
      <w:proofErr w:type="spellEnd"/>
      <w:r w:rsidRPr="00287095">
        <w:rPr>
          <w:rFonts w:asciiTheme="minorHAnsi" w:eastAsiaTheme="minorHAnsi" w:hAnsiTheme="minorHAnsi" w:cstheme="minorBidi"/>
          <w:color w:val="495965" w:themeColor="text2"/>
          <w:sz w:val="22"/>
          <w:szCs w:val="22"/>
          <w:lang w:val="en-GB" w:eastAsia="en-US"/>
        </w:rPr>
        <w:t xml:space="preserve"> Virus Action Plan for the Pacific</w:t>
      </w:r>
      <w:r w:rsidR="00D330B3" w:rsidRPr="00287095">
        <w:rPr>
          <w:rFonts w:asciiTheme="minorHAnsi" w:eastAsiaTheme="minorHAnsi" w:hAnsiTheme="minorHAnsi" w:cstheme="minorBidi"/>
          <w:color w:val="495965" w:themeColor="text2"/>
          <w:sz w:val="22"/>
          <w:szCs w:val="22"/>
          <w:lang w:val="en-GB" w:eastAsia="en-US"/>
        </w:rPr>
        <w:t xml:space="preserve"> to strengthen prevention, preparedness and response capacities, particularly in high risk countries.</w:t>
      </w:r>
    </w:p>
    <w:p w14:paraId="00144038" w14:textId="77777777" w:rsidR="00A32AEB" w:rsidRPr="00287095" w:rsidRDefault="00A32AEB"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Providing s</w:t>
      </w:r>
      <w:r w:rsidR="00282C0E">
        <w:rPr>
          <w:rFonts w:asciiTheme="minorHAnsi" w:eastAsiaTheme="minorHAnsi" w:hAnsiTheme="minorHAnsi" w:cstheme="minorBidi"/>
          <w:color w:val="495965" w:themeColor="text2"/>
          <w:sz w:val="22"/>
          <w:szCs w:val="22"/>
          <w:lang w:val="en-GB" w:eastAsia="en-US"/>
        </w:rPr>
        <w:t>pecialised clinical services:  T</w:t>
      </w:r>
      <w:r w:rsidRPr="00287095">
        <w:rPr>
          <w:rFonts w:asciiTheme="minorHAnsi" w:eastAsiaTheme="minorHAnsi" w:hAnsiTheme="minorHAnsi" w:cstheme="minorBidi"/>
          <w:color w:val="495965" w:themeColor="text2"/>
          <w:sz w:val="22"/>
          <w:szCs w:val="22"/>
          <w:lang w:val="en-GB" w:eastAsia="en-US"/>
        </w:rPr>
        <w:t>hrough the Royal Australasian College of Surgeons (RACS) Australia provided 46 specialist clinical service and mentoring visits to 9 countries. Over 6</w:t>
      </w:r>
      <w:r w:rsidR="00A75FE4" w:rsidRPr="00287095">
        <w:rPr>
          <w:rFonts w:asciiTheme="minorHAnsi" w:eastAsiaTheme="minorHAnsi" w:hAnsiTheme="minorHAnsi" w:cstheme="minorBidi"/>
          <w:color w:val="495965" w:themeColor="text2"/>
          <w:sz w:val="22"/>
          <w:szCs w:val="22"/>
          <w:lang w:val="en-GB" w:eastAsia="en-US"/>
        </w:rPr>
        <w:t>,</w:t>
      </w:r>
      <w:r w:rsidRPr="00287095">
        <w:rPr>
          <w:rFonts w:asciiTheme="minorHAnsi" w:eastAsiaTheme="minorHAnsi" w:hAnsiTheme="minorHAnsi" w:cstheme="minorBidi"/>
          <w:color w:val="495965" w:themeColor="text2"/>
          <w:sz w:val="22"/>
          <w:szCs w:val="22"/>
          <w:lang w:val="en-GB" w:eastAsia="en-US"/>
        </w:rPr>
        <w:t>000 individuals accessed consultations and approximately 1</w:t>
      </w:r>
      <w:r w:rsidR="00A75FE4" w:rsidRPr="00287095">
        <w:rPr>
          <w:rFonts w:asciiTheme="minorHAnsi" w:eastAsiaTheme="minorHAnsi" w:hAnsiTheme="minorHAnsi" w:cstheme="minorBidi"/>
          <w:color w:val="495965" w:themeColor="text2"/>
          <w:sz w:val="22"/>
          <w:szCs w:val="22"/>
          <w:lang w:val="en-GB" w:eastAsia="en-US"/>
        </w:rPr>
        <w:t>,</w:t>
      </w:r>
      <w:r w:rsidRPr="00287095">
        <w:rPr>
          <w:rFonts w:asciiTheme="minorHAnsi" w:eastAsiaTheme="minorHAnsi" w:hAnsiTheme="minorHAnsi" w:cstheme="minorBidi"/>
          <w:color w:val="495965" w:themeColor="text2"/>
          <w:sz w:val="22"/>
          <w:szCs w:val="22"/>
          <w:lang w:val="en-GB" w:eastAsia="en-US"/>
        </w:rPr>
        <w:t>593 individuals received surgical procedures.  29 Pacific doctors performed the lead surgeon role in 958 surgical procedures.  Strengthening Specialised Clinical Services in the Pacific program provided 14 Pacific countries with training, capacity building and coordination of services, inclusive of 18 short courses.</w:t>
      </w:r>
    </w:p>
    <w:p w14:paraId="23F0453D" w14:textId="77777777" w:rsidR="00A32AEB" w:rsidRPr="00287095" w:rsidRDefault="00A32AEB"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Health workforce development:  Australia provided core support to the College of Medicine, Nursing and Health Sciences at the Fiji National University which produced 613 graduates in 2015. Australia supported the development of a new post graduate course in pathology.</w:t>
      </w:r>
    </w:p>
    <w:p w14:paraId="539D0509" w14:textId="77777777" w:rsidR="00A32AEB" w:rsidRPr="00287095" w:rsidRDefault="00A32AEB"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 xml:space="preserve">Improving sexual and reproductive health: Australia’s support to the International Planned Parenthood Federation </w:t>
      </w:r>
      <w:r w:rsidR="00E81560">
        <w:rPr>
          <w:rFonts w:asciiTheme="minorHAnsi" w:eastAsiaTheme="minorHAnsi" w:hAnsiTheme="minorHAnsi" w:cstheme="minorBidi"/>
          <w:color w:val="495965" w:themeColor="text2"/>
          <w:sz w:val="22"/>
          <w:szCs w:val="22"/>
          <w:lang w:val="en-GB" w:eastAsia="en-US"/>
        </w:rPr>
        <w:t xml:space="preserve">(IPPF) </w:t>
      </w:r>
      <w:r w:rsidRPr="00287095">
        <w:rPr>
          <w:rFonts w:asciiTheme="minorHAnsi" w:eastAsiaTheme="minorHAnsi" w:hAnsiTheme="minorHAnsi" w:cstheme="minorBidi"/>
          <w:color w:val="495965" w:themeColor="text2"/>
          <w:sz w:val="22"/>
          <w:szCs w:val="22"/>
          <w:lang w:val="en-GB" w:eastAsia="en-US"/>
        </w:rPr>
        <w:t xml:space="preserve">contributed to improved access to sexual and reproductive health services for women and girls </w:t>
      </w:r>
      <w:r w:rsidR="00E81560">
        <w:rPr>
          <w:rFonts w:asciiTheme="minorHAnsi" w:eastAsiaTheme="minorHAnsi" w:hAnsiTheme="minorHAnsi" w:cstheme="minorBidi"/>
          <w:color w:val="495965" w:themeColor="text2"/>
          <w:sz w:val="22"/>
          <w:szCs w:val="22"/>
          <w:lang w:val="en-GB" w:eastAsia="en-US"/>
        </w:rPr>
        <w:t xml:space="preserve">in 8 Pacific Island countries. </w:t>
      </w:r>
      <w:r w:rsidRPr="00287095">
        <w:rPr>
          <w:rFonts w:asciiTheme="minorHAnsi" w:eastAsiaTheme="minorHAnsi" w:hAnsiTheme="minorHAnsi" w:cstheme="minorBidi"/>
          <w:color w:val="495965" w:themeColor="text2"/>
          <w:sz w:val="22"/>
          <w:szCs w:val="22"/>
          <w:lang w:val="en-GB" w:eastAsia="en-US"/>
        </w:rPr>
        <w:t>IPPF delivered 393,904 contraceptive services in 2015.  57% of services in the region were delivered to young people</w:t>
      </w:r>
      <w:r w:rsidR="00F73A1A">
        <w:rPr>
          <w:rFonts w:asciiTheme="minorHAnsi" w:eastAsiaTheme="minorHAnsi" w:hAnsiTheme="minorHAnsi" w:cstheme="minorBidi"/>
          <w:color w:val="495965" w:themeColor="text2"/>
          <w:sz w:val="22"/>
          <w:szCs w:val="22"/>
          <w:lang w:val="en-GB" w:eastAsia="en-US"/>
        </w:rPr>
        <w:t>.</w:t>
      </w:r>
    </w:p>
    <w:p w14:paraId="49D70382" w14:textId="77777777" w:rsidR="009D3E54" w:rsidRPr="00287095" w:rsidRDefault="00E90353" w:rsidP="00E90353">
      <w:pPr>
        <w:pStyle w:val="ListBullet"/>
        <w:numPr>
          <w:ilvl w:val="0"/>
          <w:numId w:val="39"/>
        </w:numPr>
        <w:tabs>
          <w:tab w:val="clear" w:pos="284"/>
        </w:tabs>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Support to</w:t>
      </w:r>
      <w:r w:rsidR="00282C0E">
        <w:rPr>
          <w:rFonts w:asciiTheme="minorHAnsi" w:eastAsiaTheme="minorHAnsi" w:hAnsiTheme="minorHAnsi" w:cstheme="minorBidi"/>
          <w:color w:val="495965" w:themeColor="text2"/>
          <w:sz w:val="22"/>
          <w:szCs w:val="22"/>
          <w:lang w:val="en-GB" w:eastAsia="en-US"/>
        </w:rPr>
        <w:t xml:space="preserve"> the Pacific Disability Forum: F</w:t>
      </w:r>
      <w:r w:rsidRPr="00287095">
        <w:rPr>
          <w:rFonts w:asciiTheme="minorHAnsi" w:eastAsiaTheme="minorHAnsi" w:hAnsiTheme="minorHAnsi" w:cstheme="minorBidi"/>
          <w:color w:val="495965" w:themeColor="text2"/>
          <w:sz w:val="22"/>
          <w:szCs w:val="22"/>
          <w:lang w:val="en-GB" w:eastAsia="en-US"/>
        </w:rPr>
        <w:t xml:space="preserve">inancial support, training and capacity building and coordination of national Disabled People’s Organisations (DPOs) at a regional level has resulted in increased DPO capacity. DPOs are now more able to engage with, and influence government and others. Australia’s leadership and commitment as the only major bilateral </w:t>
      </w:r>
      <w:r w:rsidR="00551ADA">
        <w:rPr>
          <w:rFonts w:asciiTheme="minorHAnsi" w:eastAsiaTheme="minorHAnsi" w:hAnsiTheme="minorHAnsi" w:cstheme="minorBidi"/>
          <w:color w:val="495965" w:themeColor="text2"/>
          <w:sz w:val="22"/>
          <w:szCs w:val="22"/>
          <w:lang w:val="en-GB" w:eastAsia="en-US"/>
        </w:rPr>
        <w:t>donor</w:t>
      </w:r>
      <w:r w:rsidRPr="00287095">
        <w:rPr>
          <w:rFonts w:asciiTheme="minorHAnsi" w:eastAsiaTheme="minorHAnsi" w:hAnsiTheme="minorHAnsi" w:cstheme="minorBidi"/>
          <w:color w:val="495965" w:themeColor="text2"/>
          <w:sz w:val="22"/>
          <w:szCs w:val="22"/>
          <w:lang w:val="en-GB" w:eastAsia="en-US"/>
        </w:rPr>
        <w:t xml:space="preserve"> for disability in the Pacific, has contributed to raising the profile of disability issues and setting new norms and standards across the region.</w:t>
      </w:r>
    </w:p>
    <w:p w14:paraId="58AE78E1" w14:textId="77777777" w:rsidR="00A32AEB" w:rsidRPr="00287095" w:rsidRDefault="00A32AEB" w:rsidP="00287095">
      <w:pPr>
        <w:pStyle w:val="BodyText"/>
      </w:pPr>
      <w:r w:rsidRPr="00287095">
        <w:lastRenderedPageBreak/>
        <w:t>Factors affecting progress and future actions</w:t>
      </w:r>
      <w:r w:rsidR="00287095">
        <w:t>:</w:t>
      </w:r>
    </w:p>
    <w:p w14:paraId="386023BC" w14:textId="77777777" w:rsidR="00F34801" w:rsidRPr="00287095" w:rsidRDefault="00A32AEB" w:rsidP="00A32AEB">
      <w:pPr>
        <w:pStyle w:val="BodyText"/>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In 2016-17, Australia will continue to focus on regional health security to improve detection and response to cross-border health threats. Australia will begin implementation of a new Pacific Regional Clinical Services and Workfo</w:t>
      </w:r>
      <w:r w:rsidR="00F34801">
        <w:rPr>
          <w:rFonts w:asciiTheme="minorHAnsi" w:eastAsiaTheme="minorHAnsi" w:hAnsiTheme="minorHAnsi" w:cstheme="minorBidi"/>
          <w:color w:val="495965" w:themeColor="text2"/>
          <w:sz w:val="22"/>
          <w:szCs w:val="22"/>
          <w:lang w:val="en-GB" w:eastAsia="en-US"/>
        </w:rPr>
        <w:t>rce Improvement Program (2016-</w:t>
      </w:r>
      <w:r w:rsidRPr="00287095">
        <w:rPr>
          <w:rFonts w:asciiTheme="minorHAnsi" w:eastAsiaTheme="minorHAnsi" w:hAnsiTheme="minorHAnsi" w:cstheme="minorBidi"/>
          <w:color w:val="495965" w:themeColor="text2"/>
          <w:sz w:val="22"/>
          <w:szCs w:val="22"/>
          <w:lang w:val="en-GB" w:eastAsia="en-US"/>
        </w:rPr>
        <w:t>21), and will support a regional response to non</w:t>
      </w:r>
      <w:r w:rsidR="00312CA8">
        <w:rPr>
          <w:rFonts w:asciiTheme="minorHAnsi" w:eastAsiaTheme="minorHAnsi" w:hAnsiTheme="minorHAnsi" w:cstheme="minorBidi"/>
          <w:color w:val="495965" w:themeColor="text2"/>
          <w:sz w:val="22"/>
          <w:szCs w:val="22"/>
          <w:lang w:val="en-GB" w:eastAsia="en-US"/>
        </w:rPr>
        <w:t>-communicable diseases</w:t>
      </w:r>
      <w:r w:rsidR="00250041" w:rsidRPr="00287095">
        <w:rPr>
          <w:rFonts w:asciiTheme="minorHAnsi" w:eastAsiaTheme="minorHAnsi" w:hAnsiTheme="minorHAnsi" w:cstheme="minorBidi"/>
          <w:color w:val="495965" w:themeColor="text2"/>
          <w:sz w:val="22"/>
          <w:szCs w:val="22"/>
          <w:lang w:val="en-GB" w:eastAsia="en-US"/>
        </w:rPr>
        <w:t xml:space="preserve">. The requirement for professional learning, consolidating skills and mentoring is growing in the region as the number of clinicians increases. Looking forward, there will be a stronger focus on continuing professional development for Pacific clinicians and strengthening regional health governance for issues that require regional collaboration. </w:t>
      </w:r>
      <w:r w:rsidR="00EE45B2" w:rsidRPr="00287095">
        <w:rPr>
          <w:rFonts w:asciiTheme="minorHAnsi" w:eastAsiaTheme="minorHAnsi" w:hAnsiTheme="minorHAnsi" w:cstheme="minorBidi"/>
          <w:color w:val="495965" w:themeColor="text2"/>
          <w:sz w:val="22"/>
          <w:szCs w:val="22"/>
          <w:lang w:val="en-GB" w:eastAsia="en-US"/>
        </w:rPr>
        <w:t>The evaluation of Australian Regional Support for Disability Inclusion in the Pacific, will help guide future investments to support people with disabilities.</w:t>
      </w:r>
    </w:p>
    <w:p w14:paraId="5B47AE86" w14:textId="77777777" w:rsidR="00D537B0" w:rsidRPr="00287095" w:rsidRDefault="00D537B0" w:rsidP="00287095">
      <w:pPr>
        <w:pStyle w:val="ListBullet"/>
        <w:tabs>
          <w:tab w:val="clear" w:pos="284"/>
        </w:tabs>
        <w:spacing w:before="240"/>
        <w:rPr>
          <w:rFonts w:asciiTheme="minorHAnsi" w:eastAsiaTheme="minorHAnsi" w:hAnsiTheme="minorHAnsi" w:cstheme="minorBidi"/>
          <w:b/>
          <w:color w:val="495965" w:themeColor="text2"/>
          <w:sz w:val="22"/>
          <w:szCs w:val="22"/>
          <w:lang w:val="en-GB" w:eastAsia="en-US"/>
        </w:rPr>
      </w:pPr>
      <w:r w:rsidRPr="00287095">
        <w:rPr>
          <w:rFonts w:asciiTheme="minorHAnsi" w:eastAsiaTheme="minorHAnsi" w:hAnsiTheme="minorHAnsi" w:cstheme="minorBidi"/>
          <w:b/>
          <w:color w:val="495965" w:themeColor="text2"/>
          <w:sz w:val="22"/>
          <w:szCs w:val="22"/>
          <w:lang w:val="en-GB" w:eastAsia="en-US"/>
        </w:rPr>
        <w:t>Climate change adaptation and disaster risk reduction</w:t>
      </w:r>
    </w:p>
    <w:p w14:paraId="67FF329A" w14:textId="77777777" w:rsidR="00D537B0" w:rsidRPr="00287095" w:rsidRDefault="00D537B0" w:rsidP="00287095">
      <w:pPr>
        <w:pStyle w:val="ListBullet"/>
        <w:tabs>
          <w:tab w:val="clear" w:pos="284"/>
        </w:tabs>
        <w:spacing w:before="120"/>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Climate change and natural disasters erode economic gains and exacerbate development challenges. Australia provides funding and technical support to help promote economic and social resilience to these impacts.  Australia also implements measures to protect aid investments that may be vulnerable to future climate risks.  For example, the regional program includes a number of activities which help communities manage drought and natural disasters, such as providing water tanks to resist droughts that may be caused by the 2015</w:t>
      </w:r>
      <w:r w:rsidRPr="00287095">
        <w:rPr>
          <w:rFonts w:asciiTheme="minorHAnsi" w:eastAsiaTheme="minorHAnsi" w:hAnsiTheme="minorHAnsi" w:cstheme="minorBidi"/>
          <w:color w:val="495965" w:themeColor="text2"/>
          <w:sz w:val="22"/>
          <w:szCs w:val="22"/>
          <w:lang w:val="en-GB" w:eastAsia="en-US"/>
        </w:rPr>
        <w:noBreakHyphen/>
        <w:t>16 strong El Niño event in the Pacific.</w:t>
      </w:r>
    </w:p>
    <w:p w14:paraId="44453BAD" w14:textId="77777777" w:rsidR="00D537B0" w:rsidRPr="00287095" w:rsidRDefault="00D537B0" w:rsidP="00287095">
      <w:pPr>
        <w:pStyle w:val="BodyText"/>
      </w:pPr>
      <w:r w:rsidRPr="00287095">
        <w:t>Key results:</w:t>
      </w:r>
    </w:p>
    <w:p w14:paraId="2F0F2DBF" w14:textId="77777777" w:rsidR="00D537B0" w:rsidRPr="00287095" w:rsidRDefault="00D537B0" w:rsidP="00D537B0">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The Climate and Oceans Support Program in the Pacific (</w:t>
      </w:r>
      <w:proofErr w:type="spellStart"/>
      <w:r w:rsidRPr="00287095">
        <w:rPr>
          <w:rFonts w:asciiTheme="minorHAnsi" w:eastAsiaTheme="minorHAnsi" w:hAnsiTheme="minorHAnsi" w:cstheme="minorBidi"/>
          <w:color w:val="495965" w:themeColor="text2"/>
          <w:sz w:val="22"/>
          <w:szCs w:val="22"/>
          <w:lang w:val="en-GB" w:eastAsia="en-US"/>
        </w:rPr>
        <w:t>COSPPac</w:t>
      </w:r>
      <w:proofErr w:type="spellEnd"/>
      <w:r w:rsidRPr="00287095">
        <w:rPr>
          <w:rFonts w:asciiTheme="minorHAnsi" w:eastAsiaTheme="minorHAnsi" w:hAnsiTheme="minorHAnsi" w:cstheme="minorBidi"/>
          <w:color w:val="495965" w:themeColor="text2"/>
          <w:sz w:val="22"/>
          <w:szCs w:val="22"/>
          <w:lang w:val="en-GB" w:eastAsia="en-US"/>
        </w:rPr>
        <w:t xml:space="preserve">) enabled improved decision making in the key area of energy through an innovative climate prediction project undertaken with the Samoa Meteorological Division and the Samoa Electric Power Corporation. Samoa is now able to better manage renewable energy supply through a customised water storage outlook tool that supports the country’s hydropower management. </w:t>
      </w:r>
    </w:p>
    <w:p w14:paraId="745AC051" w14:textId="77777777" w:rsidR="00D537B0" w:rsidRPr="00287095" w:rsidRDefault="00D537B0" w:rsidP="00D537B0">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proofErr w:type="spellStart"/>
      <w:r w:rsidRPr="00287095">
        <w:rPr>
          <w:rFonts w:asciiTheme="minorHAnsi" w:eastAsiaTheme="minorHAnsi" w:hAnsiTheme="minorHAnsi" w:cstheme="minorBidi"/>
          <w:color w:val="495965" w:themeColor="text2"/>
          <w:sz w:val="22"/>
          <w:szCs w:val="22"/>
          <w:lang w:val="en-GB" w:eastAsia="en-US"/>
        </w:rPr>
        <w:t>COSPPac</w:t>
      </w:r>
      <w:proofErr w:type="spellEnd"/>
      <w:r w:rsidRPr="00287095">
        <w:rPr>
          <w:rFonts w:asciiTheme="minorHAnsi" w:eastAsiaTheme="minorHAnsi" w:hAnsiTheme="minorHAnsi" w:cstheme="minorBidi"/>
          <w:color w:val="495965" w:themeColor="text2"/>
          <w:sz w:val="22"/>
          <w:szCs w:val="22"/>
          <w:lang w:val="en-GB" w:eastAsia="en-US"/>
        </w:rPr>
        <w:t xml:space="preserve"> also played a key role in supporting Pacific Island National Meteorological Services provide forecasts and regular updates on the status of the 2015-16 El </w:t>
      </w:r>
      <w:r w:rsidR="00312CA8" w:rsidRPr="00287095">
        <w:rPr>
          <w:rFonts w:asciiTheme="minorHAnsi" w:eastAsiaTheme="minorHAnsi" w:hAnsiTheme="minorHAnsi" w:cstheme="minorBidi"/>
          <w:color w:val="495965" w:themeColor="text2"/>
          <w:sz w:val="22"/>
          <w:szCs w:val="22"/>
          <w:lang w:val="en-GB" w:eastAsia="en-US"/>
        </w:rPr>
        <w:t xml:space="preserve">Niño </w:t>
      </w:r>
      <w:r w:rsidRPr="00287095">
        <w:rPr>
          <w:rFonts w:asciiTheme="minorHAnsi" w:eastAsiaTheme="minorHAnsi" w:hAnsiTheme="minorHAnsi" w:cstheme="minorBidi"/>
          <w:color w:val="495965" w:themeColor="text2"/>
          <w:sz w:val="22"/>
          <w:szCs w:val="22"/>
          <w:lang w:val="en-GB" w:eastAsia="en-US"/>
        </w:rPr>
        <w:t xml:space="preserve">event – one of the largest events on record. </w:t>
      </w:r>
      <w:r w:rsidR="00BA562C">
        <w:rPr>
          <w:rFonts w:asciiTheme="minorHAnsi" w:eastAsiaTheme="minorHAnsi" w:hAnsiTheme="minorHAnsi" w:cstheme="minorBidi"/>
          <w:color w:val="495965" w:themeColor="text2"/>
          <w:sz w:val="22"/>
          <w:szCs w:val="22"/>
          <w:lang w:val="en-GB" w:eastAsia="en-US"/>
        </w:rPr>
        <w:t xml:space="preserve">Australia assisted Pacific countries to produce a </w:t>
      </w:r>
      <w:r w:rsidRPr="00287095">
        <w:rPr>
          <w:rFonts w:asciiTheme="minorHAnsi" w:eastAsiaTheme="minorHAnsi" w:hAnsiTheme="minorHAnsi" w:cstheme="minorBidi"/>
          <w:color w:val="495965" w:themeColor="text2"/>
          <w:sz w:val="22"/>
          <w:szCs w:val="22"/>
          <w:lang w:val="en-GB" w:eastAsia="en-US"/>
        </w:rPr>
        <w:t xml:space="preserve">monthly climate bulletin, </w:t>
      </w:r>
      <w:r w:rsidR="00BA562C">
        <w:rPr>
          <w:rFonts w:asciiTheme="minorHAnsi" w:eastAsiaTheme="minorHAnsi" w:hAnsiTheme="minorHAnsi" w:cstheme="minorBidi"/>
          <w:color w:val="495965" w:themeColor="text2"/>
          <w:sz w:val="22"/>
          <w:szCs w:val="22"/>
          <w:lang w:val="en-GB" w:eastAsia="en-US"/>
        </w:rPr>
        <w:t xml:space="preserve">hold </w:t>
      </w:r>
      <w:r w:rsidRPr="00287095">
        <w:rPr>
          <w:rFonts w:asciiTheme="minorHAnsi" w:eastAsiaTheme="minorHAnsi" w:hAnsiTheme="minorHAnsi" w:cstheme="minorBidi"/>
          <w:color w:val="495965" w:themeColor="text2"/>
          <w:sz w:val="22"/>
          <w:szCs w:val="22"/>
          <w:lang w:val="en-GB" w:eastAsia="en-US"/>
        </w:rPr>
        <w:t xml:space="preserve">regular climate monitoring teleconferences and </w:t>
      </w:r>
      <w:r w:rsidR="00BA562C">
        <w:rPr>
          <w:rFonts w:asciiTheme="minorHAnsi" w:eastAsiaTheme="minorHAnsi" w:hAnsiTheme="minorHAnsi" w:cstheme="minorBidi"/>
          <w:color w:val="495965" w:themeColor="text2"/>
          <w:sz w:val="22"/>
          <w:szCs w:val="22"/>
          <w:lang w:val="en-GB" w:eastAsia="en-US"/>
        </w:rPr>
        <w:t xml:space="preserve">develop a </w:t>
      </w:r>
      <w:r w:rsidRPr="00287095">
        <w:rPr>
          <w:rFonts w:asciiTheme="minorHAnsi" w:eastAsiaTheme="minorHAnsi" w:hAnsiTheme="minorHAnsi" w:cstheme="minorBidi"/>
          <w:color w:val="495965" w:themeColor="text2"/>
          <w:sz w:val="22"/>
          <w:szCs w:val="22"/>
          <w:lang w:val="en-GB" w:eastAsia="en-US"/>
        </w:rPr>
        <w:t>specially-developed Ocean Portal</w:t>
      </w:r>
      <w:r w:rsidR="00BA562C">
        <w:rPr>
          <w:rFonts w:asciiTheme="minorHAnsi" w:eastAsiaTheme="minorHAnsi" w:hAnsiTheme="minorHAnsi" w:cstheme="minorBidi"/>
          <w:color w:val="495965" w:themeColor="text2"/>
          <w:sz w:val="22"/>
          <w:szCs w:val="22"/>
          <w:lang w:val="en-GB" w:eastAsia="en-US"/>
        </w:rPr>
        <w:t>.  Australia also assisted</w:t>
      </w:r>
      <w:r w:rsidRPr="00287095">
        <w:rPr>
          <w:rFonts w:asciiTheme="minorHAnsi" w:eastAsiaTheme="minorHAnsi" w:hAnsiTheme="minorHAnsi" w:cstheme="minorBidi"/>
          <w:color w:val="495965" w:themeColor="text2"/>
          <w:sz w:val="22"/>
          <w:szCs w:val="22"/>
          <w:lang w:val="en-GB" w:eastAsia="en-US"/>
        </w:rPr>
        <w:t xml:space="preserve"> </w:t>
      </w:r>
      <w:r w:rsidR="00BA562C">
        <w:rPr>
          <w:rFonts w:asciiTheme="minorHAnsi" w:eastAsiaTheme="minorHAnsi" w:hAnsiTheme="minorHAnsi" w:cstheme="minorBidi"/>
          <w:color w:val="495965" w:themeColor="text2"/>
          <w:sz w:val="22"/>
          <w:szCs w:val="22"/>
          <w:lang w:val="en-GB" w:eastAsia="en-US"/>
        </w:rPr>
        <w:t xml:space="preserve">a </w:t>
      </w:r>
      <w:r w:rsidRPr="00287095">
        <w:rPr>
          <w:rFonts w:asciiTheme="minorHAnsi" w:eastAsiaTheme="minorHAnsi" w:hAnsiTheme="minorHAnsi" w:cstheme="minorBidi"/>
          <w:color w:val="495965" w:themeColor="text2"/>
          <w:sz w:val="22"/>
          <w:szCs w:val="22"/>
          <w:lang w:val="en-GB" w:eastAsia="en-US"/>
        </w:rPr>
        <w:t xml:space="preserve">number of national meteorological services </w:t>
      </w:r>
      <w:r w:rsidR="00E81560">
        <w:rPr>
          <w:rFonts w:asciiTheme="minorHAnsi" w:eastAsiaTheme="minorHAnsi" w:hAnsiTheme="minorHAnsi" w:cstheme="minorBidi"/>
          <w:color w:val="495965" w:themeColor="text2"/>
          <w:sz w:val="22"/>
          <w:szCs w:val="22"/>
          <w:lang w:val="en-GB" w:eastAsia="en-US"/>
        </w:rPr>
        <w:t xml:space="preserve">to </w:t>
      </w:r>
      <w:r w:rsidRPr="00287095">
        <w:rPr>
          <w:rFonts w:asciiTheme="minorHAnsi" w:eastAsiaTheme="minorHAnsi" w:hAnsiTheme="minorHAnsi" w:cstheme="minorBidi"/>
          <w:color w:val="495965" w:themeColor="text2"/>
          <w:sz w:val="22"/>
          <w:szCs w:val="22"/>
          <w:lang w:val="en-GB" w:eastAsia="en-US"/>
        </w:rPr>
        <w:t>provid</w:t>
      </w:r>
      <w:r w:rsidR="00BA562C">
        <w:rPr>
          <w:rFonts w:asciiTheme="minorHAnsi" w:eastAsiaTheme="minorHAnsi" w:hAnsiTheme="minorHAnsi" w:cstheme="minorBidi"/>
          <w:color w:val="495965" w:themeColor="text2"/>
          <w:sz w:val="22"/>
          <w:szCs w:val="22"/>
          <w:lang w:val="en-GB" w:eastAsia="en-US"/>
        </w:rPr>
        <w:t>e</w:t>
      </w:r>
      <w:r w:rsidRPr="00287095">
        <w:rPr>
          <w:rFonts w:asciiTheme="minorHAnsi" w:eastAsiaTheme="minorHAnsi" w:hAnsiTheme="minorHAnsi" w:cstheme="minorBidi"/>
          <w:color w:val="495965" w:themeColor="text2"/>
          <w:sz w:val="22"/>
          <w:szCs w:val="22"/>
          <w:lang w:val="en-GB" w:eastAsia="en-US"/>
        </w:rPr>
        <w:t xml:space="preserve"> stakeholders with advanced warning of periods of suppressed rainfall, warmer than normal ocean temperatures and coral bleaching allowing for measures to reduce the socio-economic impacts associated with these extremes.</w:t>
      </w:r>
      <w:r w:rsidR="00BA562C">
        <w:rPr>
          <w:rFonts w:asciiTheme="minorHAnsi" w:eastAsiaTheme="minorHAnsi" w:hAnsiTheme="minorHAnsi" w:cstheme="minorBidi"/>
          <w:color w:val="495965" w:themeColor="text2"/>
          <w:sz w:val="22"/>
          <w:szCs w:val="22"/>
          <w:lang w:val="en-GB" w:eastAsia="en-US"/>
        </w:rPr>
        <w:t xml:space="preserve">  As a result</w:t>
      </w:r>
      <w:r w:rsidR="00BA562C" w:rsidRPr="00287095">
        <w:rPr>
          <w:rFonts w:asciiTheme="minorHAnsi" w:eastAsiaTheme="minorHAnsi" w:hAnsiTheme="minorHAnsi" w:cstheme="minorBidi"/>
          <w:color w:val="495965" w:themeColor="text2"/>
          <w:sz w:val="22"/>
          <w:szCs w:val="22"/>
          <w:lang w:val="en-GB" w:eastAsia="en-US"/>
        </w:rPr>
        <w:t>, partner countries ha</w:t>
      </w:r>
      <w:r w:rsidR="00BA562C">
        <w:rPr>
          <w:rFonts w:asciiTheme="minorHAnsi" w:eastAsiaTheme="minorHAnsi" w:hAnsiTheme="minorHAnsi" w:cstheme="minorBidi"/>
          <w:color w:val="495965" w:themeColor="text2"/>
          <w:sz w:val="22"/>
          <w:szCs w:val="22"/>
          <w:lang w:val="en-GB" w:eastAsia="en-US"/>
        </w:rPr>
        <w:t>ve</w:t>
      </w:r>
      <w:r w:rsidR="00BA562C" w:rsidRPr="00287095">
        <w:rPr>
          <w:rFonts w:asciiTheme="minorHAnsi" w:eastAsiaTheme="minorHAnsi" w:hAnsiTheme="minorHAnsi" w:cstheme="minorBidi"/>
          <w:color w:val="495965" w:themeColor="text2"/>
          <w:sz w:val="22"/>
          <w:szCs w:val="22"/>
          <w:lang w:val="en-GB" w:eastAsia="en-US"/>
        </w:rPr>
        <w:t xml:space="preserve"> more detailed climate and ocean information for this event than ever before.</w:t>
      </w:r>
    </w:p>
    <w:p w14:paraId="5890CBA6" w14:textId="77777777" w:rsidR="00D537B0" w:rsidRPr="00287095" w:rsidRDefault="00C30721" w:rsidP="00D537B0">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The Pacific Risk Resilience Program (PRRP) strengthened resilience in four disaster-prone countries</w:t>
      </w:r>
      <w:r w:rsidR="00BA562C">
        <w:rPr>
          <w:rFonts w:asciiTheme="minorHAnsi" w:eastAsiaTheme="minorHAnsi" w:hAnsiTheme="minorHAnsi" w:cstheme="minorBidi"/>
          <w:color w:val="495965" w:themeColor="text2"/>
          <w:sz w:val="22"/>
          <w:szCs w:val="22"/>
          <w:lang w:val="en-GB" w:eastAsia="en-US"/>
        </w:rPr>
        <w:t>, working with communities</w:t>
      </w:r>
      <w:r w:rsidRPr="00287095">
        <w:rPr>
          <w:rFonts w:asciiTheme="minorHAnsi" w:eastAsiaTheme="minorHAnsi" w:hAnsiTheme="minorHAnsi" w:cstheme="minorBidi"/>
          <w:color w:val="495965" w:themeColor="text2"/>
          <w:sz w:val="22"/>
          <w:szCs w:val="22"/>
          <w:lang w:val="en-GB" w:eastAsia="en-US"/>
        </w:rPr>
        <w:t xml:space="preserve"> in Fiji, Tonga, Solomon Islands and Vanuatu</w:t>
      </w:r>
      <w:r w:rsidR="00551ADA">
        <w:rPr>
          <w:rFonts w:asciiTheme="minorHAnsi" w:eastAsiaTheme="minorHAnsi" w:hAnsiTheme="minorHAnsi" w:cstheme="minorBidi"/>
          <w:color w:val="495965" w:themeColor="text2"/>
          <w:sz w:val="22"/>
          <w:szCs w:val="22"/>
          <w:lang w:val="en-GB" w:eastAsia="en-US"/>
        </w:rPr>
        <w:t xml:space="preserve"> to</w:t>
      </w:r>
      <w:r w:rsidRPr="00287095">
        <w:rPr>
          <w:rFonts w:asciiTheme="minorHAnsi" w:eastAsiaTheme="minorHAnsi" w:hAnsiTheme="minorHAnsi" w:cstheme="minorBidi"/>
          <w:color w:val="495965" w:themeColor="text2"/>
          <w:sz w:val="22"/>
          <w:szCs w:val="22"/>
          <w:lang w:val="en-GB" w:eastAsia="en-US"/>
        </w:rPr>
        <w:t xml:space="preserve"> identify risks and needs,</w:t>
      </w:r>
      <w:r w:rsidR="00551ADA">
        <w:rPr>
          <w:rFonts w:asciiTheme="minorHAnsi" w:eastAsiaTheme="minorHAnsi" w:hAnsiTheme="minorHAnsi" w:cstheme="minorBidi"/>
          <w:color w:val="495965" w:themeColor="text2"/>
          <w:sz w:val="22"/>
          <w:szCs w:val="22"/>
          <w:lang w:val="en-GB" w:eastAsia="en-US"/>
        </w:rPr>
        <w:t xml:space="preserve"> and</w:t>
      </w:r>
      <w:r w:rsidRPr="00287095">
        <w:rPr>
          <w:rFonts w:asciiTheme="minorHAnsi" w:eastAsiaTheme="minorHAnsi" w:hAnsiTheme="minorHAnsi" w:cstheme="minorBidi"/>
          <w:color w:val="495965" w:themeColor="text2"/>
          <w:sz w:val="22"/>
          <w:szCs w:val="22"/>
          <w:lang w:val="en-GB" w:eastAsia="en-US"/>
        </w:rPr>
        <w:t xml:space="preserve"> formulate and implement sustainable responses. In Fiji, </w:t>
      </w:r>
      <w:r w:rsidR="00BA562C">
        <w:rPr>
          <w:rFonts w:asciiTheme="minorHAnsi" w:eastAsiaTheme="minorHAnsi" w:hAnsiTheme="minorHAnsi" w:cstheme="minorBidi"/>
          <w:color w:val="495965" w:themeColor="text2"/>
          <w:sz w:val="22"/>
          <w:szCs w:val="22"/>
          <w:lang w:val="en-GB" w:eastAsia="en-US"/>
        </w:rPr>
        <w:t xml:space="preserve">a </w:t>
      </w:r>
      <w:r w:rsidRPr="00287095">
        <w:rPr>
          <w:rFonts w:asciiTheme="minorHAnsi" w:eastAsiaTheme="minorHAnsi" w:hAnsiTheme="minorHAnsi" w:cstheme="minorBidi"/>
          <w:color w:val="495965" w:themeColor="text2"/>
          <w:sz w:val="22"/>
          <w:szCs w:val="22"/>
          <w:lang w:val="en-GB" w:eastAsia="en-US"/>
        </w:rPr>
        <w:t xml:space="preserve">public-private partnership in </w:t>
      </w:r>
      <w:proofErr w:type="spellStart"/>
      <w:r w:rsidRPr="00287095">
        <w:rPr>
          <w:rFonts w:asciiTheme="minorHAnsi" w:eastAsiaTheme="minorHAnsi" w:hAnsiTheme="minorHAnsi" w:cstheme="minorBidi"/>
          <w:color w:val="495965" w:themeColor="text2"/>
          <w:sz w:val="22"/>
          <w:szCs w:val="22"/>
          <w:lang w:val="en-GB" w:eastAsia="en-US"/>
        </w:rPr>
        <w:t>Yasawa</w:t>
      </w:r>
      <w:proofErr w:type="spellEnd"/>
      <w:r w:rsidRPr="00287095">
        <w:rPr>
          <w:rFonts w:asciiTheme="minorHAnsi" w:eastAsiaTheme="minorHAnsi" w:hAnsiTheme="minorHAnsi" w:cstheme="minorBidi"/>
          <w:color w:val="495965" w:themeColor="text2"/>
          <w:sz w:val="22"/>
          <w:szCs w:val="22"/>
          <w:lang w:val="en-GB" w:eastAsia="en-US"/>
        </w:rPr>
        <w:t xml:space="preserve"> Islands was developed incorporating a community Food Bank project and agriculture knowledge hub; climate change and disaster risks included in 7 school safety plans in remote and high risk areas in Vanuatu; SMS technology for disaster awareness raising was implemented in partnership with </w:t>
      </w:r>
      <w:proofErr w:type="spellStart"/>
      <w:r w:rsidRPr="00287095">
        <w:rPr>
          <w:rFonts w:asciiTheme="minorHAnsi" w:eastAsiaTheme="minorHAnsi" w:hAnsiTheme="minorHAnsi" w:cstheme="minorBidi"/>
          <w:color w:val="495965" w:themeColor="text2"/>
          <w:sz w:val="22"/>
          <w:szCs w:val="22"/>
          <w:lang w:val="en-GB" w:eastAsia="en-US"/>
        </w:rPr>
        <w:t>Digicel</w:t>
      </w:r>
      <w:proofErr w:type="spellEnd"/>
      <w:r w:rsidRPr="00287095">
        <w:rPr>
          <w:rFonts w:asciiTheme="minorHAnsi" w:eastAsiaTheme="minorHAnsi" w:hAnsiTheme="minorHAnsi" w:cstheme="minorBidi"/>
          <w:color w:val="495965" w:themeColor="text2"/>
          <w:sz w:val="22"/>
          <w:szCs w:val="22"/>
          <w:lang w:val="en-GB" w:eastAsia="en-US"/>
        </w:rPr>
        <w:t xml:space="preserve"> in Vanuatu and Tonga; </w:t>
      </w:r>
      <w:r w:rsidR="009B1DBC">
        <w:rPr>
          <w:rFonts w:asciiTheme="minorHAnsi" w:eastAsiaTheme="minorHAnsi" w:hAnsiTheme="minorHAnsi" w:cstheme="minorBidi"/>
          <w:color w:val="495965" w:themeColor="text2"/>
          <w:sz w:val="22"/>
          <w:szCs w:val="22"/>
          <w:lang w:val="en-GB" w:eastAsia="en-US"/>
        </w:rPr>
        <w:t xml:space="preserve">and </w:t>
      </w:r>
      <w:r w:rsidRPr="00287095">
        <w:rPr>
          <w:rFonts w:asciiTheme="minorHAnsi" w:eastAsiaTheme="minorHAnsi" w:hAnsiTheme="minorHAnsi" w:cstheme="minorBidi"/>
          <w:color w:val="495965" w:themeColor="text2"/>
          <w:sz w:val="22"/>
          <w:szCs w:val="22"/>
          <w:lang w:val="en-GB" w:eastAsia="en-US"/>
        </w:rPr>
        <w:t xml:space="preserve">21 schools in </w:t>
      </w:r>
      <w:proofErr w:type="spellStart"/>
      <w:r w:rsidRPr="00287095">
        <w:rPr>
          <w:rFonts w:asciiTheme="minorHAnsi" w:eastAsiaTheme="minorHAnsi" w:hAnsiTheme="minorHAnsi" w:cstheme="minorBidi"/>
          <w:color w:val="495965" w:themeColor="text2"/>
          <w:sz w:val="22"/>
          <w:szCs w:val="22"/>
          <w:lang w:val="en-GB" w:eastAsia="en-US"/>
        </w:rPr>
        <w:t>Temotu</w:t>
      </w:r>
      <w:proofErr w:type="spellEnd"/>
      <w:r w:rsidRPr="00287095">
        <w:rPr>
          <w:rFonts w:asciiTheme="minorHAnsi" w:eastAsiaTheme="minorHAnsi" w:hAnsiTheme="minorHAnsi" w:cstheme="minorBidi"/>
          <w:color w:val="495965" w:themeColor="text2"/>
          <w:sz w:val="22"/>
          <w:szCs w:val="22"/>
          <w:lang w:val="en-GB" w:eastAsia="en-US"/>
        </w:rPr>
        <w:t xml:space="preserve"> Province in Solomon Island assisted through school disaster management plans</w:t>
      </w:r>
      <w:r w:rsidR="00D537B0" w:rsidRPr="00287095">
        <w:rPr>
          <w:rFonts w:asciiTheme="minorHAnsi" w:eastAsiaTheme="minorHAnsi" w:hAnsiTheme="minorHAnsi" w:cstheme="minorBidi"/>
          <w:color w:val="495965" w:themeColor="text2"/>
          <w:sz w:val="22"/>
          <w:szCs w:val="22"/>
          <w:lang w:val="en-GB" w:eastAsia="en-US"/>
        </w:rPr>
        <w:t>.</w:t>
      </w:r>
    </w:p>
    <w:p w14:paraId="45E1929F" w14:textId="77777777" w:rsidR="00D537B0" w:rsidRPr="00287095" w:rsidRDefault="00D537B0" w:rsidP="00287095">
      <w:pPr>
        <w:pStyle w:val="BodyText"/>
      </w:pPr>
      <w:r w:rsidRPr="00287095">
        <w:t>Factors affecting progress and future actions</w:t>
      </w:r>
    </w:p>
    <w:p w14:paraId="79C2A624" w14:textId="77777777" w:rsidR="005907D8" w:rsidRPr="00287095" w:rsidRDefault="00D537B0" w:rsidP="005907D8">
      <w:pPr>
        <w:spacing w:after="160" w:line="280" w:lineRule="exact"/>
      </w:pPr>
      <w:r w:rsidRPr="00287095">
        <w:t>Australia will use its influence with global, multilateral and other development partners to ensure the region has sustained access to climate finance.  For example, through our roles as Co-Chair and a member of the Green Climate Fund Board, Australia has supported information sessions and a regional workshop in 2015 (and another planned for 2016) as well as other advocacy initiatives to raise the awareness of the Fund and help Pacific countries to access funding and develop Green Climate Fund projects.</w:t>
      </w:r>
      <w:r w:rsidR="005907D8" w:rsidRPr="00287095">
        <w:t xml:space="preserve"> </w:t>
      </w:r>
    </w:p>
    <w:p w14:paraId="3B6C9EC0" w14:textId="77777777" w:rsidR="00C10C54" w:rsidRPr="00287095" w:rsidRDefault="00D537B0" w:rsidP="00EE45B2">
      <w:pPr>
        <w:spacing w:after="200" w:line="276" w:lineRule="auto"/>
      </w:pPr>
      <w:r w:rsidRPr="00287095">
        <w:lastRenderedPageBreak/>
        <w:t xml:space="preserve">Australia supported regional organisations, including the SPC and SPREP, to develop a </w:t>
      </w:r>
      <w:r w:rsidR="00F34801">
        <w:t>framework</w:t>
      </w:r>
      <w:r w:rsidRPr="00287095">
        <w:t xml:space="preserve"> for Disaster and Climate Resilient Development. We will support high-level endorsement of the </w:t>
      </w:r>
      <w:r w:rsidR="00F34801">
        <w:t>framework</w:t>
      </w:r>
      <w:r w:rsidRPr="00287095">
        <w:t xml:space="preserve"> in 2016 and will work </w:t>
      </w:r>
      <w:r w:rsidR="00E81560">
        <w:t>with PIFS</w:t>
      </w:r>
      <w:r w:rsidRPr="00287095">
        <w:t xml:space="preserve"> to implement it.</w:t>
      </w:r>
    </w:p>
    <w:p w14:paraId="51130656" w14:textId="77777777" w:rsidR="00C0733A" w:rsidRDefault="00C0733A" w:rsidP="00F3555F">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4: empowering women and girls</w:t>
      </w:r>
    </w:p>
    <w:p w14:paraId="61E7023B" w14:textId="28FB571C" w:rsidR="00C0733A" w:rsidRPr="00287095" w:rsidRDefault="00C0733A" w:rsidP="00C0733A">
      <w:pPr>
        <w:pStyle w:val="BodyText"/>
        <w:rPr>
          <w:rFonts w:asciiTheme="minorHAnsi" w:eastAsiaTheme="minorHAnsi" w:hAnsiTheme="minorHAnsi" w:cstheme="minorBidi"/>
          <w:color w:val="495965" w:themeColor="text2"/>
          <w:sz w:val="22"/>
          <w:szCs w:val="22"/>
          <w:lang w:val="en-GB" w:eastAsia="en-US"/>
        </w:rPr>
      </w:pPr>
      <w:r w:rsidRPr="00B7290C">
        <w:rPr>
          <w:rFonts w:asciiTheme="minorHAnsi" w:eastAsiaTheme="minorHAnsi" w:hAnsiTheme="minorHAnsi" w:cstheme="minorBidi"/>
          <w:sz w:val="22"/>
          <w:szCs w:val="22"/>
          <w:lang w:val="en-GB" w:eastAsia="en-US"/>
        </w:rPr>
        <w:t xml:space="preserve">Working with governments and communities across the Pacific to achieve gender equality is core business for the Australian Government.  Three areas of gender equality:  eliminating violence against women; increasing women’s economic empowerment and improving leadership for women are all directly relevant to our national interest objective of a stable, </w:t>
      </w:r>
      <w:r w:rsidR="00287095" w:rsidRPr="00B7290C">
        <w:rPr>
          <w:rFonts w:asciiTheme="minorHAnsi" w:eastAsiaTheme="minorHAnsi" w:hAnsiTheme="minorHAnsi" w:cstheme="minorBidi"/>
          <w:sz w:val="22"/>
          <w:szCs w:val="22"/>
          <w:lang w:val="en-GB" w:eastAsia="en-US"/>
        </w:rPr>
        <w:t xml:space="preserve">secure and prosperous Pacific. </w:t>
      </w:r>
      <w:r w:rsidRPr="00B7290C">
        <w:rPr>
          <w:rFonts w:asciiTheme="minorHAnsi" w:eastAsiaTheme="minorHAnsi" w:hAnsiTheme="minorHAnsi" w:cstheme="minorBidi"/>
          <w:sz w:val="22"/>
          <w:szCs w:val="22"/>
          <w:lang w:val="en-GB" w:eastAsia="en-US"/>
        </w:rPr>
        <w:t xml:space="preserve">Regional program investments in this sector performed highly, accounting for its Green rating. A significant contribution toward this objective is also made by other investments in the regional program, which are all encouraged to include gender-positive aspects. </w:t>
      </w:r>
      <w:r w:rsidR="00BA562C" w:rsidRPr="00B7290C">
        <w:rPr>
          <w:rFonts w:asciiTheme="minorHAnsi" w:eastAsiaTheme="minorHAnsi" w:hAnsiTheme="minorHAnsi" w:cstheme="minorBidi"/>
          <w:sz w:val="22"/>
          <w:szCs w:val="22"/>
          <w:lang w:val="en-GB" w:eastAsia="en-US"/>
        </w:rPr>
        <w:t>While ratings have improved</w:t>
      </w:r>
      <w:r w:rsidRPr="00B7290C">
        <w:rPr>
          <w:rFonts w:asciiTheme="minorHAnsi" w:eastAsiaTheme="minorHAnsi" w:hAnsiTheme="minorHAnsi" w:cstheme="minorBidi"/>
          <w:sz w:val="22"/>
          <w:szCs w:val="22"/>
          <w:lang w:val="en-GB" w:eastAsia="en-US"/>
        </w:rPr>
        <w:t>, greater efforts are needed to ensure that women and girls are empowered through these other investments.</w:t>
      </w:r>
    </w:p>
    <w:p w14:paraId="764D8E56" w14:textId="77777777" w:rsidR="00C0733A" w:rsidRPr="00287095" w:rsidRDefault="00C0733A" w:rsidP="00287095">
      <w:pPr>
        <w:pStyle w:val="BodyText"/>
      </w:pPr>
      <w:r w:rsidRPr="00287095">
        <w:t>Key results:</w:t>
      </w:r>
    </w:p>
    <w:p w14:paraId="185A7194"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The Pacific Women's Parliamentary Forums have provided an avenue for Pacific women parliamentarians to discuss gender equality issues - the 2016 Forum brought together over 60 Pacific MPs to discuss how parliaments can respond to women’s economic empowerment.</w:t>
      </w:r>
      <w:r w:rsidR="00BA562C" w:rsidRPr="00287095">
        <w:rPr>
          <w:rFonts w:asciiTheme="minorHAnsi" w:eastAsiaTheme="minorHAnsi" w:hAnsiTheme="minorHAnsi" w:cstheme="minorBidi"/>
          <w:color w:val="495965" w:themeColor="text2"/>
          <w:sz w:val="22"/>
          <w:szCs w:val="22"/>
          <w:lang w:val="en-GB" w:eastAsia="en-US"/>
        </w:rPr>
        <w:t xml:space="preserve"> </w:t>
      </w:r>
    </w:p>
    <w:p w14:paraId="60C409D0"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In 2015, gender stocktakes were completed in Fiji and Nauru; eight countries have now developed work plans detailing a strategy to support their government’s enabling environment for mainstreaming gender; five countries have reviewed and / or developed their national gender policy; eight countries have enhanced capacity to produce gender and human rights statistics; and three countries have developed a gender statistics profile.</w:t>
      </w:r>
      <w:r w:rsidR="00BA562C" w:rsidRPr="00287095">
        <w:rPr>
          <w:rFonts w:asciiTheme="minorHAnsi" w:eastAsiaTheme="minorHAnsi" w:hAnsiTheme="minorHAnsi" w:cstheme="minorBidi"/>
          <w:color w:val="495965" w:themeColor="text2"/>
          <w:sz w:val="22"/>
          <w:szCs w:val="22"/>
          <w:lang w:val="en-GB" w:eastAsia="en-US"/>
        </w:rPr>
        <w:t xml:space="preserve"> </w:t>
      </w:r>
    </w:p>
    <w:p w14:paraId="5BB9629A"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Under Markets for Change, implemented by U</w:t>
      </w:r>
      <w:r w:rsidR="00E81560">
        <w:rPr>
          <w:rFonts w:asciiTheme="minorHAnsi" w:eastAsiaTheme="minorHAnsi" w:hAnsiTheme="minorHAnsi" w:cstheme="minorBidi"/>
          <w:color w:val="495965" w:themeColor="text2"/>
          <w:sz w:val="22"/>
          <w:szCs w:val="22"/>
          <w:lang w:val="en-GB" w:eastAsia="en-US"/>
        </w:rPr>
        <w:t xml:space="preserve">nited </w:t>
      </w:r>
      <w:r w:rsidRPr="00BA562C">
        <w:rPr>
          <w:rFonts w:asciiTheme="minorHAnsi" w:eastAsiaTheme="minorHAnsi" w:hAnsiTheme="minorHAnsi" w:cstheme="minorBidi"/>
          <w:color w:val="495965" w:themeColor="text2"/>
          <w:sz w:val="22"/>
          <w:szCs w:val="22"/>
          <w:lang w:val="en-GB" w:eastAsia="en-US"/>
        </w:rPr>
        <w:t>N</w:t>
      </w:r>
      <w:r w:rsidR="00E81560">
        <w:rPr>
          <w:rFonts w:asciiTheme="minorHAnsi" w:eastAsiaTheme="minorHAnsi" w:hAnsiTheme="minorHAnsi" w:cstheme="minorBidi"/>
          <w:color w:val="495965" w:themeColor="text2"/>
          <w:sz w:val="22"/>
          <w:szCs w:val="22"/>
          <w:lang w:val="en-GB" w:eastAsia="en-US"/>
        </w:rPr>
        <w:t>ations</w:t>
      </w:r>
      <w:r w:rsidRPr="00BA562C">
        <w:rPr>
          <w:rFonts w:asciiTheme="minorHAnsi" w:eastAsiaTheme="minorHAnsi" w:hAnsiTheme="minorHAnsi" w:cstheme="minorBidi"/>
          <w:color w:val="495965" w:themeColor="text2"/>
          <w:sz w:val="22"/>
          <w:szCs w:val="22"/>
          <w:lang w:val="en-GB" w:eastAsia="en-US"/>
        </w:rPr>
        <w:t xml:space="preserve"> Women, the physical infrastructure of two marketplaces in Fiji (</w:t>
      </w:r>
      <w:proofErr w:type="spellStart"/>
      <w:r w:rsidRPr="00BA562C">
        <w:rPr>
          <w:rFonts w:asciiTheme="minorHAnsi" w:eastAsiaTheme="minorHAnsi" w:hAnsiTheme="minorHAnsi" w:cstheme="minorBidi"/>
          <w:color w:val="495965" w:themeColor="text2"/>
          <w:sz w:val="22"/>
          <w:szCs w:val="22"/>
          <w:lang w:val="en-GB" w:eastAsia="en-US"/>
        </w:rPr>
        <w:t>Labasa</w:t>
      </w:r>
      <w:proofErr w:type="spellEnd"/>
      <w:r w:rsidRPr="00BA562C">
        <w:rPr>
          <w:rFonts w:asciiTheme="minorHAnsi" w:eastAsiaTheme="minorHAnsi" w:hAnsiTheme="minorHAnsi" w:cstheme="minorBidi"/>
          <w:color w:val="495965" w:themeColor="text2"/>
          <w:sz w:val="22"/>
          <w:szCs w:val="22"/>
          <w:lang w:val="en-GB" w:eastAsia="en-US"/>
        </w:rPr>
        <w:t xml:space="preserve"> and </w:t>
      </w:r>
      <w:proofErr w:type="spellStart"/>
      <w:r w:rsidRPr="00BA562C">
        <w:rPr>
          <w:rFonts w:asciiTheme="minorHAnsi" w:eastAsiaTheme="minorHAnsi" w:hAnsiTheme="minorHAnsi" w:cstheme="minorBidi"/>
          <w:color w:val="495965" w:themeColor="text2"/>
          <w:sz w:val="22"/>
          <w:szCs w:val="22"/>
          <w:lang w:val="en-GB" w:eastAsia="en-US"/>
        </w:rPr>
        <w:t>Lautoka</w:t>
      </w:r>
      <w:proofErr w:type="spellEnd"/>
      <w:r w:rsidRPr="00BA562C">
        <w:rPr>
          <w:rFonts w:asciiTheme="minorHAnsi" w:eastAsiaTheme="minorHAnsi" w:hAnsiTheme="minorHAnsi" w:cstheme="minorBidi"/>
          <w:color w:val="495965" w:themeColor="text2"/>
          <w:sz w:val="22"/>
          <w:szCs w:val="22"/>
          <w:lang w:val="en-GB" w:eastAsia="en-US"/>
        </w:rPr>
        <w:t>) was improved to better promote safety and access for its users, directly benefiting 1,600 market vendors (1,100 women and 500 men) operating out of those markets. Construction began in a third market (Ba). The market serves an estimated 360 vendors (161 women and 199 men).</w:t>
      </w:r>
      <w:r w:rsidR="00BA562C" w:rsidRPr="00287095">
        <w:rPr>
          <w:rFonts w:asciiTheme="minorHAnsi" w:eastAsiaTheme="minorHAnsi" w:hAnsiTheme="minorHAnsi" w:cstheme="minorBidi"/>
          <w:color w:val="495965" w:themeColor="text2"/>
          <w:sz w:val="22"/>
          <w:szCs w:val="22"/>
          <w:lang w:val="en-GB" w:eastAsia="en-US"/>
        </w:rPr>
        <w:t xml:space="preserve"> </w:t>
      </w:r>
    </w:p>
    <w:p w14:paraId="72089951"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Legislation on gender and family violence is a foundation for violence prevention and justice for survivors.  The Regional Rights Resource Team has drafted a new Family Bill for Niue, commenced drafting a Domestic Violence Bill for Nauru and reviewed a draft Bill for the Cook Islands.</w:t>
      </w:r>
      <w:r w:rsidR="00BA562C" w:rsidRPr="00287095">
        <w:rPr>
          <w:rFonts w:asciiTheme="minorHAnsi" w:eastAsiaTheme="minorHAnsi" w:hAnsiTheme="minorHAnsi" w:cstheme="minorBidi"/>
          <w:color w:val="495965" w:themeColor="text2"/>
          <w:sz w:val="22"/>
          <w:szCs w:val="22"/>
          <w:lang w:val="en-GB" w:eastAsia="en-US"/>
        </w:rPr>
        <w:t xml:space="preserve"> </w:t>
      </w:r>
    </w:p>
    <w:p w14:paraId="4EEE9D6E"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 xml:space="preserve">Through a partnership with UNICEF, Legal and regulatory frameworks for child protection have been strengthened or are currently being reformed in seven countries. </w:t>
      </w:r>
      <w:r w:rsidR="0069652A">
        <w:rPr>
          <w:rFonts w:asciiTheme="minorHAnsi" w:eastAsiaTheme="minorHAnsi" w:hAnsiTheme="minorHAnsi" w:cstheme="minorBidi"/>
          <w:color w:val="495965" w:themeColor="text2"/>
          <w:sz w:val="22"/>
          <w:szCs w:val="22"/>
          <w:lang w:val="en-GB" w:eastAsia="en-US"/>
        </w:rPr>
        <w:t xml:space="preserve">Laws have been strengthened in </w:t>
      </w:r>
      <w:r w:rsidRPr="00BA562C">
        <w:rPr>
          <w:rFonts w:asciiTheme="minorHAnsi" w:eastAsiaTheme="minorHAnsi" w:hAnsiTheme="minorHAnsi" w:cstheme="minorBidi"/>
          <w:color w:val="495965" w:themeColor="text2"/>
          <w:sz w:val="22"/>
          <w:szCs w:val="22"/>
          <w:lang w:val="en-GB" w:eastAsia="en-US"/>
        </w:rPr>
        <w:t>Kiribati (Juvenile Justice Act), R</w:t>
      </w:r>
      <w:r w:rsidR="00C10C54">
        <w:rPr>
          <w:rFonts w:asciiTheme="minorHAnsi" w:eastAsiaTheme="minorHAnsi" w:hAnsiTheme="minorHAnsi" w:cstheme="minorBidi"/>
          <w:color w:val="495965" w:themeColor="text2"/>
          <w:sz w:val="22"/>
          <w:szCs w:val="22"/>
          <w:lang w:val="en-GB" w:eastAsia="en-US"/>
        </w:rPr>
        <w:t xml:space="preserve">epublic of the </w:t>
      </w:r>
      <w:r w:rsidRPr="00BA562C">
        <w:rPr>
          <w:rFonts w:asciiTheme="minorHAnsi" w:eastAsiaTheme="minorHAnsi" w:hAnsiTheme="minorHAnsi" w:cstheme="minorBidi"/>
          <w:color w:val="495965" w:themeColor="text2"/>
          <w:sz w:val="22"/>
          <w:szCs w:val="22"/>
          <w:lang w:val="en-GB" w:eastAsia="en-US"/>
        </w:rPr>
        <w:t>M</w:t>
      </w:r>
      <w:r w:rsidR="00C10C54">
        <w:rPr>
          <w:rFonts w:asciiTheme="minorHAnsi" w:eastAsiaTheme="minorHAnsi" w:hAnsiTheme="minorHAnsi" w:cstheme="minorBidi"/>
          <w:color w:val="495965" w:themeColor="text2"/>
          <w:sz w:val="22"/>
          <w:szCs w:val="22"/>
          <w:lang w:val="en-GB" w:eastAsia="en-US"/>
        </w:rPr>
        <w:t>arshal Islands</w:t>
      </w:r>
      <w:r w:rsidRPr="00BA562C">
        <w:rPr>
          <w:rFonts w:asciiTheme="minorHAnsi" w:eastAsiaTheme="minorHAnsi" w:hAnsiTheme="minorHAnsi" w:cstheme="minorBidi"/>
          <w:color w:val="495965" w:themeColor="text2"/>
          <w:sz w:val="22"/>
          <w:szCs w:val="22"/>
          <w:lang w:val="en-GB" w:eastAsia="en-US"/>
        </w:rPr>
        <w:t xml:space="preserve"> (Disability Act), Samoa (Child Care and Protection Bill) and Solomon Islands (Child and Family Welfare Bill). The Government of Kiribati acceded to the Optional Protocol on the sale of children, child prostitution and child pornography and children involved in armed conflict</w:t>
      </w:r>
      <w:r w:rsidR="00551ADA" w:rsidRPr="00BA562C">
        <w:rPr>
          <w:rFonts w:asciiTheme="minorHAnsi" w:eastAsiaTheme="minorHAnsi" w:hAnsiTheme="minorHAnsi" w:cstheme="minorBidi"/>
          <w:color w:val="495965" w:themeColor="text2"/>
          <w:sz w:val="22"/>
          <w:szCs w:val="22"/>
          <w:lang w:val="en-GB" w:eastAsia="en-US"/>
        </w:rPr>
        <w:t>.</w:t>
      </w:r>
      <w:r w:rsidR="00BA562C" w:rsidRPr="00287095">
        <w:rPr>
          <w:rFonts w:asciiTheme="minorHAnsi" w:eastAsiaTheme="minorHAnsi" w:hAnsiTheme="minorHAnsi" w:cstheme="minorBidi"/>
          <w:color w:val="495965" w:themeColor="text2"/>
          <w:sz w:val="22"/>
          <w:szCs w:val="22"/>
          <w:lang w:val="en-GB" w:eastAsia="en-US"/>
        </w:rPr>
        <w:t xml:space="preserve"> </w:t>
      </w:r>
    </w:p>
    <w:p w14:paraId="331A591B" w14:textId="77777777" w:rsidR="00BA562C" w:rsidRPr="00287095" w:rsidRDefault="00C0733A" w:rsidP="00BA562C">
      <w:pPr>
        <w:pStyle w:val="ListBullet"/>
        <w:numPr>
          <w:ilvl w:val="0"/>
          <w:numId w:val="36"/>
        </w:numPr>
        <w:tabs>
          <w:tab w:val="clear" w:pos="284"/>
          <w:tab w:val="left" w:pos="720"/>
        </w:tabs>
        <w:ind w:left="502"/>
        <w:rPr>
          <w:rFonts w:asciiTheme="minorHAnsi" w:eastAsiaTheme="minorHAnsi" w:hAnsiTheme="minorHAnsi" w:cstheme="minorBidi"/>
          <w:color w:val="495965" w:themeColor="text2"/>
          <w:sz w:val="22"/>
          <w:szCs w:val="22"/>
          <w:lang w:val="en-GB" w:eastAsia="en-US"/>
        </w:rPr>
      </w:pPr>
      <w:r w:rsidRPr="00BA562C">
        <w:rPr>
          <w:rFonts w:asciiTheme="minorHAnsi" w:eastAsiaTheme="minorHAnsi" w:hAnsiTheme="minorHAnsi" w:cstheme="minorBidi"/>
          <w:color w:val="495965" w:themeColor="text2"/>
          <w:sz w:val="22"/>
          <w:szCs w:val="22"/>
          <w:lang w:val="en-GB" w:eastAsia="en-US"/>
        </w:rPr>
        <w:t>DFAT launched a Gender Equality Guidance note in September 2015, to support the Pacific Division to implement a comprehensive response to gender inequality across the Pa</w:t>
      </w:r>
      <w:r w:rsidR="00060AB0" w:rsidRPr="00BA562C">
        <w:rPr>
          <w:rFonts w:asciiTheme="minorHAnsi" w:eastAsiaTheme="minorHAnsi" w:hAnsiTheme="minorHAnsi" w:cstheme="minorBidi"/>
          <w:color w:val="495965" w:themeColor="text2"/>
          <w:sz w:val="22"/>
          <w:szCs w:val="22"/>
          <w:lang w:val="en-GB" w:eastAsia="en-US"/>
        </w:rPr>
        <w:t>cific through all elements of D</w:t>
      </w:r>
      <w:r w:rsidRPr="00BA562C">
        <w:rPr>
          <w:rFonts w:asciiTheme="minorHAnsi" w:eastAsiaTheme="minorHAnsi" w:hAnsiTheme="minorHAnsi" w:cstheme="minorBidi"/>
          <w:color w:val="495965" w:themeColor="text2"/>
          <w:sz w:val="22"/>
          <w:szCs w:val="22"/>
          <w:lang w:val="en-GB" w:eastAsia="en-US"/>
        </w:rPr>
        <w:t>FAT’s work:  foreign and strategic policy; economic diplomacy and trade; and the aid program.</w:t>
      </w:r>
      <w:r w:rsidR="00BA562C" w:rsidRPr="00287095">
        <w:rPr>
          <w:rFonts w:asciiTheme="minorHAnsi" w:eastAsiaTheme="minorHAnsi" w:hAnsiTheme="minorHAnsi" w:cstheme="minorBidi"/>
          <w:color w:val="495965" w:themeColor="text2"/>
          <w:sz w:val="22"/>
          <w:szCs w:val="22"/>
          <w:lang w:val="en-GB" w:eastAsia="en-US"/>
        </w:rPr>
        <w:t xml:space="preserve"> </w:t>
      </w:r>
    </w:p>
    <w:p w14:paraId="14D939FA" w14:textId="77777777" w:rsidR="00C0733A" w:rsidRPr="00287095" w:rsidRDefault="00C0733A" w:rsidP="00BA562C">
      <w:pPr>
        <w:pStyle w:val="ListBullet"/>
      </w:pPr>
      <w:r w:rsidRPr="00287095">
        <w:t>Factors affecting progress and future actions</w:t>
      </w:r>
      <w:r w:rsidR="00287095" w:rsidRPr="00BA562C">
        <w:rPr>
          <w:rFonts w:eastAsiaTheme="minorHAnsi"/>
        </w:rPr>
        <w:t>:</w:t>
      </w:r>
    </w:p>
    <w:p w14:paraId="6C91E523" w14:textId="77777777" w:rsidR="00F34801" w:rsidRDefault="00C0733A" w:rsidP="00F34801">
      <w:pPr>
        <w:pStyle w:val="BodyText"/>
        <w:rPr>
          <w:rFonts w:asciiTheme="minorHAnsi" w:eastAsiaTheme="minorHAnsi" w:hAnsiTheme="minorHAnsi" w:cstheme="minorBidi"/>
          <w:color w:val="495965" w:themeColor="text2"/>
          <w:sz w:val="22"/>
          <w:szCs w:val="22"/>
          <w:lang w:val="en-GB" w:eastAsia="en-US"/>
        </w:rPr>
      </w:pPr>
      <w:r w:rsidRPr="00287095">
        <w:rPr>
          <w:rFonts w:asciiTheme="minorHAnsi" w:eastAsiaTheme="minorHAnsi" w:hAnsiTheme="minorHAnsi" w:cstheme="minorBidi"/>
          <w:color w:val="495965" w:themeColor="text2"/>
          <w:sz w:val="22"/>
          <w:szCs w:val="22"/>
          <w:lang w:val="en-GB" w:eastAsia="en-US"/>
        </w:rPr>
        <w:t>Working towards women’s equality and empowerment is a highly complex, challenging and long-term process. Our approach to sustainability is to work for immediate and tangible changes while also building capacity, interest and motivation among women and other stakeholders to support wider and more sustain</w:t>
      </w:r>
      <w:r w:rsidR="00BA562C">
        <w:rPr>
          <w:rFonts w:asciiTheme="minorHAnsi" w:eastAsiaTheme="minorHAnsi" w:hAnsiTheme="minorHAnsi" w:cstheme="minorBidi"/>
          <w:color w:val="495965" w:themeColor="text2"/>
          <w:sz w:val="22"/>
          <w:szCs w:val="22"/>
          <w:lang w:val="en-GB" w:eastAsia="en-US"/>
        </w:rPr>
        <w:t>ed</w:t>
      </w:r>
      <w:r w:rsidRPr="00287095">
        <w:rPr>
          <w:rFonts w:asciiTheme="minorHAnsi" w:eastAsiaTheme="minorHAnsi" w:hAnsiTheme="minorHAnsi" w:cstheme="minorBidi"/>
          <w:color w:val="495965" w:themeColor="text2"/>
          <w:sz w:val="22"/>
          <w:szCs w:val="22"/>
          <w:lang w:val="en-GB" w:eastAsia="en-US"/>
        </w:rPr>
        <w:t xml:space="preserve"> change to continue to work for women’s equality and empowerment beyond the 10 year Pacific </w:t>
      </w:r>
      <w:r w:rsidRPr="00287095">
        <w:rPr>
          <w:rFonts w:asciiTheme="minorHAnsi" w:eastAsiaTheme="minorHAnsi" w:hAnsiTheme="minorHAnsi" w:cstheme="minorBidi"/>
          <w:color w:val="495965" w:themeColor="text2"/>
          <w:sz w:val="22"/>
          <w:szCs w:val="22"/>
          <w:lang w:val="en-GB" w:eastAsia="en-US"/>
        </w:rPr>
        <w:lastRenderedPageBreak/>
        <w:t>Women</w:t>
      </w:r>
      <w:r w:rsidR="009E3085" w:rsidRPr="00287095">
        <w:rPr>
          <w:rFonts w:asciiTheme="minorHAnsi" w:eastAsiaTheme="minorHAnsi" w:hAnsiTheme="minorHAnsi" w:cstheme="minorBidi"/>
          <w:color w:val="495965" w:themeColor="text2"/>
          <w:sz w:val="22"/>
          <w:szCs w:val="22"/>
          <w:lang w:val="en-GB" w:eastAsia="en-US"/>
        </w:rPr>
        <w:t xml:space="preserve"> Shaping Pacific Development.  </w:t>
      </w:r>
      <w:r w:rsidRPr="00287095">
        <w:rPr>
          <w:rFonts w:asciiTheme="minorHAnsi" w:eastAsiaTheme="minorHAnsi" w:hAnsiTheme="minorHAnsi" w:cstheme="minorBidi"/>
          <w:color w:val="495965" w:themeColor="text2"/>
          <w:sz w:val="22"/>
          <w:szCs w:val="22"/>
          <w:lang w:val="en-GB" w:eastAsia="en-US"/>
        </w:rPr>
        <w:t>Pacific Women is a high risk program due to the entrenched and sensitive nature of gender inequality in the Pacific; the limited availability of capable implementation partners; and the potential for backlash against both Pacific women and the initiative itself if it is seen as some</w:t>
      </w:r>
      <w:r w:rsidR="00843AF1" w:rsidRPr="00287095">
        <w:rPr>
          <w:rFonts w:asciiTheme="minorHAnsi" w:eastAsiaTheme="minorHAnsi" w:hAnsiTheme="minorHAnsi" w:cstheme="minorBidi"/>
          <w:color w:val="495965" w:themeColor="text2"/>
          <w:sz w:val="22"/>
          <w:szCs w:val="22"/>
          <w:lang w:val="en-GB" w:eastAsia="en-US"/>
        </w:rPr>
        <w:t>thing imposed from the outside.</w:t>
      </w:r>
      <w:r w:rsidR="00EE45B2" w:rsidRPr="00287095">
        <w:rPr>
          <w:rFonts w:asciiTheme="minorHAnsi" w:eastAsiaTheme="minorHAnsi" w:hAnsiTheme="minorHAnsi" w:cstheme="minorBidi"/>
          <w:color w:val="495965" w:themeColor="text2"/>
          <w:sz w:val="22"/>
          <w:szCs w:val="22"/>
          <w:lang w:val="en-GB" w:eastAsia="en-US"/>
        </w:rPr>
        <w:t xml:space="preserve"> Pacific Women will have a stronger focus on supporting the needs of women with disabilities</w:t>
      </w:r>
      <w:r w:rsidR="00BA562C">
        <w:rPr>
          <w:rFonts w:asciiTheme="minorHAnsi" w:eastAsiaTheme="minorHAnsi" w:hAnsiTheme="minorHAnsi" w:cstheme="minorBidi"/>
          <w:color w:val="495965" w:themeColor="text2"/>
          <w:sz w:val="22"/>
          <w:szCs w:val="22"/>
          <w:lang w:val="en-GB" w:eastAsia="en-US"/>
        </w:rPr>
        <w:t xml:space="preserve"> going forward</w:t>
      </w:r>
      <w:r w:rsidR="00EE45B2" w:rsidRPr="00287095">
        <w:rPr>
          <w:rFonts w:asciiTheme="minorHAnsi" w:eastAsiaTheme="minorHAnsi" w:hAnsiTheme="minorHAnsi" w:cstheme="minorBidi"/>
          <w:color w:val="495965" w:themeColor="text2"/>
          <w:sz w:val="22"/>
          <w:szCs w:val="22"/>
          <w:lang w:val="en-GB" w:eastAsia="en-US"/>
        </w:rPr>
        <w:t>.</w:t>
      </w:r>
    </w:p>
    <w:p w14:paraId="34106E32" w14:textId="77777777" w:rsidR="002A51CA" w:rsidRPr="002A51CA" w:rsidRDefault="00F34801" w:rsidP="00F3555F">
      <w:pPr>
        <w:pStyle w:val="ListBullet"/>
        <w:tabs>
          <w:tab w:val="clear" w:pos="284"/>
        </w:tabs>
        <w:spacing w:before="24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P</w:t>
      </w:r>
      <w:r w:rsidR="00924A3F">
        <w:rPr>
          <w:rFonts w:asciiTheme="majorHAnsi" w:eastAsiaTheme="majorEastAsia" w:hAnsiTheme="majorHAnsi" w:cstheme="majorBidi"/>
          <w:caps/>
          <w:color w:val="495965" w:themeColor="text2"/>
          <w:sz w:val="38"/>
          <w:szCs w:val="26"/>
          <w:lang w:val="en-GB" w:eastAsia="en-US"/>
        </w:rPr>
        <w:t>erformance Benchmarks</w:t>
      </w:r>
    </w:p>
    <w:p w14:paraId="75603F04" w14:textId="77777777" w:rsidR="00D72D03" w:rsidRPr="00372306" w:rsidRDefault="008C4EC2" w:rsidP="002A51CA">
      <w:pPr>
        <w:spacing w:after="120" w:line="280" w:lineRule="exact"/>
      </w:pPr>
      <w:r w:rsidRPr="00372306">
        <w:t xml:space="preserve">The Pacific Regional program achieved the majority of the </w:t>
      </w:r>
      <w:r w:rsidR="00C30F7D" w:rsidRPr="00372306">
        <w:t>seven</w:t>
      </w:r>
      <w:r w:rsidRPr="00372306">
        <w:t xml:space="preserve"> Performance Benchmarks </w:t>
      </w:r>
      <w:r w:rsidR="009033DA" w:rsidRPr="00372306">
        <w:t>outlined in the Aid Investment Plan</w:t>
      </w:r>
      <w:r w:rsidRPr="00372306">
        <w:t xml:space="preserve">. </w:t>
      </w:r>
      <w:r w:rsidR="009033DA" w:rsidRPr="00372306">
        <w:t>The re</w:t>
      </w:r>
      <w:r w:rsidR="00C30F7D" w:rsidRPr="00372306">
        <w:t xml:space="preserve">gion significantly exceeded a number of benchmarks including fishing revenue </w:t>
      </w:r>
      <w:r w:rsidR="009033DA" w:rsidRPr="00372306">
        <w:t>in 201</w:t>
      </w:r>
      <w:r w:rsidR="00C30F7D" w:rsidRPr="00372306">
        <w:t>5-16, despite lower fish prices</w:t>
      </w:r>
      <w:r w:rsidR="00CD2C4F" w:rsidRPr="00372306">
        <w:t xml:space="preserve">; </w:t>
      </w:r>
      <w:r w:rsidR="00A75FE4" w:rsidRPr="00372306">
        <w:t>over 1,5</w:t>
      </w:r>
      <w:r w:rsidRPr="00372306">
        <w:t>00 additional graduates</w:t>
      </w:r>
      <w:r w:rsidR="00CD2C4F" w:rsidRPr="00372306">
        <w:t xml:space="preserve"> from the APTC</w:t>
      </w:r>
      <w:r w:rsidRPr="00372306">
        <w:t xml:space="preserve"> with internatio</w:t>
      </w:r>
      <w:r w:rsidR="00C30F7D" w:rsidRPr="00372306">
        <w:t>nally recognised qualifications;</w:t>
      </w:r>
      <w:r w:rsidR="00DD36A1">
        <w:t xml:space="preserve"> $511</w:t>
      </w:r>
      <w:r w:rsidR="00F312A0" w:rsidRPr="00372306">
        <w:t xml:space="preserve"> million of private sector investment was leveraged,</w:t>
      </w:r>
      <w:r w:rsidR="00CD2C4F" w:rsidRPr="00372306">
        <w:t xml:space="preserve"> and</w:t>
      </w:r>
      <w:r w:rsidR="00DD36A1">
        <w:t xml:space="preserve"> around $90</w:t>
      </w:r>
      <w:r w:rsidR="00C30F7D" w:rsidRPr="00372306">
        <w:t xml:space="preserve"> million in funding was allocated under the Green Climate Fund to the Pacific</w:t>
      </w:r>
      <w:r w:rsidR="00CD2C4F" w:rsidRPr="00372306">
        <w:t xml:space="preserve">. Other achieved benchmarks include thirteen out of 22 Pacific Island Countries now have surveillance and response plans for Pandemic Influenza, a good indication of improved capacity to monitor and respond to outbreaks of infectious diseases. There was an increase in the number of market vendors, of which 85 per cent are women, provided with financial and business literacy training. </w:t>
      </w:r>
      <w:r w:rsidR="00D72D03" w:rsidRPr="00372306">
        <w:t>While only partly achieving the benchmark on the ownership of regional organisations by Pacific island country members, there was evidence that member</w:t>
      </w:r>
      <w:r w:rsidR="00551ADA">
        <w:t>s have taken a strong interest i</w:t>
      </w:r>
      <w:r w:rsidR="00D72D03" w:rsidRPr="00372306">
        <w:t>n the strategic planning and prioritisation work including greater involvement in subcommittees.</w:t>
      </w:r>
    </w:p>
    <w:p w14:paraId="085E67E7" w14:textId="77777777" w:rsidR="001D0E7E" w:rsidRPr="00372306" w:rsidRDefault="00843AF1" w:rsidP="002A51CA">
      <w:pPr>
        <w:spacing w:after="120" w:line="280" w:lineRule="exact"/>
      </w:pPr>
      <w:r w:rsidRPr="00372306">
        <w:t xml:space="preserve">The Aid Investment Plan for the Pacific Regional program only contains benchmarks for 2015-16. The following table provides benchmarks for the years up to 2018-19. </w:t>
      </w:r>
      <w:r w:rsidR="00AA699A" w:rsidRPr="00372306">
        <w:t>A number of</w:t>
      </w:r>
      <w:r w:rsidRPr="00372306">
        <w:t xml:space="preserve"> benchmarks have been changed because it was considered that the new benchma</w:t>
      </w:r>
      <w:r w:rsidR="00AA699A" w:rsidRPr="00372306">
        <w:t>rks better represent</w:t>
      </w:r>
      <w:r w:rsidRPr="00372306">
        <w:t xml:space="preserve"> the corresponding objective. </w:t>
      </w:r>
      <w:r w:rsidR="00AA699A" w:rsidRPr="00372306">
        <w:t xml:space="preserve">In the case of the effective regional institutions objective, the new benchmarks are more realistic. </w:t>
      </w:r>
      <w:r w:rsidRPr="00372306">
        <w:t>In the case of the health objective</w:t>
      </w:r>
      <w:r w:rsidR="00AA699A" w:rsidRPr="00372306">
        <w:t>,</w:t>
      </w:r>
      <w:r w:rsidRPr="00372306">
        <w:t xml:space="preserve"> </w:t>
      </w:r>
      <w:r w:rsidR="00AA699A" w:rsidRPr="00372306">
        <w:t>the benchmarks more comprehensively address surveillance and response capacity and align</w:t>
      </w:r>
      <w:r w:rsidR="009033DA" w:rsidRPr="00372306">
        <w:t xml:space="preserve"> with an international standard. In the case of women and girls empowerment </w:t>
      </w:r>
      <w:r w:rsidR="00AA699A" w:rsidRPr="00372306">
        <w:t xml:space="preserve">objective, the benchmark </w:t>
      </w:r>
      <w:r w:rsidR="009033DA" w:rsidRPr="00372306">
        <w:t>aligns closer to leadership and decision-making.</w:t>
      </w:r>
    </w:p>
    <w:p w14:paraId="28C4CEAE" w14:textId="77777777" w:rsidR="002A51CA" w:rsidRPr="008C2F58" w:rsidRDefault="002A51CA" w:rsidP="002A51CA">
      <w:pPr>
        <w:pStyle w:val="Caption"/>
        <w:rPr>
          <w:sz w:val="24"/>
        </w:rPr>
      </w:pPr>
      <w:r w:rsidRPr="008C2F58">
        <w:rPr>
          <w:sz w:val="24"/>
        </w:rPr>
        <w:t xml:space="preserve">Performance Benchmarks 2016-17 to 2018-19 </w:t>
      </w:r>
    </w:p>
    <w:tbl>
      <w:tblPr>
        <w:tblStyle w:val="DFATTable"/>
        <w:tblW w:w="4874" w:type="pct"/>
        <w:tblLook w:val="04A0" w:firstRow="1" w:lastRow="0" w:firstColumn="1" w:lastColumn="0" w:noHBand="0" w:noVBand="1"/>
      </w:tblPr>
      <w:tblGrid>
        <w:gridCol w:w="2186"/>
        <w:gridCol w:w="2495"/>
        <w:gridCol w:w="1387"/>
        <w:gridCol w:w="137"/>
        <w:gridCol w:w="139"/>
        <w:gridCol w:w="1524"/>
        <w:gridCol w:w="141"/>
        <w:gridCol w:w="802"/>
        <w:gridCol w:w="584"/>
      </w:tblGrid>
      <w:tr w:rsidR="0003212B" w:rsidRPr="00F3555F" w14:paraId="2C5E83AB" w14:textId="77777777" w:rsidTr="0003212B">
        <w:trPr>
          <w:trHeight w:val="331"/>
        </w:trPr>
        <w:tc>
          <w:tcPr>
            <w:tcW w:w="1163" w:type="pct"/>
            <w:tcBorders>
              <w:top w:val="single" w:sz="12" w:space="0" w:color="auto"/>
              <w:left w:val="nil"/>
              <w:bottom w:val="nil"/>
              <w:right w:val="nil"/>
            </w:tcBorders>
          </w:tcPr>
          <w:p w14:paraId="2139A0CF" w14:textId="77777777" w:rsidR="003B0793" w:rsidRPr="00F3555F" w:rsidRDefault="003B0793" w:rsidP="00F3555F">
            <w:pPr>
              <w:pStyle w:val="TableHeading1"/>
              <w:spacing w:line="240" w:lineRule="auto"/>
              <w:rPr>
                <w:rFonts w:asciiTheme="minorHAnsi" w:hAnsiTheme="minorHAnsi"/>
                <w:sz w:val="16"/>
                <w:szCs w:val="16"/>
              </w:rPr>
            </w:pPr>
          </w:p>
        </w:tc>
        <w:tc>
          <w:tcPr>
            <w:tcW w:w="1328" w:type="pct"/>
            <w:tcBorders>
              <w:top w:val="single" w:sz="12" w:space="0" w:color="auto"/>
              <w:left w:val="nil"/>
              <w:bottom w:val="nil"/>
              <w:right w:val="nil"/>
            </w:tcBorders>
          </w:tcPr>
          <w:p w14:paraId="3ADAF67F" w14:textId="77777777" w:rsidR="003B0793" w:rsidRPr="00F3555F" w:rsidRDefault="003B0793" w:rsidP="00F3555F">
            <w:pPr>
              <w:pStyle w:val="TableHeading1"/>
              <w:spacing w:line="240" w:lineRule="auto"/>
              <w:rPr>
                <w:rFonts w:asciiTheme="minorHAnsi" w:hAnsiTheme="minorHAnsi"/>
                <w:sz w:val="16"/>
                <w:szCs w:val="16"/>
              </w:rPr>
            </w:pPr>
          </w:p>
        </w:tc>
        <w:tc>
          <w:tcPr>
            <w:tcW w:w="811" w:type="pct"/>
            <w:gridSpan w:val="2"/>
            <w:tcBorders>
              <w:top w:val="single" w:sz="12" w:space="0" w:color="auto"/>
              <w:left w:val="nil"/>
              <w:bottom w:val="nil"/>
              <w:right w:val="nil"/>
            </w:tcBorders>
            <w:hideMark/>
          </w:tcPr>
          <w:p w14:paraId="7D2F430B" w14:textId="77777777" w:rsidR="003B0793" w:rsidRPr="00F3555F" w:rsidRDefault="003B0793" w:rsidP="00F3555F">
            <w:pPr>
              <w:pStyle w:val="TableHeading1"/>
              <w:spacing w:line="240" w:lineRule="auto"/>
              <w:jc w:val="center"/>
              <w:rPr>
                <w:rFonts w:asciiTheme="minorHAnsi" w:hAnsiTheme="minorHAnsi"/>
                <w:sz w:val="16"/>
                <w:szCs w:val="16"/>
              </w:rPr>
            </w:pPr>
            <w:r w:rsidRPr="00F3555F">
              <w:rPr>
                <w:rFonts w:asciiTheme="minorHAnsi" w:hAnsiTheme="minorHAnsi"/>
                <w:sz w:val="16"/>
                <w:szCs w:val="16"/>
              </w:rPr>
              <w:t>2016-17</w:t>
            </w:r>
          </w:p>
        </w:tc>
        <w:tc>
          <w:tcPr>
            <w:tcW w:w="960" w:type="pct"/>
            <w:gridSpan w:val="3"/>
            <w:tcBorders>
              <w:top w:val="single" w:sz="12" w:space="0" w:color="auto"/>
              <w:left w:val="nil"/>
              <w:bottom w:val="nil"/>
              <w:right w:val="nil"/>
            </w:tcBorders>
            <w:hideMark/>
          </w:tcPr>
          <w:p w14:paraId="192C0631" w14:textId="77777777" w:rsidR="003B0793" w:rsidRPr="00F3555F" w:rsidRDefault="003B0793" w:rsidP="00F3555F">
            <w:pPr>
              <w:pStyle w:val="TableHeading1"/>
              <w:spacing w:line="240" w:lineRule="auto"/>
              <w:jc w:val="center"/>
              <w:rPr>
                <w:rFonts w:asciiTheme="minorHAnsi" w:hAnsiTheme="minorHAnsi"/>
                <w:sz w:val="16"/>
                <w:szCs w:val="16"/>
              </w:rPr>
            </w:pPr>
            <w:r w:rsidRPr="00F3555F">
              <w:rPr>
                <w:rFonts w:asciiTheme="minorHAnsi" w:hAnsiTheme="minorHAnsi"/>
                <w:sz w:val="16"/>
                <w:szCs w:val="16"/>
              </w:rPr>
              <w:t>2017-18</w:t>
            </w:r>
          </w:p>
        </w:tc>
        <w:tc>
          <w:tcPr>
            <w:tcW w:w="738" w:type="pct"/>
            <w:gridSpan w:val="2"/>
            <w:tcBorders>
              <w:top w:val="single" w:sz="12" w:space="0" w:color="auto"/>
              <w:left w:val="nil"/>
              <w:bottom w:val="nil"/>
              <w:right w:val="nil"/>
            </w:tcBorders>
            <w:hideMark/>
          </w:tcPr>
          <w:p w14:paraId="48F64FC1" w14:textId="77777777" w:rsidR="003B0793" w:rsidRPr="00F3555F" w:rsidRDefault="003B0793" w:rsidP="00F3555F">
            <w:pPr>
              <w:pStyle w:val="TableHeading1"/>
              <w:spacing w:line="240" w:lineRule="auto"/>
              <w:ind w:firstLine="32"/>
              <w:jc w:val="center"/>
              <w:rPr>
                <w:rFonts w:asciiTheme="minorHAnsi" w:hAnsiTheme="minorHAnsi"/>
                <w:sz w:val="16"/>
                <w:szCs w:val="16"/>
              </w:rPr>
            </w:pPr>
            <w:r w:rsidRPr="00F3555F">
              <w:rPr>
                <w:rFonts w:asciiTheme="minorHAnsi" w:hAnsiTheme="minorHAnsi"/>
                <w:sz w:val="16"/>
                <w:szCs w:val="16"/>
              </w:rPr>
              <w:t>2018-19</w:t>
            </w:r>
          </w:p>
        </w:tc>
      </w:tr>
      <w:tr w:rsidR="003B0793" w:rsidRPr="00F3555F" w14:paraId="7B41055C" w14:textId="77777777" w:rsidTr="0003212B">
        <w:trPr>
          <w:gridAfter w:val="1"/>
          <w:wAfter w:w="311" w:type="pct"/>
          <w:trHeight w:val="425"/>
        </w:trPr>
        <w:tc>
          <w:tcPr>
            <w:tcW w:w="1163" w:type="pct"/>
            <w:tcBorders>
              <w:top w:val="nil"/>
              <w:left w:val="nil"/>
              <w:bottom w:val="nil"/>
              <w:right w:val="nil"/>
            </w:tcBorders>
            <w:hideMark/>
          </w:tcPr>
          <w:p w14:paraId="40EE07D2" w14:textId="77777777" w:rsidR="003B0793" w:rsidRPr="00F3555F" w:rsidRDefault="00AC09D0" w:rsidP="00F3555F">
            <w:pPr>
              <w:pStyle w:val="TableHeading1"/>
              <w:spacing w:line="240" w:lineRule="auto"/>
              <w:rPr>
                <w:rFonts w:asciiTheme="minorHAnsi" w:hAnsiTheme="minorHAnsi"/>
                <w:i/>
                <w:color w:val="808080" w:themeColor="background1" w:themeShade="80"/>
                <w:sz w:val="16"/>
                <w:szCs w:val="16"/>
              </w:rPr>
            </w:pPr>
            <w:r w:rsidRPr="00F3555F">
              <w:rPr>
                <w:rFonts w:asciiTheme="minorHAnsi" w:hAnsiTheme="minorHAnsi"/>
                <w:sz w:val="16"/>
                <w:szCs w:val="16"/>
              </w:rPr>
              <w:t>Objective 1: Economic Growth</w:t>
            </w:r>
          </w:p>
        </w:tc>
        <w:tc>
          <w:tcPr>
            <w:tcW w:w="3526" w:type="pct"/>
            <w:gridSpan w:val="7"/>
            <w:tcBorders>
              <w:top w:val="nil"/>
              <w:left w:val="nil"/>
              <w:bottom w:val="nil"/>
            </w:tcBorders>
            <w:hideMark/>
          </w:tcPr>
          <w:p w14:paraId="06AECED2" w14:textId="77777777" w:rsidR="003B0793" w:rsidRPr="00F3555F" w:rsidRDefault="003B0793" w:rsidP="00F3555F">
            <w:pPr>
              <w:pStyle w:val="TableTextEntries"/>
              <w:spacing w:line="240" w:lineRule="auto"/>
              <w:ind w:firstLine="32"/>
              <w:rPr>
                <w:rFonts w:asciiTheme="minorHAnsi" w:hAnsiTheme="minorHAnsi"/>
                <w:i/>
                <w:color w:val="808080" w:themeColor="background1" w:themeShade="80"/>
                <w:sz w:val="16"/>
                <w:szCs w:val="16"/>
              </w:rPr>
            </w:pPr>
          </w:p>
        </w:tc>
      </w:tr>
      <w:tr w:rsidR="0003212B" w:rsidRPr="00F3555F" w14:paraId="55229B09" w14:textId="77777777" w:rsidTr="00B40314">
        <w:trPr>
          <w:trHeight w:val="984"/>
        </w:trPr>
        <w:tc>
          <w:tcPr>
            <w:tcW w:w="1163" w:type="pct"/>
            <w:tcBorders>
              <w:top w:val="nil"/>
              <w:left w:val="nil"/>
              <w:bottom w:val="nil"/>
              <w:right w:val="nil"/>
            </w:tcBorders>
            <w:hideMark/>
          </w:tcPr>
          <w:p w14:paraId="087787AC" w14:textId="77777777" w:rsidR="00AC09D0" w:rsidRPr="00F3555F" w:rsidRDefault="00AC09D0" w:rsidP="00F3555F">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 xml:space="preserve">Collective action managing regional resources delivers economic benefits to Pacific governments </w:t>
            </w:r>
          </w:p>
          <w:p w14:paraId="6C9C7EAA" w14:textId="77777777" w:rsidR="003B0793" w:rsidRPr="00F3555F" w:rsidRDefault="003B0793" w:rsidP="00F3555F">
            <w:pPr>
              <w:pStyle w:val="TableHeading1"/>
              <w:spacing w:line="240" w:lineRule="auto"/>
              <w:rPr>
                <w:rFonts w:asciiTheme="minorHAnsi" w:hAnsiTheme="minorHAnsi"/>
                <w:i/>
                <w:color w:val="808080" w:themeColor="background1" w:themeShade="80"/>
                <w:sz w:val="16"/>
                <w:szCs w:val="16"/>
              </w:rPr>
            </w:pPr>
          </w:p>
        </w:tc>
        <w:tc>
          <w:tcPr>
            <w:tcW w:w="1328" w:type="pct"/>
            <w:tcBorders>
              <w:top w:val="nil"/>
              <w:left w:val="nil"/>
              <w:bottom w:val="nil"/>
              <w:right w:val="nil"/>
            </w:tcBorders>
            <w:hideMark/>
          </w:tcPr>
          <w:p w14:paraId="4AB42DE7" w14:textId="77777777" w:rsidR="003B0793" w:rsidRPr="00F3555F" w:rsidRDefault="002E3387" w:rsidP="00F3555F">
            <w:pPr>
              <w:spacing w:after="120" w:line="240" w:lineRule="auto"/>
              <w:rPr>
                <w:rFonts w:asciiTheme="minorHAnsi" w:hAnsiTheme="minorHAnsi"/>
                <w:i/>
                <w:color w:val="808080" w:themeColor="background1" w:themeShade="80"/>
                <w:sz w:val="16"/>
                <w:szCs w:val="16"/>
                <w:lang w:eastAsia="en-US"/>
              </w:rPr>
            </w:pPr>
            <w:r w:rsidRPr="00F3555F">
              <w:rPr>
                <w:i/>
                <w:color w:val="808080"/>
                <w:sz w:val="16"/>
                <w:szCs w:val="16"/>
              </w:rPr>
              <w:t xml:space="preserve">5% annual increase in revenue flowing to Forum Fisheries Agency Pacific island member governments from offshore tuna fisheries </w:t>
            </w:r>
            <w:r w:rsidR="00643F1D" w:rsidRPr="00F3555F">
              <w:rPr>
                <w:i/>
                <w:color w:val="808080"/>
                <w:sz w:val="16"/>
                <w:szCs w:val="16"/>
              </w:rPr>
              <w:t>(</w:t>
            </w:r>
            <w:r w:rsidRPr="00F3555F">
              <w:rPr>
                <w:i/>
                <w:color w:val="808080"/>
                <w:sz w:val="16"/>
                <w:szCs w:val="16"/>
              </w:rPr>
              <w:t>draft Roadmap aim $475 million by 2020-21)</w:t>
            </w:r>
          </w:p>
        </w:tc>
        <w:tc>
          <w:tcPr>
            <w:tcW w:w="738" w:type="pct"/>
            <w:tcBorders>
              <w:top w:val="nil"/>
              <w:left w:val="nil"/>
              <w:bottom w:val="nil"/>
              <w:right w:val="nil"/>
            </w:tcBorders>
            <w:hideMark/>
          </w:tcPr>
          <w:p w14:paraId="7D51D15A" w14:textId="77777777" w:rsidR="003B0793" w:rsidRDefault="00FB05E4" w:rsidP="00F3555F">
            <w:pPr>
              <w:spacing w:line="240" w:lineRule="auto"/>
              <w:jc w:val="center"/>
              <w:rPr>
                <w:i/>
                <w:color w:val="808080"/>
                <w:sz w:val="16"/>
                <w:szCs w:val="16"/>
              </w:rPr>
            </w:pPr>
            <w:r>
              <w:rPr>
                <w:i/>
                <w:color w:val="808080"/>
                <w:sz w:val="16"/>
                <w:szCs w:val="16"/>
              </w:rPr>
              <w:t>US$</w:t>
            </w:r>
            <w:r w:rsidR="002E3387" w:rsidRPr="00F3555F">
              <w:rPr>
                <w:i/>
                <w:color w:val="808080"/>
                <w:sz w:val="16"/>
                <w:szCs w:val="16"/>
              </w:rPr>
              <w:t>400 million</w:t>
            </w:r>
          </w:p>
          <w:p w14:paraId="46D9731D" w14:textId="77777777" w:rsidR="004A4056" w:rsidRPr="00F3555F" w:rsidRDefault="004A4056" w:rsidP="00F3555F">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(A$528 million)</w:t>
            </w:r>
          </w:p>
        </w:tc>
        <w:tc>
          <w:tcPr>
            <w:tcW w:w="958" w:type="pct"/>
            <w:gridSpan w:val="3"/>
            <w:tcBorders>
              <w:top w:val="nil"/>
              <w:left w:val="nil"/>
              <w:bottom w:val="nil"/>
              <w:right w:val="nil"/>
            </w:tcBorders>
            <w:hideMark/>
          </w:tcPr>
          <w:p w14:paraId="1F21FE79" w14:textId="77777777" w:rsidR="003B0793" w:rsidRDefault="00FB05E4" w:rsidP="00F3555F">
            <w:pPr>
              <w:spacing w:line="240" w:lineRule="auto"/>
              <w:jc w:val="center"/>
              <w:rPr>
                <w:i/>
                <w:color w:val="808080"/>
                <w:sz w:val="16"/>
                <w:szCs w:val="16"/>
              </w:rPr>
            </w:pPr>
            <w:r>
              <w:rPr>
                <w:i/>
                <w:color w:val="808080"/>
                <w:sz w:val="16"/>
                <w:szCs w:val="16"/>
              </w:rPr>
              <w:t>US$</w:t>
            </w:r>
            <w:r w:rsidR="002E3387" w:rsidRPr="00F3555F">
              <w:rPr>
                <w:i/>
                <w:color w:val="808080"/>
                <w:sz w:val="16"/>
                <w:szCs w:val="16"/>
              </w:rPr>
              <w:t>420 million</w:t>
            </w:r>
          </w:p>
          <w:p w14:paraId="762C20C0" w14:textId="77777777" w:rsidR="004A4056" w:rsidRPr="00F3555F" w:rsidRDefault="004A4056" w:rsidP="00F3555F">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(A$555 million)</w:t>
            </w:r>
          </w:p>
        </w:tc>
        <w:tc>
          <w:tcPr>
            <w:tcW w:w="813" w:type="pct"/>
            <w:gridSpan w:val="3"/>
            <w:tcBorders>
              <w:top w:val="nil"/>
              <w:left w:val="nil"/>
              <w:bottom w:val="nil"/>
              <w:right w:val="nil"/>
            </w:tcBorders>
            <w:hideMark/>
          </w:tcPr>
          <w:p w14:paraId="15F159D1" w14:textId="77777777" w:rsidR="003B0793" w:rsidRDefault="00FB05E4" w:rsidP="00F3555F">
            <w:pPr>
              <w:spacing w:line="240" w:lineRule="auto"/>
              <w:jc w:val="center"/>
              <w:rPr>
                <w:i/>
                <w:color w:val="808080"/>
                <w:sz w:val="16"/>
                <w:szCs w:val="16"/>
              </w:rPr>
            </w:pPr>
            <w:r>
              <w:rPr>
                <w:i/>
                <w:color w:val="808080"/>
                <w:sz w:val="16"/>
                <w:szCs w:val="16"/>
              </w:rPr>
              <w:t>US$</w:t>
            </w:r>
            <w:r w:rsidR="002E3387" w:rsidRPr="00F3555F">
              <w:rPr>
                <w:i/>
                <w:color w:val="808080"/>
                <w:sz w:val="16"/>
                <w:szCs w:val="16"/>
              </w:rPr>
              <w:t>440 million</w:t>
            </w:r>
          </w:p>
          <w:p w14:paraId="670F6856" w14:textId="77777777" w:rsidR="004A4056" w:rsidRPr="00F3555F" w:rsidRDefault="004A4056" w:rsidP="00F3555F">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(A$580 million)</w:t>
            </w:r>
          </w:p>
        </w:tc>
      </w:tr>
      <w:tr w:rsidR="0003212B" w:rsidRPr="00F3555F" w14:paraId="46FC048D" w14:textId="77777777" w:rsidTr="00B40314">
        <w:trPr>
          <w:trHeight w:val="984"/>
        </w:trPr>
        <w:tc>
          <w:tcPr>
            <w:tcW w:w="1163" w:type="pct"/>
            <w:tcBorders>
              <w:top w:val="nil"/>
              <w:left w:val="nil"/>
              <w:bottom w:val="nil"/>
              <w:right w:val="nil"/>
            </w:tcBorders>
          </w:tcPr>
          <w:p w14:paraId="2BA28269" w14:textId="77777777" w:rsidR="0003212B" w:rsidRPr="00F3555F" w:rsidRDefault="0003212B" w:rsidP="00F3555F">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Australia Pacific technical College (APTC) provides more Pacific Islanders with internationally recognised qualifications in areas of demonstrated labour market demand.</w:t>
            </w:r>
          </w:p>
        </w:tc>
        <w:tc>
          <w:tcPr>
            <w:tcW w:w="1328" w:type="pct"/>
            <w:tcBorders>
              <w:top w:val="nil"/>
              <w:left w:val="nil"/>
              <w:bottom w:val="nil"/>
              <w:right w:val="nil"/>
            </w:tcBorders>
          </w:tcPr>
          <w:p w14:paraId="1471BD54" w14:textId="77777777" w:rsidR="0003212B" w:rsidRPr="00F3555F" w:rsidRDefault="007A6D79" w:rsidP="00F3555F">
            <w:pPr>
              <w:spacing w:after="120" w:line="240" w:lineRule="auto"/>
              <w:rPr>
                <w:i/>
                <w:color w:val="808080"/>
                <w:sz w:val="16"/>
                <w:szCs w:val="16"/>
              </w:rPr>
            </w:pPr>
            <w:r w:rsidRPr="00F3555F">
              <w:rPr>
                <w:i/>
                <w:color w:val="808080"/>
                <w:sz w:val="16"/>
                <w:szCs w:val="16"/>
              </w:rPr>
              <w:t xml:space="preserve">Additional 1000 Pacific islander graduates </w:t>
            </w:r>
            <w:r w:rsidR="00B807ED" w:rsidRPr="00F3555F">
              <w:rPr>
                <w:i/>
                <w:color w:val="808080"/>
                <w:sz w:val="16"/>
                <w:szCs w:val="16"/>
              </w:rPr>
              <w:t xml:space="preserve">per year </w:t>
            </w:r>
            <w:r w:rsidRPr="00F3555F">
              <w:rPr>
                <w:i/>
                <w:color w:val="808080"/>
                <w:sz w:val="16"/>
                <w:szCs w:val="16"/>
              </w:rPr>
              <w:t>with internationally recognised qualifications.</w:t>
            </w:r>
          </w:p>
        </w:tc>
        <w:tc>
          <w:tcPr>
            <w:tcW w:w="885" w:type="pct"/>
            <w:gridSpan w:val="3"/>
            <w:tcBorders>
              <w:top w:val="nil"/>
              <w:left w:val="nil"/>
              <w:bottom w:val="nil"/>
              <w:right w:val="nil"/>
            </w:tcBorders>
          </w:tcPr>
          <w:p w14:paraId="6A79086B" w14:textId="77777777" w:rsidR="0003212B" w:rsidRPr="00F3555F" w:rsidRDefault="00B807ED" w:rsidP="00F3555F">
            <w:pPr>
              <w:spacing w:line="240" w:lineRule="auto"/>
              <w:jc w:val="center"/>
              <w:rPr>
                <w:i/>
                <w:color w:val="808080"/>
                <w:sz w:val="16"/>
                <w:szCs w:val="16"/>
              </w:rPr>
            </w:pPr>
            <w:r w:rsidRPr="00F3555F">
              <w:rPr>
                <w:i/>
                <w:color w:val="808080"/>
                <w:sz w:val="16"/>
                <w:szCs w:val="16"/>
              </w:rPr>
              <w:t>1,000 graduates</w:t>
            </w:r>
          </w:p>
        </w:tc>
        <w:tc>
          <w:tcPr>
            <w:tcW w:w="811" w:type="pct"/>
            <w:tcBorders>
              <w:top w:val="nil"/>
              <w:left w:val="nil"/>
              <w:bottom w:val="nil"/>
              <w:right w:val="nil"/>
            </w:tcBorders>
          </w:tcPr>
          <w:p w14:paraId="4044E6F5" w14:textId="77777777" w:rsidR="0003212B" w:rsidRPr="00F3555F" w:rsidRDefault="00B807ED" w:rsidP="00F3555F">
            <w:pPr>
              <w:spacing w:line="240" w:lineRule="auto"/>
              <w:jc w:val="center"/>
              <w:rPr>
                <w:i/>
                <w:color w:val="808080"/>
                <w:sz w:val="16"/>
                <w:szCs w:val="16"/>
              </w:rPr>
            </w:pPr>
            <w:r w:rsidRPr="00F3555F">
              <w:rPr>
                <w:i/>
                <w:color w:val="808080"/>
                <w:sz w:val="16"/>
                <w:szCs w:val="16"/>
              </w:rPr>
              <w:t>1,000 graduates</w:t>
            </w:r>
          </w:p>
        </w:tc>
        <w:tc>
          <w:tcPr>
            <w:tcW w:w="813" w:type="pct"/>
            <w:gridSpan w:val="3"/>
            <w:tcBorders>
              <w:top w:val="nil"/>
              <w:left w:val="nil"/>
              <w:bottom w:val="nil"/>
              <w:right w:val="nil"/>
            </w:tcBorders>
          </w:tcPr>
          <w:p w14:paraId="2E5D2909" w14:textId="77777777" w:rsidR="0003212B" w:rsidRPr="00F3555F" w:rsidRDefault="00B807ED" w:rsidP="00F3555F">
            <w:pPr>
              <w:spacing w:line="240" w:lineRule="auto"/>
              <w:jc w:val="center"/>
              <w:rPr>
                <w:i/>
                <w:color w:val="808080"/>
                <w:sz w:val="16"/>
                <w:szCs w:val="16"/>
              </w:rPr>
            </w:pPr>
            <w:r w:rsidRPr="00F3555F">
              <w:rPr>
                <w:i/>
                <w:color w:val="808080"/>
                <w:sz w:val="16"/>
                <w:szCs w:val="16"/>
              </w:rPr>
              <w:t>1,000 graduates</w:t>
            </w:r>
          </w:p>
        </w:tc>
      </w:tr>
      <w:tr w:rsidR="0003212B" w:rsidRPr="00F3555F" w14:paraId="0B574A38" w14:textId="77777777" w:rsidTr="00B40314">
        <w:trPr>
          <w:trHeight w:val="984"/>
        </w:trPr>
        <w:tc>
          <w:tcPr>
            <w:tcW w:w="1163" w:type="pct"/>
            <w:tcBorders>
              <w:top w:val="nil"/>
              <w:left w:val="nil"/>
              <w:bottom w:val="nil"/>
              <w:right w:val="nil"/>
            </w:tcBorders>
          </w:tcPr>
          <w:p w14:paraId="4D477D99" w14:textId="77777777" w:rsidR="0003212B" w:rsidRDefault="0003212B" w:rsidP="00F3555F">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Aid program attracts new private sector investment that contributes to Pacific development outcomes.</w:t>
            </w:r>
          </w:p>
          <w:p w14:paraId="4AAA3165" w14:textId="77777777" w:rsidR="001D0E7E" w:rsidRDefault="001D0E7E" w:rsidP="00F3555F">
            <w:pPr>
              <w:pStyle w:val="TableTextEntries"/>
              <w:spacing w:line="240" w:lineRule="auto"/>
              <w:ind w:firstLine="32"/>
              <w:rPr>
                <w:rFonts w:ascii="Helvetica" w:eastAsiaTheme="minorHAnsi" w:hAnsi="Helvetica" w:cstheme="minorBidi"/>
                <w:i/>
                <w:iCs w:val="0"/>
                <w:color w:val="808080"/>
                <w:sz w:val="16"/>
                <w:szCs w:val="16"/>
                <w:lang w:val="en-GB"/>
              </w:rPr>
            </w:pPr>
          </w:p>
          <w:p w14:paraId="7E35CF39" w14:textId="77777777" w:rsidR="001D0E7E" w:rsidRDefault="001D0E7E" w:rsidP="00F3555F">
            <w:pPr>
              <w:pStyle w:val="TableTextEntries"/>
              <w:spacing w:line="240" w:lineRule="auto"/>
              <w:ind w:firstLine="32"/>
              <w:rPr>
                <w:rFonts w:ascii="Helvetica" w:eastAsiaTheme="minorHAnsi" w:hAnsi="Helvetica" w:cstheme="minorBidi"/>
                <w:i/>
                <w:iCs w:val="0"/>
                <w:color w:val="808080"/>
                <w:sz w:val="16"/>
                <w:szCs w:val="16"/>
                <w:lang w:val="en-GB"/>
              </w:rPr>
            </w:pPr>
          </w:p>
          <w:p w14:paraId="715BAE3F" w14:textId="77777777" w:rsidR="001D0E7E" w:rsidRPr="00F3555F" w:rsidRDefault="001D0E7E" w:rsidP="00F3555F">
            <w:pPr>
              <w:pStyle w:val="TableTextEntries"/>
              <w:spacing w:line="240" w:lineRule="auto"/>
              <w:ind w:firstLine="32"/>
              <w:rPr>
                <w:i/>
                <w:iCs w:val="0"/>
                <w:sz w:val="16"/>
                <w:szCs w:val="16"/>
              </w:rPr>
            </w:pPr>
          </w:p>
        </w:tc>
        <w:tc>
          <w:tcPr>
            <w:tcW w:w="1328" w:type="pct"/>
            <w:tcBorders>
              <w:top w:val="nil"/>
              <w:left w:val="nil"/>
              <w:bottom w:val="nil"/>
              <w:right w:val="nil"/>
            </w:tcBorders>
          </w:tcPr>
          <w:p w14:paraId="6538A07E" w14:textId="77777777" w:rsidR="0003212B" w:rsidRPr="00F3555F" w:rsidRDefault="00F312A0" w:rsidP="00F3555F">
            <w:pPr>
              <w:spacing w:after="120" w:line="240" w:lineRule="auto"/>
              <w:rPr>
                <w:i/>
                <w:color w:val="808080"/>
                <w:sz w:val="16"/>
                <w:szCs w:val="16"/>
              </w:rPr>
            </w:pPr>
            <w:r w:rsidRPr="00F3555F">
              <w:rPr>
                <w:i/>
                <w:color w:val="808080"/>
                <w:sz w:val="16"/>
                <w:szCs w:val="16"/>
              </w:rPr>
              <w:t>Private sector investment leveraged.</w:t>
            </w:r>
          </w:p>
        </w:tc>
        <w:tc>
          <w:tcPr>
            <w:tcW w:w="811" w:type="pct"/>
            <w:gridSpan w:val="2"/>
            <w:tcBorders>
              <w:top w:val="nil"/>
              <w:left w:val="nil"/>
              <w:bottom w:val="nil"/>
              <w:right w:val="nil"/>
            </w:tcBorders>
          </w:tcPr>
          <w:p w14:paraId="4871FA7C" w14:textId="77777777" w:rsidR="0003212B" w:rsidRDefault="00FB05E4" w:rsidP="00F3555F">
            <w:pPr>
              <w:spacing w:line="240" w:lineRule="auto"/>
              <w:jc w:val="center"/>
              <w:rPr>
                <w:i/>
                <w:color w:val="808080"/>
                <w:sz w:val="16"/>
                <w:szCs w:val="16"/>
              </w:rPr>
            </w:pPr>
            <w:r>
              <w:rPr>
                <w:i/>
                <w:color w:val="808080"/>
                <w:sz w:val="16"/>
                <w:szCs w:val="16"/>
              </w:rPr>
              <w:t>US</w:t>
            </w:r>
            <w:r w:rsidR="00F312A0" w:rsidRPr="00F3555F">
              <w:rPr>
                <w:i/>
                <w:color w:val="808080"/>
                <w:sz w:val="16"/>
                <w:szCs w:val="16"/>
              </w:rPr>
              <w:t>$400 million</w:t>
            </w:r>
          </w:p>
          <w:p w14:paraId="57A3326C" w14:textId="77777777" w:rsidR="004A4056" w:rsidRPr="00F3555F" w:rsidRDefault="004A4056" w:rsidP="00F3555F">
            <w:pPr>
              <w:spacing w:line="240" w:lineRule="auto"/>
              <w:jc w:val="center"/>
              <w:rPr>
                <w:i/>
                <w:color w:val="808080"/>
                <w:sz w:val="16"/>
                <w:szCs w:val="16"/>
              </w:rPr>
            </w:pPr>
            <w:r>
              <w:rPr>
                <w:i/>
                <w:color w:val="808080"/>
                <w:sz w:val="16"/>
                <w:szCs w:val="16"/>
              </w:rPr>
              <w:t>(A$528 million)</w:t>
            </w:r>
          </w:p>
        </w:tc>
        <w:tc>
          <w:tcPr>
            <w:tcW w:w="885" w:type="pct"/>
            <w:gridSpan w:val="2"/>
            <w:tcBorders>
              <w:top w:val="nil"/>
              <w:left w:val="nil"/>
              <w:bottom w:val="nil"/>
              <w:right w:val="nil"/>
            </w:tcBorders>
          </w:tcPr>
          <w:p w14:paraId="2AD24F19" w14:textId="77777777" w:rsidR="0003212B" w:rsidRDefault="00FB05E4" w:rsidP="00F3555F">
            <w:pPr>
              <w:spacing w:line="240" w:lineRule="auto"/>
              <w:jc w:val="center"/>
              <w:rPr>
                <w:i/>
                <w:color w:val="808080"/>
                <w:sz w:val="16"/>
                <w:szCs w:val="16"/>
              </w:rPr>
            </w:pPr>
            <w:r>
              <w:rPr>
                <w:i/>
                <w:color w:val="808080"/>
                <w:sz w:val="16"/>
                <w:szCs w:val="16"/>
              </w:rPr>
              <w:t>US</w:t>
            </w:r>
            <w:r w:rsidR="00F312A0" w:rsidRPr="00F3555F">
              <w:rPr>
                <w:i/>
                <w:color w:val="808080"/>
                <w:sz w:val="16"/>
                <w:szCs w:val="16"/>
              </w:rPr>
              <w:t>$450 million</w:t>
            </w:r>
          </w:p>
          <w:p w14:paraId="61314134" w14:textId="77777777" w:rsidR="004A4056" w:rsidRPr="00F3555F" w:rsidRDefault="004A4056" w:rsidP="00F3555F">
            <w:pPr>
              <w:spacing w:line="240" w:lineRule="auto"/>
              <w:jc w:val="center"/>
              <w:rPr>
                <w:i/>
                <w:color w:val="808080"/>
                <w:sz w:val="16"/>
                <w:szCs w:val="16"/>
              </w:rPr>
            </w:pPr>
            <w:r>
              <w:rPr>
                <w:i/>
                <w:color w:val="808080"/>
                <w:sz w:val="16"/>
                <w:szCs w:val="16"/>
              </w:rPr>
              <w:t>(A$594 million)</w:t>
            </w:r>
          </w:p>
        </w:tc>
        <w:tc>
          <w:tcPr>
            <w:tcW w:w="813" w:type="pct"/>
            <w:gridSpan w:val="3"/>
            <w:tcBorders>
              <w:top w:val="nil"/>
              <w:left w:val="nil"/>
              <w:bottom w:val="nil"/>
              <w:right w:val="nil"/>
            </w:tcBorders>
          </w:tcPr>
          <w:p w14:paraId="399F60E7" w14:textId="77777777" w:rsidR="0003212B" w:rsidRDefault="00FB05E4" w:rsidP="00F3555F">
            <w:pPr>
              <w:spacing w:line="240" w:lineRule="auto"/>
              <w:jc w:val="center"/>
              <w:rPr>
                <w:i/>
                <w:color w:val="808080"/>
                <w:sz w:val="16"/>
                <w:szCs w:val="16"/>
              </w:rPr>
            </w:pPr>
            <w:r>
              <w:rPr>
                <w:i/>
                <w:color w:val="808080"/>
                <w:sz w:val="16"/>
                <w:szCs w:val="16"/>
              </w:rPr>
              <w:t>US</w:t>
            </w:r>
            <w:r w:rsidR="00F312A0" w:rsidRPr="00F3555F">
              <w:rPr>
                <w:i/>
                <w:color w:val="808080"/>
                <w:sz w:val="16"/>
                <w:szCs w:val="16"/>
              </w:rPr>
              <w:t>$500 million</w:t>
            </w:r>
          </w:p>
          <w:p w14:paraId="32553ECF" w14:textId="77777777" w:rsidR="004A4056" w:rsidRPr="00F3555F" w:rsidRDefault="004A4056" w:rsidP="00F3555F">
            <w:pPr>
              <w:spacing w:line="240" w:lineRule="auto"/>
              <w:jc w:val="center"/>
              <w:rPr>
                <w:i/>
                <w:color w:val="808080"/>
                <w:sz w:val="16"/>
                <w:szCs w:val="16"/>
              </w:rPr>
            </w:pPr>
            <w:r>
              <w:rPr>
                <w:i/>
                <w:color w:val="808080"/>
                <w:sz w:val="16"/>
                <w:szCs w:val="16"/>
              </w:rPr>
              <w:t>(A$660 million)</w:t>
            </w:r>
          </w:p>
        </w:tc>
      </w:tr>
      <w:tr w:rsidR="0003212B" w:rsidRPr="00F3555F" w14:paraId="20A42ECD" w14:textId="77777777" w:rsidTr="00B40314">
        <w:trPr>
          <w:trHeight w:val="614"/>
        </w:trPr>
        <w:tc>
          <w:tcPr>
            <w:tcW w:w="1163" w:type="pct"/>
            <w:tcBorders>
              <w:top w:val="nil"/>
              <w:left w:val="nil"/>
              <w:bottom w:val="nil"/>
              <w:right w:val="nil"/>
            </w:tcBorders>
            <w:hideMark/>
          </w:tcPr>
          <w:p w14:paraId="2EC6F09B" w14:textId="77777777" w:rsidR="00643F1D" w:rsidRPr="00F3555F" w:rsidRDefault="00643F1D" w:rsidP="00F3555F">
            <w:pPr>
              <w:keepLines/>
              <w:spacing w:before="40" w:after="40" w:line="240" w:lineRule="auto"/>
              <w:rPr>
                <w:rFonts w:asciiTheme="minorHAnsi" w:eastAsia="Times New Roman" w:hAnsiTheme="minorHAnsi"/>
                <w:b/>
                <w:iCs/>
                <w:sz w:val="16"/>
                <w:szCs w:val="16"/>
                <w:lang w:eastAsia="en-US"/>
              </w:rPr>
            </w:pPr>
            <w:r w:rsidRPr="00F3555F">
              <w:rPr>
                <w:rFonts w:asciiTheme="minorHAnsi" w:eastAsia="Times New Roman" w:hAnsiTheme="minorHAnsi" w:cs="Times New Roman"/>
                <w:b/>
                <w:iCs/>
                <w:color w:val="auto"/>
                <w:sz w:val="16"/>
                <w:szCs w:val="16"/>
                <w:lang w:val="en-AU"/>
              </w:rPr>
              <w:t>Objective</w:t>
            </w:r>
            <w:r w:rsidR="00551ADA">
              <w:rPr>
                <w:rFonts w:asciiTheme="minorHAnsi" w:eastAsia="Times New Roman" w:hAnsiTheme="minorHAnsi" w:cs="Times New Roman"/>
                <w:b/>
                <w:iCs/>
                <w:color w:val="auto"/>
                <w:sz w:val="16"/>
                <w:szCs w:val="16"/>
                <w:lang w:val="en-AU"/>
              </w:rPr>
              <w:t xml:space="preserve"> </w:t>
            </w:r>
            <w:r w:rsidRPr="00F3555F">
              <w:rPr>
                <w:rFonts w:asciiTheme="minorHAnsi" w:eastAsia="Times New Roman" w:hAnsiTheme="minorHAnsi" w:cs="Times New Roman"/>
                <w:b/>
                <w:iCs/>
                <w:color w:val="auto"/>
                <w:sz w:val="16"/>
                <w:szCs w:val="16"/>
                <w:lang w:val="en-AU"/>
              </w:rPr>
              <w:t>2: Effective regional institutions</w:t>
            </w:r>
            <w:r w:rsidRPr="00F3555F">
              <w:rPr>
                <w:rFonts w:asciiTheme="minorHAnsi" w:eastAsia="Times New Roman" w:hAnsiTheme="minorHAnsi"/>
                <w:b/>
                <w:iCs/>
                <w:sz w:val="16"/>
                <w:szCs w:val="16"/>
                <w:lang w:eastAsia="en-US"/>
              </w:rPr>
              <w:t xml:space="preserve"> </w:t>
            </w:r>
          </w:p>
        </w:tc>
        <w:tc>
          <w:tcPr>
            <w:tcW w:w="1328" w:type="pct"/>
            <w:tcBorders>
              <w:top w:val="nil"/>
              <w:left w:val="nil"/>
              <w:bottom w:val="nil"/>
              <w:right w:val="nil"/>
            </w:tcBorders>
          </w:tcPr>
          <w:p w14:paraId="21092EDF" w14:textId="77777777" w:rsidR="00643F1D" w:rsidRPr="00F3555F" w:rsidRDefault="00643F1D" w:rsidP="00F3555F">
            <w:pPr>
              <w:spacing w:after="120" w:line="240" w:lineRule="auto"/>
              <w:rPr>
                <w:rFonts w:asciiTheme="minorHAnsi" w:hAnsiTheme="minorHAnsi"/>
                <w:i/>
                <w:color w:val="808080" w:themeColor="background1" w:themeShade="80"/>
                <w:sz w:val="16"/>
                <w:szCs w:val="16"/>
                <w:lang w:eastAsia="en-US"/>
              </w:rPr>
            </w:pPr>
          </w:p>
        </w:tc>
        <w:tc>
          <w:tcPr>
            <w:tcW w:w="811" w:type="pct"/>
            <w:gridSpan w:val="2"/>
            <w:tcBorders>
              <w:top w:val="nil"/>
              <w:left w:val="nil"/>
              <w:bottom w:val="nil"/>
              <w:right w:val="nil"/>
            </w:tcBorders>
          </w:tcPr>
          <w:p w14:paraId="7857DC34" w14:textId="77777777" w:rsidR="00643F1D" w:rsidRPr="00F3555F" w:rsidRDefault="00643F1D" w:rsidP="00F3555F">
            <w:pPr>
              <w:spacing w:after="120" w:line="240" w:lineRule="auto"/>
              <w:jc w:val="center"/>
              <w:rPr>
                <w:rFonts w:asciiTheme="minorHAnsi" w:hAnsiTheme="minorHAnsi"/>
                <w:i/>
                <w:color w:val="808080" w:themeColor="background1" w:themeShade="80"/>
                <w:sz w:val="16"/>
                <w:szCs w:val="16"/>
                <w:lang w:eastAsia="en-US"/>
              </w:rPr>
            </w:pPr>
          </w:p>
        </w:tc>
        <w:tc>
          <w:tcPr>
            <w:tcW w:w="885" w:type="pct"/>
            <w:gridSpan w:val="2"/>
            <w:tcBorders>
              <w:top w:val="nil"/>
              <w:left w:val="nil"/>
              <w:bottom w:val="nil"/>
              <w:right w:val="nil"/>
            </w:tcBorders>
          </w:tcPr>
          <w:p w14:paraId="5DA7A3C3" w14:textId="77777777" w:rsidR="00643F1D" w:rsidRPr="00F3555F" w:rsidRDefault="00643F1D" w:rsidP="00F3555F">
            <w:pPr>
              <w:spacing w:after="120" w:line="240" w:lineRule="auto"/>
              <w:jc w:val="center"/>
              <w:rPr>
                <w:rFonts w:asciiTheme="minorHAnsi" w:hAnsiTheme="minorHAnsi"/>
                <w:i/>
                <w:color w:val="808080" w:themeColor="background1" w:themeShade="80"/>
                <w:sz w:val="16"/>
                <w:szCs w:val="16"/>
                <w:lang w:eastAsia="en-US"/>
              </w:rPr>
            </w:pPr>
          </w:p>
        </w:tc>
        <w:tc>
          <w:tcPr>
            <w:tcW w:w="813" w:type="pct"/>
            <w:gridSpan w:val="3"/>
            <w:tcBorders>
              <w:top w:val="nil"/>
              <w:left w:val="nil"/>
              <w:bottom w:val="nil"/>
              <w:right w:val="nil"/>
            </w:tcBorders>
          </w:tcPr>
          <w:p w14:paraId="034246D6" w14:textId="77777777" w:rsidR="00643F1D" w:rsidRPr="00F3555F" w:rsidRDefault="00643F1D" w:rsidP="00F3555F">
            <w:pPr>
              <w:spacing w:after="120" w:line="240" w:lineRule="auto"/>
              <w:ind w:firstLine="32"/>
              <w:jc w:val="center"/>
              <w:rPr>
                <w:rFonts w:asciiTheme="minorHAnsi" w:hAnsiTheme="minorHAnsi"/>
                <w:i/>
                <w:color w:val="808080" w:themeColor="background1" w:themeShade="80"/>
                <w:sz w:val="16"/>
                <w:szCs w:val="16"/>
                <w:lang w:eastAsia="en-US"/>
              </w:rPr>
            </w:pPr>
          </w:p>
        </w:tc>
      </w:tr>
      <w:tr w:rsidR="0003212B" w:rsidRPr="00F3555F" w14:paraId="16AB85E3" w14:textId="77777777" w:rsidTr="00B40314">
        <w:trPr>
          <w:trHeight w:val="614"/>
        </w:trPr>
        <w:tc>
          <w:tcPr>
            <w:tcW w:w="1163" w:type="pct"/>
            <w:tcBorders>
              <w:top w:val="nil"/>
              <w:left w:val="nil"/>
              <w:bottom w:val="nil"/>
              <w:right w:val="nil"/>
            </w:tcBorders>
          </w:tcPr>
          <w:p w14:paraId="55A424A6" w14:textId="77777777" w:rsidR="004D219A" w:rsidRPr="00F3555F" w:rsidRDefault="0003212B" w:rsidP="00F3555F">
            <w:pPr>
              <w:keepLines/>
              <w:spacing w:before="40" w:after="40" w:line="240" w:lineRule="auto"/>
              <w:rPr>
                <w:i/>
                <w:color w:val="808080"/>
                <w:sz w:val="16"/>
                <w:szCs w:val="16"/>
              </w:rPr>
            </w:pPr>
            <w:r w:rsidRPr="00F3555F">
              <w:rPr>
                <w:i/>
                <w:color w:val="808080"/>
                <w:sz w:val="16"/>
                <w:szCs w:val="16"/>
              </w:rPr>
              <w:lastRenderedPageBreak/>
              <w:t>Collective ownership of regional organisations by Pacific island country members.</w:t>
            </w:r>
          </w:p>
        </w:tc>
        <w:tc>
          <w:tcPr>
            <w:tcW w:w="1328" w:type="pct"/>
            <w:tcBorders>
              <w:top w:val="nil"/>
              <w:left w:val="nil"/>
              <w:bottom w:val="nil"/>
              <w:right w:val="nil"/>
            </w:tcBorders>
          </w:tcPr>
          <w:p w14:paraId="151ECB4D" w14:textId="77777777" w:rsidR="004D219A" w:rsidRPr="00F3555F" w:rsidRDefault="00255739" w:rsidP="00F3555F">
            <w:pPr>
              <w:spacing w:after="120" w:line="240" w:lineRule="auto"/>
              <w:rPr>
                <w:i/>
                <w:color w:val="808080"/>
                <w:sz w:val="16"/>
                <w:szCs w:val="16"/>
              </w:rPr>
            </w:pPr>
            <w:r w:rsidRPr="00F3555F">
              <w:rPr>
                <w:i/>
                <w:color w:val="808080"/>
                <w:sz w:val="16"/>
                <w:szCs w:val="16"/>
              </w:rPr>
              <w:t>Pacific island country members engaged in decision-making at Pacific Regional Organisation governing body meetings</w:t>
            </w:r>
          </w:p>
        </w:tc>
        <w:tc>
          <w:tcPr>
            <w:tcW w:w="811" w:type="pct"/>
            <w:gridSpan w:val="2"/>
            <w:tcBorders>
              <w:top w:val="nil"/>
              <w:left w:val="nil"/>
              <w:bottom w:val="nil"/>
              <w:right w:val="nil"/>
            </w:tcBorders>
          </w:tcPr>
          <w:p w14:paraId="5969F807" w14:textId="77777777" w:rsidR="004D219A" w:rsidRPr="00F3555F" w:rsidRDefault="00255739" w:rsidP="00F3555F">
            <w:pPr>
              <w:spacing w:after="120" w:line="240" w:lineRule="auto"/>
              <w:jc w:val="center"/>
              <w:rPr>
                <w:i/>
                <w:color w:val="808080"/>
                <w:sz w:val="16"/>
                <w:szCs w:val="16"/>
              </w:rPr>
            </w:pPr>
            <w:r w:rsidRPr="00F3555F">
              <w:rPr>
                <w:i/>
                <w:color w:val="808080"/>
                <w:sz w:val="16"/>
                <w:szCs w:val="16"/>
              </w:rPr>
              <w:t>50%</w:t>
            </w:r>
          </w:p>
        </w:tc>
        <w:tc>
          <w:tcPr>
            <w:tcW w:w="885" w:type="pct"/>
            <w:gridSpan w:val="2"/>
            <w:tcBorders>
              <w:top w:val="nil"/>
              <w:left w:val="nil"/>
              <w:bottom w:val="nil"/>
              <w:right w:val="nil"/>
            </w:tcBorders>
          </w:tcPr>
          <w:p w14:paraId="515D0114" w14:textId="77777777" w:rsidR="004D219A" w:rsidRPr="00F3555F" w:rsidRDefault="00255739" w:rsidP="00F3555F">
            <w:pPr>
              <w:spacing w:after="120" w:line="240" w:lineRule="auto"/>
              <w:jc w:val="center"/>
              <w:rPr>
                <w:i/>
                <w:color w:val="808080"/>
                <w:sz w:val="16"/>
                <w:szCs w:val="16"/>
              </w:rPr>
            </w:pPr>
            <w:r w:rsidRPr="00F3555F">
              <w:rPr>
                <w:i/>
                <w:color w:val="808080"/>
                <w:sz w:val="16"/>
                <w:szCs w:val="16"/>
              </w:rPr>
              <w:t>55%</w:t>
            </w:r>
          </w:p>
        </w:tc>
        <w:tc>
          <w:tcPr>
            <w:tcW w:w="813" w:type="pct"/>
            <w:gridSpan w:val="3"/>
            <w:tcBorders>
              <w:top w:val="nil"/>
              <w:left w:val="nil"/>
              <w:bottom w:val="nil"/>
              <w:right w:val="nil"/>
            </w:tcBorders>
          </w:tcPr>
          <w:p w14:paraId="77FF429D" w14:textId="77777777" w:rsidR="004D219A" w:rsidRPr="00F3555F" w:rsidRDefault="00255739" w:rsidP="00F3555F">
            <w:pPr>
              <w:spacing w:after="120" w:line="240" w:lineRule="auto"/>
              <w:ind w:firstLine="32"/>
              <w:jc w:val="center"/>
              <w:rPr>
                <w:i/>
                <w:color w:val="808080"/>
                <w:sz w:val="16"/>
                <w:szCs w:val="16"/>
              </w:rPr>
            </w:pPr>
            <w:r w:rsidRPr="00F3555F">
              <w:rPr>
                <w:i/>
                <w:color w:val="808080"/>
                <w:sz w:val="16"/>
                <w:szCs w:val="16"/>
              </w:rPr>
              <w:t>60%</w:t>
            </w:r>
          </w:p>
        </w:tc>
      </w:tr>
      <w:tr w:rsidR="0003212B" w:rsidRPr="00F3555F" w14:paraId="13B203B0" w14:textId="77777777" w:rsidTr="00B40314">
        <w:trPr>
          <w:trHeight w:val="614"/>
        </w:trPr>
        <w:tc>
          <w:tcPr>
            <w:tcW w:w="1163" w:type="pct"/>
            <w:tcBorders>
              <w:top w:val="nil"/>
              <w:left w:val="nil"/>
              <w:bottom w:val="nil"/>
              <w:right w:val="nil"/>
            </w:tcBorders>
          </w:tcPr>
          <w:p w14:paraId="4D3C0AE3" w14:textId="77777777" w:rsidR="00643F1D" w:rsidRPr="00F3555F" w:rsidRDefault="00643F1D" w:rsidP="00F3555F">
            <w:pPr>
              <w:pStyle w:val="TableHeading1"/>
              <w:spacing w:line="240" w:lineRule="auto"/>
              <w:rPr>
                <w:rFonts w:asciiTheme="minorHAnsi" w:hAnsiTheme="minorHAnsi"/>
                <w:sz w:val="16"/>
                <w:szCs w:val="16"/>
              </w:rPr>
            </w:pPr>
            <w:r w:rsidRPr="00F3555F">
              <w:rPr>
                <w:rFonts w:asciiTheme="minorHAnsi" w:hAnsiTheme="minorHAnsi"/>
                <w:sz w:val="16"/>
                <w:szCs w:val="16"/>
              </w:rPr>
              <w:t>Objective 3: Health</w:t>
            </w:r>
            <w:r w:rsidR="00551ADA">
              <w:rPr>
                <w:rFonts w:asciiTheme="minorHAnsi" w:hAnsiTheme="minorHAnsi"/>
                <w:sz w:val="16"/>
                <w:szCs w:val="16"/>
              </w:rPr>
              <w:t>y</w:t>
            </w:r>
            <w:r w:rsidRPr="00F3555F">
              <w:rPr>
                <w:rFonts w:asciiTheme="minorHAnsi" w:hAnsiTheme="minorHAnsi"/>
                <w:sz w:val="16"/>
                <w:szCs w:val="16"/>
              </w:rPr>
              <w:t xml:space="preserve"> and resilient communities</w:t>
            </w:r>
          </w:p>
        </w:tc>
        <w:tc>
          <w:tcPr>
            <w:tcW w:w="1328" w:type="pct"/>
            <w:tcBorders>
              <w:top w:val="nil"/>
              <w:left w:val="nil"/>
              <w:bottom w:val="nil"/>
              <w:right w:val="nil"/>
            </w:tcBorders>
          </w:tcPr>
          <w:p w14:paraId="137A93DD" w14:textId="77777777" w:rsidR="00643F1D" w:rsidRPr="00F3555F" w:rsidRDefault="00643F1D" w:rsidP="00F3555F">
            <w:pPr>
              <w:spacing w:after="120" w:line="240" w:lineRule="auto"/>
              <w:rPr>
                <w:i/>
                <w:color w:val="808080" w:themeColor="background1" w:themeShade="80"/>
                <w:sz w:val="16"/>
                <w:szCs w:val="16"/>
              </w:rPr>
            </w:pPr>
          </w:p>
        </w:tc>
        <w:tc>
          <w:tcPr>
            <w:tcW w:w="811" w:type="pct"/>
            <w:gridSpan w:val="2"/>
            <w:tcBorders>
              <w:top w:val="nil"/>
              <w:left w:val="nil"/>
              <w:bottom w:val="nil"/>
              <w:right w:val="nil"/>
            </w:tcBorders>
          </w:tcPr>
          <w:p w14:paraId="60874041" w14:textId="77777777" w:rsidR="00643F1D" w:rsidRPr="00F3555F" w:rsidRDefault="00643F1D" w:rsidP="00F3555F">
            <w:pPr>
              <w:spacing w:after="120" w:line="240" w:lineRule="auto"/>
              <w:jc w:val="center"/>
              <w:rPr>
                <w:i/>
                <w:color w:val="808080" w:themeColor="background1" w:themeShade="80"/>
                <w:sz w:val="16"/>
                <w:szCs w:val="16"/>
              </w:rPr>
            </w:pPr>
          </w:p>
        </w:tc>
        <w:tc>
          <w:tcPr>
            <w:tcW w:w="885" w:type="pct"/>
            <w:gridSpan w:val="2"/>
            <w:tcBorders>
              <w:top w:val="nil"/>
              <w:left w:val="nil"/>
              <w:bottom w:val="nil"/>
              <w:right w:val="nil"/>
            </w:tcBorders>
          </w:tcPr>
          <w:p w14:paraId="3FB8D594" w14:textId="77777777" w:rsidR="00643F1D" w:rsidRPr="00F3555F" w:rsidRDefault="00643F1D" w:rsidP="00F3555F">
            <w:pPr>
              <w:spacing w:after="120" w:line="240" w:lineRule="auto"/>
              <w:jc w:val="center"/>
              <w:rPr>
                <w:i/>
                <w:color w:val="808080" w:themeColor="background1" w:themeShade="80"/>
                <w:sz w:val="16"/>
                <w:szCs w:val="16"/>
              </w:rPr>
            </w:pPr>
          </w:p>
        </w:tc>
        <w:tc>
          <w:tcPr>
            <w:tcW w:w="813" w:type="pct"/>
            <w:gridSpan w:val="3"/>
            <w:tcBorders>
              <w:top w:val="nil"/>
              <w:left w:val="nil"/>
              <w:bottom w:val="nil"/>
              <w:right w:val="nil"/>
            </w:tcBorders>
          </w:tcPr>
          <w:p w14:paraId="30E6720C" w14:textId="77777777" w:rsidR="00643F1D" w:rsidRPr="00F3555F" w:rsidRDefault="00643F1D" w:rsidP="00F3555F">
            <w:pPr>
              <w:spacing w:after="120" w:line="240" w:lineRule="auto"/>
              <w:ind w:firstLine="32"/>
              <w:jc w:val="center"/>
              <w:rPr>
                <w:i/>
                <w:color w:val="808080" w:themeColor="background1" w:themeShade="80"/>
                <w:sz w:val="16"/>
                <w:szCs w:val="16"/>
              </w:rPr>
            </w:pPr>
          </w:p>
        </w:tc>
      </w:tr>
      <w:tr w:rsidR="0003212B" w:rsidRPr="00F3555F" w14:paraId="67197E26" w14:textId="77777777" w:rsidTr="00B40314">
        <w:trPr>
          <w:trHeight w:val="614"/>
        </w:trPr>
        <w:tc>
          <w:tcPr>
            <w:tcW w:w="1163" w:type="pct"/>
            <w:tcBorders>
              <w:top w:val="nil"/>
              <w:left w:val="nil"/>
              <w:bottom w:val="nil"/>
              <w:right w:val="nil"/>
            </w:tcBorders>
          </w:tcPr>
          <w:p w14:paraId="2F443BCC" w14:textId="77777777" w:rsidR="00643F1D" w:rsidRPr="00F3555F" w:rsidRDefault="003D7137" w:rsidP="00F3555F">
            <w:pPr>
              <w:pStyle w:val="TableTextEntries"/>
              <w:spacing w:line="240" w:lineRule="auto"/>
              <w:ind w:firstLine="32"/>
              <w:rPr>
                <w:rFonts w:asciiTheme="minorHAnsi" w:hAnsiTheme="minorHAnsi"/>
                <w:sz w:val="16"/>
                <w:szCs w:val="16"/>
              </w:rPr>
            </w:pPr>
            <w:r w:rsidRPr="00F3555F">
              <w:rPr>
                <w:rFonts w:ascii="Helvetica" w:eastAsiaTheme="minorHAnsi" w:hAnsi="Helvetica" w:cstheme="minorBidi"/>
                <w:i/>
                <w:iCs w:val="0"/>
                <w:color w:val="808080"/>
                <w:sz w:val="16"/>
                <w:szCs w:val="16"/>
                <w:lang w:val="en-GB"/>
              </w:rPr>
              <w:t>Pacific island countries are able to meet the challenge of climate change and risk reduction</w:t>
            </w:r>
          </w:p>
        </w:tc>
        <w:tc>
          <w:tcPr>
            <w:tcW w:w="1328" w:type="pct"/>
            <w:tcBorders>
              <w:top w:val="nil"/>
              <w:left w:val="nil"/>
              <w:bottom w:val="nil"/>
              <w:right w:val="nil"/>
            </w:tcBorders>
          </w:tcPr>
          <w:p w14:paraId="67B6D82D" w14:textId="77777777" w:rsidR="00643F1D" w:rsidRPr="00F3555F" w:rsidRDefault="00C25C42" w:rsidP="00F3555F">
            <w:pPr>
              <w:spacing w:after="120" w:line="240" w:lineRule="auto"/>
              <w:rPr>
                <w:i/>
                <w:color w:val="808080"/>
                <w:sz w:val="16"/>
                <w:szCs w:val="16"/>
              </w:rPr>
            </w:pPr>
            <w:r w:rsidRPr="00F3555F">
              <w:rPr>
                <w:i/>
                <w:color w:val="808080"/>
                <w:sz w:val="16"/>
                <w:szCs w:val="16"/>
              </w:rPr>
              <w:t>Pacific governments are able to access and use information on climate change impacts in national planning</w:t>
            </w:r>
          </w:p>
        </w:tc>
        <w:tc>
          <w:tcPr>
            <w:tcW w:w="811" w:type="pct"/>
            <w:gridSpan w:val="2"/>
            <w:tcBorders>
              <w:top w:val="nil"/>
              <w:left w:val="nil"/>
              <w:bottom w:val="nil"/>
              <w:right w:val="nil"/>
            </w:tcBorders>
          </w:tcPr>
          <w:p w14:paraId="6C9012BB" w14:textId="77777777" w:rsidR="00643F1D" w:rsidRPr="00F3555F" w:rsidRDefault="00C25C42" w:rsidP="00F3555F">
            <w:pPr>
              <w:spacing w:after="120" w:line="240" w:lineRule="auto"/>
              <w:rPr>
                <w:i/>
                <w:color w:val="808080"/>
                <w:sz w:val="16"/>
                <w:szCs w:val="16"/>
              </w:rPr>
            </w:pPr>
            <w:r w:rsidRPr="00F3555F">
              <w:rPr>
                <w:i/>
                <w:color w:val="808080"/>
                <w:sz w:val="16"/>
                <w:szCs w:val="16"/>
              </w:rPr>
              <w:t xml:space="preserve">SPREP successfully </w:t>
            </w:r>
            <w:r w:rsidR="00B40314" w:rsidRPr="00F3555F">
              <w:rPr>
                <w:i/>
                <w:color w:val="808080"/>
                <w:sz w:val="16"/>
                <w:szCs w:val="16"/>
              </w:rPr>
              <w:t xml:space="preserve">hosts </w:t>
            </w:r>
            <w:r w:rsidRPr="00F3555F">
              <w:rPr>
                <w:i/>
                <w:color w:val="808080"/>
                <w:sz w:val="16"/>
                <w:szCs w:val="16"/>
              </w:rPr>
              <w:t>seasonal climate outlook software and resources 14 member countries.</w:t>
            </w:r>
          </w:p>
        </w:tc>
        <w:tc>
          <w:tcPr>
            <w:tcW w:w="885" w:type="pct"/>
            <w:gridSpan w:val="2"/>
            <w:tcBorders>
              <w:top w:val="nil"/>
              <w:left w:val="nil"/>
              <w:bottom w:val="nil"/>
              <w:right w:val="nil"/>
            </w:tcBorders>
          </w:tcPr>
          <w:p w14:paraId="6E2B8EB6" w14:textId="77777777" w:rsidR="00643F1D" w:rsidRPr="00F3555F" w:rsidRDefault="00C25C42" w:rsidP="00F3555F">
            <w:pPr>
              <w:spacing w:after="120" w:line="240" w:lineRule="auto"/>
              <w:rPr>
                <w:i/>
                <w:color w:val="808080"/>
                <w:sz w:val="16"/>
                <w:szCs w:val="16"/>
              </w:rPr>
            </w:pPr>
            <w:r w:rsidRPr="00F3555F">
              <w:rPr>
                <w:i/>
                <w:color w:val="808080"/>
                <w:sz w:val="16"/>
                <w:szCs w:val="16"/>
              </w:rPr>
              <w:t>National decision makers utilise climate science findings in national planning in at least 3 countries</w:t>
            </w:r>
          </w:p>
        </w:tc>
        <w:tc>
          <w:tcPr>
            <w:tcW w:w="813" w:type="pct"/>
            <w:gridSpan w:val="3"/>
            <w:tcBorders>
              <w:top w:val="nil"/>
              <w:left w:val="nil"/>
              <w:bottom w:val="nil"/>
              <w:right w:val="nil"/>
            </w:tcBorders>
          </w:tcPr>
          <w:p w14:paraId="180EC2D9" w14:textId="77777777" w:rsidR="00C25C42" w:rsidRPr="00F3555F" w:rsidRDefault="00C25C42" w:rsidP="00F3555F">
            <w:pPr>
              <w:suppressAutoHyphens w:val="0"/>
              <w:spacing w:before="0" w:after="0" w:line="240" w:lineRule="auto"/>
              <w:rPr>
                <w:i/>
                <w:color w:val="808080"/>
                <w:sz w:val="16"/>
                <w:szCs w:val="16"/>
              </w:rPr>
            </w:pPr>
          </w:p>
          <w:p w14:paraId="0955B383" w14:textId="77777777" w:rsidR="00643F1D" w:rsidRPr="00F3555F" w:rsidRDefault="00C25C42" w:rsidP="00F3555F">
            <w:pPr>
              <w:suppressAutoHyphens w:val="0"/>
              <w:spacing w:before="0" w:after="0" w:line="240" w:lineRule="auto"/>
              <w:rPr>
                <w:i/>
                <w:color w:val="808080"/>
                <w:sz w:val="16"/>
                <w:szCs w:val="16"/>
              </w:rPr>
            </w:pPr>
            <w:r w:rsidRPr="00F3555F">
              <w:rPr>
                <w:i/>
                <w:color w:val="808080"/>
                <w:sz w:val="16"/>
                <w:szCs w:val="16"/>
              </w:rPr>
              <w:t xml:space="preserve">National decision makers utilise climate science findings in national planning in at least 5 countries </w:t>
            </w:r>
          </w:p>
          <w:p w14:paraId="37D4504D" w14:textId="77777777" w:rsidR="00C25C42" w:rsidRPr="00F3555F" w:rsidRDefault="00C25C42" w:rsidP="00F3555F">
            <w:pPr>
              <w:suppressAutoHyphens w:val="0"/>
              <w:spacing w:before="0" w:after="0" w:line="240" w:lineRule="auto"/>
              <w:rPr>
                <w:i/>
                <w:color w:val="808080"/>
                <w:sz w:val="16"/>
                <w:szCs w:val="16"/>
              </w:rPr>
            </w:pPr>
          </w:p>
        </w:tc>
      </w:tr>
      <w:tr w:rsidR="00C25C42" w:rsidRPr="00F3555F" w14:paraId="0C34C0CF" w14:textId="77777777" w:rsidTr="00B40314">
        <w:trPr>
          <w:trHeight w:val="614"/>
        </w:trPr>
        <w:tc>
          <w:tcPr>
            <w:tcW w:w="1163" w:type="pct"/>
            <w:tcBorders>
              <w:top w:val="nil"/>
              <w:left w:val="nil"/>
              <w:bottom w:val="nil"/>
              <w:right w:val="nil"/>
            </w:tcBorders>
          </w:tcPr>
          <w:p w14:paraId="58097263" w14:textId="77777777" w:rsidR="00C25C42" w:rsidRPr="00F3555F" w:rsidRDefault="00C25C42" w:rsidP="00F3555F">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Collective action managing regional fisheries resources delivers economic benefits to Pacific countries</w:t>
            </w:r>
          </w:p>
        </w:tc>
        <w:tc>
          <w:tcPr>
            <w:tcW w:w="1328" w:type="pct"/>
            <w:tcBorders>
              <w:top w:val="nil"/>
              <w:left w:val="nil"/>
              <w:bottom w:val="nil"/>
              <w:right w:val="nil"/>
            </w:tcBorders>
          </w:tcPr>
          <w:p w14:paraId="7D762018" w14:textId="77777777" w:rsidR="00C25C42" w:rsidRPr="00F3555F" w:rsidRDefault="00C25C42" w:rsidP="00F3555F">
            <w:pPr>
              <w:spacing w:after="120" w:line="240" w:lineRule="auto"/>
              <w:rPr>
                <w:i/>
                <w:color w:val="808080"/>
                <w:sz w:val="16"/>
                <w:szCs w:val="16"/>
              </w:rPr>
            </w:pPr>
            <w:r w:rsidRPr="00F3555F">
              <w:rPr>
                <w:i/>
                <w:color w:val="808080"/>
                <w:sz w:val="16"/>
                <w:szCs w:val="16"/>
              </w:rPr>
              <w:t>Pacific governments provide more resources (financial and human resources) to holistic community-based fisheries management approaches.</w:t>
            </w:r>
          </w:p>
        </w:tc>
        <w:tc>
          <w:tcPr>
            <w:tcW w:w="811" w:type="pct"/>
            <w:gridSpan w:val="2"/>
            <w:tcBorders>
              <w:top w:val="nil"/>
              <w:left w:val="nil"/>
              <w:bottom w:val="nil"/>
              <w:right w:val="nil"/>
            </w:tcBorders>
          </w:tcPr>
          <w:p w14:paraId="37BA3AA5" w14:textId="77777777" w:rsidR="00C25C42" w:rsidRPr="00F3555F" w:rsidRDefault="00C25C42" w:rsidP="00F3555F">
            <w:pPr>
              <w:spacing w:after="120" w:line="240" w:lineRule="auto"/>
              <w:jc w:val="center"/>
              <w:rPr>
                <w:i/>
                <w:color w:val="808080"/>
                <w:sz w:val="16"/>
                <w:szCs w:val="16"/>
              </w:rPr>
            </w:pPr>
            <w:r w:rsidRPr="00F3555F">
              <w:rPr>
                <w:i/>
                <w:color w:val="808080"/>
                <w:sz w:val="16"/>
                <w:szCs w:val="16"/>
              </w:rPr>
              <w:t>28 villages (7400 people) benefit from holistic community-based fisheries management approach</w:t>
            </w:r>
          </w:p>
        </w:tc>
        <w:tc>
          <w:tcPr>
            <w:tcW w:w="885" w:type="pct"/>
            <w:gridSpan w:val="2"/>
            <w:tcBorders>
              <w:top w:val="nil"/>
              <w:left w:val="nil"/>
              <w:bottom w:val="nil"/>
              <w:right w:val="nil"/>
            </w:tcBorders>
          </w:tcPr>
          <w:p w14:paraId="7E68A494" w14:textId="77777777" w:rsidR="00C25C42" w:rsidRPr="00F3555F" w:rsidRDefault="00C25C42" w:rsidP="00F3555F">
            <w:pPr>
              <w:spacing w:after="120" w:line="240" w:lineRule="auto"/>
              <w:jc w:val="center"/>
              <w:rPr>
                <w:i/>
                <w:color w:val="808080"/>
                <w:sz w:val="16"/>
                <w:szCs w:val="16"/>
              </w:rPr>
            </w:pPr>
            <w:r w:rsidRPr="00F3555F">
              <w:rPr>
                <w:i/>
                <w:color w:val="808080"/>
                <w:sz w:val="16"/>
                <w:szCs w:val="16"/>
              </w:rPr>
              <w:t>Pacific governments report on monitoring and evaluation indicators under the A New Song for Coastal Fisheries</w:t>
            </w:r>
          </w:p>
        </w:tc>
        <w:tc>
          <w:tcPr>
            <w:tcW w:w="813" w:type="pct"/>
            <w:gridSpan w:val="3"/>
            <w:tcBorders>
              <w:top w:val="nil"/>
              <w:left w:val="nil"/>
              <w:bottom w:val="nil"/>
              <w:right w:val="nil"/>
            </w:tcBorders>
          </w:tcPr>
          <w:p w14:paraId="0F7EBD67" w14:textId="77777777" w:rsidR="00C25C42" w:rsidRPr="00F3555F" w:rsidRDefault="00C25C42" w:rsidP="00F3555F">
            <w:pPr>
              <w:spacing w:after="120" w:line="240" w:lineRule="auto"/>
              <w:ind w:firstLine="32"/>
              <w:rPr>
                <w:i/>
                <w:color w:val="808080"/>
                <w:sz w:val="16"/>
                <w:szCs w:val="16"/>
              </w:rPr>
            </w:pPr>
            <w:r w:rsidRPr="00F3555F">
              <w:rPr>
                <w:i/>
                <w:color w:val="808080"/>
                <w:sz w:val="16"/>
                <w:szCs w:val="16"/>
              </w:rPr>
              <w:t>ACIAR provides evidence of holistic community-based fisheries management approach in at least 3 countries.</w:t>
            </w:r>
          </w:p>
        </w:tc>
      </w:tr>
      <w:tr w:rsidR="0003212B" w:rsidRPr="00F3555F" w14:paraId="049EEAC1" w14:textId="77777777" w:rsidTr="00B40314">
        <w:trPr>
          <w:trHeight w:val="614"/>
        </w:trPr>
        <w:tc>
          <w:tcPr>
            <w:tcW w:w="1163" w:type="pct"/>
            <w:tcBorders>
              <w:top w:val="nil"/>
              <w:left w:val="nil"/>
              <w:bottom w:val="nil"/>
              <w:right w:val="nil"/>
            </w:tcBorders>
          </w:tcPr>
          <w:p w14:paraId="5ED57500" w14:textId="77777777" w:rsidR="00887DF9" w:rsidRPr="00F3555F" w:rsidRDefault="00E76B46" w:rsidP="00F3555F">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Pacific island government national surveillance systems effectively monitor outbreaks of infectious diseases</w:t>
            </w:r>
          </w:p>
        </w:tc>
        <w:tc>
          <w:tcPr>
            <w:tcW w:w="1328" w:type="pct"/>
            <w:tcBorders>
              <w:top w:val="nil"/>
              <w:left w:val="nil"/>
              <w:bottom w:val="nil"/>
              <w:right w:val="nil"/>
            </w:tcBorders>
          </w:tcPr>
          <w:p w14:paraId="3DF67CDB" w14:textId="77777777" w:rsidR="00887DF9" w:rsidRPr="00F3555F" w:rsidRDefault="008D07D1" w:rsidP="00F3555F">
            <w:pPr>
              <w:spacing w:after="120" w:line="240" w:lineRule="auto"/>
              <w:rPr>
                <w:i/>
                <w:color w:val="808080"/>
                <w:sz w:val="16"/>
                <w:szCs w:val="16"/>
              </w:rPr>
            </w:pPr>
            <w:r w:rsidRPr="00F3555F">
              <w:rPr>
                <w:i/>
                <w:color w:val="808080"/>
                <w:sz w:val="16"/>
                <w:szCs w:val="16"/>
              </w:rPr>
              <w:t>Number</w:t>
            </w:r>
            <w:r w:rsidR="00887DF9" w:rsidRPr="00F3555F">
              <w:rPr>
                <w:i/>
                <w:color w:val="808080"/>
                <w:sz w:val="16"/>
                <w:szCs w:val="16"/>
              </w:rPr>
              <w:t xml:space="preserve"> of Pacific island countries meeting all seven International Health </w:t>
            </w:r>
            <w:r w:rsidR="008C0D74" w:rsidRPr="00F3555F">
              <w:rPr>
                <w:i/>
                <w:color w:val="808080"/>
                <w:sz w:val="16"/>
                <w:szCs w:val="16"/>
              </w:rPr>
              <w:t>Regulation core capacities.*</w:t>
            </w:r>
            <w:r w:rsidRPr="00F3555F">
              <w:rPr>
                <w:i/>
                <w:color w:val="808080"/>
                <w:sz w:val="16"/>
                <w:szCs w:val="16"/>
              </w:rPr>
              <w:t xml:space="preserve"> </w:t>
            </w:r>
            <w:r w:rsidR="00060AB0" w:rsidRPr="00F3555F">
              <w:rPr>
                <w:i/>
                <w:color w:val="808080"/>
                <w:sz w:val="16"/>
                <w:szCs w:val="16"/>
              </w:rPr>
              <w:t>(</w:t>
            </w:r>
            <w:r w:rsidRPr="00F3555F">
              <w:rPr>
                <w:i/>
                <w:color w:val="808080"/>
                <w:sz w:val="16"/>
                <w:szCs w:val="16"/>
              </w:rPr>
              <w:t>Currently 9 out of 14</w:t>
            </w:r>
            <w:r w:rsidR="00060AB0" w:rsidRPr="00F3555F">
              <w:rPr>
                <w:i/>
                <w:color w:val="808080"/>
                <w:sz w:val="16"/>
                <w:szCs w:val="16"/>
              </w:rPr>
              <w:t>)</w:t>
            </w:r>
            <w:r w:rsidRPr="00F3555F">
              <w:rPr>
                <w:i/>
                <w:color w:val="808080"/>
                <w:sz w:val="16"/>
                <w:szCs w:val="16"/>
              </w:rPr>
              <w:t>. Our aim is to maintain or increase this number each year.</w:t>
            </w:r>
          </w:p>
        </w:tc>
        <w:tc>
          <w:tcPr>
            <w:tcW w:w="811" w:type="pct"/>
            <w:gridSpan w:val="2"/>
            <w:tcBorders>
              <w:top w:val="nil"/>
              <w:left w:val="nil"/>
              <w:bottom w:val="nil"/>
              <w:right w:val="nil"/>
            </w:tcBorders>
          </w:tcPr>
          <w:p w14:paraId="3420C110" w14:textId="77777777" w:rsidR="00887DF9" w:rsidRPr="00F3555F" w:rsidRDefault="008D07D1" w:rsidP="00F3555F">
            <w:pPr>
              <w:spacing w:after="120" w:line="240" w:lineRule="auto"/>
              <w:jc w:val="center"/>
              <w:rPr>
                <w:i/>
                <w:color w:val="808080" w:themeColor="background1" w:themeShade="80"/>
                <w:sz w:val="16"/>
                <w:szCs w:val="16"/>
              </w:rPr>
            </w:pPr>
            <w:r w:rsidRPr="00F3555F">
              <w:rPr>
                <w:i/>
                <w:color w:val="808080" w:themeColor="background1" w:themeShade="80"/>
                <w:sz w:val="16"/>
                <w:szCs w:val="16"/>
              </w:rPr>
              <w:t>9+</w:t>
            </w:r>
          </w:p>
        </w:tc>
        <w:tc>
          <w:tcPr>
            <w:tcW w:w="885" w:type="pct"/>
            <w:gridSpan w:val="2"/>
            <w:tcBorders>
              <w:top w:val="nil"/>
              <w:left w:val="nil"/>
              <w:bottom w:val="nil"/>
              <w:right w:val="nil"/>
            </w:tcBorders>
          </w:tcPr>
          <w:p w14:paraId="679B650B" w14:textId="77777777" w:rsidR="00887DF9" w:rsidRPr="00F3555F" w:rsidRDefault="008D07D1" w:rsidP="00F3555F">
            <w:pPr>
              <w:spacing w:after="120" w:line="240" w:lineRule="auto"/>
              <w:jc w:val="center"/>
              <w:rPr>
                <w:i/>
                <w:color w:val="808080" w:themeColor="background1" w:themeShade="80"/>
                <w:sz w:val="16"/>
                <w:szCs w:val="16"/>
              </w:rPr>
            </w:pPr>
            <w:r w:rsidRPr="00F3555F">
              <w:rPr>
                <w:i/>
                <w:color w:val="808080" w:themeColor="background1" w:themeShade="80"/>
                <w:sz w:val="16"/>
                <w:szCs w:val="16"/>
              </w:rPr>
              <w:t>9+</w:t>
            </w:r>
          </w:p>
        </w:tc>
        <w:tc>
          <w:tcPr>
            <w:tcW w:w="813" w:type="pct"/>
            <w:gridSpan w:val="3"/>
            <w:tcBorders>
              <w:top w:val="nil"/>
              <w:left w:val="nil"/>
              <w:bottom w:val="nil"/>
              <w:right w:val="nil"/>
            </w:tcBorders>
          </w:tcPr>
          <w:p w14:paraId="4F8035DB" w14:textId="77777777" w:rsidR="00887DF9" w:rsidRPr="00F3555F" w:rsidRDefault="008D07D1" w:rsidP="00F3555F">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9+</w:t>
            </w:r>
          </w:p>
        </w:tc>
      </w:tr>
      <w:tr w:rsidR="0003212B" w:rsidRPr="00F3555F" w14:paraId="44A35AAE" w14:textId="77777777" w:rsidTr="00B40314">
        <w:trPr>
          <w:trHeight w:val="614"/>
        </w:trPr>
        <w:tc>
          <w:tcPr>
            <w:tcW w:w="1163" w:type="pct"/>
            <w:tcBorders>
              <w:top w:val="nil"/>
              <w:left w:val="nil"/>
              <w:bottom w:val="nil"/>
              <w:right w:val="nil"/>
            </w:tcBorders>
          </w:tcPr>
          <w:p w14:paraId="5FA09992" w14:textId="77777777" w:rsidR="00643F1D" w:rsidRPr="00F3555F" w:rsidRDefault="003D7137" w:rsidP="00F3555F">
            <w:pPr>
              <w:pStyle w:val="TableHeading1"/>
              <w:spacing w:line="240" w:lineRule="auto"/>
              <w:rPr>
                <w:rFonts w:asciiTheme="minorHAnsi" w:hAnsiTheme="minorHAnsi"/>
                <w:sz w:val="16"/>
                <w:szCs w:val="16"/>
              </w:rPr>
            </w:pPr>
            <w:r w:rsidRPr="00F3555F">
              <w:rPr>
                <w:rFonts w:asciiTheme="minorHAnsi" w:hAnsiTheme="minorHAnsi"/>
                <w:sz w:val="16"/>
                <w:szCs w:val="16"/>
              </w:rPr>
              <w:t>Objective 4: Empowering women and girls</w:t>
            </w:r>
          </w:p>
        </w:tc>
        <w:tc>
          <w:tcPr>
            <w:tcW w:w="1328" w:type="pct"/>
            <w:tcBorders>
              <w:top w:val="nil"/>
              <w:left w:val="nil"/>
              <w:bottom w:val="nil"/>
              <w:right w:val="nil"/>
            </w:tcBorders>
          </w:tcPr>
          <w:p w14:paraId="2F305D5E" w14:textId="77777777" w:rsidR="00643F1D" w:rsidRPr="00F3555F" w:rsidRDefault="00643F1D" w:rsidP="00F3555F">
            <w:pPr>
              <w:spacing w:after="120" w:line="240" w:lineRule="auto"/>
              <w:rPr>
                <w:i/>
                <w:color w:val="808080" w:themeColor="background1" w:themeShade="80"/>
                <w:sz w:val="16"/>
                <w:szCs w:val="16"/>
              </w:rPr>
            </w:pPr>
          </w:p>
        </w:tc>
        <w:tc>
          <w:tcPr>
            <w:tcW w:w="811" w:type="pct"/>
            <w:gridSpan w:val="2"/>
            <w:tcBorders>
              <w:top w:val="nil"/>
              <w:left w:val="nil"/>
              <w:bottom w:val="nil"/>
              <w:right w:val="nil"/>
            </w:tcBorders>
          </w:tcPr>
          <w:p w14:paraId="6D7AA521" w14:textId="77777777" w:rsidR="00643F1D" w:rsidRPr="00F3555F" w:rsidRDefault="00643F1D" w:rsidP="00F3555F">
            <w:pPr>
              <w:spacing w:after="120" w:line="240" w:lineRule="auto"/>
              <w:jc w:val="center"/>
              <w:rPr>
                <w:i/>
                <w:color w:val="808080" w:themeColor="background1" w:themeShade="80"/>
                <w:sz w:val="16"/>
                <w:szCs w:val="16"/>
              </w:rPr>
            </w:pPr>
          </w:p>
        </w:tc>
        <w:tc>
          <w:tcPr>
            <w:tcW w:w="885" w:type="pct"/>
            <w:gridSpan w:val="2"/>
            <w:tcBorders>
              <w:top w:val="nil"/>
              <w:left w:val="nil"/>
              <w:bottom w:val="nil"/>
              <w:right w:val="nil"/>
            </w:tcBorders>
          </w:tcPr>
          <w:p w14:paraId="151DD5DB" w14:textId="77777777" w:rsidR="00643F1D" w:rsidRPr="00F3555F" w:rsidRDefault="00643F1D" w:rsidP="00F3555F">
            <w:pPr>
              <w:spacing w:after="120" w:line="240" w:lineRule="auto"/>
              <w:jc w:val="center"/>
              <w:rPr>
                <w:i/>
                <w:color w:val="808080" w:themeColor="background1" w:themeShade="80"/>
                <w:sz w:val="16"/>
                <w:szCs w:val="16"/>
              </w:rPr>
            </w:pPr>
          </w:p>
        </w:tc>
        <w:tc>
          <w:tcPr>
            <w:tcW w:w="813" w:type="pct"/>
            <w:gridSpan w:val="3"/>
            <w:tcBorders>
              <w:top w:val="nil"/>
              <w:left w:val="nil"/>
              <w:bottom w:val="nil"/>
              <w:right w:val="nil"/>
            </w:tcBorders>
          </w:tcPr>
          <w:p w14:paraId="34A1F792" w14:textId="77777777" w:rsidR="00643F1D" w:rsidRPr="00F3555F" w:rsidRDefault="00643F1D" w:rsidP="00F3555F">
            <w:pPr>
              <w:spacing w:after="120" w:line="240" w:lineRule="auto"/>
              <w:ind w:firstLine="32"/>
              <w:jc w:val="center"/>
              <w:rPr>
                <w:i/>
                <w:color w:val="808080" w:themeColor="background1" w:themeShade="80"/>
                <w:sz w:val="16"/>
                <w:szCs w:val="16"/>
              </w:rPr>
            </w:pPr>
          </w:p>
        </w:tc>
      </w:tr>
      <w:tr w:rsidR="0003212B" w:rsidRPr="00F3555F" w14:paraId="3308E327" w14:textId="77777777" w:rsidTr="00B40314">
        <w:trPr>
          <w:trHeight w:val="614"/>
        </w:trPr>
        <w:tc>
          <w:tcPr>
            <w:tcW w:w="1163" w:type="pct"/>
            <w:tcBorders>
              <w:top w:val="nil"/>
              <w:left w:val="nil"/>
              <w:bottom w:val="single" w:sz="12" w:space="0" w:color="auto"/>
              <w:right w:val="nil"/>
            </w:tcBorders>
          </w:tcPr>
          <w:p w14:paraId="49DA995B" w14:textId="77777777" w:rsidR="004E5E96" w:rsidRPr="00F3555F" w:rsidRDefault="004E5E96" w:rsidP="00F3555F">
            <w:pPr>
              <w:pStyle w:val="TableHeading1"/>
              <w:spacing w:line="240" w:lineRule="auto"/>
              <w:rPr>
                <w:rFonts w:asciiTheme="minorHAnsi" w:hAnsiTheme="minorHAnsi"/>
                <w:b w:val="0"/>
                <w:sz w:val="16"/>
                <w:szCs w:val="16"/>
              </w:rPr>
            </w:pPr>
            <w:r w:rsidRPr="00F3555F">
              <w:rPr>
                <w:rFonts w:ascii="Helvetica" w:eastAsiaTheme="minorHAnsi" w:hAnsi="Helvetica" w:cstheme="minorBidi"/>
                <w:b w:val="0"/>
                <w:i/>
                <w:iCs w:val="0"/>
                <w:color w:val="808080"/>
                <w:sz w:val="16"/>
                <w:szCs w:val="16"/>
                <w:lang w:val="en-GB"/>
              </w:rPr>
              <w:t>Improved participation in decision making for women in the Pacific.</w:t>
            </w:r>
          </w:p>
        </w:tc>
        <w:tc>
          <w:tcPr>
            <w:tcW w:w="1328" w:type="pct"/>
            <w:tcBorders>
              <w:top w:val="nil"/>
              <w:left w:val="nil"/>
              <w:bottom w:val="single" w:sz="12" w:space="0" w:color="auto"/>
              <w:right w:val="nil"/>
            </w:tcBorders>
          </w:tcPr>
          <w:p w14:paraId="623A1139" w14:textId="77777777" w:rsidR="004E5E96" w:rsidRPr="00F3555F" w:rsidRDefault="004E5E96" w:rsidP="00F3555F">
            <w:pPr>
              <w:spacing w:after="120" w:line="240" w:lineRule="auto"/>
              <w:rPr>
                <w:i/>
                <w:color w:val="808080" w:themeColor="background1" w:themeShade="80"/>
                <w:sz w:val="16"/>
                <w:szCs w:val="16"/>
              </w:rPr>
            </w:pPr>
            <w:r w:rsidRPr="00F3555F">
              <w:rPr>
                <w:i/>
                <w:color w:val="808080" w:themeColor="background1" w:themeShade="80"/>
                <w:sz w:val="16"/>
                <w:szCs w:val="16"/>
              </w:rPr>
              <w:t>Number of women supported to take on leadership roles at the community, provincial and national level.</w:t>
            </w:r>
          </w:p>
        </w:tc>
        <w:tc>
          <w:tcPr>
            <w:tcW w:w="811" w:type="pct"/>
            <w:gridSpan w:val="2"/>
            <w:tcBorders>
              <w:top w:val="nil"/>
              <w:left w:val="nil"/>
              <w:bottom w:val="single" w:sz="12" w:space="0" w:color="auto"/>
              <w:right w:val="nil"/>
            </w:tcBorders>
          </w:tcPr>
          <w:p w14:paraId="68B39763" w14:textId="77777777" w:rsidR="004E5E96" w:rsidRPr="00F3555F" w:rsidRDefault="004E5E96" w:rsidP="00F3555F">
            <w:pPr>
              <w:spacing w:after="120" w:line="240" w:lineRule="auto"/>
              <w:jc w:val="center"/>
              <w:rPr>
                <w:i/>
                <w:color w:val="808080" w:themeColor="background1" w:themeShade="80"/>
                <w:sz w:val="16"/>
                <w:szCs w:val="16"/>
              </w:rPr>
            </w:pPr>
            <w:r w:rsidRPr="00F3555F">
              <w:rPr>
                <w:i/>
                <w:color w:val="808080" w:themeColor="background1" w:themeShade="80"/>
                <w:sz w:val="16"/>
                <w:szCs w:val="16"/>
              </w:rPr>
              <w:t>5,000</w:t>
            </w:r>
          </w:p>
        </w:tc>
        <w:tc>
          <w:tcPr>
            <w:tcW w:w="885" w:type="pct"/>
            <w:gridSpan w:val="2"/>
            <w:tcBorders>
              <w:top w:val="nil"/>
              <w:left w:val="nil"/>
              <w:bottom w:val="single" w:sz="12" w:space="0" w:color="auto"/>
              <w:right w:val="nil"/>
            </w:tcBorders>
          </w:tcPr>
          <w:p w14:paraId="4CC3AF71" w14:textId="77777777" w:rsidR="004E5E96" w:rsidRPr="00F3555F" w:rsidRDefault="004E5E96" w:rsidP="00F3555F">
            <w:pPr>
              <w:spacing w:after="120" w:line="240" w:lineRule="auto"/>
              <w:jc w:val="center"/>
              <w:rPr>
                <w:i/>
                <w:color w:val="808080" w:themeColor="background1" w:themeShade="80"/>
                <w:sz w:val="16"/>
                <w:szCs w:val="16"/>
              </w:rPr>
            </w:pPr>
            <w:r w:rsidRPr="00F3555F">
              <w:rPr>
                <w:i/>
                <w:color w:val="808080" w:themeColor="background1" w:themeShade="80"/>
                <w:sz w:val="16"/>
                <w:szCs w:val="16"/>
              </w:rPr>
              <w:t>5,500</w:t>
            </w:r>
          </w:p>
        </w:tc>
        <w:tc>
          <w:tcPr>
            <w:tcW w:w="813" w:type="pct"/>
            <w:gridSpan w:val="3"/>
            <w:tcBorders>
              <w:top w:val="nil"/>
              <w:left w:val="nil"/>
              <w:bottom w:val="single" w:sz="12" w:space="0" w:color="auto"/>
              <w:right w:val="nil"/>
            </w:tcBorders>
          </w:tcPr>
          <w:p w14:paraId="0A2E7345" w14:textId="77777777" w:rsidR="004E5E96" w:rsidRPr="00F3555F" w:rsidRDefault="004E5E96" w:rsidP="00F3555F">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6,000</w:t>
            </w:r>
          </w:p>
        </w:tc>
      </w:tr>
    </w:tbl>
    <w:p w14:paraId="76FF14C6" w14:textId="77777777" w:rsidR="00C10C54" w:rsidRDefault="008C0D74" w:rsidP="008C0D74">
      <w:pPr>
        <w:rPr>
          <w:rFonts w:eastAsia="Malgun Gothic"/>
          <w:sz w:val="16"/>
          <w:szCs w:val="16"/>
          <w:lang w:eastAsia="ko-KR"/>
        </w:rPr>
      </w:pPr>
      <w:r w:rsidRPr="007A6D79">
        <w:rPr>
          <w:rFonts w:eastAsia="Malgun Gothic"/>
          <w:sz w:val="16"/>
          <w:szCs w:val="16"/>
          <w:lang w:eastAsia="ko-KR"/>
        </w:rPr>
        <w:t>*</w:t>
      </w:r>
      <w:r w:rsidR="00C10C54">
        <w:rPr>
          <w:rFonts w:eastAsia="Malgun Gothic"/>
          <w:sz w:val="16"/>
          <w:szCs w:val="16"/>
          <w:lang w:eastAsia="ko-KR"/>
        </w:rPr>
        <w:t xml:space="preserve">See </w:t>
      </w:r>
      <w:hyperlink r:id="rId16" w:history="1">
        <w:r w:rsidR="00C10C54" w:rsidRPr="0058153D">
          <w:rPr>
            <w:rStyle w:val="Hyperlink"/>
            <w:rFonts w:eastAsia="Malgun Gothic" w:cstheme="minorBidi"/>
            <w:sz w:val="16"/>
            <w:szCs w:val="16"/>
            <w:lang w:eastAsia="ko-KR"/>
          </w:rPr>
          <w:t>www.who.int/topics/international_health_regulations/en/</w:t>
        </w:r>
      </w:hyperlink>
    </w:p>
    <w:p w14:paraId="32CCE651" w14:textId="77777777" w:rsidR="002A51CA" w:rsidRDefault="002A51CA" w:rsidP="00F3555F">
      <w:pPr>
        <w:pStyle w:val="Heading2"/>
        <w:spacing w:before="240"/>
      </w:pPr>
      <w:r>
        <w:t>Mutual obligations</w:t>
      </w:r>
    </w:p>
    <w:p w14:paraId="79AC8AF6" w14:textId="77777777" w:rsidR="000C5F2E" w:rsidRDefault="00F34801" w:rsidP="000C5F2E">
      <w:pPr>
        <w:spacing w:after="120" w:line="280" w:lineRule="exact"/>
      </w:pPr>
      <w:r>
        <w:t>Under</w:t>
      </w:r>
      <w:r w:rsidR="00FA0ED3">
        <w:t xml:space="preserve"> the Pacific Regional program, Australia </w:t>
      </w:r>
      <w:r>
        <w:t xml:space="preserve">has a set of mutual obligations </w:t>
      </w:r>
      <w:r w:rsidR="00FA0ED3">
        <w:t xml:space="preserve">through its multi-year partnerships with major Pacific regional organisations. </w:t>
      </w:r>
      <w:r w:rsidR="00DF1745">
        <w:t>These are aimed at strengthening their governance, corporate administration and performance assessment capability to improve their effectiveness, efficiency and ability to report on outcomes. A key part of this is improving the accountability of region</w:t>
      </w:r>
      <w:r w:rsidR="0069652A">
        <w:t>al organisations to all members</w:t>
      </w:r>
      <w:r w:rsidR="00DF1745">
        <w:t xml:space="preserve"> and giving particular focus to the needs of small island states. </w:t>
      </w:r>
      <w:r w:rsidR="00FA0ED3">
        <w:t xml:space="preserve">In 2015-16, Australia </w:t>
      </w:r>
      <w:r w:rsidR="0023068A" w:rsidRPr="0023068A">
        <w:t xml:space="preserve">has continued to consolidate and strengthen </w:t>
      </w:r>
      <w:r w:rsidR="00FA0ED3">
        <w:t xml:space="preserve">these partnerships. </w:t>
      </w:r>
      <w:r w:rsidR="000C5F2E">
        <w:t xml:space="preserve">We have provided consistent and reliable core funding. </w:t>
      </w:r>
      <w:r w:rsidR="00FA0ED3">
        <w:t>W</w:t>
      </w:r>
      <w:r w:rsidR="0023068A" w:rsidRPr="0023068A">
        <w:t xml:space="preserve">e have actively contributed to strategic planning and prioritisation including the development of new multi-year strategic </w:t>
      </w:r>
      <w:r>
        <w:t>plans for PIFS, SPC an</w:t>
      </w:r>
      <w:r w:rsidR="00D603C1">
        <w:t xml:space="preserve">d SPREP. </w:t>
      </w:r>
      <w:r w:rsidR="00C10C54">
        <w:t xml:space="preserve">The </w:t>
      </w:r>
      <w:r w:rsidR="00D603C1">
        <w:t>RAS</w:t>
      </w:r>
      <w:r w:rsidR="0023068A" w:rsidRPr="0023068A">
        <w:t xml:space="preserve"> provided flexible, specialist support to regional organisations to progress key issues including the development of results frameworks, monitoring and evaluation and review of regional meetings</w:t>
      </w:r>
      <w:r w:rsidR="00FA0ED3">
        <w:t>.</w:t>
      </w:r>
      <w:r w:rsidR="000C5F2E" w:rsidRPr="00372306">
        <w:t xml:space="preserve"> </w:t>
      </w:r>
      <w:r w:rsidR="00D603C1">
        <w:t>The first e</w:t>
      </w:r>
      <w:r w:rsidR="000C5F2E" w:rsidRPr="000C5F2E">
        <w:t xml:space="preserve">valuation of the SPC – Australia Partnership Agreement </w:t>
      </w:r>
      <w:r w:rsidR="00C10C54">
        <w:t>has been published</w:t>
      </w:r>
      <w:r w:rsidR="000C5F2E" w:rsidRPr="000C5F2E">
        <w:t>.</w:t>
      </w:r>
      <w:r w:rsidR="000C5F2E">
        <w:t xml:space="preserve"> We will take the opportunity with </w:t>
      </w:r>
      <w:r w:rsidR="000C5F2E" w:rsidRPr="004241C0">
        <w:t>current Funding Agreements</w:t>
      </w:r>
      <w:r w:rsidR="000C5F2E">
        <w:t xml:space="preserve"> ending</w:t>
      </w:r>
      <w:r w:rsidR="000C5F2E" w:rsidRPr="004241C0">
        <w:t xml:space="preserve"> in the next year for the </w:t>
      </w:r>
      <w:r w:rsidR="004D6E45">
        <w:t>PIFS</w:t>
      </w:r>
      <w:r w:rsidR="000C5F2E" w:rsidRPr="004241C0">
        <w:t xml:space="preserve">, </w:t>
      </w:r>
      <w:r w:rsidR="004D6E45">
        <w:t>SPC</w:t>
      </w:r>
      <w:r w:rsidR="000C5F2E" w:rsidRPr="004241C0">
        <w:t xml:space="preserve">, </w:t>
      </w:r>
      <w:r w:rsidR="004D6E45">
        <w:t>USP</w:t>
      </w:r>
      <w:r w:rsidR="000C5F2E" w:rsidRPr="004241C0">
        <w:t xml:space="preserve">, </w:t>
      </w:r>
      <w:r w:rsidR="004D6E45">
        <w:t>FFA</w:t>
      </w:r>
      <w:r w:rsidR="000C5F2E" w:rsidRPr="004241C0">
        <w:t xml:space="preserve">, and </w:t>
      </w:r>
      <w:r w:rsidR="004D6E45">
        <w:t>SPREP</w:t>
      </w:r>
      <w:r w:rsidR="000C5F2E" w:rsidRPr="004241C0">
        <w:t>, to further leverage improved performance and development r</w:t>
      </w:r>
      <w:r w:rsidR="000C5F2E">
        <w:t>esults in a consistent manner</w:t>
      </w:r>
      <w:r w:rsidR="000C5F2E" w:rsidRPr="004241C0">
        <w:t>.</w:t>
      </w:r>
      <w:r w:rsidR="000C5F2E" w:rsidRPr="00372306">
        <w:t xml:space="preserve"> </w:t>
      </w:r>
    </w:p>
    <w:p w14:paraId="6B5C01E4" w14:textId="77777777" w:rsidR="00FB05E4" w:rsidRDefault="00FB05E4" w:rsidP="000C5F2E">
      <w:pPr>
        <w:spacing w:after="120" w:line="280" w:lineRule="exact"/>
      </w:pPr>
    </w:p>
    <w:p w14:paraId="43C171DA" w14:textId="77777777" w:rsidR="002A51CA" w:rsidRPr="002A51CA" w:rsidRDefault="002A51CA" w:rsidP="002A51CA">
      <w:pPr>
        <w:pStyle w:val="Heading2"/>
      </w:pPr>
      <w:r w:rsidRPr="002A51CA">
        <w:lastRenderedPageBreak/>
        <w:t xml:space="preserve">Program Quality and Partner Performance </w:t>
      </w:r>
    </w:p>
    <w:p w14:paraId="6F3992EE" w14:textId="77777777" w:rsidR="002A51CA" w:rsidRPr="00D72D03" w:rsidRDefault="00D72D03" w:rsidP="002A51CA">
      <w:pPr>
        <w:rPr>
          <w:b/>
          <w:sz w:val="28"/>
          <w:szCs w:val="28"/>
          <w:lang w:eastAsia="zh-CN"/>
        </w:rPr>
      </w:pPr>
      <w:r w:rsidRPr="00D72D03">
        <w:rPr>
          <w:b/>
          <w:sz w:val="28"/>
          <w:szCs w:val="28"/>
          <w:lang w:eastAsia="zh-CN"/>
        </w:rPr>
        <w:t>Overview</w:t>
      </w:r>
    </w:p>
    <w:p w14:paraId="0EC6B365" w14:textId="77777777" w:rsidR="002948DA" w:rsidRDefault="006B5E69" w:rsidP="002A51CA">
      <w:pPr>
        <w:spacing w:after="120" w:line="280" w:lineRule="exact"/>
        <w:rPr>
          <w:rFonts w:eastAsia="Times New Roman"/>
        </w:rPr>
      </w:pPr>
      <w:r>
        <w:rPr>
          <w:rFonts w:eastAsia="Times New Roman"/>
        </w:rPr>
        <w:t xml:space="preserve">To ensure </w:t>
      </w:r>
      <w:r w:rsidR="00F306BD">
        <w:rPr>
          <w:rFonts w:eastAsia="Times New Roman"/>
        </w:rPr>
        <w:t xml:space="preserve">our </w:t>
      </w:r>
      <w:r>
        <w:rPr>
          <w:rFonts w:eastAsia="Times New Roman"/>
        </w:rPr>
        <w:t>investments are working effectively and achieving value for money</w:t>
      </w:r>
      <w:r w:rsidR="00A75FE4">
        <w:rPr>
          <w:rFonts w:eastAsia="Times New Roman"/>
        </w:rPr>
        <w:t>,</w:t>
      </w:r>
      <w:r w:rsidR="00F306BD">
        <w:rPr>
          <w:rFonts w:eastAsia="Times New Roman"/>
        </w:rPr>
        <w:t xml:space="preserve"> ten evaluations were undertaken in 2015-6</w:t>
      </w:r>
      <w:r w:rsidR="00FB05E4">
        <w:rPr>
          <w:rFonts w:eastAsia="Times New Roman"/>
        </w:rPr>
        <w:t xml:space="preserve"> 9see Annex C)</w:t>
      </w:r>
      <w:r w:rsidR="00F306BD">
        <w:rPr>
          <w:rFonts w:eastAsia="Times New Roman"/>
        </w:rPr>
        <w:t>.</w:t>
      </w:r>
      <w:r w:rsidR="00F306BD" w:rsidRPr="00F306BD">
        <w:rPr>
          <w:rFonts w:eastAsia="Times New Roman"/>
        </w:rPr>
        <w:t xml:space="preserve"> </w:t>
      </w:r>
      <w:r w:rsidR="00F306BD">
        <w:rPr>
          <w:rFonts w:eastAsia="Times New Roman"/>
        </w:rPr>
        <w:t xml:space="preserve">These were undertaken in the </w:t>
      </w:r>
      <w:r w:rsidR="0023068A">
        <w:rPr>
          <w:rFonts w:eastAsia="Times New Roman"/>
        </w:rPr>
        <w:t xml:space="preserve">agriculture, fisheries, climate, health, and disability </w:t>
      </w:r>
      <w:r w:rsidR="00F306BD">
        <w:rPr>
          <w:rFonts w:eastAsia="Times New Roman"/>
        </w:rPr>
        <w:t>sectors.</w:t>
      </w:r>
      <w:r w:rsidR="0023068A">
        <w:rPr>
          <w:rFonts w:eastAsia="Times New Roman"/>
        </w:rPr>
        <w:t xml:space="preserve"> </w:t>
      </w:r>
      <w:r w:rsidR="00F306BD">
        <w:rPr>
          <w:rFonts w:eastAsia="Times New Roman"/>
        </w:rPr>
        <w:t>A further eight evaluations are scheduled for 2016-17.</w:t>
      </w:r>
    </w:p>
    <w:p w14:paraId="77DCD1C6" w14:textId="77777777" w:rsidR="00F306BD" w:rsidRDefault="0023068A" w:rsidP="002A51CA">
      <w:pPr>
        <w:spacing w:after="120" w:line="280" w:lineRule="exact"/>
        <w:rPr>
          <w:rFonts w:eastAsia="Times New Roman"/>
        </w:rPr>
      </w:pPr>
      <w:r>
        <w:rPr>
          <w:rFonts w:eastAsia="Times New Roman"/>
        </w:rPr>
        <w:t>Substantial progress has been made with consolidation to maximise efficiency of the Pacific Regional program. Future proliferation is being minimised by ongoing review of the program to make space for government priorities particularly in trade, climate change, private sector development, and gender.</w:t>
      </w:r>
    </w:p>
    <w:p w14:paraId="6D689FF3" w14:textId="77777777" w:rsidR="002A51CA" w:rsidRPr="00D72D03" w:rsidRDefault="002A51CA" w:rsidP="00D72D03">
      <w:pPr>
        <w:rPr>
          <w:b/>
          <w:sz w:val="28"/>
          <w:szCs w:val="28"/>
          <w:lang w:eastAsia="zh-CN"/>
        </w:rPr>
      </w:pPr>
      <w:r w:rsidRPr="00D72D03">
        <w:rPr>
          <w:b/>
          <w:sz w:val="28"/>
          <w:szCs w:val="28"/>
          <w:lang w:eastAsia="zh-CN"/>
        </w:rPr>
        <w:t>Analysis of Aid Quality Checks (</w:t>
      </w:r>
      <w:r w:rsidRPr="00B7290C">
        <w:rPr>
          <w:b/>
          <w:color w:val="auto"/>
          <w:sz w:val="28"/>
          <w:szCs w:val="28"/>
          <w:lang w:eastAsia="zh-CN"/>
        </w:rPr>
        <w:t>AQC</w:t>
      </w:r>
      <w:r w:rsidRPr="00D72D03">
        <w:rPr>
          <w:b/>
          <w:sz w:val="28"/>
          <w:szCs w:val="28"/>
          <w:lang w:eastAsia="zh-CN"/>
        </w:rPr>
        <w:t>s)</w:t>
      </w:r>
    </w:p>
    <w:p w14:paraId="61CD1367" w14:textId="00B94D3C" w:rsidR="00C721B1" w:rsidRPr="0019023B" w:rsidRDefault="00C721B1" w:rsidP="00C721B1">
      <w:pPr>
        <w:rPr>
          <w:color w:val="FF0000"/>
        </w:rPr>
      </w:pPr>
      <w:r w:rsidRPr="00B7290C">
        <w:rPr>
          <w:color w:val="auto"/>
        </w:rPr>
        <w:t>Improvement in the quality of the Pacific Regional program is demonstrated through our comparison to the Strategic Targets set out in the Gove</w:t>
      </w:r>
      <w:r w:rsidR="00D603C1" w:rsidRPr="00B7290C">
        <w:rPr>
          <w:color w:val="auto"/>
        </w:rPr>
        <w:t>rnment’s aid policy. Regarding g</w:t>
      </w:r>
      <w:r w:rsidRPr="00B7290C">
        <w:rPr>
          <w:color w:val="auto"/>
        </w:rPr>
        <w:t xml:space="preserve">ender, the Pacific Regional program has improved its ability to effectively address gender issues in its investments. Between 2015 and 2016, </w:t>
      </w:r>
      <w:r w:rsidR="001B2D08" w:rsidRPr="00B7290C">
        <w:rPr>
          <w:color w:val="auto"/>
        </w:rPr>
        <w:t>the proportion of satisfactory ratings for gender</w:t>
      </w:r>
      <w:r w:rsidR="00D603C1" w:rsidRPr="00B7290C">
        <w:rPr>
          <w:color w:val="auto"/>
        </w:rPr>
        <w:t xml:space="preserve"> improved from 71 per cent to 7</w:t>
      </w:r>
      <w:r w:rsidR="00B7290C" w:rsidRPr="00B7290C">
        <w:rPr>
          <w:color w:val="auto"/>
        </w:rPr>
        <w:t>3</w:t>
      </w:r>
      <w:r w:rsidR="00D603C1" w:rsidRPr="00B7290C">
        <w:rPr>
          <w:color w:val="auto"/>
        </w:rPr>
        <w:t xml:space="preserve"> per cent</w:t>
      </w:r>
      <w:r w:rsidRPr="00B7290C">
        <w:rPr>
          <w:color w:val="auto"/>
        </w:rPr>
        <w:t>, which demonstrates the program i</w:t>
      </w:r>
      <w:r w:rsidR="00D603C1" w:rsidRPr="00B7290C">
        <w:rPr>
          <w:color w:val="auto"/>
        </w:rPr>
        <w:t xml:space="preserve">s progressing well towards the </w:t>
      </w:r>
      <w:r w:rsidR="00FB05E4" w:rsidRPr="00B7290C">
        <w:rPr>
          <w:color w:val="auto"/>
        </w:rPr>
        <w:t>‘</w:t>
      </w:r>
      <w:r w:rsidR="00D603C1" w:rsidRPr="00B7290C">
        <w:rPr>
          <w:color w:val="auto"/>
        </w:rPr>
        <w:t>empowering w</w:t>
      </w:r>
      <w:r w:rsidRPr="00B7290C">
        <w:rPr>
          <w:color w:val="auto"/>
        </w:rPr>
        <w:t>omen and</w:t>
      </w:r>
      <w:r w:rsidR="00D603C1" w:rsidRPr="00B7290C">
        <w:rPr>
          <w:color w:val="auto"/>
        </w:rPr>
        <w:t xml:space="preserve"> </w:t>
      </w:r>
      <w:r w:rsidR="00FB05E4" w:rsidRPr="00B7290C">
        <w:rPr>
          <w:color w:val="auto"/>
        </w:rPr>
        <w:t>girls’</w:t>
      </w:r>
      <w:r w:rsidR="00D603C1" w:rsidRPr="00B7290C">
        <w:rPr>
          <w:color w:val="auto"/>
        </w:rPr>
        <w:t xml:space="preserve"> strategic target of 80 per cent</w:t>
      </w:r>
      <w:r w:rsidR="004E5E96" w:rsidRPr="00B7290C">
        <w:rPr>
          <w:color w:val="auto"/>
        </w:rPr>
        <w:t>.</w:t>
      </w:r>
    </w:p>
    <w:p w14:paraId="136E4670" w14:textId="1118F1A8" w:rsidR="002A51CA" w:rsidRPr="00B7290C" w:rsidRDefault="00C721B1" w:rsidP="006115BD">
      <w:pPr>
        <w:rPr>
          <w:color w:val="auto"/>
        </w:rPr>
      </w:pPr>
      <w:r w:rsidRPr="00B7290C">
        <w:rPr>
          <w:color w:val="auto"/>
        </w:rPr>
        <w:t>Value for money is also being achieved in the Pacific Regional program. The Pacific Regional program</w:t>
      </w:r>
      <w:r w:rsidR="00D603C1" w:rsidRPr="00B7290C">
        <w:rPr>
          <w:color w:val="auto"/>
        </w:rPr>
        <w:t xml:space="preserve"> has successfully exceeded the strategic target for value for m</w:t>
      </w:r>
      <w:r w:rsidRPr="00B7290C">
        <w:rPr>
          <w:color w:val="auto"/>
        </w:rPr>
        <w:t>oney demonstrating effectiveness</w:t>
      </w:r>
      <w:r w:rsidR="00D603C1" w:rsidRPr="00B7290C">
        <w:rPr>
          <w:color w:val="auto"/>
        </w:rPr>
        <w:t xml:space="preserve"> and efficiency in more than 85 per cent</w:t>
      </w:r>
      <w:r w:rsidRPr="00B7290C">
        <w:rPr>
          <w:color w:val="auto"/>
        </w:rPr>
        <w:t xml:space="preserve"> of investments. </w:t>
      </w:r>
    </w:p>
    <w:p w14:paraId="0890FF5F" w14:textId="77777777" w:rsidR="002A51CA" w:rsidRPr="00D72D03" w:rsidRDefault="002A51CA" w:rsidP="00D72D03">
      <w:pPr>
        <w:rPr>
          <w:b/>
          <w:sz w:val="28"/>
          <w:szCs w:val="28"/>
          <w:lang w:eastAsia="zh-CN"/>
        </w:rPr>
      </w:pPr>
      <w:r w:rsidRPr="00D72D03">
        <w:rPr>
          <w:b/>
          <w:sz w:val="28"/>
          <w:szCs w:val="28"/>
          <w:lang w:eastAsia="zh-CN"/>
        </w:rPr>
        <w:t>Performance of key delivery partners</w:t>
      </w:r>
    </w:p>
    <w:p w14:paraId="3DA19A55" w14:textId="77777777" w:rsidR="00F3555F" w:rsidRDefault="004D4ED1" w:rsidP="002A51CA">
      <w:r w:rsidRPr="004D4ED1">
        <w:t>The Pacific Regional program conducted a total of 26 Partner Performance Assessments</w:t>
      </w:r>
      <w:r w:rsidR="00D603C1">
        <w:t xml:space="preserve"> (PPAs)</w:t>
      </w:r>
      <w:r w:rsidRPr="004D4ED1">
        <w:t xml:space="preserve"> in 2016, which assessed the performa</w:t>
      </w:r>
      <w:r w:rsidR="00A75FE4">
        <w:t>nce of partners in more than $</w:t>
      </w:r>
      <w:r w:rsidRPr="004D4ED1">
        <w:t>650 million in contracts. Overwhelmingly, it was demonstrated the performance of partners in the Pacific Regional program was strong. In particular, our partner</w:t>
      </w:r>
      <w:r>
        <w:t>s</w:t>
      </w:r>
      <w:r w:rsidRPr="004D4ED1">
        <w:t xml:space="preserve"> were assessed as being collaborative, responsive and innovative with strong policy alignment and approach to risk management. In all fiv</w:t>
      </w:r>
      <w:r w:rsidR="00A75FE4">
        <w:t xml:space="preserve">e criteria, each receiving </w:t>
      </w:r>
      <w:r w:rsidR="00551ADA">
        <w:t xml:space="preserve">a </w:t>
      </w:r>
      <w:r w:rsidR="00A75FE4">
        <w:t>ratin</w:t>
      </w:r>
      <w:r w:rsidRPr="004D4ED1">
        <w:t xml:space="preserve">g between 1 and 6, the 26 PPA’s scores averaged more than 4.4 in every criterion. No partner received a score of less than three (3) in any criterion. 14 of the 26 PPAs conducted were of </w:t>
      </w:r>
      <w:r w:rsidR="00BB2716" w:rsidRPr="004D4ED1">
        <w:t>multilateral</w:t>
      </w:r>
      <w:r w:rsidRPr="004D4ED1">
        <w:t xml:space="preserve"> organisations, such as UNICEF (three), UNDP (two), UN Women (two), SPC (two) and the ADB (two), and</w:t>
      </w:r>
      <w:r>
        <w:t xml:space="preserve"> five were commercial suppliers</w:t>
      </w:r>
      <w:r w:rsidRPr="004D4ED1">
        <w:t>. The assessments of these partners’ performance were consistent with the average of the Pacific Regional Program.</w:t>
      </w:r>
      <w:r w:rsidR="007153F4">
        <w:t xml:space="preserve"> There have been some issues with the quality and timeliness of partner deliverables, responsiveness to DFAT requests and efficiency of recruitment. In </w:t>
      </w:r>
      <w:r w:rsidR="00841FBA">
        <w:t>one case</w:t>
      </w:r>
      <w:r w:rsidR="007153F4">
        <w:t xml:space="preserve"> this resulted in</w:t>
      </w:r>
      <w:r w:rsidR="00841FBA">
        <w:t xml:space="preserve"> a performance payment</w:t>
      </w:r>
      <w:r w:rsidR="00FB05E4">
        <w:t xml:space="preserve"> not being provided</w:t>
      </w:r>
      <w:r w:rsidR="007153F4">
        <w:t xml:space="preserve">. These issues will be followed up with delivery partners this </w:t>
      </w:r>
      <w:r w:rsidR="000B749C">
        <w:t xml:space="preserve">coming </w:t>
      </w:r>
      <w:r w:rsidR="007153F4">
        <w:t>year.</w:t>
      </w:r>
    </w:p>
    <w:p w14:paraId="3676EEF0" w14:textId="77777777" w:rsidR="002E27B4" w:rsidRDefault="002E27B4" w:rsidP="002A51CA">
      <w:pPr>
        <w:rPr>
          <w:b/>
          <w:sz w:val="28"/>
          <w:szCs w:val="28"/>
          <w:lang w:eastAsia="zh-CN"/>
        </w:rPr>
      </w:pPr>
    </w:p>
    <w:p w14:paraId="784B0A8A" w14:textId="77777777" w:rsidR="002E27B4" w:rsidRDefault="002E27B4" w:rsidP="002A51CA">
      <w:pPr>
        <w:rPr>
          <w:b/>
          <w:sz w:val="28"/>
          <w:szCs w:val="28"/>
          <w:lang w:eastAsia="zh-CN"/>
        </w:rPr>
      </w:pPr>
    </w:p>
    <w:p w14:paraId="6D9A47C2" w14:textId="77777777" w:rsidR="002E27B4" w:rsidRDefault="002E27B4" w:rsidP="002A51CA">
      <w:pPr>
        <w:rPr>
          <w:b/>
          <w:sz w:val="28"/>
          <w:szCs w:val="28"/>
          <w:lang w:eastAsia="zh-CN"/>
        </w:rPr>
      </w:pPr>
    </w:p>
    <w:p w14:paraId="60C61D76" w14:textId="77777777" w:rsidR="002E27B4" w:rsidRDefault="002E27B4" w:rsidP="002A51CA">
      <w:pPr>
        <w:rPr>
          <w:b/>
          <w:sz w:val="28"/>
          <w:szCs w:val="28"/>
          <w:lang w:eastAsia="zh-CN"/>
        </w:rPr>
      </w:pPr>
    </w:p>
    <w:p w14:paraId="46CB1089" w14:textId="77777777" w:rsidR="002E27B4" w:rsidRDefault="002E27B4" w:rsidP="002A51CA">
      <w:pPr>
        <w:rPr>
          <w:b/>
          <w:sz w:val="28"/>
          <w:szCs w:val="28"/>
          <w:lang w:eastAsia="zh-CN"/>
        </w:rPr>
      </w:pPr>
    </w:p>
    <w:p w14:paraId="6CD724CD" w14:textId="77777777" w:rsidR="002E27B4" w:rsidRDefault="002E27B4" w:rsidP="002A51CA">
      <w:pPr>
        <w:rPr>
          <w:b/>
          <w:sz w:val="28"/>
          <w:szCs w:val="28"/>
          <w:lang w:eastAsia="zh-CN"/>
        </w:rPr>
      </w:pPr>
    </w:p>
    <w:p w14:paraId="21F716D1" w14:textId="77777777" w:rsidR="002E27B4" w:rsidRDefault="002E27B4" w:rsidP="002A51CA">
      <w:pPr>
        <w:rPr>
          <w:b/>
          <w:sz w:val="28"/>
          <w:szCs w:val="28"/>
          <w:lang w:eastAsia="zh-CN"/>
        </w:rPr>
      </w:pPr>
    </w:p>
    <w:p w14:paraId="08BB95E3" w14:textId="77777777" w:rsidR="002E27B4" w:rsidRDefault="002E27B4" w:rsidP="002A51CA">
      <w:pPr>
        <w:rPr>
          <w:b/>
          <w:sz w:val="28"/>
          <w:szCs w:val="28"/>
          <w:lang w:eastAsia="zh-CN"/>
        </w:rPr>
      </w:pPr>
    </w:p>
    <w:p w14:paraId="62BC71F0" w14:textId="77777777" w:rsidR="002E27B4" w:rsidRDefault="002E27B4" w:rsidP="002A51CA">
      <w:pPr>
        <w:rPr>
          <w:b/>
          <w:sz w:val="28"/>
          <w:szCs w:val="28"/>
          <w:lang w:eastAsia="zh-CN"/>
        </w:rPr>
      </w:pPr>
    </w:p>
    <w:p w14:paraId="7BAA78E8" w14:textId="5DF03209" w:rsidR="002A51CA" w:rsidRPr="00060AB0" w:rsidRDefault="00060AB0" w:rsidP="002A51CA">
      <w:pPr>
        <w:rPr>
          <w:b/>
          <w:sz w:val="28"/>
          <w:szCs w:val="28"/>
          <w:lang w:eastAsia="zh-CN"/>
        </w:rPr>
      </w:pPr>
      <w:r>
        <w:rPr>
          <w:b/>
          <w:sz w:val="28"/>
          <w:szCs w:val="28"/>
          <w:lang w:eastAsia="zh-CN"/>
        </w:rPr>
        <w:lastRenderedPageBreak/>
        <w:t>Risks</w:t>
      </w:r>
    </w:p>
    <w:tbl>
      <w:tblPr>
        <w:tblStyle w:val="APPR"/>
        <w:tblW w:w="5000" w:type="pct"/>
        <w:tblLook w:val="0600" w:firstRow="0" w:lastRow="0" w:firstColumn="0" w:lastColumn="0" w:noHBand="1" w:noVBand="1"/>
      </w:tblPr>
      <w:tblGrid>
        <w:gridCol w:w="2247"/>
        <w:gridCol w:w="2492"/>
        <w:gridCol w:w="2554"/>
        <w:gridCol w:w="2345"/>
      </w:tblGrid>
      <w:tr w:rsidR="002A51CA" w:rsidRPr="00C61187" w14:paraId="12B6D24C" w14:textId="77777777" w:rsidTr="002A51CA">
        <w:tc>
          <w:tcPr>
            <w:tcW w:w="2270" w:type="dxa"/>
            <w:hideMark/>
          </w:tcPr>
          <w:p w14:paraId="55ED47CD"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Key risks</w:t>
            </w:r>
          </w:p>
        </w:tc>
        <w:tc>
          <w:tcPr>
            <w:tcW w:w="2544" w:type="dxa"/>
          </w:tcPr>
          <w:p w14:paraId="0AE8767E"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actions were taken to manage the risks over the past year?</w:t>
            </w:r>
          </w:p>
        </w:tc>
        <w:tc>
          <w:tcPr>
            <w:tcW w:w="2604" w:type="dxa"/>
          </w:tcPr>
          <w:p w14:paraId="13166C49"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further actions will be taken to manage the risks in the coming year?</w:t>
            </w:r>
          </w:p>
        </w:tc>
        <w:tc>
          <w:tcPr>
            <w:tcW w:w="2352" w:type="dxa"/>
          </w:tcPr>
          <w:p w14:paraId="5E44DBF3" w14:textId="77777777"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For emerging/ongoing risks provide a Risk Rating (low, medium, high, very high)</w:t>
            </w:r>
          </w:p>
        </w:tc>
      </w:tr>
      <w:tr w:rsidR="002A51CA" w:rsidRPr="00C61187" w14:paraId="73A68FCE" w14:textId="77777777" w:rsidTr="007E7A0B">
        <w:tc>
          <w:tcPr>
            <w:tcW w:w="2270" w:type="dxa"/>
            <w:hideMark/>
          </w:tcPr>
          <w:p w14:paraId="0AAE58FF" w14:textId="77777777" w:rsidR="002A51CA" w:rsidRPr="003B0793" w:rsidRDefault="004D219A" w:rsidP="007E7A0B">
            <w:pPr>
              <w:tabs>
                <w:tab w:val="left" w:pos="0"/>
                <w:tab w:val="left" w:pos="284"/>
              </w:tabs>
              <w:rPr>
                <w:rFonts w:asciiTheme="minorHAnsi" w:eastAsia="Times New Roman" w:hAnsiTheme="minorHAnsi"/>
                <w:sz w:val="16"/>
                <w:szCs w:val="16"/>
              </w:rPr>
            </w:pPr>
            <w:r w:rsidRPr="004D219A">
              <w:rPr>
                <w:rFonts w:asciiTheme="minorHAnsi" w:eastAsia="Times New Roman" w:hAnsiTheme="minorHAnsi"/>
                <w:sz w:val="16"/>
                <w:szCs w:val="16"/>
              </w:rPr>
              <w:t>Program funding and objectives are undermined by fraud</w:t>
            </w:r>
            <w:r>
              <w:rPr>
                <w:rFonts w:asciiTheme="minorHAnsi" w:eastAsia="Times New Roman" w:hAnsiTheme="minorHAnsi"/>
                <w:sz w:val="16"/>
                <w:szCs w:val="16"/>
              </w:rPr>
              <w:t>.</w:t>
            </w:r>
          </w:p>
        </w:tc>
        <w:tc>
          <w:tcPr>
            <w:tcW w:w="2544" w:type="dxa"/>
          </w:tcPr>
          <w:p w14:paraId="5D98E8A1" w14:textId="77777777" w:rsidR="002A51CA" w:rsidRPr="003B0793" w:rsidRDefault="007E7A0B" w:rsidP="00D15A00">
            <w:pPr>
              <w:keepLines/>
              <w:spacing w:before="40" w:after="40" w:line="200" w:lineRule="atLeast"/>
              <w:rPr>
                <w:rFonts w:asciiTheme="minorHAnsi" w:eastAsia="Times New Roman" w:hAnsiTheme="minorHAnsi"/>
                <w:iCs/>
                <w:szCs w:val="17"/>
                <w:lang w:eastAsia="en-US"/>
              </w:rPr>
            </w:pPr>
            <w:r w:rsidRPr="007E7A0B">
              <w:rPr>
                <w:rFonts w:asciiTheme="minorHAnsi" w:eastAsia="Times New Roman" w:hAnsiTheme="minorHAnsi"/>
                <w:sz w:val="16"/>
                <w:szCs w:val="16"/>
              </w:rPr>
              <w:t>Regularly monitored our systems and processes to reduce opportunities for corruption across the Regional Program.</w:t>
            </w:r>
          </w:p>
        </w:tc>
        <w:tc>
          <w:tcPr>
            <w:tcW w:w="2604" w:type="dxa"/>
          </w:tcPr>
          <w:p w14:paraId="4E2158F5"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Use our comprehensive fraud control and risk management frameworks to help prevent, detect and control fraud. Will seek to engage with trusted and effective implementing partners: major international organisations (</w:t>
            </w:r>
            <w:r w:rsidR="004D4ED1" w:rsidRPr="007E7A0B">
              <w:rPr>
                <w:rFonts w:asciiTheme="minorHAnsi" w:eastAsia="Times New Roman" w:hAnsiTheme="minorHAnsi"/>
                <w:sz w:val="16"/>
                <w:szCs w:val="16"/>
              </w:rPr>
              <w:t>e.g.</w:t>
            </w:r>
            <w:r w:rsidRPr="007E7A0B">
              <w:rPr>
                <w:rFonts w:asciiTheme="minorHAnsi" w:eastAsia="Times New Roman" w:hAnsiTheme="minorHAnsi"/>
                <w:sz w:val="16"/>
                <w:szCs w:val="16"/>
              </w:rPr>
              <w:t xml:space="preserve"> ADB and UN), regional institutions, &amp; high-performing NGOs.</w:t>
            </w:r>
          </w:p>
        </w:tc>
        <w:tc>
          <w:tcPr>
            <w:tcW w:w="2352" w:type="dxa"/>
          </w:tcPr>
          <w:p w14:paraId="705E7B21" w14:textId="77777777" w:rsidR="002A51CA" w:rsidRPr="007E7A0B" w:rsidRDefault="007E7A0B" w:rsidP="00E9504A">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 xml:space="preserve">Medium. </w:t>
            </w:r>
            <w:r w:rsidR="00E9504A">
              <w:rPr>
                <w:rFonts w:asciiTheme="minorHAnsi" w:eastAsia="Times New Roman" w:hAnsiTheme="minorHAnsi"/>
                <w:sz w:val="16"/>
                <w:szCs w:val="16"/>
              </w:rPr>
              <w:t>W</w:t>
            </w:r>
            <w:r w:rsidRPr="007E7A0B">
              <w:rPr>
                <w:rFonts w:asciiTheme="minorHAnsi" w:eastAsia="Times New Roman" w:hAnsiTheme="minorHAnsi"/>
                <w:sz w:val="16"/>
                <w:szCs w:val="16"/>
              </w:rPr>
              <w:t xml:space="preserve">e will take action to ensure that </w:t>
            </w:r>
            <w:r w:rsidR="00E9504A">
              <w:rPr>
                <w:rFonts w:asciiTheme="minorHAnsi" w:eastAsia="Times New Roman" w:hAnsiTheme="minorHAnsi"/>
                <w:sz w:val="16"/>
                <w:szCs w:val="16"/>
              </w:rPr>
              <w:t xml:space="preserve">fraud will </w:t>
            </w:r>
            <w:r w:rsidRPr="007E7A0B">
              <w:rPr>
                <w:rFonts w:asciiTheme="minorHAnsi" w:eastAsia="Times New Roman" w:hAnsiTheme="minorHAnsi"/>
                <w:sz w:val="16"/>
                <w:szCs w:val="16"/>
              </w:rPr>
              <w:t>have a minimal impact by identifying it early.</w:t>
            </w:r>
          </w:p>
        </w:tc>
      </w:tr>
      <w:tr w:rsidR="002A51CA" w:rsidRPr="00C61187" w14:paraId="3A937063" w14:textId="77777777" w:rsidTr="002A51CA">
        <w:tc>
          <w:tcPr>
            <w:tcW w:w="2270" w:type="dxa"/>
            <w:hideMark/>
          </w:tcPr>
          <w:p w14:paraId="57E7C48D" w14:textId="77777777" w:rsidR="002A51CA" w:rsidRPr="00C61187" w:rsidRDefault="004D219A" w:rsidP="00D15A00">
            <w:pPr>
              <w:keepLines/>
              <w:spacing w:before="40" w:after="40" w:line="200" w:lineRule="atLeast"/>
              <w:rPr>
                <w:rFonts w:eastAsia="Times New Roman"/>
                <w:iCs/>
                <w:szCs w:val="17"/>
                <w:lang w:eastAsia="en-US"/>
              </w:rPr>
            </w:pPr>
            <w:r w:rsidRPr="004D219A">
              <w:rPr>
                <w:rFonts w:asciiTheme="minorHAnsi" w:eastAsia="Times New Roman" w:hAnsiTheme="minorHAnsi"/>
                <w:sz w:val="16"/>
                <w:szCs w:val="16"/>
              </w:rPr>
              <w:t>Pacific Regional Organisations and multilateral organisations do not implement reforms and improve effectiveness</w:t>
            </w:r>
          </w:p>
        </w:tc>
        <w:tc>
          <w:tcPr>
            <w:tcW w:w="2544" w:type="dxa"/>
          </w:tcPr>
          <w:p w14:paraId="716C32A8" w14:textId="77777777" w:rsidR="002A51CA" w:rsidRPr="00C61187" w:rsidRDefault="007E7A0B" w:rsidP="00D15A00">
            <w:pPr>
              <w:keepLines/>
              <w:spacing w:before="40" w:after="40" w:line="200" w:lineRule="atLeast"/>
              <w:rPr>
                <w:rFonts w:eastAsia="Times New Roman"/>
                <w:iCs/>
                <w:szCs w:val="17"/>
                <w:lang w:eastAsia="en-US"/>
              </w:rPr>
            </w:pPr>
            <w:r w:rsidRPr="007E7A0B">
              <w:rPr>
                <w:rFonts w:asciiTheme="minorHAnsi" w:eastAsia="Times New Roman" w:hAnsiTheme="minorHAnsi"/>
                <w:sz w:val="16"/>
                <w:szCs w:val="16"/>
              </w:rPr>
              <w:t>Worked actively through the new partnership agreements with the USP, PIFS, FFA, and SPC to ensure more strategic management and effectiveness</w:t>
            </w:r>
            <w:r w:rsidRPr="00514087">
              <w:t>.</w:t>
            </w:r>
          </w:p>
        </w:tc>
        <w:tc>
          <w:tcPr>
            <w:tcW w:w="2604" w:type="dxa"/>
          </w:tcPr>
          <w:p w14:paraId="5EE04446"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Pacific Regional Program will continue to work with Pacific Regional Organisations and multilaterals to support their reform agendas and improve their accountability and effectiveness.</w:t>
            </w:r>
          </w:p>
        </w:tc>
        <w:tc>
          <w:tcPr>
            <w:tcW w:w="2352" w:type="dxa"/>
          </w:tcPr>
          <w:p w14:paraId="5CA82B56"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High. Australia alone cannot direct outcomes in the regional organisations and progress so far has been slow.</w:t>
            </w:r>
          </w:p>
        </w:tc>
      </w:tr>
      <w:tr w:rsidR="002A51CA" w:rsidRPr="00C61187" w14:paraId="5EF15409" w14:textId="77777777" w:rsidTr="002A51CA">
        <w:trPr>
          <w:trHeight w:val="56"/>
        </w:trPr>
        <w:tc>
          <w:tcPr>
            <w:tcW w:w="2270" w:type="dxa"/>
          </w:tcPr>
          <w:p w14:paraId="454B6041"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Regional and bilateral programs exhibit poor coordination and cooperation.</w:t>
            </w:r>
          </w:p>
        </w:tc>
        <w:tc>
          <w:tcPr>
            <w:tcW w:w="2544" w:type="dxa"/>
          </w:tcPr>
          <w:p w14:paraId="77B872BB"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Worked to ensure bilateral Aid Investment Plans reflected regional contributions to development relationships.</w:t>
            </w:r>
          </w:p>
        </w:tc>
        <w:tc>
          <w:tcPr>
            <w:tcW w:w="2604" w:type="dxa"/>
          </w:tcPr>
          <w:p w14:paraId="7A1656F5"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Pacific Regional Program will continue to work with bilateral programs to ensure coordination and cooperation.</w:t>
            </w:r>
          </w:p>
        </w:tc>
        <w:tc>
          <w:tcPr>
            <w:tcW w:w="2352" w:type="dxa"/>
          </w:tcPr>
          <w:p w14:paraId="4612EBEA" w14:textId="77777777" w:rsidR="002A51CA"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Medium. It remains difficult to coordinate across the full range of programs.</w:t>
            </w:r>
          </w:p>
        </w:tc>
      </w:tr>
      <w:tr w:rsidR="007E7A0B" w:rsidRPr="00C61187" w14:paraId="24138403" w14:textId="77777777" w:rsidTr="002A51CA">
        <w:trPr>
          <w:trHeight w:val="56"/>
        </w:trPr>
        <w:tc>
          <w:tcPr>
            <w:tcW w:w="2270" w:type="dxa"/>
          </w:tcPr>
          <w:p w14:paraId="6B31C9EA" w14:textId="77777777" w:rsidR="007E7A0B"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Over-programming and proliferation of initiatives</w:t>
            </w:r>
          </w:p>
        </w:tc>
        <w:tc>
          <w:tcPr>
            <w:tcW w:w="2544" w:type="dxa"/>
          </w:tcPr>
          <w:p w14:paraId="701BFE61" w14:textId="77777777" w:rsidR="007E7A0B" w:rsidRPr="007E7A0B" w:rsidRDefault="007E7A0B" w:rsidP="007E7A0B">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Reduced the number of investments by 25 per cent.</w:t>
            </w:r>
          </w:p>
        </w:tc>
        <w:tc>
          <w:tcPr>
            <w:tcW w:w="2604" w:type="dxa"/>
          </w:tcPr>
          <w:p w14:paraId="7CFAD07C" w14:textId="77777777" w:rsidR="007E7A0B" w:rsidRPr="007E7A0B" w:rsidRDefault="007E7A0B" w:rsidP="007E7A0B">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Further work on consolidation will be undertaken.</w:t>
            </w:r>
          </w:p>
        </w:tc>
        <w:tc>
          <w:tcPr>
            <w:tcW w:w="2352" w:type="dxa"/>
          </w:tcPr>
          <w:p w14:paraId="3D1D31FD" w14:textId="77777777" w:rsidR="007E7A0B" w:rsidRPr="007E7A0B" w:rsidRDefault="007E7A0B" w:rsidP="00D15A00">
            <w:pPr>
              <w:keepLines/>
              <w:spacing w:before="40" w:after="40" w:line="200" w:lineRule="atLeast"/>
              <w:rPr>
                <w:rFonts w:asciiTheme="minorHAnsi" w:eastAsia="Times New Roman" w:hAnsiTheme="minorHAnsi"/>
                <w:sz w:val="16"/>
                <w:szCs w:val="16"/>
              </w:rPr>
            </w:pPr>
            <w:r w:rsidRPr="007E7A0B">
              <w:rPr>
                <w:rFonts w:asciiTheme="minorHAnsi" w:eastAsia="Times New Roman" w:hAnsiTheme="minorHAnsi"/>
                <w:sz w:val="16"/>
                <w:szCs w:val="16"/>
              </w:rPr>
              <w:t>Low. The number of investments has been falling.</w:t>
            </w:r>
            <w:r>
              <w:rPr>
                <w:rFonts w:asciiTheme="minorHAnsi" w:eastAsia="Times New Roman" w:hAnsiTheme="minorHAnsi"/>
                <w:sz w:val="16"/>
                <w:szCs w:val="16"/>
              </w:rPr>
              <w:t xml:space="preserve"> However more funding is needed in the regional program for emerging government priorities.</w:t>
            </w:r>
          </w:p>
        </w:tc>
      </w:tr>
    </w:tbl>
    <w:p w14:paraId="1BBC3D69" w14:textId="77777777" w:rsidR="002A51CA" w:rsidRPr="002A51CA" w:rsidRDefault="00E065A9" w:rsidP="002A51CA">
      <w:pPr>
        <w:pStyle w:val="Heading2"/>
      </w:pPr>
      <w:r>
        <w:t>Management Responses</w:t>
      </w:r>
    </w:p>
    <w:p w14:paraId="1F8CA237" w14:textId="77777777" w:rsidR="005639A0" w:rsidRDefault="00A75FE4" w:rsidP="002A51CA">
      <w:r>
        <w:t>Of t</w:t>
      </w:r>
      <w:r w:rsidR="005639A0">
        <w:t xml:space="preserve">he management responses identified in the </w:t>
      </w:r>
      <w:r w:rsidR="00551ADA">
        <w:t>2014-</w:t>
      </w:r>
      <w:r w:rsidR="005639A0">
        <w:t xml:space="preserve">15 APPR </w:t>
      </w:r>
      <w:r w:rsidR="0049257E">
        <w:t xml:space="preserve">one </w:t>
      </w:r>
      <w:r>
        <w:t xml:space="preserve">was achieved </w:t>
      </w:r>
      <w:r w:rsidR="00C30721">
        <w:t>and</w:t>
      </w:r>
      <w:r>
        <w:t xml:space="preserve"> the rest </w:t>
      </w:r>
      <w:r w:rsidR="0049257E">
        <w:t>were partly achieved. W</w:t>
      </w:r>
      <w:r w:rsidR="005639A0">
        <w:t xml:space="preserve">e achieved </w:t>
      </w:r>
      <w:r w:rsidR="0049257E">
        <w:t xml:space="preserve">the response relating to reducing </w:t>
      </w:r>
      <w:r w:rsidR="005639A0">
        <w:t>the number of investments in the regional program</w:t>
      </w:r>
      <w:r w:rsidR="0049257E">
        <w:t xml:space="preserve"> by 20 per cent</w:t>
      </w:r>
      <w:r w:rsidR="005639A0">
        <w:t>. While only partly achieving the final aid for trade target we are on track to achieve it by the due date in 2020.</w:t>
      </w:r>
      <w:r w:rsidR="0049257E">
        <w:t xml:space="preserve"> </w:t>
      </w:r>
      <w:r w:rsidR="00C30721">
        <w:t>We completed ten out of thirteen</w:t>
      </w:r>
      <w:r w:rsidR="000F4F34">
        <w:t xml:space="preserve"> </w:t>
      </w:r>
      <w:r w:rsidR="0049257E">
        <w:t>ev</w:t>
      </w:r>
      <w:r w:rsidR="00C30721">
        <w:t>aluations scheduled for 2015-16</w:t>
      </w:r>
      <w:r w:rsidR="0049257E">
        <w:t>. In the other responses relating to the implementation of strategic plans by regional organisations and gender we made sound progress.</w:t>
      </w:r>
    </w:p>
    <w:p w14:paraId="7137CCE1" w14:textId="77777777" w:rsidR="005A5A29" w:rsidRDefault="008F0C4F" w:rsidP="002A51CA">
      <w:r>
        <w:t xml:space="preserve">In 2016-17 we will continue with </w:t>
      </w:r>
      <w:r w:rsidR="000F4F34">
        <w:t xml:space="preserve">our </w:t>
      </w:r>
      <w:r>
        <w:t xml:space="preserve">work </w:t>
      </w:r>
      <w:r w:rsidR="00D324E1">
        <w:t xml:space="preserve">to consolidate the number of activities in order to </w:t>
      </w:r>
      <w:r>
        <w:t xml:space="preserve">improve effectiveness and efficiency of the Pacific regional program. This will involve reducing investments as some come to completion as well as transitioning our support for some activities to new </w:t>
      </w:r>
      <w:r w:rsidR="00386C03">
        <w:t xml:space="preserve">management arrangements and funding support. This is required to make further funding available for new and emerging priorities of the government, including </w:t>
      </w:r>
      <w:r w:rsidR="004A6E19">
        <w:t>PACER</w:t>
      </w:r>
      <w:r w:rsidR="00386C03">
        <w:t xml:space="preserve"> Plus Agreement, private sector development, women’s e</w:t>
      </w:r>
      <w:r w:rsidR="00C30721">
        <w:t>mpowerment, and climate change.</w:t>
      </w:r>
    </w:p>
    <w:p w14:paraId="04BBB6B9" w14:textId="77777777" w:rsidR="00C30721" w:rsidRDefault="00BF36CA" w:rsidP="002A51CA">
      <w:r>
        <w:t xml:space="preserve">We will ensure that our </w:t>
      </w:r>
      <w:r w:rsidR="005A5A29">
        <w:t xml:space="preserve">future </w:t>
      </w:r>
      <w:r>
        <w:t xml:space="preserve">investments in the regional program </w:t>
      </w:r>
      <w:r w:rsidR="005A5A29">
        <w:t>are consistent with the</w:t>
      </w:r>
      <w:r>
        <w:t xml:space="preserve"> </w:t>
      </w:r>
      <w:r w:rsidRPr="00BF36CA">
        <w:rPr>
          <w:i/>
        </w:rPr>
        <w:t>Framework for Pacific Regionalism</w:t>
      </w:r>
      <w:r>
        <w:t xml:space="preserve">. </w:t>
      </w:r>
      <w:r w:rsidR="005A5A29" w:rsidRPr="005A5A29">
        <w:t>To this end the Pacific regional program will focus on the ‘tests’ for regionalism in the Framework that activities will meet at least one of the following criteria: (</w:t>
      </w:r>
      <w:proofErr w:type="spellStart"/>
      <w:r w:rsidR="005A5A29" w:rsidRPr="005A5A29">
        <w:t>i</w:t>
      </w:r>
      <w:proofErr w:type="spellEnd"/>
      <w:r w:rsidR="005A5A29" w:rsidRPr="005A5A29">
        <w:t>) establish a shared norm or standard; (ii) establish a common position on an issue; (iii) deliver a public or quasi-public good which is regional (or sub-regional) in its scope; (iv) realise economies of scale; (v) overcome national capacity constraints; (vi) complement national governments where they lack capacity to provide national public goods like security or the rule of law; or (vii) facilitate economic or political integration.</w:t>
      </w:r>
      <w:r w:rsidR="005A5A29">
        <w:t xml:space="preserve"> </w:t>
      </w:r>
    </w:p>
    <w:p w14:paraId="58490395" w14:textId="77777777" w:rsidR="002E27B4" w:rsidRDefault="002E27B4" w:rsidP="00D324E1">
      <w:pPr>
        <w:spacing w:after="120" w:line="280" w:lineRule="exact"/>
        <w:rPr>
          <w:rFonts w:eastAsia="Times New Roman"/>
        </w:rPr>
      </w:pPr>
    </w:p>
    <w:p w14:paraId="305D88BC" w14:textId="7FB83152" w:rsidR="00D324E1" w:rsidRDefault="00D324E1" w:rsidP="00D324E1">
      <w:pPr>
        <w:spacing w:after="120" w:line="280" w:lineRule="exact"/>
        <w:rPr>
          <w:rFonts w:eastAsia="Times New Roman"/>
        </w:rPr>
      </w:pPr>
      <w:r>
        <w:rPr>
          <w:rFonts w:eastAsia="Times New Roman"/>
        </w:rPr>
        <w:lastRenderedPageBreak/>
        <w:t xml:space="preserve">There is currently no Performance Assessment Framework for the Pacific Regional program.  We will </w:t>
      </w:r>
      <w:r w:rsidR="00FB05E4">
        <w:rPr>
          <w:rFonts w:eastAsia="Times New Roman"/>
        </w:rPr>
        <w:t>consider</w:t>
      </w:r>
      <w:r>
        <w:rPr>
          <w:rFonts w:eastAsia="Times New Roman"/>
        </w:rPr>
        <w:t xml:space="preserve"> developing one </w:t>
      </w:r>
      <w:r w:rsidR="00FB05E4">
        <w:rPr>
          <w:rFonts w:eastAsia="Times New Roman"/>
        </w:rPr>
        <w:t>in</w:t>
      </w:r>
      <w:r>
        <w:rPr>
          <w:rFonts w:eastAsia="Times New Roman"/>
        </w:rPr>
        <w:t xml:space="preserve"> 2016-17.</w:t>
      </w:r>
    </w:p>
    <w:p w14:paraId="0F53709D" w14:textId="77777777" w:rsidR="00947E56" w:rsidRPr="00B7290C" w:rsidRDefault="00930E38" w:rsidP="00947E56">
      <w:pPr>
        <w:rPr>
          <w:color w:val="auto"/>
        </w:rPr>
      </w:pPr>
      <w:r w:rsidRPr="00B7290C">
        <w:rPr>
          <w:color w:val="auto"/>
        </w:rPr>
        <w:t xml:space="preserve">In 2016-17 we will continue to </w:t>
      </w:r>
      <w:r w:rsidR="009D5772" w:rsidRPr="00B7290C">
        <w:rPr>
          <w:color w:val="auto"/>
        </w:rPr>
        <w:t xml:space="preserve">make </w:t>
      </w:r>
      <w:r w:rsidRPr="00B7290C">
        <w:rPr>
          <w:color w:val="auto"/>
        </w:rPr>
        <w:t xml:space="preserve">progress </w:t>
      </w:r>
      <w:r w:rsidR="009D5772" w:rsidRPr="00B7290C">
        <w:rPr>
          <w:color w:val="auto"/>
        </w:rPr>
        <w:t>with the government’s strategic</w:t>
      </w:r>
      <w:r w:rsidR="0034180D" w:rsidRPr="00B7290C">
        <w:rPr>
          <w:color w:val="auto"/>
        </w:rPr>
        <w:t xml:space="preserve"> targets, in particular expenditure on aid for trade and empowering women and girls.</w:t>
      </w:r>
      <w:r w:rsidR="00D603C1" w:rsidRPr="00B7290C">
        <w:rPr>
          <w:color w:val="auto"/>
        </w:rPr>
        <w:t xml:space="preserve"> W</w:t>
      </w:r>
      <w:r w:rsidR="00947E56" w:rsidRPr="00B7290C">
        <w:rPr>
          <w:color w:val="auto"/>
        </w:rPr>
        <w:t>e will complete an audit of gender equality in regional programs and make recommendations on actions for program improvement in order to meet the 80 per cent strategic target. We will also assess the robustness of 2016 AQC scores through a spot check, collaborating where possible with O</w:t>
      </w:r>
      <w:r w:rsidR="00D324E1" w:rsidRPr="00B7290C">
        <w:rPr>
          <w:color w:val="auto"/>
        </w:rPr>
        <w:t xml:space="preserve">ffice of </w:t>
      </w:r>
      <w:r w:rsidR="00947E56" w:rsidRPr="00B7290C">
        <w:rPr>
          <w:color w:val="auto"/>
        </w:rPr>
        <w:t>D</w:t>
      </w:r>
      <w:r w:rsidR="00D324E1" w:rsidRPr="00B7290C">
        <w:rPr>
          <w:color w:val="auto"/>
        </w:rPr>
        <w:t>evelopment Effectiveness</w:t>
      </w:r>
      <w:r w:rsidR="00947E56" w:rsidRPr="00B7290C">
        <w:rPr>
          <w:color w:val="auto"/>
        </w:rPr>
        <w:t>’ Annual Spot Check of A</w:t>
      </w:r>
      <w:r w:rsidR="00D324E1" w:rsidRPr="00B7290C">
        <w:rPr>
          <w:color w:val="auto"/>
        </w:rPr>
        <w:t>QC</w:t>
      </w:r>
      <w:r w:rsidR="00947E56" w:rsidRPr="00B7290C">
        <w:rPr>
          <w:color w:val="auto"/>
        </w:rPr>
        <w:t>s.</w:t>
      </w:r>
    </w:p>
    <w:p w14:paraId="0F13E21F" w14:textId="77777777" w:rsidR="00D15A00" w:rsidRDefault="002948DA" w:rsidP="002A51CA">
      <w:r>
        <w:t xml:space="preserve">Finally we will </w:t>
      </w:r>
      <w:r w:rsidR="00FB05E4">
        <w:t>deliver</w:t>
      </w:r>
      <w:r>
        <w:t xml:space="preserve"> evaluations scheduled for 2016-17 </w:t>
      </w:r>
      <w:r w:rsidR="00FB05E4">
        <w:t>in line with guidance from the Office of Development Effectiveness</w:t>
      </w:r>
      <w:r w:rsidR="00551ADA">
        <w:t xml:space="preserve">.  In addition, we will ensure </w:t>
      </w:r>
      <w:r>
        <w:t>management responses from the previous year’s evaluations are implemented.</w:t>
      </w:r>
    </w:p>
    <w:p w14:paraId="08D683C0" w14:textId="77777777" w:rsidR="004D6E45" w:rsidRDefault="004D6E45" w:rsidP="002A51CA"/>
    <w:p w14:paraId="288910FA" w14:textId="77777777" w:rsidR="00D15A00" w:rsidRDefault="00D15A00" w:rsidP="002A51CA">
      <w:pPr>
        <w:sectPr w:rsidR="00D15A00" w:rsidSect="00A75FE4">
          <w:pgSz w:w="11906" w:h="16838" w:code="9"/>
          <w:pgMar w:top="1701" w:right="1134" w:bottom="1361" w:left="1134" w:header="1418" w:footer="567" w:gutter="0"/>
          <w:pgNumType w:start="1"/>
          <w:cols w:space="397"/>
          <w:docGrid w:linePitch="360"/>
        </w:sectPr>
      </w:pPr>
    </w:p>
    <w:p w14:paraId="2D5D1173" w14:textId="77777777" w:rsidR="00400B0F" w:rsidRPr="00400B0F" w:rsidRDefault="00400B0F" w:rsidP="00400B0F">
      <w:pPr>
        <w:pStyle w:val="Subtitle"/>
        <w:numPr>
          <w:ilvl w:val="0"/>
          <w:numId w:val="0"/>
        </w:numPr>
      </w:pPr>
      <w:r w:rsidRPr="00400B0F">
        <w:lastRenderedPageBreak/>
        <w:t>Annex A - Progress in Addressing Management Responses</w:t>
      </w:r>
    </w:p>
    <w:p w14:paraId="66733F51" w14:textId="77777777" w:rsidR="00400B0F" w:rsidRPr="00C61187" w:rsidRDefault="00400B0F" w:rsidP="008C2F58">
      <w:r w:rsidRPr="00C61187">
        <w:t>Describe progress made against management responses in 2014-15 report</w:t>
      </w:r>
    </w:p>
    <w:tbl>
      <w:tblPr>
        <w:tblStyle w:val="APPR"/>
        <w:tblpPr w:leftFromText="180" w:rightFromText="180" w:vertAnchor="text" w:tblpY="1"/>
        <w:tblW w:w="5003" w:type="pct"/>
        <w:tblLayout w:type="fixed"/>
        <w:tblLook w:val="0000" w:firstRow="0" w:lastRow="0" w:firstColumn="0" w:lastColumn="0" w:noHBand="0" w:noVBand="0"/>
      </w:tblPr>
      <w:tblGrid>
        <w:gridCol w:w="6391"/>
        <w:gridCol w:w="1256"/>
        <w:gridCol w:w="6535"/>
      </w:tblGrid>
      <w:tr w:rsidR="00400B0F" w:rsidRPr="00A427C6" w14:paraId="73591F52" w14:textId="77777777" w:rsidTr="006F2334">
        <w:trPr>
          <w:cnfStyle w:val="000000010000" w:firstRow="0" w:lastRow="0" w:firstColumn="0" w:lastColumn="0" w:oddVBand="0" w:evenVBand="0" w:oddHBand="0" w:evenHBand="1" w:firstRowFirstColumn="0" w:firstRowLastColumn="0" w:lastRowFirstColumn="0" w:lastRowLastColumn="0"/>
        </w:trPr>
        <w:tc>
          <w:tcPr>
            <w:tcW w:w="6473" w:type="dxa"/>
          </w:tcPr>
          <w:p w14:paraId="6E50FEC2"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Management responses identified in 2014-15 APPR</w:t>
            </w:r>
            <w:r w:rsidRPr="00A427C6">
              <w:rPr>
                <w:rFonts w:asciiTheme="minorHAnsi" w:eastAsia="Times New Roman" w:hAnsiTheme="minorHAnsi"/>
                <w:b/>
                <w:iCs/>
                <w:szCs w:val="17"/>
                <w:lang w:eastAsia="en-US"/>
              </w:rPr>
              <w:tab/>
            </w:r>
          </w:p>
        </w:tc>
        <w:tc>
          <w:tcPr>
            <w:tcW w:w="1248" w:type="dxa"/>
          </w:tcPr>
          <w:p w14:paraId="344A4DBE" w14:textId="77777777" w:rsidR="00400B0F" w:rsidRPr="00A427C6" w:rsidRDefault="00400B0F" w:rsidP="00A427C6">
            <w:pPr>
              <w:keepLines/>
              <w:spacing w:before="80" w:after="80" w:line="200" w:lineRule="atLeast"/>
              <w:jc w:val="center"/>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6620" w:type="dxa"/>
          </w:tcPr>
          <w:p w14:paraId="21952FD7" w14:textId="77777777" w:rsidR="00400B0F" w:rsidRPr="00A427C6" w:rsidRDefault="00A01F77" w:rsidP="00A427C6">
            <w:pPr>
              <w:keepLines/>
              <w:spacing w:before="80" w:after="80" w:line="200" w:lineRule="atLeast"/>
              <w:jc w:val="center"/>
              <w:rPr>
                <w:rFonts w:asciiTheme="minorHAnsi" w:eastAsia="Times New Roman" w:hAnsiTheme="minorHAnsi"/>
                <w:b/>
                <w:iCs/>
                <w:szCs w:val="17"/>
                <w:lang w:eastAsia="en-US"/>
              </w:rPr>
            </w:pPr>
            <w:r>
              <w:rPr>
                <w:rFonts w:asciiTheme="minorHAnsi" w:eastAsia="Times New Roman" w:hAnsiTheme="minorHAnsi"/>
                <w:b/>
                <w:iCs/>
                <w:szCs w:val="17"/>
                <w:lang w:eastAsia="en-US"/>
              </w:rPr>
              <w:t>Progress made</w:t>
            </w:r>
            <w:r w:rsidR="00400B0F" w:rsidRPr="00A427C6">
              <w:rPr>
                <w:rFonts w:asciiTheme="minorHAnsi" w:eastAsia="Times New Roman" w:hAnsiTheme="minorHAnsi"/>
                <w:b/>
                <w:iCs/>
                <w:szCs w:val="17"/>
                <w:lang w:eastAsia="en-US"/>
              </w:rPr>
              <w:t xml:space="preserve"> in 2015-16</w:t>
            </w:r>
          </w:p>
        </w:tc>
      </w:tr>
      <w:tr w:rsidR="00400B0F" w:rsidRPr="00A427C6" w14:paraId="79D79743" w14:textId="77777777" w:rsidTr="00C66788">
        <w:trPr>
          <w:cnfStyle w:val="000000010000" w:firstRow="0" w:lastRow="0" w:firstColumn="0" w:lastColumn="0" w:oddVBand="0" w:evenVBand="0" w:oddHBand="0" w:evenHBand="1" w:firstRowFirstColumn="0" w:firstRowLastColumn="0" w:lastRowFirstColumn="0" w:lastRowLastColumn="0"/>
        </w:trPr>
        <w:tc>
          <w:tcPr>
            <w:tcW w:w="6473" w:type="dxa"/>
          </w:tcPr>
          <w:p w14:paraId="3D139349" w14:textId="77777777" w:rsidR="00400B0F" w:rsidRPr="00A427C6" w:rsidRDefault="00A01F77" w:rsidP="0021337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Work with the new partnership agreements with the P</w:t>
            </w:r>
            <w:r w:rsidR="00213370">
              <w:rPr>
                <w:rFonts w:asciiTheme="minorHAnsi" w:eastAsia="Times New Roman" w:hAnsiTheme="minorHAnsi"/>
                <w:iCs/>
                <w:szCs w:val="17"/>
                <w:lang w:eastAsia="en-US"/>
              </w:rPr>
              <w:t>acific Islands Forum,</w:t>
            </w:r>
            <w:r>
              <w:rPr>
                <w:rFonts w:asciiTheme="minorHAnsi" w:eastAsia="Times New Roman" w:hAnsiTheme="minorHAnsi"/>
                <w:iCs/>
                <w:szCs w:val="17"/>
                <w:lang w:eastAsia="en-US"/>
              </w:rPr>
              <w:t xml:space="preserve"> the Pacific Communit</w:t>
            </w:r>
            <w:r w:rsidR="00213370">
              <w:rPr>
                <w:rFonts w:asciiTheme="minorHAnsi" w:eastAsia="Times New Roman" w:hAnsiTheme="minorHAnsi"/>
                <w:iCs/>
                <w:szCs w:val="17"/>
                <w:lang w:eastAsia="en-US"/>
              </w:rPr>
              <w:t>y, University of the South P</w:t>
            </w:r>
            <w:r>
              <w:rPr>
                <w:rFonts w:asciiTheme="minorHAnsi" w:eastAsia="Times New Roman" w:hAnsiTheme="minorHAnsi"/>
                <w:iCs/>
                <w:szCs w:val="17"/>
                <w:lang w:eastAsia="en-US"/>
              </w:rPr>
              <w:t>acific</w:t>
            </w:r>
            <w:r w:rsidR="00213370">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Forum Fisheries Agency</w:t>
            </w:r>
            <w:r w:rsidR="00213370">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and the Secretariat of the Pacific Regional Environment Programme to ensure strategic plans are implemented and organisations continue to take a long-term, more strategic view of their work.</w:t>
            </w:r>
          </w:p>
        </w:tc>
        <w:tc>
          <w:tcPr>
            <w:tcW w:w="1248" w:type="dxa"/>
            <w:shd w:val="clear" w:color="auto" w:fill="FFC000"/>
          </w:tcPr>
          <w:p w14:paraId="33063328" w14:textId="77777777" w:rsidR="00400B0F" w:rsidRPr="00A427C6" w:rsidRDefault="00C66788" w:rsidP="00C66788">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400B0F" w:rsidRPr="00A427C6">
              <w:rPr>
                <w:rFonts w:asciiTheme="minorHAnsi" w:eastAsia="Times New Roman" w:hAnsiTheme="minorHAnsi"/>
                <w:iCs/>
                <w:color w:val="FFFFFF" w:themeColor="background1"/>
                <w:szCs w:val="17"/>
                <w:lang w:eastAsia="en-US"/>
              </w:rPr>
              <w:t>chieved</w:t>
            </w:r>
          </w:p>
        </w:tc>
        <w:tc>
          <w:tcPr>
            <w:tcW w:w="6620" w:type="dxa"/>
          </w:tcPr>
          <w:p w14:paraId="0FE564FE" w14:textId="77777777" w:rsidR="00C66788" w:rsidRPr="00C66788" w:rsidRDefault="00C66788" w:rsidP="00C66788">
            <w:pPr>
              <w:rPr>
                <w:rFonts w:asciiTheme="minorHAnsi" w:eastAsia="Times New Roman" w:hAnsiTheme="minorHAnsi"/>
                <w:iCs/>
                <w:color w:val="auto"/>
                <w:szCs w:val="17"/>
                <w:lang w:eastAsia="en-US"/>
              </w:rPr>
            </w:pPr>
            <w:r w:rsidRPr="00C66788">
              <w:rPr>
                <w:rFonts w:asciiTheme="minorHAnsi" w:eastAsia="Times New Roman" w:hAnsiTheme="minorHAnsi"/>
                <w:iCs/>
                <w:color w:val="auto"/>
                <w:szCs w:val="17"/>
                <w:lang w:eastAsia="en-US"/>
              </w:rPr>
              <w:t xml:space="preserve">DFAT has continued to consolidate and strengthen its Partnership Agreements with the Pacific Islands Forum, the Pacific Community </w:t>
            </w:r>
            <w:r w:rsidR="00023977">
              <w:rPr>
                <w:rFonts w:asciiTheme="minorHAnsi" w:eastAsia="Times New Roman" w:hAnsiTheme="minorHAnsi"/>
                <w:iCs/>
                <w:color w:val="auto"/>
                <w:szCs w:val="17"/>
                <w:lang w:eastAsia="en-US"/>
              </w:rPr>
              <w:t xml:space="preserve">(SPC) </w:t>
            </w:r>
            <w:r w:rsidRPr="00C66788">
              <w:rPr>
                <w:rFonts w:asciiTheme="minorHAnsi" w:eastAsia="Times New Roman" w:hAnsiTheme="minorHAnsi"/>
                <w:iCs/>
                <w:color w:val="auto"/>
                <w:szCs w:val="17"/>
                <w:lang w:eastAsia="en-US"/>
              </w:rPr>
              <w:t>and the University of the South Pacific</w:t>
            </w:r>
            <w:r w:rsidR="00023977">
              <w:rPr>
                <w:rFonts w:asciiTheme="minorHAnsi" w:eastAsia="Times New Roman" w:hAnsiTheme="minorHAnsi"/>
                <w:iCs/>
                <w:color w:val="auto"/>
                <w:szCs w:val="17"/>
                <w:lang w:eastAsia="en-US"/>
              </w:rPr>
              <w:t xml:space="preserve"> (USP)</w:t>
            </w:r>
            <w:r w:rsidRPr="00C66788">
              <w:rPr>
                <w:rFonts w:asciiTheme="minorHAnsi" w:eastAsia="Times New Roman" w:hAnsiTheme="minorHAnsi"/>
                <w:iCs/>
                <w:color w:val="auto"/>
                <w:szCs w:val="17"/>
                <w:lang w:eastAsia="en-US"/>
              </w:rPr>
              <w:t xml:space="preserve">.  The first Evaluation of the SPC – Australia Partnership Agreement </w:t>
            </w:r>
            <w:r w:rsidR="004A4056">
              <w:rPr>
                <w:rFonts w:asciiTheme="minorHAnsi" w:eastAsia="Times New Roman" w:hAnsiTheme="minorHAnsi"/>
                <w:iCs/>
                <w:color w:val="auto"/>
                <w:szCs w:val="17"/>
                <w:lang w:eastAsia="en-US"/>
              </w:rPr>
              <w:t>has been published</w:t>
            </w:r>
            <w:r w:rsidRPr="00C66788">
              <w:rPr>
                <w:rFonts w:asciiTheme="minorHAnsi" w:eastAsia="Times New Roman" w:hAnsiTheme="minorHAnsi"/>
                <w:iCs/>
                <w:color w:val="auto"/>
                <w:szCs w:val="17"/>
                <w:lang w:eastAsia="en-US"/>
              </w:rPr>
              <w:t>.   In the past year we have actively contributed to strategic planning and prioritisation including the development of new multi-year strategic plans for PIFS, SPC and SPREP.  The Regional Advisory Services (RAS) provided flexible, specialist support to regional organisations to progress key issues including the development of results frameworks, monitoring and evaluation and review of regional meetings.</w:t>
            </w:r>
          </w:p>
          <w:p w14:paraId="6E60277B" w14:textId="77777777" w:rsidR="00400B0F" w:rsidRPr="00A427C6" w:rsidRDefault="00400B0F" w:rsidP="0035447A">
            <w:pPr>
              <w:rPr>
                <w:rFonts w:asciiTheme="minorHAnsi" w:eastAsia="Times New Roman" w:hAnsiTheme="minorHAnsi"/>
                <w:iCs/>
                <w:color w:val="92D050"/>
                <w:szCs w:val="17"/>
                <w:lang w:eastAsia="en-US"/>
              </w:rPr>
            </w:pPr>
          </w:p>
        </w:tc>
      </w:tr>
      <w:tr w:rsidR="00400B0F" w:rsidRPr="00A427C6" w14:paraId="546C3DFF" w14:textId="77777777" w:rsidTr="00041E03">
        <w:trPr>
          <w:cnfStyle w:val="000000010000" w:firstRow="0" w:lastRow="0" w:firstColumn="0" w:lastColumn="0" w:oddVBand="0" w:evenVBand="0" w:oddHBand="0" w:evenHBand="1" w:firstRowFirstColumn="0" w:firstRowLastColumn="0" w:lastRowFirstColumn="0" w:lastRowLastColumn="0"/>
        </w:trPr>
        <w:tc>
          <w:tcPr>
            <w:tcW w:w="6473" w:type="dxa"/>
          </w:tcPr>
          <w:p w14:paraId="5ED2CFA9" w14:textId="77777777" w:rsidR="00400B0F" w:rsidRPr="00A427C6" w:rsidRDefault="00A01F77" w:rsidP="00A01F7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Pacific regional program remains on track to meet the government’s strategic target for aid for trade investment.</w:t>
            </w:r>
          </w:p>
        </w:tc>
        <w:tc>
          <w:tcPr>
            <w:tcW w:w="1248" w:type="dxa"/>
            <w:shd w:val="clear" w:color="auto" w:fill="FFC000"/>
          </w:tcPr>
          <w:p w14:paraId="58757D01" w14:textId="77777777" w:rsidR="00400B0F" w:rsidRPr="00A427C6" w:rsidRDefault="00041E03" w:rsidP="00041E03">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00400B0F" w:rsidRPr="00A427C6">
              <w:rPr>
                <w:rFonts w:asciiTheme="minorHAnsi" w:eastAsia="Times New Roman" w:hAnsiTheme="minorHAnsi"/>
                <w:iCs/>
                <w:color w:val="FFFFFF" w:themeColor="background1"/>
                <w:szCs w:val="17"/>
                <w:lang w:eastAsia="en-US"/>
              </w:rPr>
              <w:t>chieved</w:t>
            </w:r>
            <w:r w:rsidR="00400B0F" w:rsidRPr="00A427C6">
              <w:rPr>
                <w:rFonts w:eastAsia="Times New Roman"/>
                <w:iCs/>
                <w:color w:val="FFFFFF" w:themeColor="background1"/>
                <w:szCs w:val="17"/>
              </w:rPr>
              <w:fldChar w:fldCharType="begin"/>
            </w:r>
            <w:r w:rsidR="00400B0F"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400B0F" w:rsidRPr="00A427C6">
              <w:rPr>
                <w:rFonts w:eastAsia="Times New Roman"/>
                <w:iCs/>
                <w:color w:val="FFFFFF" w:themeColor="background1"/>
                <w:szCs w:val="17"/>
              </w:rPr>
              <w:fldChar w:fldCharType="end"/>
            </w:r>
          </w:p>
        </w:tc>
        <w:tc>
          <w:tcPr>
            <w:tcW w:w="6620" w:type="dxa"/>
          </w:tcPr>
          <w:p w14:paraId="2E497DCF" w14:textId="77777777" w:rsidR="00400B0F" w:rsidRPr="00A427C6" w:rsidRDefault="00041E03" w:rsidP="006F27B1">
            <w:pPr>
              <w:keepLines/>
              <w:spacing w:before="40" w:after="40" w:line="200" w:lineRule="atLeast"/>
              <w:rPr>
                <w:rFonts w:asciiTheme="minorHAnsi" w:eastAsia="Times New Roman" w:hAnsiTheme="minorHAnsi"/>
                <w:iCs/>
                <w:color w:val="92D050"/>
                <w:szCs w:val="17"/>
                <w:lang w:eastAsia="en-US"/>
              </w:rPr>
            </w:pPr>
            <w:r w:rsidRPr="00041E03">
              <w:rPr>
                <w:rFonts w:asciiTheme="minorHAnsi" w:eastAsia="Times New Roman" w:hAnsiTheme="minorHAnsi"/>
                <w:iCs/>
                <w:color w:val="auto"/>
                <w:szCs w:val="17"/>
                <w:lang w:eastAsia="en-US"/>
              </w:rPr>
              <w:t xml:space="preserve">Pacific </w:t>
            </w:r>
            <w:r>
              <w:rPr>
                <w:rFonts w:asciiTheme="minorHAnsi" w:eastAsia="Times New Roman" w:hAnsiTheme="minorHAnsi"/>
                <w:iCs/>
                <w:color w:val="auto"/>
                <w:szCs w:val="17"/>
                <w:lang w:eastAsia="en-US"/>
              </w:rPr>
              <w:t>Regional program aid for trade in 2015-16 was 15 per cent of total expenditure ($26.5 million of a total of $176.9 million).</w:t>
            </w:r>
          </w:p>
        </w:tc>
      </w:tr>
      <w:tr w:rsidR="00400B0F" w:rsidRPr="00A427C6" w14:paraId="1BC6696B" w14:textId="77777777" w:rsidTr="004241C0">
        <w:trPr>
          <w:cnfStyle w:val="000000010000" w:firstRow="0" w:lastRow="0" w:firstColumn="0" w:lastColumn="0" w:oddVBand="0" w:evenVBand="0" w:oddHBand="0" w:evenHBand="1" w:firstRowFirstColumn="0" w:firstRowLastColumn="0" w:lastRowFirstColumn="0" w:lastRowLastColumn="0"/>
        </w:trPr>
        <w:tc>
          <w:tcPr>
            <w:tcW w:w="6473" w:type="dxa"/>
          </w:tcPr>
          <w:p w14:paraId="57934AA2" w14:textId="77777777" w:rsidR="00400B0F" w:rsidRPr="00A427C6" w:rsidRDefault="00A01F77" w:rsidP="0021337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Pacific regional program remains on track to meet the government’s </w:t>
            </w:r>
            <w:r w:rsidR="00213370">
              <w:rPr>
                <w:rFonts w:asciiTheme="minorHAnsi" w:eastAsia="Times New Roman" w:hAnsiTheme="minorHAnsi"/>
                <w:iCs/>
                <w:szCs w:val="17"/>
                <w:lang w:eastAsia="en-US"/>
              </w:rPr>
              <w:t xml:space="preserve">strategic </w:t>
            </w:r>
            <w:r>
              <w:rPr>
                <w:rFonts w:asciiTheme="minorHAnsi" w:eastAsia="Times New Roman" w:hAnsiTheme="minorHAnsi"/>
                <w:iCs/>
                <w:szCs w:val="17"/>
                <w:lang w:eastAsia="en-US"/>
              </w:rPr>
              <w:t xml:space="preserve">target </w:t>
            </w:r>
            <w:r w:rsidR="00213370">
              <w:rPr>
                <w:rFonts w:asciiTheme="minorHAnsi" w:eastAsia="Times New Roman" w:hAnsiTheme="minorHAnsi"/>
                <w:iCs/>
                <w:szCs w:val="17"/>
                <w:lang w:eastAsia="en-US"/>
              </w:rPr>
              <w:t xml:space="preserve">for gender equality. </w:t>
            </w:r>
            <w:r>
              <w:rPr>
                <w:rFonts w:asciiTheme="minorHAnsi" w:eastAsia="Times New Roman" w:hAnsiTheme="minorHAnsi"/>
                <w:iCs/>
                <w:szCs w:val="17"/>
                <w:lang w:eastAsia="en-US"/>
              </w:rPr>
              <w:t>Ensure gender equality and disability inclusiveness is integrated throughout the regional program.</w:t>
            </w:r>
          </w:p>
        </w:tc>
        <w:tc>
          <w:tcPr>
            <w:tcW w:w="1248" w:type="dxa"/>
            <w:shd w:val="clear" w:color="auto" w:fill="FFC000"/>
          </w:tcPr>
          <w:p w14:paraId="48A31160" w14:textId="77777777" w:rsidR="00400B0F" w:rsidRPr="00A427C6" w:rsidRDefault="007774CD"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Partly achieved</w:t>
            </w:r>
          </w:p>
        </w:tc>
        <w:tc>
          <w:tcPr>
            <w:tcW w:w="6620" w:type="dxa"/>
          </w:tcPr>
          <w:p w14:paraId="32DE78A0" w14:textId="77777777" w:rsidR="00400B0F" w:rsidRPr="00A427C6" w:rsidRDefault="00CC5220" w:rsidP="00D324E1">
            <w:pPr>
              <w:keepLines/>
              <w:spacing w:before="40" w:after="40" w:line="200" w:lineRule="atLeast"/>
              <w:rPr>
                <w:rFonts w:asciiTheme="minorHAnsi" w:eastAsia="Times New Roman" w:hAnsiTheme="minorHAnsi"/>
                <w:iCs/>
                <w:color w:val="92D050"/>
                <w:szCs w:val="17"/>
                <w:lang w:eastAsia="en-US"/>
              </w:rPr>
            </w:pPr>
            <w:r w:rsidRPr="00CC5220">
              <w:rPr>
                <w:rFonts w:asciiTheme="minorHAnsi" w:eastAsia="Times New Roman" w:hAnsiTheme="minorHAnsi"/>
                <w:iCs/>
                <w:color w:val="auto"/>
                <w:szCs w:val="17"/>
                <w:lang w:eastAsia="en-US"/>
              </w:rPr>
              <w:t>The Pacific Division launched a Gender Equality Guidance Note in September 2015 which provide</w:t>
            </w:r>
            <w:r w:rsidR="00D324E1">
              <w:rPr>
                <w:rFonts w:asciiTheme="minorHAnsi" w:eastAsia="Times New Roman" w:hAnsiTheme="minorHAnsi"/>
                <w:iCs/>
                <w:color w:val="auto"/>
                <w:szCs w:val="17"/>
                <w:lang w:eastAsia="en-US"/>
              </w:rPr>
              <w:t>d</w:t>
            </w:r>
            <w:r w:rsidRPr="00CC5220">
              <w:rPr>
                <w:rFonts w:asciiTheme="minorHAnsi" w:eastAsia="Times New Roman" w:hAnsiTheme="minorHAnsi"/>
                <w:iCs/>
                <w:color w:val="auto"/>
                <w:szCs w:val="17"/>
                <w:lang w:eastAsia="en-US"/>
              </w:rPr>
              <w:t xml:space="preserve"> direction to staff on how to implement a comprehensive response </w:t>
            </w:r>
            <w:r w:rsidR="00EE6217">
              <w:rPr>
                <w:rFonts w:asciiTheme="minorHAnsi" w:eastAsia="Times New Roman" w:hAnsiTheme="minorHAnsi"/>
                <w:iCs/>
                <w:color w:val="auto"/>
                <w:szCs w:val="17"/>
                <w:lang w:eastAsia="en-US"/>
              </w:rPr>
              <w:t xml:space="preserve">to </w:t>
            </w:r>
            <w:r w:rsidRPr="00CC5220">
              <w:rPr>
                <w:rFonts w:asciiTheme="minorHAnsi" w:eastAsia="Times New Roman" w:hAnsiTheme="minorHAnsi"/>
                <w:iCs/>
                <w:color w:val="auto"/>
                <w:szCs w:val="17"/>
                <w:lang w:eastAsia="en-US"/>
              </w:rPr>
              <w:t xml:space="preserve">gender inequality across the Pacific through all elements of DFAT’s work:  foreign and strategic policy; economic diplomacy and trade; and aid.  This </w:t>
            </w:r>
            <w:r w:rsidR="00D324E1">
              <w:rPr>
                <w:rFonts w:asciiTheme="minorHAnsi" w:eastAsia="Times New Roman" w:hAnsiTheme="minorHAnsi"/>
                <w:iCs/>
                <w:color w:val="auto"/>
                <w:szCs w:val="17"/>
                <w:lang w:eastAsia="en-US"/>
              </w:rPr>
              <w:t>wa</w:t>
            </w:r>
            <w:r w:rsidRPr="00CC5220">
              <w:rPr>
                <w:rFonts w:asciiTheme="minorHAnsi" w:eastAsia="Times New Roman" w:hAnsiTheme="minorHAnsi"/>
                <w:iCs/>
                <w:color w:val="auto"/>
                <w:szCs w:val="17"/>
                <w:lang w:eastAsia="en-US"/>
              </w:rPr>
              <w:t>s coordinated by the Pacific Regional program.  An evaluation of disability funding to the Pacific Islands Forum Secretariat and the Pacific Disability Forum was undertaken and the recommendations, and DFAT’s response to these, will guide future regional investments in disability inclusiveness.</w:t>
            </w:r>
          </w:p>
        </w:tc>
      </w:tr>
      <w:tr w:rsidR="006F2334" w:rsidRPr="00A427C6" w14:paraId="63C639CD" w14:textId="77777777" w:rsidTr="00643F1D">
        <w:trPr>
          <w:cnfStyle w:val="000000010000" w:firstRow="0" w:lastRow="0" w:firstColumn="0" w:lastColumn="0" w:oddVBand="0" w:evenVBand="0" w:oddHBand="0" w:evenHBand="1" w:firstRowFirstColumn="0" w:firstRowLastColumn="0" w:lastRowFirstColumn="0" w:lastRowLastColumn="0"/>
        </w:trPr>
        <w:tc>
          <w:tcPr>
            <w:tcW w:w="6473" w:type="dxa"/>
          </w:tcPr>
          <w:p w14:paraId="25C6F8CD" w14:textId="77777777" w:rsidR="006F2334" w:rsidRPr="00A427C6" w:rsidRDefault="006F2334" w:rsidP="006F233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Pacific regional program remains on track to meet the government’s strategic target to reduce the number of investments by 20 per cent.</w:t>
            </w:r>
          </w:p>
        </w:tc>
        <w:tc>
          <w:tcPr>
            <w:tcW w:w="1248" w:type="dxa"/>
            <w:shd w:val="clear" w:color="auto" w:fill="2AB631"/>
          </w:tcPr>
          <w:p w14:paraId="5D439C86" w14:textId="77777777" w:rsidR="006F2334" w:rsidRPr="00A427C6" w:rsidRDefault="006F2334" w:rsidP="006F2334">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r w:rsidRPr="00A427C6">
              <w:rPr>
                <w:rFonts w:eastAsia="Times New Roman"/>
                <w:iCs/>
                <w:color w:val="FFFFFF" w:themeColor="background1"/>
                <w:szCs w:val="17"/>
              </w:rPr>
              <w:fldChar w:fldCharType="begin"/>
            </w:r>
            <w:r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A427C6">
              <w:rPr>
                <w:rFonts w:eastAsia="Times New Roman"/>
                <w:iCs/>
                <w:color w:val="FFFFFF" w:themeColor="background1"/>
                <w:szCs w:val="17"/>
              </w:rPr>
              <w:fldChar w:fldCharType="end"/>
            </w:r>
          </w:p>
        </w:tc>
        <w:tc>
          <w:tcPr>
            <w:tcW w:w="6620" w:type="dxa"/>
          </w:tcPr>
          <w:p w14:paraId="05D8A889" w14:textId="77777777" w:rsidR="006F2334" w:rsidRPr="006F2334" w:rsidRDefault="00D72D03" w:rsidP="000D2E48">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During 2015-16 the P</w:t>
            </w:r>
            <w:r w:rsidR="006F2334">
              <w:rPr>
                <w:rFonts w:asciiTheme="minorHAnsi" w:eastAsia="Times New Roman" w:hAnsiTheme="minorHAnsi"/>
                <w:iCs/>
                <w:color w:val="auto"/>
                <w:szCs w:val="17"/>
                <w:lang w:eastAsia="en-US"/>
              </w:rPr>
              <w:t>acific regional programme reduced investments to 73 from a July 2</w:t>
            </w:r>
            <w:r w:rsidR="000D2E48">
              <w:rPr>
                <w:rFonts w:asciiTheme="minorHAnsi" w:eastAsia="Times New Roman" w:hAnsiTheme="minorHAnsi"/>
                <w:iCs/>
                <w:color w:val="auto"/>
                <w:szCs w:val="17"/>
                <w:lang w:eastAsia="en-US"/>
              </w:rPr>
              <w:t>013 benchmark of 98. This is a 25 per cent reduction.</w:t>
            </w:r>
          </w:p>
        </w:tc>
      </w:tr>
      <w:tr w:rsidR="00400B0F" w:rsidRPr="00A427C6" w14:paraId="06758DA4" w14:textId="77777777" w:rsidTr="00811097">
        <w:trPr>
          <w:cnfStyle w:val="000000010000" w:firstRow="0" w:lastRow="0" w:firstColumn="0" w:lastColumn="0" w:oddVBand="0" w:evenVBand="0" w:oddHBand="0" w:evenHBand="1" w:firstRowFirstColumn="0" w:firstRowLastColumn="0" w:lastRowFirstColumn="0" w:lastRowLastColumn="0"/>
        </w:trPr>
        <w:tc>
          <w:tcPr>
            <w:tcW w:w="6473" w:type="dxa"/>
          </w:tcPr>
          <w:p w14:paraId="46A469DB" w14:textId="77777777" w:rsidR="00400B0F" w:rsidRPr="00A427C6" w:rsidRDefault="002D0E37" w:rsidP="00A01F7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Undertake all</w:t>
            </w:r>
            <w:r w:rsidR="00A01F77">
              <w:rPr>
                <w:rFonts w:asciiTheme="minorHAnsi" w:eastAsia="Times New Roman" w:hAnsiTheme="minorHAnsi"/>
                <w:iCs/>
                <w:szCs w:val="17"/>
                <w:lang w:eastAsia="en-US"/>
              </w:rPr>
              <w:t xml:space="preserve"> evaluations identified in the 20</w:t>
            </w:r>
            <w:r w:rsidR="00213370">
              <w:rPr>
                <w:rFonts w:asciiTheme="minorHAnsi" w:eastAsia="Times New Roman" w:hAnsiTheme="minorHAnsi"/>
                <w:iCs/>
                <w:szCs w:val="17"/>
                <w:lang w:eastAsia="en-US"/>
              </w:rPr>
              <w:t>14-</w:t>
            </w:r>
            <w:r w:rsidR="00A01F77">
              <w:rPr>
                <w:rFonts w:asciiTheme="minorHAnsi" w:eastAsia="Times New Roman" w:hAnsiTheme="minorHAnsi"/>
                <w:iCs/>
                <w:szCs w:val="17"/>
                <w:lang w:eastAsia="en-US"/>
              </w:rPr>
              <w:t>15 APPR for 2015-16.</w:t>
            </w:r>
          </w:p>
        </w:tc>
        <w:tc>
          <w:tcPr>
            <w:tcW w:w="1248" w:type="dxa"/>
            <w:tcBorders>
              <w:bottom w:val="single" w:sz="12" w:space="0" w:color="000000" w:themeColor="text1"/>
            </w:tcBorders>
            <w:shd w:val="clear" w:color="auto" w:fill="FFC000"/>
          </w:tcPr>
          <w:p w14:paraId="2C7DBE1E" w14:textId="77777777" w:rsidR="00400B0F" w:rsidRPr="00A427C6" w:rsidRDefault="00811097"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tc>
        <w:tc>
          <w:tcPr>
            <w:tcW w:w="6620" w:type="dxa"/>
          </w:tcPr>
          <w:p w14:paraId="6EF34A48" w14:textId="77777777" w:rsidR="00400B0F" w:rsidRPr="00A427C6" w:rsidRDefault="00664A78" w:rsidP="00295B81">
            <w:pPr>
              <w:keepLines/>
              <w:spacing w:before="40" w:after="40" w:line="200" w:lineRule="atLeast"/>
              <w:rPr>
                <w:rFonts w:asciiTheme="minorHAnsi" w:eastAsia="Times New Roman" w:hAnsiTheme="minorHAnsi"/>
                <w:iCs/>
                <w:color w:val="409F68" w:themeColor="accent6"/>
                <w:szCs w:val="17"/>
                <w:lang w:eastAsia="en-US"/>
              </w:rPr>
            </w:pPr>
            <w:r w:rsidRPr="00664A78">
              <w:rPr>
                <w:rFonts w:asciiTheme="minorHAnsi" w:eastAsia="Times New Roman" w:hAnsiTheme="minorHAnsi"/>
                <w:iCs/>
                <w:color w:val="auto"/>
                <w:szCs w:val="17"/>
                <w:lang w:eastAsia="en-US"/>
              </w:rPr>
              <w:t xml:space="preserve">All evaluations were undertaken except for </w:t>
            </w:r>
            <w:r w:rsidR="00295B81">
              <w:rPr>
                <w:rFonts w:asciiTheme="minorHAnsi" w:eastAsia="Times New Roman" w:hAnsiTheme="minorHAnsi"/>
                <w:iCs/>
                <w:color w:val="auto"/>
                <w:szCs w:val="17"/>
                <w:lang w:eastAsia="en-US"/>
              </w:rPr>
              <w:t>three</w:t>
            </w:r>
            <w:r w:rsidRPr="00664A78">
              <w:rPr>
                <w:rFonts w:asciiTheme="minorHAnsi" w:eastAsia="Times New Roman" w:hAnsiTheme="minorHAnsi"/>
                <w:iCs/>
                <w:color w:val="auto"/>
                <w:szCs w:val="17"/>
                <w:lang w:eastAsia="en-US"/>
              </w:rPr>
              <w:t xml:space="preserve"> (out of 13)</w:t>
            </w:r>
            <w:r>
              <w:rPr>
                <w:rFonts w:asciiTheme="minorHAnsi" w:eastAsia="Times New Roman" w:hAnsiTheme="minorHAnsi"/>
                <w:iCs/>
                <w:color w:val="auto"/>
                <w:szCs w:val="17"/>
                <w:lang w:eastAsia="en-US"/>
              </w:rPr>
              <w:t>.</w:t>
            </w:r>
          </w:p>
        </w:tc>
      </w:tr>
    </w:tbl>
    <w:p w14:paraId="66C78C31"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14:paraId="105A15CF"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14:paraId="6B037027"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14:paraId="7DF26CB8"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14:paraId="5841C60E" w14:textId="77777777" w:rsidR="00400B0F" w:rsidRPr="00A427C6" w:rsidRDefault="00400B0F" w:rsidP="00400B0F">
      <w:pPr>
        <w:spacing w:after="160" w:line="280" w:lineRule="exact"/>
        <w:rPr>
          <w:rFonts w:eastAsia="Times New Roman"/>
          <w:sz w:val="21"/>
        </w:rPr>
      </w:pPr>
    </w:p>
    <w:p w14:paraId="6E57E09F" w14:textId="77777777" w:rsidR="00CC5220" w:rsidRDefault="00CC5220">
      <w:pPr>
        <w:suppressAutoHyphens w:val="0"/>
        <w:spacing w:before="0" w:after="120" w:line="440" w:lineRule="atLeast"/>
        <w:rPr>
          <w:rFonts w:ascii="Franklin Gothic Book" w:hAnsi="Franklin Gothic Book"/>
          <w:sz w:val="21"/>
        </w:rPr>
      </w:pPr>
      <w:r>
        <w:rPr>
          <w:rFonts w:ascii="Franklin Gothic Book" w:hAnsi="Franklin Gothic Book"/>
          <w:sz w:val="21"/>
        </w:rPr>
        <w:br w:type="page"/>
      </w:r>
    </w:p>
    <w:p w14:paraId="3C51364A" w14:textId="77777777" w:rsidR="00400B0F" w:rsidRPr="00400B0F" w:rsidRDefault="002A51CA" w:rsidP="00400B0F">
      <w:pPr>
        <w:pStyle w:val="Subtitle"/>
        <w:numPr>
          <w:ilvl w:val="0"/>
          <w:numId w:val="0"/>
        </w:numPr>
      </w:pPr>
      <w:r w:rsidRPr="00C61187">
        <w:rPr>
          <w:rFonts w:ascii="Franklin Gothic Book" w:eastAsia="Times New Roman" w:hAnsi="Franklin Gothic Book"/>
          <w:sz w:val="21"/>
        </w:rPr>
        <w:lastRenderedPageBreak/>
        <w:t xml:space="preserve"> </w:t>
      </w:r>
      <w:r w:rsidR="00400B0F" w:rsidRPr="00400B0F">
        <w:t>Annex B - Progress towards Performance Benchmarks in 2015-16</w:t>
      </w:r>
    </w:p>
    <w:tbl>
      <w:tblPr>
        <w:tblStyle w:val="DFATTable"/>
        <w:tblW w:w="5000" w:type="pct"/>
        <w:tblLook w:val="04A0" w:firstRow="1" w:lastRow="0" w:firstColumn="1" w:lastColumn="0" w:noHBand="0" w:noVBand="1"/>
      </w:tblPr>
      <w:tblGrid>
        <w:gridCol w:w="2211"/>
        <w:gridCol w:w="2211"/>
        <w:gridCol w:w="1332"/>
        <w:gridCol w:w="8419"/>
      </w:tblGrid>
      <w:tr w:rsidR="00400B0F" w:rsidRPr="00A427C6" w14:paraId="31383D83" w14:textId="77777777" w:rsidTr="001040F3">
        <w:trPr>
          <w:tblHeader/>
        </w:trPr>
        <w:tc>
          <w:tcPr>
            <w:tcW w:w="780" w:type="pct"/>
            <w:tcMar>
              <w:top w:w="57" w:type="dxa"/>
              <w:bottom w:w="57" w:type="dxa"/>
            </w:tcMar>
          </w:tcPr>
          <w:p w14:paraId="129C788C"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Aid objective</w:t>
            </w:r>
          </w:p>
        </w:tc>
        <w:tc>
          <w:tcPr>
            <w:tcW w:w="780" w:type="pct"/>
          </w:tcPr>
          <w:p w14:paraId="17C94729" w14:textId="77777777" w:rsidR="00400B0F" w:rsidRPr="00A427C6" w:rsidRDefault="00AA17C5" w:rsidP="006F27B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2015-16</w:t>
            </w:r>
            <w:r w:rsidR="00400B0F" w:rsidRPr="00A427C6">
              <w:rPr>
                <w:rFonts w:asciiTheme="minorHAnsi" w:eastAsia="Times New Roman" w:hAnsiTheme="minorHAnsi"/>
                <w:b/>
                <w:iCs/>
                <w:szCs w:val="17"/>
                <w:lang w:eastAsia="en-US"/>
              </w:rPr>
              <w:t xml:space="preserve"> benchmark </w:t>
            </w:r>
          </w:p>
        </w:tc>
        <w:tc>
          <w:tcPr>
            <w:tcW w:w="470" w:type="pct"/>
          </w:tcPr>
          <w:p w14:paraId="1FBBC17E"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2970" w:type="pct"/>
          </w:tcPr>
          <w:p w14:paraId="00FAD13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Progress in 2015-16</w:t>
            </w:r>
          </w:p>
        </w:tc>
      </w:tr>
      <w:tr w:rsidR="00400B0F" w:rsidRPr="00A427C6" w14:paraId="1241BC5C" w14:textId="77777777" w:rsidTr="008E52FB">
        <w:tc>
          <w:tcPr>
            <w:tcW w:w="780" w:type="pct"/>
            <w:tcMar>
              <w:top w:w="57" w:type="dxa"/>
              <w:bottom w:w="57" w:type="dxa"/>
            </w:tcMar>
          </w:tcPr>
          <w:p w14:paraId="559C95F8" w14:textId="77777777" w:rsidR="003A0CE1" w:rsidRPr="004A2DED" w:rsidRDefault="003A0CE1" w:rsidP="006F27B1">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 1: Economic Growth</w:t>
            </w:r>
          </w:p>
        </w:tc>
        <w:tc>
          <w:tcPr>
            <w:tcW w:w="780" w:type="pct"/>
          </w:tcPr>
          <w:p w14:paraId="73322617"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70" w:type="pct"/>
            <w:tcBorders>
              <w:bottom w:val="nil"/>
            </w:tcBorders>
            <w:shd w:val="clear" w:color="auto" w:fill="auto"/>
          </w:tcPr>
          <w:p w14:paraId="65EC4487" w14:textId="77777777" w:rsidR="00400B0F" w:rsidRPr="00A427C6"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Pr>
          <w:p w14:paraId="340DD8C5"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w:t>
            </w:r>
          </w:p>
        </w:tc>
      </w:tr>
      <w:tr w:rsidR="00FC69CF" w:rsidRPr="00A427C6" w14:paraId="56FC670F" w14:textId="77777777" w:rsidTr="008E52FB">
        <w:tc>
          <w:tcPr>
            <w:tcW w:w="780" w:type="pct"/>
            <w:tcMar>
              <w:top w:w="57" w:type="dxa"/>
              <w:bottom w:w="57" w:type="dxa"/>
            </w:tcMar>
          </w:tcPr>
          <w:p w14:paraId="7EE3D123" w14:textId="77777777" w:rsidR="00FC69CF" w:rsidRPr="00FC69CF" w:rsidRDefault="00FC69CF" w:rsidP="006F27B1">
            <w:pPr>
              <w:keepLines/>
              <w:spacing w:before="40" w:after="40" w:line="200" w:lineRule="atLeast"/>
              <w:rPr>
                <w:rFonts w:eastAsia="Times New Roman"/>
                <w:iCs/>
                <w:szCs w:val="17"/>
              </w:rPr>
            </w:pPr>
            <w:r w:rsidRPr="00FC69CF">
              <w:rPr>
                <w:rFonts w:ascii="Franklin Gothic Book" w:hAnsi="Franklin Gothic Book"/>
                <w:i/>
                <w:iCs/>
                <w:szCs w:val="17"/>
              </w:rPr>
              <w:t>Collective action managing regional resources delivers economic benefits to Pacific governments</w:t>
            </w:r>
          </w:p>
        </w:tc>
        <w:tc>
          <w:tcPr>
            <w:tcW w:w="780" w:type="pct"/>
          </w:tcPr>
          <w:p w14:paraId="04DB2301" w14:textId="77777777" w:rsidR="00FC69CF" w:rsidRPr="00A427C6" w:rsidRDefault="00FC69CF" w:rsidP="005321F2">
            <w:pPr>
              <w:keepLines/>
              <w:spacing w:before="40" w:after="40" w:line="200" w:lineRule="atLeast"/>
              <w:rPr>
                <w:rFonts w:eastAsia="Times New Roman"/>
                <w:iCs/>
                <w:szCs w:val="17"/>
              </w:rPr>
            </w:pPr>
            <w:r>
              <w:rPr>
                <w:rFonts w:eastAsia="Times New Roman"/>
                <w:iCs/>
                <w:szCs w:val="17"/>
              </w:rPr>
              <w:t>5</w:t>
            </w:r>
            <w:r w:rsidRPr="00FC69CF">
              <w:rPr>
                <w:rFonts w:ascii="Franklin Gothic Book" w:hAnsi="Franklin Gothic Book"/>
                <w:i/>
                <w:iCs/>
                <w:szCs w:val="17"/>
              </w:rPr>
              <w:t xml:space="preserve">% annual increase </w:t>
            </w:r>
            <w:r w:rsidR="008C4EC2">
              <w:rPr>
                <w:rFonts w:ascii="Franklin Gothic Book" w:hAnsi="Franklin Gothic Book"/>
                <w:i/>
                <w:iCs/>
                <w:szCs w:val="17"/>
              </w:rPr>
              <w:t>(</w:t>
            </w:r>
            <w:r w:rsidR="0007408B">
              <w:rPr>
                <w:rFonts w:ascii="Franklin Gothic Book" w:hAnsi="Franklin Gothic Book"/>
                <w:i/>
                <w:iCs/>
                <w:szCs w:val="17"/>
              </w:rPr>
              <w:t>US</w:t>
            </w:r>
            <w:r w:rsidR="008C4EC2">
              <w:rPr>
                <w:rFonts w:ascii="Franklin Gothic Book" w:hAnsi="Franklin Gothic Book"/>
                <w:i/>
                <w:iCs/>
                <w:szCs w:val="17"/>
              </w:rPr>
              <w:t>$264 million)</w:t>
            </w:r>
            <w:r w:rsidR="008C4EC2" w:rsidRPr="00FC69CF">
              <w:rPr>
                <w:rFonts w:ascii="Franklin Gothic Book" w:hAnsi="Franklin Gothic Book"/>
                <w:i/>
                <w:iCs/>
                <w:szCs w:val="17"/>
              </w:rPr>
              <w:t xml:space="preserve"> </w:t>
            </w:r>
            <w:r w:rsidRPr="00FC69CF">
              <w:rPr>
                <w:rFonts w:ascii="Franklin Gothic Book" w:hAnsi="Franklin Gothic Book"/>
                <w:i/>
                <w:iCs/>
                <w:szCs w:val="17"/>
              </w:rPr>
              <w:t>in revenue flowing to Forum Fisheries Agency Pacific island member governments from offshore tuna fisheries (from 2013-14 baseline).</w:t>
            </w:r>
            <w:r>
              <w:rPr>
                <w:rFonts w:ascii="Franklin Gothic Book" w:hAnsi="Franklin Gothic Book"/>
                <w:i/>
                <w:iCs/>
                <w:szCs w:val="17"/>
              </w:rPr>
              <w:t xml:space="preserve"> </w:t>
            </w:r>
          </w:p>
        </w:tc>
        <w:tc>
          <w:tcPr>
            <w:tcW w:w="470" w:type="pct"/>
            <w:tcBorders>
              <w:top w:val="nil"/>
              <w:bottom w:val="nil"/>
            </w:tcBorders>
            <w:shd w:val="clear" w:color="auto" w:fill="7FB64D" w:themeFill="accent3" w:themeFillShade="BF"/>
          </w:tcPr>
          <w:p w14:paraId="65DA976E" w14:textId="77777777" w:rsidR="00FC69CF" w:rsidRPr="00A427C6" w:rsidRDefault="00FC69CF" w:rsidP="006F27B1">
            <w:pPr>
              <w:keepLines/>
              <w:spacing w:before="40" w:after="40" w:line="200" w:lineRule="atLeast"/>
              <w:jc w:val="center"/>
              <w:rPr>
                <w:rFonts w:eastAsia="Times New Roman"/>
                <w:iCs/>
                <w:color w:val="FFFFFF" w:themeColor="background1"/>
                <w:szCs w:val="17"/>
              </w:rPr>
            </w:pPr>
            <w:r w:rsidRPr="00D62919">
              <w:rPr>
                <w:rFonts w:asciiTheme="minorHAnsi" w:eastAsia="Times New Roman" w:hAnsiTheme="minorHAnsi"/>
                <w:iCs/>
                <w:color w:val="FFFFFF" w:themeColor="background1"/>
                <w:szCs w:val="17"/>
                <w:lang w:eastAsia="en-US"/>
              </w:rPr>
              <w:t>Achieve</w:t>
            </w:r>
            <w:r w:rsidR="001040F3">
              <w:rPr>
                <w:rFonts w:asciiTheme="minorHAnsi" w:eastAsia="Times New Roman" w:hAnsiTheme="minorHAnsi"/>
                <w:iCs/>
                <w:color w:val="FFFFFF" w:themeColor="background1"/>
                <w:szCs w:val="17"/>
                <w:lang w:eastAsia="en-US"/>
              </w:rPr>
              <w:t>d</w:t>
            </w:r>
          </w:p>
        </w:tc>
        <w:tc>
          <w:tcPr>
            <w:tcW w:w="2970" w:type="pct"/>
          </w:tcPr>
          <w:p w14:paraId="0DF04E66" w14:textId="77777777" w:rsidR="00FC69CF" w:rsidRPr="00A427C6" w:rsidRDefault="00FC69CF" w:rsidP="006F27B1">
            <w:pPr>
              <w:keepLines/>
              <w:spacing w:before="40" w:after="40" w:line="200" w:lineRule="atLeast"/>
              <w:rPr>
                <w:rFonts w:eastAsia="Times New Roman"/>
                <w:iCs/>
                <w:szCs w:val="17"/>
              </w:rPr>
            </w:pPr>
            <w:r w:rsidRPr="00FC69CF">
              <w:rPr>
                <w:rFonts w:ascii="Franklin Gothic Book" w:hAnsi="Franklin Gothic Book"/>
                <w:i/>
                <w:iCs/>
                <w:szCs w:val="17"/>
              </w:rPr>
              <w:t>The</w:t>
            </w:r>
            <w:r w:rsidRPr="00BA4B57">
              <w:t xml:space="preserve"> </w:t>
            </w:r>
            <w:r w:rsidRPr="00FC69CF">
              <w:rPr>
                <w:rFonts w:ascii="Franklin Gothic Book" w:hAnsi="Franklin Gothic Book"/>
                <w:i/>
                <w:iCs/>
                <w:szCs w:val="17"/>
              </w:rPr>
              <w:t xml:space="preserve">region significantly exceeded this performance benchmark in 2015-16, despite lower fish prices. Total Government revenues for the year are over </w:t>
            </w:r>
            <w:r w:rsidR="00D324E1">
              <w:rPr>
                <w:rFonts w:ascii="Franklin Gothic Book" w:hAnsi="Franklin Gothic Book"/>
                <w:i/>
                <w:iCs/>
                <w:szCs w:val="17"/>
              </w:rPr>
              <w:t>US</w:t>
            </w:r>
            <w:r w:rsidRPr="00FC69CF">
              <w:rPr>
                <w:rFonts w:ascii="Franklin Gothic Book" w:hAnsi="Franklin Gothic Book"/>
                <w:i/>
                <w:iCs/>
                <w:szCs w:val="17"/>
              </w:rPr>
              <w:t xml:space="preserve">$350 million </w:t>
            </w:r>
            <w:r w:rsidR="005321F2">
              <w:rPr>
                <w:rFonts w:ascii="Franklin Gothic Book" w:hAnsi="Franklin Gothic Book"/>
                <w:i/>
                <w:iCs/>
                <w:szCs w:val="17"/>
              </w:rPr>
              <w:t xml:space="preserve">(A$460 million) </w:t>
            </w:r>
            <w:r w:rsidRPr="00FC69CF">
              <w:rPr>
                <w:rFonts w:ascii="Franklin Gothic Book" w:hAnsi="Franklin Gothic Book"/>
                <w:i/>
                <w:iCs/>
                <w:szCs w:val="17"/>
              </w:rPr>
              <w:t>largely from foreign flagged purse seine vessels operating under the Vessel day Scheme. There are clear challenges to increasing returns from the longline fishery. After peaking with very</w:t>
            </w:r>
            <w:r w:rsidR="005F2B5A">
              <w:rPr>
                <w:rFonts w:ascii="Franklin Gothic Book" w:hAnsi="Franklin Gothic Book"/>
                <w:i/>
                <w:iCs/>
                <w:szCs w:val="17"/>
              </w:rPr>
              <w:t xml:space="preserve"> high prices in 2012 however, GDP </w:t>
            </w:r>
            <w:r w:rsidRPr="00FC69CF">
              <w:rPr>
                <w:rFonts w:ascii="Franklin Gothic Book" w:hAnsi="Franklin Gothic Book"/>
                <w:i/>
                <w:iCs/>
                <w:szCs w:val="17"/>
              </w:rPr>
              <w:t>has decreased due to reductions in the value of the purse seine catch.  This trend needs to be reversed.</w:t>
            </w:r>
          </w:p>
        </w:tc>
      </w:tr>
      <w:tr w:rsidR="008C4EC2" w:rsidRPr="00A427C6" w14:paraId="4F73D946" w14:textId="77777777" w:rsidTr="00F312A0">
        <w:tc>
          <w:tcPr>
            <w:tcW w:w="780" w:type="pct"/>
            <w:tcMar>
              <w:top w:w="57" w:type="dxa"/>
              <w:bottom w:w="57" w:type="dxa"/>
            </w:tcMar>
          </w:tcPr>
          <w:p w14:paraId="2C0A99A5" w14:textId="77777777" w:rsidR="008C4EC2" w:rsidRPr="00FC69CF" w:rsidRDefault="008C4EC2"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Australia Pacific technical College</w:t>
            </w:r>
            <w:r w:rsidR="009619FD">
              <w:rPr>
                <w:rFonts w:ascii="Franklin Gothic Book" w:hAnsi="Franklin Gothic Book"/>
                <w:i/>
                <w:iCs/>
                <w:szCs w:val="17"/>
              </w:rPr>
              <w:t xml:space="preserve"> (APTC)</w:t>
            </w:r>
            <w:r>
              <w:rPr>
                <w:rFonts w:ascii="Franklin Gothic Book" w:hAnsi="Franklin Gothic Book"/>
                <w:i/>
                <w:iCs/>
                <w:szCs w:val="17"/>
              </w:rPr>
              <w:t xml:space="preserve"> provides more Pacific Islanders with internationally recognised qualifications in areas of demonstrated labour market demand.</w:t>
            </w:r>
          </w:p>
        </w:tc>
        <w:tc>
          <w:tcPr>
            <w:tcW w:w="780" w:type="pct"/>
          </w:tcPr>
          <w:p w14:paraId="2DB517B3" w14:textId="77777777" w:rsidR="008C4EC2" w:rsidRDefault="008C4EC2" w:rsidP="006F27B1">
            <w:pPr>
              <w:keepLines/>
              <w:spacing w:before="40" w:after="40" w:line="200" w:lineRule="atLeast"/>
              <w:rPr>
                <w:rFonts w:eastAsia="Times New Roman"/>
                <w:iCs/>
                <w:szCs w:val="17"/>
              </w:rPr>
            </w:pPr>
            <w:r w:rsidRPr="008C4EC2">
              <w:rPr>
                <w:rFonts w:ascii="Franklin Gothic Book" w:hAnsi="Franklin Gothic Book"/>
                <w:i/>
                <w:iCs/>
                <w:szCs w:val="17"/>
              </w:rPr>
              <w:t>Additional</w:t>
            </w:r>
            <w:r w:rsidR="00195FBA">
              <w:rPr>
                <w:rFonts w:ascii="Franklin Gothic Book" w:hAnsi="Franklin Gothic Book"/>
                <w:i/>
                <w:iCs/>
                <w:szCs w:val="17"/>
              </w:rPr>
              <w:t xml:space="preserve"> </w:t>
            </w:r>
            <w:r w:rsidRPr="008C4EC2">
              <w:rPr>
                <w:rFonts w:ascii="Franklin Gothic Book" w:hAnsi="Franklin Gothic Book"/>
                <w:i/>
                <w:iCs/>
                <w:szCs w:val="17"/>
              </w:rPr>
              <w:t>1000</w:t>
            </w:r>
            <w:r w:rsidR="00195FBA">
              <w:rPr>
                <w:rFonts w:ascii="Franklin Gothic Book" w:hAnsi="Franklin Gothic Book"/>
                <w:i/>
                <w:iCs/>
                <w:szCs w:val="17"/>
              </w:rPr>
              <w:t xml:space="preserve"> Pacific islander</w:t>
            </w:r>
            <w:r w:rsidRPr="008C4EC2">
              <w:rPr>
                <w:rFonts w:ascii="Franklin Gothic Book" w:hAnsi="Franklin Gothic Book"/>
                <w:i/>
                <w:iCs/>
                <w:szCs w:val="17"/>
              </w:rPr>
              <w:t xml:space="preserve"> graduates with internationally recognised qualifications.</w:t>
            </w:r>
          </w:p>
        </w:tc>
        <w:tc>
          <w:tcPr>
            <w:tcW w:w="470" w:type="pct"/>
            <w:tcBorders>
              <w:top w:val="nil"/>
              <w:bottom w:val="nil"/>
            </w:tcBorders>
            <w:shd w:val="clear" w:color="auto" w:fill="7FB64D" w:themeFill="accent3" w:themeFillShade="BF"/>
          </w:tcPr>
          <w:p w14:paraId="175AEFD1" w14:textId="77777777" w:rsidR="008C4EC2" w:rsidRDefault="00195FBA" w:rsidP="006F27B1">
            <w:pPr>
              <w:keepLines/>
              <w:spacing w:before="40" w:after="40" w:line="200" w:lineRule="atLeast"/>
              <w:jc w:val="center"/>
              <w:rPr>
                <w:rFonts w:eastAsia="Times New Roman"/>
                <w:iCs/>
                <w:color w:val="FFFFFF" w:themeColor="background1"/>
                <w:szCs w:val="17"/>
              </w:rPr>
            </w:pPr>
            <w:r w:rsidRPr="00D62919">
              <w:rPr>
                <w:rFonts w:asciiTheme="minorHAnsi" w:eastAsia="Times New Roman" w:hAnsiTheme="minorHAnsi"/>
                <w:iCs/>
                <w:color w:val="FFFFFF" w:themeColor="background1"/>
                <w:szCs w:val="17"/>
                <w:lang w:eastAsia="en-US"/>
              </w:rPr>
              <w:t>Achieved</w:t>
            </w:r>
          </w:p>
        </w:tc>
        <w:tc>
          <w:tcPr>
            <w:tcW w:w="2970" w:type="pct"/>
          </w:tcPr>
          <w:p w14:paraId="16AEEAD6" w14:textId="77777777" w:rsidR="008C4EC2" w:rsidRPr="00FC69CF" w:rsidRDefault="009619FD"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We significantly exceeded this benchmark with a total of 1526 students having graduated from APTC programs between July 2015 and June 2016.</w:t>
            </w:r>
          </w:p>
        </w:tc>
      </w:tr>
      <w:tr w:rsidR="00343748" w:rsidRPr="00A427C6" w14:paraId="3A2D804D" w14:textId="77777777" w:rsidTr="00F312A0">
        <w:tc>
          <w:tcPr>
            <w:tcW w:w="780" w:type="pct"/>
            <w:tcMar>
              <w:top w:w="57" w:type="dxa"/>
              <w:bottom w:w="57" w:type="dxa"/>
            </w:tcMar>
          </w:tcPr>
          <w:p w14:paraId="2A6341DA" w14:textId="77777777" w:rsidR="00343748" w:rsidRDefault="00343748"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 xml:space="preserve">Aid program attracts new </w:t>
            </w:r>
            <w:r w:rsidRPr="00F26967">
              <w:rPr>
                <w:rFonts w:ascii="Franklin Gothic Book" w:hAnsi="Franklin Gothic Book"/>
                <w:i/>
                <w:iCs/>
                <w:szCs w:val="17"/>
              </w:rPr>
              <w:t>private</w:t>
            </w:r>
            <w:r>
              <w:rPr>
                <w:rFonts w:ascii="Franklin Gothic Book" w:hAnsi="Franklin Gothic Book"/>
                <w:i/>
                <w:iCs/>
                <w:szCs w:val="17"/>
              </w:rPr>
              <w:t xml:space="preserve"> sector investment that contributes to Pacific development outcomes.</w:t>
            </w:r>
          </w:p>
        </w:tc>
        <w:tc>
          <w:tcPr>
            <w:tcW w:w="780" w:type="pct"/>
          </w:tcPr>
          <w:p w14:paraId="3CE1FF7E" w14:textId="77777777" w:rsidR="00343748" w:rsidRPr="008C4EC2" w:rsidRDefault="00AA17C5"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US</w:t>
            </w:r>
            <w:r w:rsidR="00343748">
              <w:rPr>
                <w:rFonts w:ascii="Franklin Gothic Book" w:hAnsi="Franklin Gothic Book"/>
                <w:i/>
                <w:iCs/>
                <w:szCs w:val="17"/>
              </w:rPr>
              <w:t xml:space="preserve">$350 million </w:t>
            </w:r>
            <w:r w:rsidR="005321F2">
              <w:rPr>
                <w:rFonts w:ascii="Franklin Gothic Book" w:hAnsi="Franklin Gothic Book"/>
                <w:i/>
                <w:iCs/>
                <w:szCs w:val="17"/>
              </w:rPr>
              <w:t xml:space="preserve">(A$462 million) </w:t>
            </w:r>
            <w:r w:rsidR="00343748">
              <w:rPr>
                <w:rFonts w:ascii="Franklin Gothic Book" w:hAnsi="Franklin Gothic Book"/>
                <w:i/>
                <w:iCs/>
                <w:szCs w:val="17"/>
              </w:rPr>
              <w:t>of private sector investment leveraged.</w:t>
            </w:r>
          </w:p>
        </w:tc>
        <w:tc>
          <w:tcPr>
            <w:tcW w:w="470" w:type="pct"/>
            <w:tcBorders>
              <w:top w:val="nil"/>
              <w:bottom w:val="nil"/>
            </w:tcBorders>
            <w:shd w:val="clear" w:color="auto" w:fill="7FB64D" w:themeFill="accent3" w:themeFillShade="BF"/>
          </w:tcPr>
          <w:p w14:paraId="45136090" w14:textId="77777777" w:rsidR="00343748" w:rsidRDefault="00F312A0" w:rsidP="00AA678F">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2970" w:type="pct"/>
          </w:tcPr>
          <w:p w14:paraId="136C3B59" w14:textId="77777777" w:rsidR="00343748" w:rsidRDefault="00F12F7E"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 xml:space="preserve">US$387 million </w:t>
            </w:r>
            <w:r w:rsidR="0007408B">
              <w:rPr>
                <w:rFonts w:ascii="Franklin Gothic Book" w:hAnsi="Franklin Gothic Book"/>
                <w:i/>
                <w:iCs/>
                <w:szCs w:val="17"/>
              </w:rPr>
              <w:t xml:space="preserve">(A$511 million) </w:t>
            </w:r>
            <w:r>
              <w:rPr>
                <w:rFonts w:ascii="Franklin Gothic Book" w:hAnsi="Franklin Gothic Book"/>
                <w:i/>
                <w:iCs/>
                <w:szCs w:val="17"/>
              </w:rPr>
              <w:t>of private sector investment had been leveraged by December 2015</w:t>
            </w:r>
            <w:r w:rsidR="00F26967">
              <w:rPr>
                <w:rFonts w:ascii="Franklin Gothic Book" w:hAnsi="Franklin Gothic Book"/>
                <w:i/>
                <w:iCs/>
                <w:szCs w:val="17"/>
              </w:rPr>
              <w:t>.</w:t>
            </w:r>
          </w:p>
        </w:tc>
      </w:tr>
      <w:tr w:rsidR="00400B0F" w:rsidRPr="00A427C6" w14:paraId="00175D2E" w14:textId="77777777" w:rsidTr="001040F3">
        <w:tc>
          <w:tcPr>
            <w:tcW w:w="780" w:type="pct"/>
            <w:tcMar>
              <w:top w:w="57" w:type="dxa"/>
              <w:bottom w:w="57" w:type="dxa"/>
            </w:tcMar>
          </w:tcPr>
          <w:p w14:paraId="7E9FE1EF" w14:textId="77777777" w:rsidR="003A0CE1" w:rsidRPr="00D62919" w:rsidRDefault="003A0CE1" w:rsidP="003A0CE1">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Objective2: Effective regional institutions</w:t>
            </w:r>
            <w:r w:rsidR="00400B0F" w:rsidRPr="00CD0611">
              <w:rPr>
                <w:rFonts w:asciiTheme="minorHAnsi" w:eastAsia="Times New Roman" w:hAnsiTheme="minorHAnsi"/>
                <w:b/>
                <w:iCs/>
                <w:szCs w:val="17"/>
                <w:lang w:eastAsia="en-US"/>
              </w:rPr>
              <w:t xml:space="preserve"> </w:t>
            </w:r>
          </w:p>
        </w:tc>
        <w:tc>
          <w:tcPr>
            <w:tcW w:w="780" w:type="pct"/>
          </w:tcPr>
          <w:p w14:paraId="56AB9777"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70" w:type="pct"/>
            <w:tcBorders>
              <w:top w:val="nil"/>
              <w:bottom w:val="nil"/>
            </w:tcBorders>
            <w:shd w:val="clear" w:color="auto" w:fill="auto"/>
          </w:tcPr>
          <w:p w14:paraId="0FDEA3FF" w14:textId="77777777" w:rsidR="00400B0F" w:rsidRPr="00A427C6" w:rsidRDefault="00400B0F" w:rsidP="006F27B1">
            <w:pPr>
              <w:keepLines/>
              <w:spacing w:before="40" w:after="40" w:line="200" w:lineRule="atLeast"/>
              <w:jc w:val="center"/>
              <w:rPr>
                <w:rFonts w:asciiTheme="minorHAnsi" w:eastAsia="Times New Roman" w:hAnsiTheme="minorHAnsi"/>
                <w:iCs/>
                <w:szCs w:val="17"/>
                <w:lang w:eastAsia="en-US"/>
              </w:rPr>
            </w:pPr>
          </w:p>
        </w:tc>
        <w:tc>
          <w:tcPr>
            <w:tcW w:w="2970" w:type="pct"/>
          </w:tcPr>
          <w:p w14:paraId="6B463976"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r>
      <w:tr w:rsidR="00D62919" w:rsidRPr="00D62919" w14:paraId="3E9942A9" w14:textId="77777777" w:rsidTr="001040F3">
        <w:tc>
          <w:tcPr>
            <w:tcW w:w="780" w:type="pct"/>
            <w:tcMar>
              <w:top w:w="57" w:type="dxa"/>
              <w:bottom w:w="57" w:type="dxa"/>
            </w:tcMar>
          </w:tcPr>
          <w:p w14:paraId="1B5E6430" w14:textId="77777777" w:rsidR="00D62919" w:rsidRPr="00D62919" w:rsidRDefault="00D62919" w:rsidP="003A0CE1">
            <w:pPr>
              <w:keepLines/>
              <w:spacing w:before="40" w:after="40" w:line="200" w:lineRule="atLeast"/>
              <w:rPr>
                <w:rFonts w:ascii="Franklin Gothic Book" w:hAnsi="Franklin Gothic Book"/>
                <w:i/>
                <w:iCs/>
                <w:szCs w:val="17"/>
              </w:rPr>
            </w:pPr>
            <w:r>
              <w:rPr>
                <w:rFonts w:ascii="Franklin Gothic Book" w:hAnsi="Franklin Gothic Book"/>
                <w:i/>
                <w:iCs/>
                <w:szCs w:val="17"/>
              </w:rPr>
              <w:t>Collective ownership of regional organisations by Pacific island country members.</w:t>
            </w:r>
          </w:p>
        </w:tc>
        <w:tc>
          <w:tcPr>
            <w:tcW w:w="780" w:type="pct"/>
          </w:tcPr>
          <w:p w14:paraId="0F363AF1" w14:textId="77777777" w:rsidR="00D62919" w:rsidRPr="00D62919" w:rsidRDefault="00CA2615"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70 per cent of Pacific island country members engaged in decision-making at Pacific Regional Organisation governing body meetings.</w:t>
            </w:r>
          </w:p>
        </w:tc>
        <w:tc>
          <w:tcPr>
            <w:tcW w:w="470" w:type="pct"/>
            <w:tcBorders>
              <w:bottom w:val="nil"/>
            </w:tcBorders>
            <w:shd w:val="clear" w:color="auto" w:fill="F7AA32"/>
          </w:tcPr>
          <w:p w14:paraId="2E7FE4D4" w14:textId="77777777" w:rsidR="00D62919" w:rsidRPr="00D62919" w:rsidRDefault="001040F3" w:rsidP="006F27B1">
            <w:pPr>
              <w:keepLines/>
              <w:spacing w:before="40" w:after="40" w:line="200" w:lineRule="atLeast"/>
              <w:jc w:val="center"/>
              <w:rPr>
                <w:rFonts w:ascii="Franklin Gothic Book" w:hAnsi="Franklin Gothic Book"/>
                <w:i/>
                <w:iCs/>
                <w:szCs w:val="17"/>
              </w:rPr>
            </w:pPr>
            <w:r w:rsidRPr="00A427C6">
              <w:rPr>
                <w:rFonts w:asciiTheme="minorHAnsi" w:eastAsia="Times New Roman" w:hAnsiTheme="minorHAnsi"/>
                <w:iCs/>
                <w:color w:val="FFFFFF" w:themeColor="background1"/>
                <w:szCs w:val="17"/>
                <w:lang w:eastAsia="en-US"/>
              </w:rPr>
              <w:t>Partly achieved</w:t>
            </w:r>
          </w:p>
        </w:tc>
        <w:tc>
          <w:tcPr>
            <w:tcW w:w="2970" w:type="pct"/>
          </w:tcPr>
          <w:p w14:paraId="7B7A521C" w14:textId="77777777" w:rsidR="00BD2197" w:rsidRPr="00BD2197" w:rsidRDefault="00E81560" w:rsidP="00BD2197">
            <w:pPr>
              <w:pStyle w:val="TableTextEntries"/>
              <w:rPr>
                <w:rFonts w:eastAsiaTheme="minorHAnsi" w:cstheme="minorBidi"/>
                <w:i/>
                <w:color w:val="495965" w:themeColor="text2"/>
                <w:lang w:val="en-GB"/>
              </w:rPr>
            </w:pPr>
            <w:r>
              <w:rPr>
                <w:rFonts w:eastAsiaTheme="minorHAnsi" w:cstheme="minorBidi"/>
                <w:i/>
                <w:color w:val="495965" w:themeColor="text2"/>
                <w:lang w:val="en-GB"/>
              </w:rPr>
              <w:t xml:space="preserve">Pacific Community (SPC) </w:t>
            </w:r>
            <w:r w:rsidR="00BD2197" w:rsidRPr="00BD2197">
              <w:rPr>
                <w:rFonts w:eastAsiaTheme="minorHAnsi" w:cstheme="minorBidi"/>
                <w:i/>
                <w:color w:val="495965" w:themeColor="text2"/>
                <w:lang w:val="en-GB"/>
              </w:rPr>
              <w:t xml:space="preserve">conducted governance training prior to </w:t>
            </w:r>
            <w:r w:rsidR="008D07D1">
              <w:rPr>
                <w:rFonts w:eastAsiaTheme="minorHAnsi" w:cstheme="minorBidi"/>
                <w:i/>
                <w:color w:val="495965" w:themeColor="text2"/>
                <w:lang w:val="en-GB"/>
              </w:rPr>
              <w:t>Committee of Representatives of Governments and Administrations (</w:t>
            </w:r>
            <w:r w:rsidR="00BD2197" w:rsidRPr="00BD2197">
              <w:rPr>
                <w:rFonts w:eastAsiaTheme="minorHAnsi" w:cstheme="minorBidi"/>
                <w:i/>
                <w:color w:val="495965" w:themeColor="text2"/>
                <w:lang w:val="en-GB"/>
              </w:rPr>
              <w:t>CRGA</w:t>
            </w:r>
            <w:r w:rsidR="008D07D1">
              <w:rPr>
                <w:rFonts w:eastAsiaTheme="minorHAnsi" w:cstheme="minorBidi"/>
                <w:i/>
                <w:color w:val="495965" w:themeColor="text2"/>
                <w:lang w:val="en-GB"/>
              </w:rPr>
              <w:t>)</w:t>
            </w:r>
            <w:r w:rsidR="00BD2197" w:rsidRPr="00BD2197">
              <w:rPr>
                <w:rFonts w:eastAsiaTheme="minorHAnsi" w:cstheme="minorBidi"/>
                <w:i/>
                <w:color w:val="495965" w:themeColor="text2"/>
                <w:lang w:val="en-GB"/>
              </w:rPr>
              <w:t xml:space="preserve"> as part of implementing the recommendations of its governance review.  While driven by financial concerns, members have taken a strong interest on the strategic planning and prioritisation work including greater involvement in subcommittees including: </w:t>
            </w:r>
          </w:p>
          <w:p w14:paraId="1EACE5C0" w14:textId="77777777" w:rsidR="00BD2197" w:rsidRPr="00BD2197" w:rsidRDefault="00BD2197" w:rsidP="00BD2197">
            <w:pPr>
              <w:pStyle w:val="TableTextEntries"/>
              <w:rPr>
                <w:rFonts w:eastAsiaTheme="minorHAnsi" w:cstheme="minorBidi"/>
                <w:i/>
                <w:color w:val="495965" w:themeColor="text2"/>
                <w:lang w:val="en-GB"/>
              </w:rPr>
            </w:pPr>
            <w:r w:rsidRPr="00BD2197">
              <w:rPr>
                <w:rFonts w:eastAsiaTheme="minorHAnsi" w:cstheme="minorBidi"/>
                <w:i/>
                <w:color w:val="495965" w:themeColor="text2"/>
                <w:lang w:val="en-GB"/>
              </w:rPr>
              <w:t xml:space="preserve">PIFS FOC Subcommittee on Prioritisation (8 of 16 members); </w:t>
            </w:r>
          </w:p>
          <w:p w14:paraId="69F6A7AD" w14:textId="77777777" w:rsidR="00BD2197" w:rsidRPr="00BD2197" w:rsidRDefault="00FA6290" w:rsidP="00BD2197">
            <w:pPr>
              <w:pStyle w:val="TableTextEntries"/>
              <w:rPr>
                <w:rFonts w:eastAsiaTheme="minorHAnsi" w:cstheme="minorBidi"/>
                <w:i/>
                <w:color w:val="495965" w:themeColor="text2"/>
                <w:lang w:val="en-GB"/>
              </w:rPr>
            </w:pPr>
            <w:r>
              <w:rPr>
                <w:rFonts w:eastAsiaTheme="minorHAnsi" w:cstheme="minorBidi"/>
                <w:i/>
                <w:color w:val="495965" w:themeColor="text2"/>
                <w:lang w:val="en-GB"/>
              </w:rPr>
              <w:t>SPREP</w:t>
            </w:r>
            <w:r w:rsidR="00BD2197" w:rsidRPr="00BD2197">
              <w:rPr>
                <w:rFonts w:eastAsiaTheme="minorHAnsi" w:cstheme="minorBidi"/>
                <w:i/>
                <w:color w:val="495965" w:themeColor="text2"/>
                <w:lang w:val="en-GB"/>
              </w:rPr>
              <w:t xml:space="preserve"> (10 of 22 members); and </w:t>
            </w:r>
          </w:p>
          <w:p w14:paraId="368B8924" w14:textId="77777777" w:rsidR="00BD2197" w:rsidRPr="00BD2197" w:rsidRDefault="00BD2197" w:rsidP="00BD2197">
            <w:pPr>
              <w:pStyle w:val="TableTextEntries"/>
              <w:rPr>
                <w:rFonts w:eastAsiaTheme="minorHAnsi" w:cstheme="minorBidi"/>
                <w:i/>
                <w:color w:val="495965" w:themeColor="text2"/>
                <w:lang w:val="en-GB"/>
              </w:rPr>
            </w:pPr>
            <w:r w:rsidRPr="00BD2197">
              <w:rPr>
                <w:rFonts w:eastAsiaTheme="minorHAnsi" w:cstheme="minorBidi"/>
                <w:i/>
                <w:color w:val="495965" w:themeColor="text2"/>
                <w:lang w:val="en-GB"/>
              </w:rPr>
              <w:t xml:space="preserve">SPC CRGA Strategic Plan Subcommittee (12 of 26 members).  </w:t>
            </w:r>
          </w:p>
          <w:p w14:paraId="2218F622" w14:textId="77777777" w:rsidR="00D62919" w:rsidRDefault="00BD2197" w:rsidP="00BD2197">
            <w:pPr>
              <w:keepLines/>
              <w:spacing w:before="40" w:after="40" w:line="200" w:lineRule="atLeast"/>
              <w:rPr>
                <w:rFonts w:ascii="Franklin Gothic Book" w:hAnsi="Franklin Gothic Book"/>
                <w:i/>
                <w:iCs/>
                <w:szCs w:val="17"/>
              </w:rPr>
            </w:pPr>
            <w:r w:rsidRPr="00BD2197">
              <w:rPr>
                <w:rFonts w:ascii="Franklin Gothic Book" w:hAnsi="Franklin Gothic Book"/>
                <w:i/>
                <w:iCs/>
                <w:szCs w:val="17"/>
              </w:rPr>
              <w:t xml:space="preserve">Another positive indicator was the participation of Foreign Ministers and Leaders responsible for foreign policy at the Forum Foreign Ministers Meeting in Sydney in July 2015. </w:t>
            </w:r>
          </w:p>
          <w:p w14:paraId="32A737D7" w14:textId="77777777" w:rsidR="008D07D1" w:rsidRDefault="008D07D1" w:rsidP="00BD2197">
            <w:pPr>
              <w:keepLines/>
              <w:spacing w:before="40" w:after="40" w:line="200" w:lineRule="atLeast"/>
              <w:rPr>
                <w:rFonts w:ascii="Franklin Gothic Book" w:hAnsi="Franklin Gothic Book"/>
                <w:i/>
                <w:iCs/>
                <w:szCs w:val="17"/>
              </w:rPr>
            </w:pPr>
          </w:p>
          <w:p w14:paraId="54160381" w14:textId="77777777" w:rsidR="008D07D1" w:rsidRDefault="008D07D1" w:rsidP="00BD2197">
            <w:pPr>
              <w:keepLines/>
              <w:spacing w:before="40" w:after="40" w:line="200" w:lineRule="atLeast"/>
              <w:rPr>
                <w:rFonts w:ascii="Franklin Gothic Book" w:hAnsi="Franklin Gothic Book"/>
                <w:i/>
                <w:iCs/>
                <w:szCs w:val="17"/>
              </w:rPr>
            </w:pPr>
          </w:p>
          <w:p w14:paraId="6B9141E1" w14:textId="77777777" w:rsidR="008D07D1" w:rsidRPr="00D62919" w:rsidRDefault="008D07D1" w:rsidP="00BD2197">
            <w:pPr>
              <w:keepLines/>
              <w:spacing w:before="40" w:after="40" w:line="200" w:lineRule="atLeast"/>
              <w:rPr>
                <w:rFonts w:ascii="Franklin Gothic Book" w:hAnsi="Franklin Gothic Book"/>
                <w:i/>
                <w:iCs/>
                <w:szCs w:val="17"/>
              </w:rPr>
            </w:pPr>
          </w:p>
        </w:tc>
      </w:tr>
      <w:tr w:rsidR="00400B0F" w:rsidRPr="00A427C6" w14:paraId="5DA7A650" w14:textId="77777777" w:rsidTr="008E52FB">
        <w:tc>
          <w:tcPr>
            <w:tcW w:w="780" w:type="pct"/>
            <w:tcMar>
              <w:top w:w="57" w:type="dxa"/>
              <w:bottom w:w="57" w:type="dxa"/>
            </w:tcMar>
          </w:tcPr>
          <w:p w14:paraId="189F12DB" w14:textId="77777777" w:rsidR="003A0CE1" w:rsidRPr="004A2DED" w:rsidRDefault="003A0CE1" w:rsidP="003A0CE1">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lastRenderedPageBreak/>
              <w:t>Objective 3: Health and resilient communities</w:t>
            </w:r>
          </w:p>
        </w:tc>
        <w:tc>
          <w:tcPr>
            <w:tcW w:w="780" w:type="pct"/>
          </w:tcPr>
          <w:p w14:paraId="29A31DA6" w14:textId="77777777" w:rsidR="00400B0F" w:rsidRPr="00A427C6" w:rsidRDefault="00400B0F" w:rsidP="006F27B1">
            <w:pPr>
              <w:keepLines/>
              <w:spacing w:before="40" w:after="40" w:line="200" w:lineRule="atLeast"/>
              <w:rPr>
                <w:rFonts w:asciiTheme="minorHAnsi" w:eastAsia="Times New Roman" w:hAnsiTheme="minorHAnsi"/>
                <w:iCs/>
                <w:szCs w:val="17"/>
                <w:lang w:eastAsia="en-US"/>
              </w:rPr>
            </w:pPr>
          </w:p>
        </w:tc>
        <w:tc>
          <w:tcPr>
            <w:tcW w:w="470" w:type="pct"/>
            <w:tcBorders>
              <w:top w:val="nil"/>
              <w:bottom w:val="nil"/>
            </w:tcBorders>
            <w:shd w:val="clear" w:color="auto" w:fill="auto"/>
          </w:tcPr>
          <w:p w14:paraId="71B524B8" w14:textId="77777777" w:rsidR="00400B0F" w:rsidRPr="00A427C6" w:rsidRDefault="00400B0F" w:rsidP="0081062B">
            <w:pPr>
              <w:keepLines/>
              <w:spacing w:before="40" w:after="40" w:line="200" w:lineRule="atLeast"/>
              <w:jc w:val="center"/>
              <w:rPr>
                <w:rFonts w:asciiTheme="minorHAnsi" w:eastAsia="Times New Roman" w:hAnsiTheme="minorHAnsi"/>
                <w:iCs/>
                <w:szCs w:val="17"/>
                <w:lang w:eastAsia="en-US"/>
              </w:rPr>
            </w:pPr>
          </w:p>
        </w:tc>
        <w:tc>
          <w:tcPr>
            <w:tcW w:w="2970" w:type="pct"/>
          </w:tcPr>
          <w:p w14:paraId="4D4EA89E" w14:textId="77777777" w:rsidR="00400B0F" w:rsidRPr="00A427C6" w:rsidRDefault="00400B0F" w:rsidP="00CD0611">
            <w:pPr>
              <w:pStyle w:val="TableTextEntries"/>
              <w:keepNext/>
              <w:rPr>
                <w:rFonts w:asciiTheme="minorHAnsi" w:hAnsiTheme="minorHAnsi"/>
                <w:iCs w:val="0"/>
                <w:lang w:eastAsia="en-US"/>
              </w:rPr>
            </w:pPr>
          </w:p>
        </w:tc>
      </w:tr>
      <w:tr w:rsidR="003A0CE1" w:rsidRPr="00A427C6" w14:paraId="5E85369D" w14:textId="77777777" w:rsidTr="008E52FB">
        <w:tc>
          <w:tcPr>
            <w:tcW w:w="780" w:type="pct"/>
            <w:tcMar>
              <w:top w:w="57" w:type="dxa"/>
              <w:bottom w:w="57" w:type="dxa"/>
            </w:tcMar>
          </w:tcPr>
          <w:p w14:paraId="03A44101" w14:textId="77777777" w:rsidR="003A0CE1" w:rsidRDefault="003A0CE1" w:rsidP="003A0CE1">
            <w:pPr>
              <w:keepLines/>
              <w:spacing w:before="40" w:after="40" w:line="200" w:lineRule="atLeast"/>
              <w:rPr>
                <w:rFonts w:eastAsia="Times New Roman"/>
                <w:iCs/>
                <w:szCs w:val="17"/>
              </w:rPr>
            </w:pPr>
            <w:r>
              <w:rPr>
                <w:rFonts w:ascii="Franklin Gothic Book" w:hAnsi="Franklin Gothic Book"/>
                <w:i/>
                <w:iCs/>
                <w:szCs w:val="17"/>
              </w:rPr>
              <w:t>Pacific island countries effectively manage global sources of climate finance</w:t>
            </w:r>
          </w:p>
        </w:tc>
        <w:tc>
          <w:tcPr>
            <w:tcW w:w="780" w:type="pct"/>
          </w:tcPr>
          <w:p w14:paraId="4F5E7318" w14:textId="77777777" w:rsidR="003A0CE1" w:rsidRPr="00A427C6" w:rsidRDefault="008C4EC2" w:rsidP="008C4EC2">
            <w:pPr>
              <w:keepLines/>
              <w:spacing w:before="40" w:after="40" w:line="200" w:lineRule="atLeast"/>
              <w:rPr>
                <w:rFonts w:eastAsia="Times New Roman"/>
                <w:iCs/>
                <w:szCs w:val="17"/>
              </w:rPr>
            </w:pPr>
            <w:r>
              <w:rPr>
                <w:rFonts w:ascii="Franklin Gothic Book" w:hAnsi="Franklin Gothic Book"/>
                <w:i/>
                <w:iCs/>
                <w:szCs w:val="17"/>
              </w:rPr>
              <w:t>US</w:t>
            </w:r>
            <w:r w:rsidR="005321F2">
              <w:rPr>
                <w:rFonts w:ascii="Franklin Gothic Book" w:hAnsi="Franklin Gothic Book"/>
                <w:i/>
                <w:iCs/>
                <w:szCs w:val="17"/>
              </w:rPr>
              <w:t>$</w:t>
            </w:r>
            <w:r>
              <w:rPr>
                <w:rFonts w:ascii="Franklin Gothic Book" w:hAnsi="Franklin Gothic Book"/>
                <w:i/>
                <w:iCs/>
                <w:szCs w:val="17"/>
              </w:rPr>
              <w:t xml:space="preserve">10 million </w:t>
            </w:r>
            <w:r w:rsidR="005321F2">
              <w:rPr>
                <w:rFonts w:ascii="Franklin Gothic Book" w:hAnsi="Franklin Gothic Book"/>
                <w:i/>
                <w:iCs/>
                <w:szCs w:val="17"/>
              </w:rPr>
              <w:t xml:space="preserve">(A$13million) </w:t>
            </w:r>
            <w:r>
              <w:rPr>
                <w:rFonts w:ascii="Franklin Gothic Book" w:hAnsi="Franklin Gothic Book"/>
                <w:i/>
                <w:iCs/>
                <w:szCs w:val="17"/>
              </w:rPr>
              <w:t>in i</w:t>
            </w:r>
            <w:r w:rsidR="003A0CE1">
              <w:rPr>
                <w:rFonts w:ascii="Franklin Gothic Book" w:hAnsi="Franklin Gothic Book"/>
                <w:i/>
                <w:iCs/>
                <w:szCs w:val="17"/>
              </w:rPr>
              <w:t>ncreased Green Climate Fund finances allocated to Pacific region</w:t>
            </w:r>
            <w:r w:rsidR="003A0CE1">
              <w:rPr>
                <w:rFonts w:ascii="Times New Roman" w:hAnsi="Times New Roman"/>
                <w:sz w:val="20"/>
                <w:szCs w:val="20"/>
              </w:rPr>
              <w:t xml:space="preserve"> </w:t>
            </w:r>
          </w:p>
        </w:tc>
        <w:tc>
          <w:tcPr>
            <w:tcW w:w="470" w:type="pct"/>
            <w:tcBorders>
              <w:top w:val="nil"/>
              <w:bottom w:val="nil"/>
            </w:tcBorders>
            <w:shd w:val="clear" w:color="auto" w:fill="7FB64D" w:themeFill="accent3" w:themeFillShade="BF"/>
          </w:tcPr>
          <w:p w14:paraId="75722E3E" w14:textId="77777777" w:rsidR="003A0CE1" w:rsidRPr="00A427C6" w:rsidRDefault="003A0CE1" w:rsidP="00D62919">
            <w:pPr>
              <w:keepLines/>
              <w:spacing w:before="40" w:after="40" w:line="200" w:lineRule="atLeast"/>
              <w:jc w:val="center"/>
              <w:rPr>
                <w:rFonts w:eastAsia="Times New Roman"/>
                <w:iCs/>
                <w:color w:val="FFFFFF" w:themeColor="background1"/>
                <w:szCs w:val="17"/>
              </w:rPr>
            </w:pPr>
            <w:r w:rsidRPr="00A427C6">
              <w:rPr>
                <w:rFonts w:asciiTheme="minorHAnsi" w:eastAsia="Times New Roman" w:hAnsiTheme="minorHAnsi"/>
                <w:iCs/>
                <w:color w:val="FFFFFF" w:themeColor="background1"/>
                <w:szCs w:val="17"/>
                <w:lang w:eastAsia="en-US"/>
              </w:rPr>
              <w:t>Achieved</w:t>
            </w:r>
          </w:p>
        </w:tc>
        <w:tc>
          <w:tcPr>
            <w:tcW w:w="2970" w:type="pct"/>
          </w:tcPr>
          <w:p w14:paraId="3864E826" w14:textId="77777777" w:rsidR="003A0CE1" w:rsidRPr="003A0CE1" w:rsidRDefault="003A0CE1" w:rsidP="003A0CE1">
            <w:pPr>
              <w:spacing w:before="40" w:after="40" w:line="200" w:lineRule="atLeast"/>
              <w:rPr>
                <w:rFonts w:ascii="Franklin Gothic Book" w:hAnsi="Franklin Gothic Book"/>
                <w:i/>
                <w:iCs/>
                <w:szCs w:val="17"/>
              </w:rPr>
            </w:pPr>
            <w:r w:rsidRPr="003A0CE1">
              <w:rPr>
                <w:rFonts w:ascii="Franklin Gothic Book" w:hAnsi="Franklin Gothic Book"/>
                <w:i/>
                <w:iCs/>
                <w:szCs w:val="17"/>
              </w:rPr>
              <w:t xml:space="preserve">The Green Climate Fund approved for the Pacific: </w:t>
            </w:r>
          </w:p>
          <w:p w14:paraId="122ADBBD" w14:textId="77777777" w:rsidR="003A0CE1" w:rsidRPr="003A0CE1" w:rsidRDefault="003A0CE1" w:rsidP="003A0CE1">
            <w:pPr>
              <w:spacing w:before="40" w:after="40" w:line="200" w:lineRule="atLeast"/>
              <w:rPr>
                <w:rFonts w:ascii="Franklin Gothic Book" w:hAnsi="Franklin Gothic Book"/>
                <w:i/>
                <w:iCs/>
                <w:szCs w:val="17"/>
              </w:rPr>
            </w:pPr>
            <w:r w:rsidRPr="003A0CE1">
              <w:rPr>
                <w:rFonts w:ascii="Franklin Gothic Book" w:hAnsi="Franklin Gothic Book"/>
                <w:i/>
                <w:iCs/>
                <w:szCs w:val="17"/>
              </w:rPr>
              <w:t>US</w:t>
            </w:r>
            <w:r w:rsidR="001D0E7E">
              <w:rPr>
                <w:rFonts w:ascii="Franklin Gothic Book" w:hAnsi="Franklin Gothic Book"/>
                <w:i/>
                <w:iCs/>
                <w:szCs w:val="17"/>
              </w:rPr>
              <w:t>$</w:t>
            </w:r>
            <w:r w:rsidRPr="003A0CE1">
              <w:rPr>
                <w:rFonts w:ascii="Franklin Gothic Book" w:hAnsi="Franklin Gothic Book"/>
                <w:i/>
                <w:iCs/>
                <w:szCs w:val="17"/>
              </w:rPr>
              <w:t>1.3 million</w:t>
            </w:r>
            <w:r w:rsidR="005321F2">
              <w:rPr>
                <w:rFonts w:ascii="Franklin Gothic Book" w:hAnsi="Franklin Gothic Book"/>
                <w:i/>
                <w:iCs/>
                <w:szCs w:val="17"/>
              </w:rPr>
              <w:t>(A$1.7 million)</w:t>
            </w:r>
            <w:r w:rsidRPr="003A0CE1">
              <w:rPr>
                <w:rFonts w:ascii="Franklin Gothic Book" w:hAnsi="Franklin Gothic Book"/>
                <w:i/>
                <w:iCs/>
                <w:szCs w:val="17"/>
              </w:rPr>
              <w:t xml:space="preserve"> in readiness funding </w:t>
            </w:r>
          </w:p>
          <w:p w14:paraId="113CA4A6" w14:textId="77777777" w:rsidR="003A0CE1" w:rsidRPr="00A427C6" w:rsidRDefault="003A0CE1" w:rsidP="003A0CE1">
            <w:pPr>
              <w:pStyle w:val="TableTextEntries"/>
              <w:keepNext/>
              <w:rPr>
                <w:rFonts w:asciiTheme="minorHAnsi" w:hAnsiTheme="minorHAnsi"/>
              </w:rPr>
            </w:pPr>
            <w:r w:rsidRPr="003A0CE1">
              <w:rPr>
                <w:rFonts w:eastAsiaTheme="minorHAnsi" w:cstheme="minorBidi"/>
                <w:i/>
                <w:color w:val="495965" w:themeColor="text2"/>
                <w:lang w:val="en-GB"/>
              </w:rPr>
              <w:t>US</w:t>
            </w:r>
            <w:r w:rsidR="001D0E7E">
              <w:rPr>
                <w:rFonts w:eastAsiaTheme="minorHAnsi" w:cstheme="minorBidi"/>
                <w:i/>
                <w:color w:val="495965" w:themeColor="text2"/>
                <w:lang w:val="en-GB"/>
              </w:rPr>
              <w:t>$</w:t>
            </w:r>
            <w:r w:rsidRPr="003A0CE1">
              <w:rPr>
                <w:rFonts w:eastAsiaTheme="minorHAnsi" w:cstheme="minorBidi"/>
                <w:i/>
                <w:color w:val="495965" w:themeColor="text2"/>
                <w:lang w:val="en-GB"/>
              </w:rPr>
              <w:t>67 million</w:t>
            </w:r>
            <w:r w:rsidR="005321F2">
              <w:rPr>
                <w:rFonts w:eastAsiaTheme="minorHAnsi" w:cstheme="minorBidi"/>
                <w:i/>
                <w:color w:val="495965" w:themeColor="text2"/>
                <w:lang w:val="en-GB"/>
              </w:rPr>
              <w:t>($A88 million)</w:t>
            </w:r>
            <w:r w:rsidRPr="003A0CE1">
              <w:rPr>
                <w:rFonts w:eastAsiaTheme="minorHAnsi" w:cstheme="minorBidi"/>
                <w:i/>
                <w:color w:val="495965" w:themeColor="text2"/>
                <w:lang w:val="en-GB"/>
              </w:rPr>
              <w:t xml:space="preserve"> for approved projects</w:t>
            </w:r>
          </w:p>
        </w:tc>
      </w:tr>
      <w:tr w:rsidR="004A2DED" w:rsidRPr="00A427C6" w14:paraId="78E068B5" w14:textId="77777777" w:rsidTr="008E52FB">
        <w:tc>
          <w:tcPr>
            <w:tcW w:w="780" w:type="pct"/>
            <w:tcMar>
              <w:top w:w="57" w:type="dxa"/>
              <w:bottom w:w="57" w:type="dxa"/>
            </w:tcMar>
          </w:tcPr>
          <w:p w14:paraId="378D1BB9" w14:textId="77777777" w:rsidR="004A2DED" w:rsidRDefault="004A2DED" w:rsidP="003A0CE1">
            <w:pPr>
              <w:keepLines/>
              <w:spacing w:before="40" w:after="40" w:line="200" w:lineRule="atLeast"/>
              <w:rPr>
                <w:rFonts w:ascii="Franklin Gothic Book" w:hAnsi="Franklin Gothic Book"/>
                <w:i/>
                <w:iCs/>
                <w:szCs w:val="17"/>
              </w:rPr>
            </w:pPr>
            <w:r>
              <w:rPr>
                <w:rFonts w:ascii="Franklin Gothic Book" w:hAnsi="Franklin Gothic Book"/>
                <w:i/>
                <w:iCs/>
                <w:szCs w:val="17"/>
              </w:rPr>
              <w:t>Pacific island government national surveillance systems effectively monitor outbreaks of infectious diseases</w:t>
            </w:r>
          </w:p>
        </w:tc>
        <w:tc>
          <w:tcPr>
            <w:tcW w:w="780" w:type="pct"/>
          </w:tcPr>
          <w:p w14:paraId="3B6D5742" w14:textId="77777777" w:rsidR="004A2DED" w:rsidRDefault="004A2DED" w:rsidP="008C4EC2">
            <w:pPr>
              <w:keepLines/>
              <w:spacing w:before="40" w:after="40" w:line="200" w:lineRule="atLeast"/>
              <w:rPr>
                <w:rFonts w:ascii="Franklin Gothic Book" w:hAnsi="Franklin Gothic Book"/>
                <w:i/>
                <w:iCs/>
                <w:szCs w:val="17"/>
              </w:rPr>
            </w:pPr>
            <w:r>
              <w:rPr>
                <w:rFonts w:ascii="Franklin Gothic Book" w:hAnsi="Franklin Gothic Book"/>
                <w:i/>
                <w:iCs/>
                <w:szCs w:val="17"/>
              </w:rPr>
              <w:t>10 per cent annual increase in number of Pacific island governments implementing specific surveillance and response plans for outbreaks of infectious disease.</w:t>
            </w:r>
          </w:p>
        </w:tc>
        <w:tc>
          <w:tcPr>
            <w:tcW w:w="470" w:type="pct"/>
            <w:tcBorders>
              <w:top w:val="nil"/>
              <w:bottom w:val="nil"/>
            </w:tcBorders>
            <w:shd w:val="clear" w:color="auto" w:fill="7FB64D" w:themeFill="accent3" w:themeFillShade="BF"/>
          </w:tcPr>
          <w:p w14:paraId="6CB94AA7" w14:textId="77777777" w:rsidR="004A2DED" w:rsidRPr="00A427C6" w:rsidRDefault="004A2DED" w:rsidP="00D62919">
            <w:pPr>
              <w:keepLines/>
              <w:spacing w:before="40" w:after="40" w:line="200" w:lineRule="atLeast"/>
              <w:jc w:val="center"/>
              <w:rPr>
                <w:rFonts w:eastAsia="Times New Roman"/>
                <w:iCs/>
                <w:color w:val="FFFFFF" w:themeColor="background1"/>
                <w:szCs w:val="17"/>
              </w:rPr>
            </w:pPr>
            <w:r w:rsidRPr="00D62919">
              <w:rPr>
                <w:rFonts w:asciiTheme="minorHAnsi" w:eastAsia="Times New Roman" w:hAnsiTheme="minorHAnsi"/>
                <w:iCs/>
                <w:color w:val="FFFFFF" w:themeColor="background1"/>
                <w:szCs w:val="17"/>
                <w:lang w:eastAsia="en-US"/>
              </w:rPr>
              <w:t>Achieved</w:t>
            </w:r>
          </w:p>
        </w:tc>
        <w:tc>
          <w:tcPr>
            <w:tcW w:w="2970" w:type="pct"/>
          </w:tcPr>
          <w:p w14:paraId="1B71D40B" w14:textId="77777777" w:rsidR="004A2DED" w:rsidRPr="003A0CE1" w:rsidRDefault="00781385" w:rsidP="00781385">
            <w:pPr>
              <w:spacing w:before="40" w:after="40" w:line="200" w:lineRule="atLeast"/>
              <w:rPr>
                <w:rFonts w:ascii="Franklin Gothic Book" w:hAnsi="Franklin Gothic Book"/>
                <w:i/>
                <w:iCs/>
                <w:szCs w:val="17"/>
              </w:rPr>
            </w:pPr>
            <w:r>
              <w:rPr>
                <w:rFonts w:ascii="Franklin Gothic Book" w:hAnsi="Franklin Gothic Book"/>
                <w:i/>
                <w:iCs/>
                <w:szCs w:val="17"/>
              </w:rPr>
              <w:t>Thirteen o</w:t>
            </w:r>
            <w:r w:rsidRPr="00781385">
              <w:rPr>
                <w:rFonts w:ascii="Franklin Gothic Book" w:hAnsi="Franklin Gothic Book"/>
                <w:i/>
                <w:iCs/>
                <w:szCs w:val="17"/>
              </w:rPr>
              <w:t>ut of 22 Pacific Island Countries now have surveillance and response plans for Pandemic Influenza, a good indication of improved capacity to monitor and respond to outbreaks of infectious diseases.</w:t>
            </w:r>
          </w:p>
        </w:tc>
      </w:tr>
      <w:tr w:rsidR="003A0CE1" w:rsidRPr="00A427C6" w14:paraId="36E08DFE" w14:textId="77777777" w:rsidTr="005321F2">
        <w:tc>
          <w:tcPr>
            <w:tcW w:w="780" w:type="pct"/>
            <w:tcMar>
              <w:top w:w="57" w:type="dxa"/>
              <w:bottom w:w="57" w:type="dxa"/>
            </w:tcMar>
          </w:tcPr>
          <w:p w14:paraId="541DE93B" w14:textId="77777777" w:rsidR="003A0CE1" w:rsidRPr="00482C1B" w:rsidRDefault="003A0CE1" w:rsidP="006F27B1">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 4: Empowering women and girls</w:t>
            </w:r>
          </w:p>
        </w:tc>
        <w:tc>
          <w:tcPr>
            <w:tcW w:w="780" w:type="pct"/>
          </w:tcPr>
          <w:p w14:paraId="1A89517B" w14:textId="77777777" w:rsidR="003A0CE1" w:rsidRPr="00A427C6" w:rsidRDefault="003A0CE1" w:rsidP="006F27B1">
            <w:pPr>
              <w:keepLines/>
              <w:spacing w:before="40" w:after="40" w:line="200" w:lineRule="atLeast"/>
              <w:rPr>
                <w:rFonts w:eastAsia="Times New Roman"/>
                <w:iCs/>
                <w:szCs w:val="17"/>
              </w:rPr>
            </w:pPr>
          </w:p>
        </w:tc>
        <w:tc>
          <w:tcPr>
            <w:tcW w:w="470" w:type="pct"/>
            <w:tcBorders>
              <w:top w:val="nil"/>
              <w:bottom w:val="nil"/>
            </w:tcBorders>
            <w:shd w:val="clear" w:color="auto" w:fill="auto"/>
          </w:tcPr>
          <w:p w14:paraId="21079561" w14:textId="77777777" w:rsidR="003A0CE1" w:rsidRPr="00A427C6" w:rsidRDefault="003A0CE1" w:rsidP="006F27B1">
            <w:pPr>
              <w:keepLines/>
              <w:spacing w:before="40" w:after="40" w:line="200" w:lineRule="atLeast"/>
              <w:rPr>
                <w:rFonts w:eastAsia="Times New Roman"/>
                <w:iCs/>
                <w:color w:val="FFFFFF" w:themeColor="background1"/>
                <w:szCs w:val="17"/>
              </w:rPr>
            </w:pPr>
          </w:p>
        </w:tc>
        <w:tc>
          <w:tcPr>
            <w:tcW w:w="2970" w:type="pct"/>
          </w:tcPr>
          <w:p w14:paraId="3AFA7ED5" w14:textId="77777777" w:rsidR="003A0CE1" w:rsidRPr="00A427C6" w:rsidRDefault="003A0CE1" w:rsidP="00AA7BE3">
            <w:pPr>
              <w:pStyle w:val="TableTextEntries"/>
              <w:keepNext/>
              <w:rPr>
                <w:rFonts w:asciiTheme="minorHAnsi" w:hAnsiTheme="minorHAnsi"/>
              </w:rPr>
            </w:pPr>
          </w:p>
        </w:tc>
      </w:tr>
      <w:tr w:rsidR="005321F2" w:rsidRPr="00A427C6" w14:paraId="6051A363" w14:textId="77777777" w:rsidTr="005321F2">
        <w:tc>
          <w:tcPr>
            <w:tcW w:w="780" w:type="pct"/>
            <w:tcMar>
              <w:top w:w="57" w:type="dxa"/>
              <w:bottom w:w="57" w:type="dxa"/>
            </w:tcMar>
          </w:tcPr>
          <w:p w14:paraId="5FB4103B" w14:textId="77777777" w:rsidR="005321F2" w:rsidRPr="004A2DED" w:rsidRDefault="005321F2" w:rsidP="006F27B1">
            <w:pPr>
              <w:keepLines/>
              <w:spacing w:before="40" w:after="40" w:line="200" w:lineRule="atLeast"/>
              <w:rPr>
                <w:rFonts w:ascii="Franklin Gothic Book" w:hAnsi="Franklin Gothic Book"/>
                <w:i/>
                <w:iCs/>
                <w:szCs w:val="17"/>
              </w:rPr>
            </w:pPr>
            <w:r w:rsidRPr="004A2DED">
              <w:rPr>
                <w:rFonts w:ascii="Franklin Gothic Book" w:hAnsi="Franklin Gothic Book"/>
                <w:i/>
                <w:iCs/>
                <w:szCs w:val="17"/>
              </w:rPr>
              <w:t xml:space="preserve">Improved </w:t>
            </w:r>
            <w:r>
              <w:rPr>
                <w:rFonts w:ascii="Franklin Gothic Book" w:hAnsi="Franklin Gothic Book"/>
                <w:i/>
                <w:iCs/>
                <w:szCs w:val="17"/>
              </w:rPr>
              <w:t>economic opportunities for women in the Pacific.</w:t>
            </w:r>
          </w:p>
        </w:tc>
        <w:tc>
          <w:tcPr>
            <w:tcW w:w="780" w:type="pct"/>
          </w:tcPr>
          <w:p w14:paraId="19DF81CD" w14:textId="77777777" w:rsidR="005321F2" w:rsidRPr="004A2DED" w:rsidRDefault="005321F2" w:rsidP="006F27B1">
            <w:pPr>
              <w:keepLines/>
              <w:spacing w:before="40" w:after="40" w:line="200" w:lineRule="atLeast"/>
              <w:rPr>
                <w:rFonts w:ascii="Franklin Gothic Book" w:hAnsi="Franklin Gothic Book"/>
                <w:i/>
                <w:iCs/>
                <w:szCs w:val="17"/>
              </w:rPr>
            </w:pPr>
            <w:r>
              <w:rPr>
                <w:rFonts w:ascii="Franklin Gothic Book" w:hAnsi="Franklin Gothic Book"/>
                <w:i/>
                <w:iCs/>
                <w:szCs w:val="17"/>
              </w:rPr>
              <w:t>2000 market vendors, of which 85 per cent are women, are provided with financial and business literacy training.</w:t>
            </w:r>
          </w:p>
        </w:tc>
        <w:tc>
          <w:tcPr>
            <w:tcW w:w="470" w:type="pct"/>
            <w:tcBorders>
              <w:top w:val="nil"/>
              <w:bottom w:val="single" w:sz="12" w:space="0" w:color="auto"/>
            </w:tcBorders>
            <w:shd w:val="clear" w:color="auto" w:fill="FFC000"/>
          </w:tcPr>
          <w:p w14:paraId="2E834B33" w14:textId="77777777" w:rsidR="005321F2" w:rsidRPr="00D62919" w:rsidRDefault="005321F2" w:rsidP="00637B96">
            <w:pPr>
              <w:keepLines/>
              <w:spacing w:before="40" w:after="40" w:line="200" w:lineRule="atLeast"/>
              <w:jc w:val="center"/>
              <w:rPr>
                <w:rFonts w:ascii="Franklin Gothic Book" w:hAnsi="Franklin Gothic Book"/>
                <w:i/>
                <w:iCs/>
                <w:szCs w:val="17"/>
              </w:rPr>
            </w:pPr>
            <w:r w:rsidRPr="00A427C6">
              <w:rPr>
                <w:rFonts w:asciiTheme="minorHAnsi" w:eastAsia="Times New Roman" w:hAnsiTheme="minorHAnsi"/>
                <w:iCs/>
                <w:color w:val="FFFFFF" w:themeColor="background1"/>
                <w:szCs w:val="17"/>
                <w:lang w:eastAsia="en-US"/>
              </w:rPr>
              <w:t>Partly achieved</w:t>
            </w:r>
          </w:p>
        </w:tc>
        <w:tc>
          <w:tcPr>
            <w:tcW w:w="2970" w:type="pct"/>
          </w:tcPr>
          <w:p w14:paraId="7DE8A011" w14:textId="77777777" w:rsidR="005321F2" w:rsidRPr="004A2DED" w:rsidRDefault="005321F2" w:rsidP="00EE6217">
            <w:pPr>
              <w:pStyle w:val="TableTextEntries"/>
              <w:keepNext/>
              <w:rPr>
                <w:rFonts w:eastAsiaTheme="minorHAnsi" w:cstheme="minorBidi"/>
                <w:i/>
                <w:color w:val="495965" w:themeColor="text2"/>
                <w:lang w:val="en-GB"/>
              </w:rPr>
            </w:pPr>
            <w:r>
              <w:rPr>
                <w:rFonts w:eastAsiaTheme="minorHAnsi" w:cstheme="minorBidi"/>
                <w:i/>
                <w:color w:val="495965" w:themeColor="text2"/>
                <w:lang w:val="en-GB"/>
              </w:rPr>
              <w:t>A total of 841 people trained in improved record keeping and business management. Of these 742 (88 per cent) were women and 99 (12 per cent) were men. This is an increase from the previous year’s total of 756 people, of which 544 (72 per cent) were women and 212 (28 per cent) were men.</w:t>
            </w:r>
          </w:p>
        </w:tc>
      </w:tr>
    </w:tbl>
    <w:p w14:paraId="36F5E681"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sz w:val="16"/>
          <w:szCs w:val="14"/>
        </w:rPr>
        <w:t xml:space="preserve">Note: </w:t>
      </w:r>
    </w:p>
    <w:p w14:paraId="1298BF07"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14:paraId="08E5330F"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14:paraId="5BE46CD0" w14:textId="77777777" w:rsidR="00400B0F" w:rsidRPr="00A427C6" w:rsidRDefault="00400B0F" w:rsidP="00400B0F">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14:paraId="652F4166" w14:textId="77777777"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14:paraId="60ECDE17" w14:textId="77777777" w:rsidR="00400B0F" w:rsidRPr="00784031" w:rsidRDefault="00400B0F" w:rsidP="00784031">
      <w:pPr>
        <w:pStyle w:val="Subtitle"/>
        <w:numPr>
          <w:ilvl w:val="0"/>
          <w:numId w:val="0"/>
        </w:numPr>
      </w:pPr>
      <w:r w:rsidRPr="00784031">
        <w:lastRenderedPageBreak/>
        <w:t>Annex C - Evaluation Planning</w:t>
      </w:r>
    </w:p>
    <w:p w14:paraId="7A10F1BE" w14:textId="77777777"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400B0F" w:rsidRPr="00C61187" w14:paraId="785FF233"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7716FA9C"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Investment number and name </w:t>
            </w:r>
          </w:p>
          <w:p w14:paraId="479924CA" w14:textId="77777777" w:rsidR="00400B0F" w:rsidRPr="00A427C6" w:rsidRDefault="00400B0F" w:rsidP="006F27B1">
            <w:pPr>
              <w:keepLines/>
              <w:spacing w:line="200" w:lineRule="atLeast"/>
              <w:rPr>
                <w:rFonts w:asciiTheme="minorHAnsi" w:eastAsia="Times New Roman" w:hAnsiTheme="minorHAnsi"/>
                <w:b w:val="0"/>
                <w:iCs/>
                <w:szCs w:val="17"/>
                <w:lang w:eastAsia="en-US"/>
              </w:rPr>
            </w:pPr>
            <w:r w:rsidRPr="00A427C6">
              <w:rPr>
                <w:rFonts w:asciiTheme="minorHAnsi" w:eastAsia="Times New Roman" w:hAnsiTheme="minorHAnsi"/>
                <w:iCs/>
                <w:szCs w:val="17"/>
                <w:lang w:eastAsia="en-US"/>
              </w:rPr>
              <w:t xml:space="preserve">(if applicable) </w:t>
            </w:r>
          </w:p>
        </w:tc>
        <w:tc>
          <w:tcPr>
            <w:tcW w:w="4657" w:type="dxa"/>
          </w:tcPr>
          <w:p w14:paraId="5925256F"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14:paraId="0119FB2E"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14:paraId="5CC5BDBF"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14:paraId="290D1E68"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14:paraId="77544ECC" w14:textId="77777777"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CA2125" w:rsidRPr="003B5EE5" w14:paraId="305582C5"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13DB85BE" w14:textId="77777777" w:rsidR="00CA2125" w:rsidRPr="00CA2125" w:rsidRDefault="00CA2125" w:rsidP="006F27B1">
            <w:pPr>
              <w:keepLines/>
              <w:spacing w:before="40" w:after="40" w:line="200" w:lineRule="atLeast"/>
              <w:rPr>
                <w:rFonts w:asciiTheme="minorHAnsi" w:eastAsia="Times New Roman" w:hAnsiTheme="minorHAnsi"/>
                <w:b w:val="0"/>
                <w:iCs/>
                <w:szCs w:val="17"/>
                <w:lang w:eastAsia="en-US"/>
              </w:rPr>
            </w:pPr>
            <w:r w:rsidRPr="00CA2125">
              <w:rPr>
                <w:rFonts w:asciiTheme="minorHAnsi" w:eastAsia="Times New Roman" w:hAnsiTheme="minorHAnsi"/>
                <w:b w:val="0"/>
                <w:iCs/>
                <w:szCs w:val="17"/>
                <w:lang w:eastAsia="en-US"/>
              </w:rPr>
              <w:t xml:space="preserve">INI 851 </w:t>
            </w:r>
            <w:r>
              <w:rPr>
                <w:rFonts w:asciiTheme="minorHAnsi" w:eastAsia="Times New Roman" w:hAnsiTheme="minorHAnsi"/>
                <w:b w:val="0"/>
                <w:iCs/>
                <w:szCs w:val="17"/>
                <w:lang w:eastAsia="en-US"/>
              </w:rPr>
              <w:t>Pacific Horticultural and Agricultural Market Access Program</w:t>
            </w:r>
          </w:p>
        </w:tc>
        <w:tc>
          <w:tcPr>
            <w:tcW w:w="4657" w:type="dxa"/>
          </w:tcPr>
          <w:p w14:paraId="67A67D33" w14:textId="77777777" w:rsidR="00CA2125" w:rsidRPr="00CA2125" w:rsidRDefault="00CA2125"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Evaluation</w:t>
            </w:r>
          </w:p>
        </w:tc>
        <w:tc>
          <w:tcPr>
            <w:tcW w:w="1397" w:type="dxa"/>
          </w:tcPr>
          <w:p w14:paraId="791DE9B0" w14:textId="77777777" w:rsidR="00CA2125" w:rsidRPr="00CA2125" w:rsidRDefault="003A58B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tc>
        <w:tc>
          <w:tcPr>
            <w:tcW w:w="1953" w:type="dxa"/>
          </w:tcPr>
          <w:p w14:paraId="0B9AEED1" w14:textId="77777777" w:rsidR="00CA2125" w:rsidRPr="00CA2125" w:rsidRDefault="003A58B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TBD</w:t>
            </w:r>
          </w:p>
        </w:tc>
        <w:tc>
          <w:tcPr>
            <w:tcW w:w="1671" w:type="dxa"/>
          </w:tcPr>
          <w:p w14:paraId="51C86E5D" w14:textId="77777777" w:rsidR="00CA2125" w:rsidRPr="00CA2125" w:rsidRDefault="003A58B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TBD</w:t>
            </w:r>
          </w:p>
        </w:tc>
        <w:tc>
          <w:tcPr>
            <w:tcW w:w="1515" w:type="dxa"/>
          </w:tcPr>
          <w:p w14:paraId="113EC698" w14:textId="77777777" w:rsidR="00CA2125" w:rsidRPr="00CA2125" w:rsidRDefault="003A58B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TBD</w:t>
            </w:r>
          </w:p>
        </w:tc>
      </w:tr>
      <w:tr w:rsidR="00400B0F" w:rsidRPr="003B5EE5" w14:paraId="108FC340"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5B869954" w14:textId="77777777" w:rsidR="00EF1436" w:rsidRPr="00A427C6" w:rsidRDefault="00CD0611" w:rsidP="006F27B1">
            <w:pPr>
              <w:keepLines/>
              <w:spacing w:before="40" w:after="40" w:line="200" w:lineRule="atLeast"/>
              <w:rPr>
                <w:rFonts w:asciiTheme="minorHAnsi" w:eastAsia="Times New Roman" w:hAnsiTheme="minorHAnsi"/>
                <w:b w:val="0"/>
                <w:iCs/>
                <w:szCs w:val="17"/>
                <w:lang w:eastAsia="en-US"/>
              </w:rPr>
            </w:pPr>
            <w:r w:rsidRPr="00CD0611">
              <w:rPr>
                <w:rFonts w:asciiTheme="minorHAnsi" w:eastAsia="Times New Roman" w:hAnsiTheme="minorHAnsi"/>
                <w:b w:val="0"/>
                <w:iCs/>
                <w:szCs w:val="17"/>
                <w:lang w:eastAsia="en-US"/>
              </w:rPr>
              <w:t>INJ488</w:t>
            </w:r>
            <w:r w:rsidR="00A83A71">
              <w:rPr>
                <w:rFonts w:ascii="Franklin Gothic Book" w:hAnsi="Franklin Gothic Book"/>
                <w:bCs/>
                <w:szCs w:val="17"/>
              </w:rPr>
              <w:t xml:space="preserve"> </w:t>
            </w:r>
            <w:r w:rsidR="00A83A71" w:rsidRPr="00A83A71">
              <w:rPr>
                <w:rFonts w:asciiTheme="minorHAnsi" w:eastAsia="Times New Roman" w:hAnsiTheme="minorHAnsi"/>
                <w:b w:val="0"/>
                <w:iCs/>
                <w:szCs w:val="17"/>
                <w:lang w:eastAsia="en-US"/>
              </w:rPr>
              <w:t>Climate and Oceans Support Program in the Pacific</w:t>
            </w:r>
            <w:r w:rsidR="00A83A71">
              <w:rPr>
                <w:rFonts w:asciiTheme="minorHAnsi" w:eastAsia="Times New Roman" w:hAnsiTheme="minorHAnsi"/>
                <w:b w:val="0"/>
                <w:iCs/>
                <w:szCs w:val="17"/>
                <w:lang w:eastAsia="en-US"/>
              </w:rPr>
              <w:t xml:space="preserve"> </w:t>
            </w:r>
          </w:p>
        </w:tc>
        <w:tc>
          <w:tcPr>
            <w:tcW w:w="4657" w:type="dxa"/>
          </w:tcPr>
          <w:p w14:paraId="55B51C95" w14:textId="77777777" w:rsidR="00400B0F" w:rsidRPr="00A427C6" w:rsidRDefault="00A83A71"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Mid-term Review</w:t>
            </w:r>
          </w:p>
        </w:tc>
        <w:tc>
          <w:tcPr>
            <w:tcW w:w="1397" w:type="dxa"/>
          </w:tcPr>
          <w:p w14:paraId="20165DA4" w14:textId="77777777" w:rsidR="00400B0F" w:rsidRPr="00A427C6" w:rsidRDefault="00DC6FCA"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March 2015</w:t>
            </w:r>
          </w:p>
        </w:tc>
        <w:tc>
          <w:tcPr>
            <w:tcW w:w="1953" w:type="dxa"/>
          </w:tcPr>
          <w:p w14:paraId="15132A6E" w14:textId="77777777" w:rsidR="00400B0F" w:rsidRPr="00A427C6" w:rsidRDefault="00DC6FCA"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2015</w:t>
            </w:r>
            <w:r w:rsidR="00400B0F" w:rsidRPr="00A427C6">
              <w:rPr>
                <w:rFonts w:asciiTheme="minorHAnsi" w:eastAsia="Times New Roman" w:hAnsiTheme="minorHAnsi"/>
                <w:b w:val="0"/>
                <w:iCs/>
                <w:szCs w:val="17"/>
                <w:lang w:eastAsia="en-US"/>
              </w:rPr>
              <w:t xml:space="preserve"> </w:t>
            </w:r>
          </w:p>
        </w:tc>
        <w:tc>
          <w:tcPr>
            <w:tcW w:w="1671" w:type="dxa"/>
          </w:tcPr>
          <w:p w14:paraId="1B4F8D3D" w14:textId="77777777" w:rsidR="00400B0F" w:rsidRPr="00A427C6" w:rsidRDefault="00DC6FCA"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2015</w:t>
            </w:r>
          </w:p>
        </w:tc>
        <w:tc>
          <w:tcPr>
            <w:tcW w:w="1515" w:type="dxa"/>
          </w:tcPr>
          <w:p w14:paraId="55EA1761" w14:textId="77777777" w:rsidR="00400B0F" w:rsidRPr="00A427C6" w:rsidRDefault="00DC6FCA"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2015</w:t>
            </w:r>
          </w:p>
        </w:tc>
      </w:tr>
      <w:tr w:rsidR="00EF1436" w:rsidRPr="003B5EE5" w14:paraId="746DEF21"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76422E03" w14:textId="77777777" w:rsidR="00EF1436" w:rsidRPr="00CD0611" w:rsidRDefault="00EF1436" w:rsidP="006F27B1">
            <w:pPr>
              <w:keepLines/>
              <w:spacing w:before="40" w:after="40" w:line="200" w:lineRule="atLeast"/>
              <w:rPr>
                <w:rFonts w:eastAsia="Times New Roman"/>
                <w:b w:val="0"/>
                <w:iCs/>
                <w:szCs w:val="17"/>
              </w:rPr>
            </w:pPr>
            <w:r w:rsidRPr="00BA4B57">
              <w:rPr>
                <w:b w:val="0"/>
              </w:rPr>
              <w:t>I</w:t>
            </w:r>
            <w:r w:rsidRPr="00DC6FCA">
              <w:rPr>
                <w:rFonts w:asciiTheme="minorHAnsi" w:eastAsia="Times New Roman" w:hAnsiTheme="minorHAnsi"/>
                <w:b w:val="0"/>
                <w:iCs/>
                <w:szCs w:val="17"/>
                <w:lang w:eastAsia="en-US"/>
              </w:rPr>
              <w:t>NJ201</w:t>
            </w:r>
            <w:r w:rsidR="00DC6FCA" w:rsidRPr="00DC6FCA">
              <w:rPr>
                <w:rFonts w:asciiTheme="minorHAnsi" w:eastAsia="Times New Roman" w:hAnsiTheme="minorHAnsi"/>
                <w:b w:val="0"/>
                <w:iCs/>
                <w:szCs w:val="17"/>
                <w:lang w:eastAsia="en-US"/>
              </w:rPr>
              <w:t xml:space="preserve"> Australian Centre for International Agriculture Research (ACIAR)</w:t>
            </w:r>
          </w:p>
        </w:tc>
        <w:tc>
          <w:tcPr>
            <w:tcW w:w="4657" w:type="dxa"/>
          </w:tcPr>
          <w:p w14:paraId="63EC1908" w14:textId="77777777" w:rsidR="00EF1436" w:rsidRDefault="00DC6FCA" w:rsidP="00A83A71">
            <w:pPr>
              <w:keepLines/>
              <w:spacing w:before="40" w:after="40" w:line="200" w:lineRule="atLeast"/>
              <w:rPr>
                <w:rFonts w:eastAsia="Times New Roman"/>
                <w:b w:val="0"/>
                <w:iCs/>
                <w:szCs w:val="17"/>
              </w:rPr>
            </w:pPr>
            <w:r w:rsidRPr="00DC6FCA">
              <w:rPr>
                <w:rFonts w:asciiTheme="minorHAnsi" w:eastAsia="Times New Roman" w:hAnsiTheme="minorHAnsi"/>
                <w:b w:val="0"/>
                <w:iCs/>
                <w:szCs w:val="17"/>
                <w:lang w:eastAsia="en-US"/>
              </w:rPr>
              <w:t>Independent Progress Review</w:t>
            </w:r>
          </w:p>
        </w:tc>
        <w:tc>
          <w:tcPr>
            <w:tcW w:w="1397" w:type="dxa"/>
          </w:tcPr>
          <w:p w14:paraId="73893021" w14:textId="77777777" w:rsidR="00EF1436" w:rsidRDefault="00DC6FCA" w:rsidP="00A83A71">
            <w:pPr>
              <w:keepLines/>
              <w:spacing w:before="40" w:after="40" w:line="200" w:lineRule="atLeast"/>
              <w:rPr>
                <w:rFonts w:eastAsia="Times New Roman"/>
                <w:b w:val="0"/>
                <w:iCs/>
                <w:szCs w:val="17"/>
              </w:rPr>
            </w:pPr>
            <w:r w:rsidRPr="00DC6FCA">
              <w:rPr>
                <w:rFonts w:asciiTheme="minorHAnsi" w:eastAsia="Times New Roman" w:hAnsiTheme="minorHAnsi"/>
                <w:b w:val="0"/>
                <w:iCs/>
                <w:szCs w:val="17"/>
                <w:lang w:eastAsia="en-US"/>
              </w:rPr>
              <w:t>November 2015</w:t>
            </w:r>
          </w:p>
        </w:tc>
        <w:tc>
          <w:tcPr>
            <w:tcW w:w="1953" w:type="dxa"/>
          </w:tcPr>
          <w:p w14:paraId="7108553A" w14:textId="77777777" w:rsidR="00EF1436"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November 2015</w:t>
            </w:r>
          </w:p>
        </w:tc>
        <w:tc>
          <w:tcPr>
            <w:tcW w:w="1671" w:type="dxa"/>
          </w:tcPr>
          <w:p w14:paraId="67BA79FE" w14:textId="77777777" w:rsidR="00EF1436"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NA – implemented by ACIAR</w:t>
            </w:r>
          </w:p>
        </w:tc>
        <w:tc>
          <w:tcPr>
            <w:tcW w:w="1515" w:type="dxa"/>
          </w:tcPr>
          <w:p w14:paraId="77E70313" w14:textId="77777777" w:rsidR="00EF1436"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November 2015</w:t>
            </w:r>
          </w:p>
        </w:tc>
      </w:tr>
      <w:tr w:rsidR="00DC6FCA" w:rsidRPr="003B5EE5" w14:paraId="29E9D03E"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387BAF50" w14:textId="77777777" w:rsidR="00DC6FCA" w:rsidRPr="00DC6FCA" w:rsidRDefault="00DC6FCA" w:rsidP="006F27B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INJ589 Pacific Community Division of Fisheries, Aquaculture and Marine Ecosystems (SPC FAME)</w:t>
            </w:r>
          </w:p>
        </w:tc>
        <w:tc>
          <w:tcPr>
            <w:tcW w:w="4657" w:type="dxa"/>
          </w:tcPr>
          <w:p w14:paraId="7C01604F" w14:textId="77777777" w:rsidR="00DC6FCA"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Final Independent Review</w:t>
            </w:r>
          </w:p>
        </w:tc>
        <w:tc>
          <w:tcPr>
            <w:tcW w:w="1397" w:type="dxa"/>
          </w:tcPr>
          <w:p w14:paraId="5BD8A524" w14:textId="77777777" w:rsidR="00DC6FCA"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January 2016</w:t>
            </w:r>
          </w:p>
        </w:tc>
        <w:tc>
          <w:tcPr>
            <w:tcW w:w="1953" w:type="dxa"/>
          </w:tcPr>
          <w:p w14:paraId="21444C64" w14:textId="77777777" w:rsidR="00DC6FCA"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July 2016</w:t>
            </w:r>
          </w:p>
        </w:tc>
        <w:tc>
          <w:tcPr>
            <w:tcW w:w="1671" w:type="dxa"/>
          </w:tcPr>
          <w:p w14:paraId="54336AE6" w14:textId="77777777" w:rsidR="00DC6FCA"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NA – part of core funding</w:t>
            </w:r>
          </w:p>
        </w:tc>
        <w:tc>
          <w:tcPr>
            <w:tcW w:w="1515" w:type="dxa"/>
          </w:tcPr>
          <w:p w14:paraId="5398D9D6" w14:textId="77777777" w:rsidR="00DC6FCA" w:rsidRPr="00DC6FCA" w:rsidRDefault="00DC6FCA" w:rsidP="00A83A71">
            <w:pPr>
              <w:keepLines/>
              <w:spacing w:before="40" w:after="40" w:line="200" w:lineRule="atLeast"/>
              <w:rPr>
                <w:rFonts w:asciiTheme="minorHAnsi" w:eastAsia="Times New Roman" w:hAnsiTheme="minorHAnsi"/>
                <w:b w:val="0"/>
                <w:iCs/>
                <w:szCs w:val="17"/>
                <w:lang w:eastAsia="en-US"/>
              </w:rPr>
            </w:pPr>
            <w:r w:rsidRPr="00DC6FCA">
              <w:rPr>
                <w:rFonts w:asciiTheme="minorHAnsi" w:eastAsia="Times New Roman" w:hAnsiTheme="minorHAnsi"/>
                <w:b w:val="0"/>
                <w:iCs/>
                <w:szCs w:val="17"/>
                <w:lang w:eastAsia="en-US"/>
              </w:rPr>
              <w:t>July 2016</w:t>
            </w:r>
          </w:p>
        </w:tc>
      </w:tr>
      <w:tr w:rsidR="00482C1B" w:rsidRPr="003B5EE5" w14:paraId="5F2371C2"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09E6AAC6" w14:textId="77777777" w:rsidR="00482C1B" w:rsidRPr="00482C1B" w:rsidRDefault="00482C1B" w:rsidP="006F27B1">
            <w:pPr>
              <w:keepLines/>
              <w:spacing w:before="40" w:after="40" w:line="200" w:lineRule="atLeast"/>
              <w:rPr>
                <w:rFonts w:asciiTheme="minorHAnsi" w:eastAsia="Times New Roman" w:hAnsiTheme="minorHAnsi"/>
                <w:b w:val="0"/>
                <w:iCs/>
                <w:szCs w:val="17"/>
                <w:lang w:eastAsia="en-US"/>
              </w:rPr>
            </w:pPr>
            <w:r w:rsidRPr="00482C1B">
              <w:rPr>
                <w:rFonts w:asciiTheme="minorHAnsi" w:eastAsia="Times New Roman" w:hAnsiTheme="minorHAnsi"/>
                <w:b w:val="0"/>
                <w:iCs/>
                <w:szCs w:val="17"/>
                <w:lang w:eastAsia="en-US"/>
              </w:rPr>
              <w:t>INK933</w:t>
            </w:r>
            <w:r>
              <w:rPr>
                <w:rFonts w:cs="Arial"/>
              </w:rPr>
              <w:t xml:space="preserve"> </w:t>
            </w:r>
            <w:r w:rsidRPr="00482C1B">
              <w:rPr>
                <w:rFonts w:asciiTheme="minorHAnsi" w:eastAsia="Times New Roman" w:hAnsiTheme="minorHAnsi"/>
                <w:b w:val="0"/>
                <w:iCs/>
                <w:szCs w:val="17"/>
                <w:lang w:eastAsia="en-US"/>
              </w:rPr>
              <w:t>Strengthening Specialised Clinical Services in the Pacific (</w:t>
            </w:r>
            <w:proofErr w:type="spellStart"/>
            <w:r w:rsidRPr="00482C1B">
              <w:rPr>
                <w:rFonts w:asciiTheme="minorHAnsi" w:eastAsia="Times New Roman" w:hAnsiTheme="minorHAnsi"/>
                <w:b w:val="0"/>
                <w:iCs/>
                <w:szCs w:val="17"/>
                <w:lang w:eastAsia="en-US"/>
              </w:rPr>
              <w:t>SSCSiP</w:t>
            </w:r>
            <w:proofErr w:type="spellEnd"/>
            <w:r w:rsidRPr="00482C1B">
              <w:rPr>
                <w:rFonts w:asciiTheme="minorHAnsi" w:eastAsia="Times New Roman" w:hAnsiTheme="minorHAnsi"/>
                <w:b w:val="0"/>
                <w:iCs/>
                <w:szCs w:val="17"/>
                <w:lang w:eastAsia="en-US"/>
              </w:rPr>
              <w:t>)</w:t>
            </w:r>
          </w:p>
        </w:tc>
        <w:tc>
          <w:tcPr>
            <w:tcW w:w="4657" w:type="dxa"/>
          </w:tcPr>
          <w:p w14:paraId="71323602" w14:textId="77777777" w:rsidR="00482C1B" w:rsidRPr="00482C1B" w:rsidRDefault="00482C1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Evaluation</w:t>
            </w:r>
          </w:p>
        </w:tc>
        <w:tc>
          <w:tcPr>
            <w:tcW w:w="1397" w:type="dxa"/>
          </w:tcPr>
          <w:p w14:paraId="2E4EE0E4" w14:textId="77777777" w:rsidR="00482C1B" w:rsidRPr="00482C1B" w:rsidRDefault="00482C1B"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2015</w:t>
            </w:r>
          </w:p>
        </w:tc>
        <w:tc>
          <w:tcPr>
            <w:tcW w:w="1953" w:type="dxa"/>
          </w:tcPr>
          <w:p w14:paraId="23164F8A" w14:textId="77777777" w:rsidR="00482C1B" w:rsidRPr="00482C1B" w:rsidRDefault="00C721B1"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2015</w:t>
            </w:r>
          </w:p>
        </w:tc>
        <w:tc>
          <w:tcPr>
            <w:tcW w:w="1671" w:type="dxa"/>
          </w:tcPr>
          <w:p w14:paraId="29F62A44" w14:textId="77777777" w:rsidR="00482C1B" w:rsidRPr="00482C1B" w:rsidRDefault="00C721B1"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tc>
        <w:tc>
          <w:tcPr>
            <w:tcW w:w="1515" w:type="dxa"/>
          </w:tcPr>
          <w:p w14:paraId="63C030F7" w14:textId="77777777" w:rsidR="00482C1B" w:rsidRPr="00482C1B" w:rsidRDefault="00C721B1"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2016</w:t>
            </w:r>
          </w:p>
        </w:tc>
      </w:tr>
      <w:tr w:rsidR="00482C1B" w:rsidRPr="003B5EE5" w14:paraId="5658DA3E"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6DD00D3E" w14:textId="77777777" w:rsidR="00482C1B" w:rsidRPr="00482C1B" w:rsidRDefault="00482C1B" w:rsidP="006F27B1">
            <w:pPr>
              <w:keepLines/>
              <w:spacing w:before="40" w:after="40" w:line="200" w:lineRule="atLeast"/>
              <w:rPr>
                <w:rFonts w:eastAsia="Times New Roman"/>
                <w:b w:val="0"/>
                <w:iCs/>
                <w:szCs w:val="17"/>
              </w:rPr>
            </w:pPr>
            <w:r w:rsidRPr="00482C1B">
              <w:rPr>
                <w:rFonts w:asciiTheme="minorHAnsi" w:eastAsia="Times New Roman" w:hAnsiTheme="minorHAnsi"/>
                <w:b w:val="0"/>
                <w:iCs/>
                <w:szCs w:val="17"/>
                <w:lang w:eastAsia="en-US"/>
              </w:rPr>
              <w:t>INK933 Tertiary Health Services Pacific Islands Project (PIP), Royal Australasian College of Surgeons</w:t>
            </w:r>
          </w:p>
        </w:tc>
        <w:tc>
          <w:tcPr>
            <w:tcW w:w="4657" w:type="dxa"/>
          </w:tcPr>
          <w:p w14:paraId="619907B2" w14:textId="77777777" w:rsidR="00482C1B" w:rsidRDefault="00482C1B" w:rsidP="00A83A71">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Independent Evaluation</w:t>
            </w:r>
          </w:p>
        </w:tc>
        <w:tc>
          <w:tcPr>
            <w:tcW w:w="1397" w:type="dxa"/>
          </w:tcPr>
          <w:p w14:paraId="46C92163" w14:textId="77777777" w:rsidR="00482C1B" w:rsidRDefault="00482C1B" w:rsidP="00A83A71">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September 2015</w:t>
            </w:r>
          </w:p>
        </w:tc>
        <w:tc>
          <w:tcPr>
            <w:tcW w:w="1953" w:type="dxa"/>
          </w:tcPr>
          <w:p w14:paraId="2D12B81F" w14:textId="77777777" w:rsidR="00482C1B" w:rsidRPr="00482C1B" w:rsidRDefault="00C721B1" w:rsidP="00A83A71">
            <w:pPr>
              <w:keepLines/>
              <w:spacing w:before="40" w:after="40" w:line="200" w:lineRule="atLeast"/>
              <w:rPr>
                <w:rFonts w:eastAsia="Times New Roman"/>
                <w:b w:val="0"/>
                <w:iCs/>
                <w:szCs w:val="17"/>
              </w:rPr>
            </w:pPr>
            <w:r w:rsidRPr="00C721B1">
              <w:rPr>
                <w:rFonts w:asciiTheme="minorHAnsi" w:eastAsia="Times New Roman" w:hAnsiTheme="minorHAnsi"/>
                <w:b w:val="0"/>
                <w:iCs/>
                <w:szCs w:val="17"/>
                <w:lang w:eastAsia="en-US"/>
              </w:rPr>
              <w:t xml:space="preserve">December </w:t>
            </w:r>
            <w:r>
              <w:rPr>
                <w:rFonts w:asciiTheme="minorHAnsi" w:eastAsia="Times New Roman" w:hAnsiTheme="minorHAnsi"/>
                <w:b w:val="0"/>
                <w:iCs/>
                <w:szCs w:val="17"/>
                <w:lang w:eastAsia="en-US"/>
              </w:rPr>
              <w:t>2015</w:t>
            </w:r>
          </w:p>
        </w:tc>
        <w:tc>
          <w:tcPr>
            <w:tcW w:w="1671" w:type="dxa"/>
          </w:tcPr>
          <w:p w14:paraId="422E38FB" w14:textId="77777777" w:rsidR="00482C1B" w:rsidRPr="00C721B1" w:rsidRDefault="00C721B1" w:rsidP="00A83A71">
            <w:pPr>
              <w:keepLines/>
              <w:spacing w:before="40" w:after="40" w:line="200" w:lineRule="atLeast"/>
              <w:rPr>
                <w:rFonts w:asciiTheme="minorHAnsi" w:eastAsia="Times New Roman" w:hAnsiTheme="minorHAnsi"/>
                <w:b w:val="0"/>
                <w:iCs/>
                <w:szCs w:val="17"/>
                <w:lang w:eastAsia="en-US"/>
              </w:rPr>
            </w:pPr>
            <w:r w:rsidRPr="00C721B1">
              <w:rPr>
                <w:rFonts w:asciiTheme="minorHAnsi" w:eastAsia="Times New Roman" w:hAnsiTheme="minorHAnsi"/>
                <w:b w:val="0"/>
                <w:iCs/>
                <w:szCs w:val="17"/>
                <w:lang w:eastAsia="en-US"/>
              </w:rPr>
              <w:t>July 2016</w:t>
            </w:r>
          </w:p>
        </w:tc>
        <w:tc>
          <w:tcPr>
            <w:tcW w:w="1515" w:type="dxa"/>
          </w:tcPr>
          <w:p w14:paraId="024CC61C" w14:textId="77777777" w:rsidR="00482C1B" w:rsidRPr="00C721B1" w:rsidRDefault="00C721B1" w:rsidP="00A83A71">
            <w:pPr>
              <w:keepLines/>
              <w:spacing w:before="40" w:after="40" w:line="200" w:lineRule="atLeast"/>
              <w:rPr>
                <w:rFonts w:asciiTheme="minorHAnsi" w:eastAsia="Times New Roman" w:hAnsiTheme="minorHAnsi"/>
                <w:b w:val="0"/>
                <w:iCs/>
                <w:szCs w:val="17"/>
                <w:lang w:eastAsia="en-US"/>
              </w:rPr>
            </w:pPr>
            <w:r w:rsidRPr="00C721B1">
              <w:rPr>
                <w:rFonts w:asciiTheme="minorHAnsi" w:eastAsia="Times New Roman" w:hAnsiTheme="minorHAnsi"/>
                <w:b w:val="0"/>
                <w:iCs/>
                <w:szCs w:val="17"/>
                <w:lang w:eastAsia="en-US"/>
              </w:rPr>
              <w:t>July 2016</w:t>
            </w:r>
          </w:p>
        </w:tc>
      </w:tr>
      <w:tr w:rsidR="00482C1B" w:rsidRPr="003B5EE5" w14:paraId="618F7188"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29B94D9A" w14:textId="77777777" w:rsidR="00482C1B" w:rsidRPr="00482C1B" w:rsidRDefault="00482C1B" w:rsidP="006F27B1">
            <w:pPr>
              <w:keepLines/>
              <w:spacing w:before="40" w:after="40" w:line="200" w:lineRule="atLeast"/>
              <w:rPr>
                <w:rFonts w:eastAsia="Times New Roman"/>
                <w:b w:val="0"/>
                <w:iCs/>
                <w:szCs w:val="17"/>
              </w:rPr>
            </w:pPr>
            <w:r w:rsidRPr="00482C1B">
              <w:rPr>
                <w:rFonts w:asciiTheme="minorHAnsi" w:eastAsia="Times New Roman" w:hAnsiTheme="minorHAnsi"/>
                <w:b w:val="0"/>
                <w:iCs/>
                <w:szCs w:val="17"/>
                <w:lang w:eastAsia="en-US"/>
              </w:rPr>
              <w:t>INK933 Fiji National University, College of Medicine Nursing and Health Sciences (former Fiji School of Medicine)</w:t>
            </w:r>
          </w:p>
        </w:tc>
        <w:tc>
          <w:tcPr>
            <w:tcW w:w="4657" w:type="dxa"/>
          </w:tcPr>
          <w:p w14:paraId="44E2C597" w14:textId="77777777" w:rsidR="00482C1B" w:rsidRDefault="00482C1B" w:rsidP="00482C1B">
            <w:pPr>
              <w:keepLines/>
              <w:spacing w:before="40" w:after="40" w:line="200" w:lineRule="atLeast"/>
              <w:rPr>
                <w:rFonts w:eastAsia="Times New Roman"/>
                <w:b w:val="0"/>
                <w:iCs/>
                <w:szCs w:val="17"/>
              </w:rPr>
            </w:pPr>
            <w:r>
              <w:rPr>
                <w:rFonts w:asciiTheme="minorHAnsi" w:eastAsia="Times New Roman" w:hAnsiTheme="minorHAnsi"/>
                <w:b w:val="0"/>
                <w:iCs/>
                <w:szCs w:val="17"/>
                <w:lang w:eastAsia="en-US"/>
              </w:rPr>
              <w:t>Independent Completion Review</w:t>
            </w:r>
          </w:p>
        </w:tc>
        <w:tc>
          <w:tcPr>
            <w:tcW w:w="1397" w:type="dxa"/>
          </w:tcPr>
          <w:p w14:paraId="4AC317FB" w14:textId="77777777" w:rsidR="00482C1B" w:rsidRDefault="00482C1B" w:rsidP="00A83A71">
            <w:pPr>
              <w:keepLines/>
              <w:spacing w:before="40" w:after="40" w:line="200" w:lineRule="atLeast"/>
              <w:rPr>
                <w:rFonts w:eastAsia="Times New Roman"/>
                <w:b w:val="0"/>
                <w:iCs/>
                <w:szCs w:val="17"/>
              </w:rPr>
            </w:pPr>
            <w:r w:rsidRPr="00482C1B">
              <w:rPr>
                <w:rFonts w:asciiTheme="minorHAnsi" w:eastAsia="Times New Roman" w:hAnsiTheme="minorHAnsi"/>
                <w:b w:val="0"/>
                <w:iCs/>
                <w:szCs w:val="17"/>
                <w:lang w:eastAsia="en-US"/>
              </w:rPr>
              <w:t>November 2015</w:t>
            </w:r>
          </w:p>
        </w:tc>
        <w:tc>
          <w:tcPr>
            <w:tcW w:w="1953" w:type="dxa"/>
          </w:tcPr>
          <w:p w14:paraId="397BE821" w14:textId="77777777" w:rsidR="00482C1B" w:rsidRPr="00C721B1" w:rsidRDefault="00C721B1" w:rsidP="00A83A71">
            <w:pPr>
              <w:keepLines/>
              <w:spacing w:before="40" w:after="40" w:line="200" w:lineRule="atLeast"/>
              <w:rPr>
                <w:rFonts w:asciiTheme="minorHAnsi" w:eastAsia="Times New Roman" w:hAnsiTheme="minorHAnsi"/>
                <w:b w:val="0"/>
                <w:iCs/>
                <w:szCs w:val="17"/>
                <w:lang w:eastAsia="en-US"/>
              </w:rPr>
            </w:pPr>
            <w:r w:rsidRPr="00C721B1">
              <w:rPr>
                <w:rFonts w:asciiTheme="minorHAnsi" w:eastAsia="Times New Roman" w:hAnsiTheme="minorHAnsi"/>
                <w:b w:val="0"/>
                <w:iCs/>
                <w:szCs w:val="17"/>
                <w:lang w:eastAsia="en-US"/>
              </w:rPr>
              <w:t>July 2016</w:t>
            </w:r>
          </w:p>
        </w:tc>
        <w:tc>
          <w:tcPr>
            <w:tcW w:w="1671" w:type="dxa"/>
          </w:tcPr>
          <w:p w14:paraId="6184FBB3" w14:textId="77777777" w:rsidR="00482C1B" w:rsidRPr="00C721B1" w:rsidRDefault="00C721B1" w:rsidP="00A83A71">
            <w:pPr>
              <w:keepLines/>
              <w:spacing w:before="40" w:after="40" w:line="200" w:lineRule="atLeast"/>
              <w:rPr>
                <w:rFonts w:asciiTheme="minorHAnsi" w:eastAsia="Times New Roman" w:hAnsiTheme="minorHAnsi"/>
                <w:b w:val="0"/>
                <w:iCs/>
                <w:szCs w:val="17"/>
                <w:lang w:eastAsia="en-US"/>
              </w:rPr>
            </w:pPr>
            <w:r w:rsidRPr="00C721B1">
              <w:rPr>
                <w:rFonts w:asciiTheme="minorHAnsi" w:eastAsia="Times New Roman" w:hAnsiTheme="minorHAnsi"/>
                <w:b w:val="0"/>
                <w:iCs/>
                <w:szCs w:val="17"/>
                <w:lang w:eastAsia="en-US"/>
              </w:rPr>
              <w:t>NA</w:t>
            </w:r>
          </w:p>
        </w:tc>
        <w:tc>
          <w:tcPr>
            <w:tcW w:w="1515" w:type="dxa"/>
          </w:tcPr>
          <w:p w14:paraId="45B8E755" w14:textId="77777777" w:rsidR="00482C1B" w:rsidRPr="00C721B1" w:rsidRDefault="00C721B1" w:rsidP="00A83A71">
            <w:pPr>
              <w:keepLines/>
              <w:spacing w:before="40" w:after="40" w:line="200" w:lineRule="atLeast"/>
              <w:rPr>
                <w:rFonts w:asciiTheme="minorHAnsi" w:eastAsia="Times New Roman" w:hAnsiTheme="minorHAnsi"/>
                <w:b w:val="0"/>
                <w:iCs/>
                <w:szCs w:val="17"/>
                <w:lang w:eastAsia="en-US"/>
              </w:rPr>
            </w:pPr>
            <w:r w:rsidRPr="00C721B1">
              <w:rPr>
                <w:rFonts w:asciiTheme="minorHAnsi" w:eastAsia="Times New Roman" w:hAnsiTheme="minorHAnsi"/>
                <w:b w:val="0"/>
                <w:iCs/>
                <w:szCs w:val="17"/>
                <w:lang w:eastAsia="en-US"/>
              </w:rPr>
              <w:t>No – Fiji National University has not approved publication</w:t>
            </w:r>
          </w:p>
        </w:tc>
      </w:tr>
      <w:tr w:rsidR="001C023C" w:rsidRPr="003B5EE5" w14:paraId="2283B21D"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57035D73" w14:textId="77777777" w:rsidR="001C023C" w:rsidRPr="005E05F0" w:rsidRDefault="001C023C" w:rsidP="005E05F0">
            <w:pPr>
              <w:pStyle w:val="TableTextEntries"/>
              <w:rPr>
                <w:rFonts w:asciiTheme="minorHAnsi" w:hAnsiTheme="minorHAnsi" w:cstheme="minorBidi"/>
                <w:b w:val="0"/>
                <w:color w:val="495965" w:themeColor="text2"/>
                <w:lang w:val="en-GB" w:eastAsia="en-US"/>
              </w:rPr>
            </w:pPr>
            <w:r w:rsidRPr="001C023C">
              <w:rPr>
                <w:rFonts w:asciiTheme="minorHAnsi" w:hAnsiTheme="minorHAnsi" w:cstheme="minorBidi"/>
                <w:b w:val="0"/>
                <w:color w:val="495965" w:themeColor="text2"/>
                <w:lang w:val="en-GB" w:eastAsia="en-US"/>
              </w:rPr>
              <w:t>INK794 Pacific Regional Blindness Prevention Program</w:t>
            </w:r>
          </w:p>
        </w:tc>
        <w:tc>
          <w:tcPr>
            <w:tcW w:w="4657" w:type="dxa"/>
          </w:tcPr>
          <w:p w14:paraId="3724E5F6" w14:textId="77777777" w:rsidR="001C023C" w:rsidRPr="001C023C" w:rsidRDefault="001C023C" w:rsidP="00482C1B">
            <w:pPr>
              <w:keepLines/>
              <w:spacing w:before="40" w:after="40" w:line="200" w:lineRule="atLeast"/>
              <w:rPr>
                <w:rFonts w:asciiTheme="minorHAnsi" w:eastAsia="Times New Roman" w:hAnsiTheme="minorHAnsi"/>
                <w:b w:val="0"/>
                <w:iCs/>
                <w:szCs w:val="17"/>
                <w:lang w:eastAsia="en-US"/>
              </w:rPr>
            </w:pPr>
            <w:r w:rsidRPr="001C023C">
              <w:rPr>
                <w:rFonts w:asciiTheme="minorHAnsi" w:eastAsia="Times New Roman" w:hAnsiTheme="minorHAnsi"/>
                <w:b w:val="0"/>
                <w:iCs/>
                <w:szCs w:val="17"/>
                <w:lang w:eastAsia="en-US"/>
              </w:rPr>
              <w:t>Partner-led evaluation</w:t>
            </w:r>
          </w:p>
        </w:tc>
        <w:tc>
          <w:tcPr>
            <w:tcW w:w="1397" w:type="dxa"/>
          </w:tcPr>
          <w:p w14:paraId="1D96D866" w14:textId="77777777" w:rsidR="001C023C" w:rsidRPr="001C023C" w:rsidRDefault="001C023C" w:rsidP="00A83A71">
            <w:pPr>
              <w:keepLines/>
              <w:spacing w:before="40" w:after="40" w:line="200" w:lineRule="atLeast"/>
              <w:rPr>
                <w:rFonts w:asciiTheme="minorHAnsi" w:eastAsia="Times New Roman" w:hAnsiTheme="minorHAnsi"/>
                <w:b w:val="0"/>
                <w:iCs/>
                <w:szCs w:val="17"/>
                <w:lang w:eastAsia="en-US"/>
              </w:rPr>
            </w:pPr>
            <w:r w:rsidRPr="001C023C">
              <w:rPr>
                <w:rFonts w:asciiTheme="minorHAnsi" w:eastAsia="Times New Roman" w:hAnsiTheme="minorHAnsi"/>
                <w:b w:val="0"/>
                <w:iCs/>
                <w:szCs w:val="17"/>
                <w:lang w:eastAsia="en-US"/>
              </w:rPr>
              <w:t>November 2015</w:t>
            </w:r>
          </w:p>
        </w:tc>
        <w:tc>
          <w:tcPr>
            <w:tcW w:w="1953" w:type="dxa"/>
          </w:tcPr>
          <w:p w14:paraId="3EF88637" w14:textId="77777777" w:rsidR="001C023C" w:rsidRPr="001C023C" w:rsidRDefault="00775446"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2015</w:t>
            </w:r>
          </w:p>
        </w:tc>
        <w:tc>
          <w:tcPr>
            <w:tcW w:w="1671" w:type="dxa"/>
          </w:tcPr>
          <w:p w14:paraId="5F41B88E" w14:textId="77777777" w:rsidR="001C023C" w:rsidRPr="001C023C" w:rsidRDefault="00775446"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NA</w:t>
            </w:r>
          </w:p>
        </w:tc>
        <w:tc>
          <w:tcPr>
            <w:tcW w:w="1515" w:type="dxa"/>
          </w:tcPr>
          <w:p w14:paraId="775211D9" w14:textId="77777777" w:rsidR="001C023C" w:rsidRPr="001C023C" w:rsidRDefault="00775446" w:rsidP="00A83A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No – New Zealand evaluation</w:t>
            </w:r>
          </w:p>
        </w:tc>
      </w:tr>
      <w:tr w:rsidR="005E05F0" w:rsidRPr="003B5EE5" w14:paraId="13411BF1"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3154B4D0" w14:textId="77777777" w:rsidR="005E05F0" w:rsidRPr="001C023C" w:rsidRDefault="005E05F0" w:rsidP="001C023C">
            <w:pPr>
              <w:pStyle w:val="TableTextEntries"/>
              <w:rPr>
                <w:rFonts w:asciiTheme="minorHAnsi" w:hAnsiTheme="minorHAnsi" w:cstheme="minorBidi"/>
                <w:b w:val="0"/>
                <w:color w:val="495965" w:themeColor="text2"/>
                <w:lang w:val="en-GB"/>
              </w:rPr>
            </w:pPr>
            <w:r>
              <w:rPr>
                <w:rFonts w:asciiTheme="minorHAnsi" w:hAnsiTheme="minorHAnsi" w:cstheme="minorBidi"/>
                <w:b w:val="0"/>
                <w:color w:val="495965" w:themeColor="text2"/>
                <w:lang w:val="en-GB"/>
              </w:rPr>
              <w:t xml:space="preserve">ING982 Pacific Community (SPC) </w:t>
            </w:r>
            <w:r w:rsidR="001040F3">
              <w:rPr>
                <w:rFonts w:asciiTheme="minorHAnsi" w:hAnsiTheme="minorHAnsi" w:cstheme="minorBidi"/>
                <w:b w:val="0"/>
                <w:color w:val="495965" w:themeColor="text2"/>
                <w:lang w:val="en-GB"/>
              </w:rPr>
              <w:t>Regional Rights Resource Team(RRRT)</w:t>
            </w:r>
          </w:p>
        </w:tc>
        <w:tc>
          <w:tcPr>
            <w:tcW w:w="4657" w:type="dxa"/>
          </w:tcPr>
          <w:p w14:paraId="19A964D5" w14:textId="77777777" w:rsidR="005E05F0" w:rsidRPr="001040F3" w:rsidRDefault="001040F3" w:rsidP="00482C1B">
            <w:pPr>
              <w:keepLines/>
              <w:spacing w:before="40" w:after="40" w:line="200" w:lineRule="atLeast"/>
              <w:rPr>
                <w:rFonts w:asciiTheme="minorHAnsi" w:eastAsia="Times New Roman" w:hAnsiTheme="minorHAnsi"/>
                <w:b w:val="0"/>
                <w:iCs/>
                <w:szCs w:val="17"/>
              </w:rPr>
            </w:pPr>
            <w:r w:rsidRPr="001040F3">
              <w:rPr>
                <w:rFonts w:asciiTheme="minorHAnsi" w:eastAsia="Times New Roman" w:hAnsiTheme="minorHAnsi"/>
                <w:b w:val="0"/>
                <w:iCs/>
                <w:szCs w:val="17"/>
              </w:rPr>
              <w:t>Independent Evaluation</w:t>
            </w:r>
          </w:p>
        </w:tc>
        <w:tc>
          <w:tcPr>
            <w:tcW w:w="1397" w:type="dxa"/>
          </w:tcPr>
          <w:p w14:paraId="128E0DFB" w14:textId="77777777" w:rsidR="005E05F0" w:rsidRPr="001040F3" w:rsidRDefault="00312D2A" w:rsidP="00A83A71">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February</w:t>
            </w:r>
            <w:r w:rsidR="00614A69">
              <w:rPr>
                <w:rFonts w:asciiTheme="minorHAnsi" w:eastAsia="Times New Roman" w:hAnsiTheme="minorHAnsi"/>
                <w:b w:val="0"/>
                <w:iCs/>
                <w:szCs w:val="17"/>
              </w:rPr>
              <w:t xml:space="preserve"> 2016</w:t>
            </w:r>
          </w:p>
        </w:tc>
        <w:tc>
          <w:tcPr>
            <w:tcW w:w="1953" w:type="dxa"/>
          </w:tcPr>
          <w:p w14:paraId="6EBB1E69" w14:textId="77777777" w:rsidR="005E05F0" w:rsidRPr="001040F3" w:rsidRDefault="005E05F0" w:rsidP="00A83A71">
            <w:pPr>
              <w:keepLines/>
              <w:spacing w:before="40" w:after="40" w:line="200" w:lineRule="atLeast"/>
              <w:rPr>
                <w:rFonts w:asciiTheme="minorHAnsi" w:eastAsia="Times New Roman" w:hAnsiTheme="minorHAnsi"/>
                <w:b w:val="0"/>
                <w:iCs/>
                <w:szCs w:val="17"/>
              </w:rPr>
            </w:pPr>
          </w:p>
        </w:tc>
        <w:tc>
          <w:tcPr>
            <w:tcW w:w="1671" w:type="dxa"/>
          </w:tcPr>
          <w:p w14:paraId="1B8AA63F" w14:textId="77777777" w:rsidR="005E05F0" w:rsidRPr="001040F3" w:rsidRDefault="00614A69" w:rsidP="00EF4D7B">
            <w:pPr>
              <w:keepLines/>
              <w:spacing w:before="40" w:after="40" w:line="200" w:lineRule="atLeast"/>
              <w:rPr>
                <w:rFonts w:asciiTheme="minorHAnsi" w:eastAsia="Times New Roman" w:hAnsiTheme="minorHAnsi"/>
                <w:b w:val="0"/>
                <w:iCs/>
                <w:szCs w:val="17"/>
              </w:rPr>
            </w:pPr>
            <w:r>
              <w:rPr>
                <w:rFonts w:asciiTheme="minorHAnsi" w:eastAsia="Times New Roman" w:hAnsiTheme="minorHAnsi"/>
                <w:b w:val="0"/>
                <w:iCs/>
                <w:szCs w:val="17"/>
              </w:rPr>
              <w:t xml:space="preserve">To be completed </w:t>
            </w:r>
            <w:r w:rsidR="00EF4D7B">
              <w:rPr>
                <w:rFonts w:asciiTheme="minorHAnsi" w:eastAsia="Times New Roman" w:hAnsiTheme="minorHAnsi"/>
                <w:b w:val="0"/>
                <w:iCs/>
                <w:szCs w:val="17"/>
              </w:rPr>
              <w:t>December</w:t>
            </w:r>
            <w:r>
              <w:rPr>
                <w:rFonts w:asciiTheme="minorHAnsi" w:eastAsia="Times New Roman" w:hAnsiTheme="minorHAnsi"/>
                <w:b w:val="0"/>
                <w:iCs/>
                <w:szCs w:val="17"/>
              </w:rPr>
              <w:t xml:space="preserve"> 2016</w:t>
            </w:r>
          </w:p>
        </w:tc>
        <w:tc>
          <w:tcPr>
            <w:tcW w:w="1515" w:type="dxa"/>
          </w:tcPr>
          <w:p w14:paraId="31187B5B" w14:textId="77777777" w:rsidR="005E05F0" w:rsidRPr="001040F3" w:rsidRDefault="005E05F0" w:rsidP="00A83A71">
            <w:pPr>
              <w:keepLines/>
              <w:spacing w:before="40" w:after="40" w:line="200" w:lineRule="atLeast"/>
              <w:rPr>
                <w:rFonts w:asciiTheme="minorHAnsi" w:eastAsia="Times New Roman" w:hAnsiTheme="minorHAnsi"/>
                <w:b w:val="0"/>
                <w:iCs/>
                <w:szCs w:val="17"/>
              </w:rPr>
            </w:pPr>
          </w:p>
        </w:tc>
      </w:tr>
      <w:tr w:rsidR="00312D2A" w:rsidRPr="003B5EE5" w14:paraId="5FC9E0A7" w14:textId="77777777" w:rsidTr="006F27B1">
        <w:trPr>
          <w:cnfStyle w:val="100000000000" w:firstRow="1" w:lastRow="0" w:firstColumn="0" w:lastColumn="0" w:oddVBand="0" w:evenVBand="0" w:oddHBand="0" w:evenHBand="0" w:firstRowFirstColumn="0" w:firstRowLastColumn="0" w:lastRowFirstColumn="0" w:lastRowLastColumn="0"/>
        </w:trPr>
        <w:tc>
          <w:tcPr>
            <w:tcW w:w="3064" w:type="dxa"/>
          </w:tcPr>
          <w:p w14:paraId="43D9A3C6" w14:textId="77777777" w:rsidR="00312D2A" w:rsidRDefault="00312D2A" w:rsidP="001C023C">
            <w:pPr>
              <w:pStyle w:val="TableTextEntries"/>
              <w:rPr>
                <w:rFonts w:asciiTheme="minorHAnsi" w:hAnsiTheme="minorHAnsi" w:cstheme="minorBidi"/>
                <w:b w:val="0"/>
                <w:color w:val="495965" w:themeColor="text2"/>
                <w:lang w:val="en-GB"/>
              </w:rPr>
            </w:pPr>
            <w:r>
              <w:rPr>
                <w:rFonts w:asciiTheme="minorHAnsi" w:hAnsiTheme="minorHAnsi" w:cstheme="minorBidi"/>
                <w:b w:val="0"/>
                <w:color w:val="495965" w:themeColor="text2"/>
                <w:lang w:val="en-GB"/>
              </w:rPr>
              <w:t>INI486 Pacific Disability Forum (PDF)</w:t>
            </w:r>
          </w:p>
        </w:tc>
        <w:tc>
          <w:tcPr>
            <w:tcW w:w="4657" w:type="dxa"/>
          </w:tcPr>
          <w:p w14:paraId="0F6CB7C0" w14:textId="77777777" w:rsidR="00312D2A" w:rsidRPr="00312D2A" w:rsidRDefault="00312D2A" w:rsidP="00482C1B">
            <w:pPr>
              <w:keepLines/>
              <w:spacing w:before="40" w:after="40" w:line="200" w:lineRule="atLeast"/>
              <w:rPr>
                <w:rFonts w:asciiTheme="minorHAnsi" w:eastAsia="Times New Roman" w:hAnsiTheme="minorHAnsi"/>
                <w:b w:val="0"/>
                <w:iCs/>
                <w:szCs w:val="17"/>
              </w:rPr>
            </w:pPr>
            <w:r w:rsidRPr="00312D2A">
              <w:rPr>
                <w:rFonts w:asciiTheme="minorHAnsi" w:eastAsia="Times New Roman" w:hAnsiTheme="minorHAnsi"/>
                <w:b w:val="0"/>
                <w:iCs/>
                <w:szCs w:val="17"/>
              </w:rPr>
              <w:t>Independent Evaluation</w:t>
            </w:r>
          </w:p>
        </w:tc>
        <w:tc>
          <w:tcPr>
            <w:tcW w:w="1397" w:type="dxa"/>
          </w:tcPr>
          <w:p w14:paraId="58D20BE7" w14:textId="77777777" w:rsidR="00312D2A" w:rsidRPr="00312D2A" w:rsidRDefault="00312D2A" w:rsidP="00A83A71">
            <w:pPr>
              <w:keepLines/>
              <w:spacing w:before="40" w:after="40" w:line="200" w:lineRule="atLeast"/>
              <w:rPr>
                <w:rFonts w:asciiTheme="minorHAnsi" w:eastAsia="Times New Roman" w:hAnsiTheme="minorHAnsi"/>
                <w:b w:val="0"/>
                <w:iCs/>
                <w:szCs w:val="17"/>
              </w:rPr>
            </w:pPr>
            <w:r w:rsidRPr="00312D2A">
              <w:rPr>
                <w:rFonts w:asciiTheme="minorHAnsi" w:eastAsia="Times New Roman" w:hAnsiTheme="minorHAnsi"/>
                <w:b w:val="0"/>
                <w:iCs/>
                <w:szCs w:val="17"/>
              </w:rPr>
              <w:t>March 2016</w:t>
            </w:r>
          </w:p>
        </w:tc>
        <w:tc>
          <w:tcPr>
            <w:tcW w:w="1953" w:type="dxa"/>
          </w:tcPr>
          <w:p w14:paraId="0D1F7DE1" w14:textId="77777777" w:rsidR="00312D2A" w:rsidRPr="00312D2A" w:rsidRDefault="00312D2A" w:rsidP="00A83A71">
            <w:pPr>
              <w:keepLines/>
              <w:spacing w:before="40" w:after="40" w:line="200" w:lineRule="atLeast"/>
              <w:rPr>
                <w:rFonts w:asciiTheme="minorHAnsi" w:eastAsia="Times New Roman" w:hAnsiTheme="minorHAnsi"/>
                <w:b w:val="0"/>
                <w:iCs/>
                <w:szCs w:val="17"/>
              </w:rPr>
            </w:pPr>
          </w:p>
        </w:tc>
        <w:tc>
          <w:tcPr>
            <w:tcW w:w="1671" w:type="dxa"/>
          </w:tcPr>
          <w:p w14:paraId="0C2CD5DE" w14:textId="77777777" w:rsidR="00312D2A" w:rsidRDefault="00312D2A" w:rsidP="00EF4D7B">
            <w:pPr>
              <w:keepLines/>
              <w:spacing w:before="40" w:after="40" w:line="200" w:lineRule="atLeast"/>
              <w:rPr>
                <w:rFonts w:eastAsia="Times New Roman"/>
                <w:b w:val="0"/>
                <w:iCs/>
                <w:szCs w:val="17"/>
              </w:rPr>
            </w:pPr>
            <w:r>
              <w:rPr>
                <w:rFonts w:asciiTheme="minorHAnsi" w:eastAsia="Times New Roman" w:hAnsiTheme="minorHAnsi"/>
                <w:b w:val="0"/>
                <w:iCs/>
                <w:szCs w:val="17"/>
              </w:rPr>
              <w:t xml:space="preserve">To be completed </w:t>
            </w:r>
            <w:r w:rsidR="00EF4D7B">
              <w:rPr>
                <w:rFonts w:asciiTheme="minorHAnsi" w:eastAsia="Times New Roman" w:hAnsiTheme="minorHAnsi"/>
                <w:b w:val="0"/>
                <w:iCs/>
                <w:szCs w:val="17"/>
              </w:rPr>
              <w:t>October</w:t>
            </w:r>
            <w:r>
              <w:rPr>
                <w:rFonts w:asciiTheme="minorHAnsi" w:eastAsia="Times New Roman" w:hAnsiTheme="minorHAnsi"/>
                <w:b w:val="0"/>
                <w:iCs/>
                <w:szCs w:val="17"/>
              </w:rPr>
              <w:t xml:space="preserve"> 2016</w:t>
            </w:r>
          </w:p>
        </w:tc>
        <w:tc>
          <w:tcPr>
            <w:tcW w:w="1515" w:type="dxa"/>
          </w:tcPr>
          <w:p w14:paraId="2F1550CF" w14:textId="77777777" w:rsidR="00312D2A" w:rsidRPr="001040F3" w:rsidRDefault="00312D2A" w:rsidP="00A83A71">
            <w:pPr>
              <w:keepLines/>
              <w:spacing w:before="40" w:after="40" w:line="200" w:lineRule="atLeast"/>
              <w:rPr>
                <w:rFonts w:eastAsia="Times New Roman"/>
                <w:b w:val="0"/>
                <w:iCs/>
                <w:szCs w:val="17"/>
              </w:rPr>
            </w:pPr>
          </w:p>
        </w:tc>
      </w:tr>
    </w:tbl>
    <w:p w14:paraId="5EBC3D22" w14:textId="77777777" w:rsidR="00FA7685" w:rsidRDefault="00FA7685" w:rsidP="008C2F58">
      <w:pPr>
        <w:rPr>
          <w:b/>
          <w:sz w:val="24"/>
        </w:rPr>
      </w:pPr>
    </w:p>
    <w:p w14:paraId="768232B7" w14:textId="77777777" w:rsidR="00FA7685" w:rsidRDefault="00FA7685">
      <w:pPr>
        <w:suppressAutoHyphens w:val="0"/>
        <w:spacing w:before="0" w:after="120" w:line="440" w:lineRule="atLeast"/>
        <w:rPr>
          <w:b/>
          <w:sz w:val="24"/>
        </w:rPr>
      </w:pPr>
      <w:r>
        <w:rPr>
          <w:b/>
          <w:sz w:val="24"/>
        </w:rPr>
        <w:br w:type="page"/>
      </w:r>
    </w:p>
    <w:p w14:paraId="7BE08FDC" w14:textId="77777777" w:rsidR="00400B0F" w:rsidRPr="008C2F58" w:rsidRDefault="00400B0F" w:rsidP="008C2F58">
      <w:pPr>
        <w:rPr>
          <w:b/>
          <w:sz w:val="24"/>
        </w:rPr>
      </w:pPr>
      <w:r w:rsidRPr="008C2F58">
        <w:rPr>
          <w:b/>
          <w:sz w:val="24"/>
        </w:rPr>
        <w:lastRenderedPageBreak/>
        <w:t xml:space="preserve">List of program prioritised evaluations planned for the next 12 months </w:t>
      </w:r>
    </w:p>
    <w:tbl>
      <w:tblPr>
        <w:tblStyle w:val="APPR"/>
        <w:tblW w:w="0" w:type="auto"/>
        <w:tblLook w:val="0600" w:firstRow="0" w:lastRow="0" w:firstColumn="0" w:lastColumn="0" w:noHBand="1" w:noVBand="1"/>
      </w:tblPr>
      <w:tblGrid>
        <w:gridCol w:w="2463"/>
        <w:gridCol w:w="2364"/>
        <w:gridCol w:w="2445"/>
        <w:gridCol w:w="2214"/>
        <w:gridCol w:w="2337"/>
        <w:gridCol w:w="2350"/>
      </w:tblGrid>
      <w:tr w:rsidR="00400B0F" w:rsidRPr="00C61187" w14:paraId="2D5E00D1" w14:textId="77777777" w:rsidTr="006F27B1">
        <w:tc>
          <w:tcPr>
            <w:tcW w:w="2472" w:type="dxa"/>
          </w:tcPr>
          <w:p w14:paraId="70FBF503"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title</w:t>
            </w:r>
          </w:p>
        </w:tc>
        <w:tc>
          <w:tcPr>
            <w:tcW w:w="2381" w:type="dxa"/>
          </w:tcPr>
          <w:p w14:paraId="0CF36B4E"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Investment number and name (if applicable) </w:t>
            </w:r>
          </w:p>
        </w:tc>
        <w:tc>
          <w:tcPr>
            <w:tcW w:w="2459" w:type="dxa"/>
          </w:tcPr>
          <w:p w14:paraId="71684282"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commencement (month/year)</w:t>
            </w:r>
          </w:p>
        </w:tc>
        <w:tc>
          <w:tcPr>
            <w:tcW w:w="2227" w:type="dxa"/>
          </w:tcPr>
          <w:p w14:paraId="47CC77C0"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Date – planned completion (month/year)</w:t>
            </w:r>
          </w:p>
        </w:tc>
        <w:tc>
          <w:tcPr>
            <w:tcW w:w="2348" w:type="dxa"/>
          </w:tcPr>
          <w:p w14:paraId="0A1AEAC7"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Purpose of evaluation</w:t>
            </w:r>
          </w:p>
        </w:tc>
        <w:tc>
          <w:tcPr>
            <w:tcW w:w="2362" w:type="dxa"/>
          </w:tcPr>
          <w:p w14:paraId="45AD8898" w14:textId="77777777" w:rsidR="00400B0F" w:rsidRPr="00A427C6" w:rsidRDefault="00400B0F" w:rsidP="006F27B1">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 type</w:t>
            </w:r>
          </w:p>
        </w:tc>
      </w:tr>
      <w:tr w:rsidR="00CA2125" w:rsidRPr="00C61187" w14:paraId="337CA8FD" w14:textId="77777777" w:rsidTr="006F27B1">
        <w:tc>
          <w:tcPr>
            <w:tcW w:w="2472" w:type="dxa"/>
          </w:tcPr>
          <w:p w14:paraId="0A52245A" w14:textId="77777777" w:rsidR="00CA2125" w:rsidRPr="00CA2125" w:rsidRDefault="00CA2125" w:rsidP="00A83A71">
            <w:pPr>
              <w:keepLines/>
              <w:spacing w:before="40" w:after="40" w:line="200" w:lineRule="atLeast"/>
              <w:rPr>
                <w:rFonts w:asciiTheme="minorHAnsi" w:eastAsia="Times New Roman" w:hAnsiTheme="minorHAnsi"/>
                <w:iCs/>
                <w:szCs w:val="17"/>
                <w:lang w:eastAsia="en-US"/>
              </w:rPr>
            </w:pPr>
            <w:r w:rsidRPr="00CA2125">
              <w:rPr>
                <w:rFonts w:asciiTheme="minorHAnsi" w:eastAsia="Times New Roman" w:hAnsiTheme="minorHAnsi"/>
                <w:iCs/>
                <w:szCs w:val="17"/>
                <w:lang w:eastAsia="en-US"/>
              </w:rPr>
              <w:t xml:space="preserve">Independent </w:t>
            </w:r>
            <w:r>
              <w:rPr>
                <w:rFonts w:asciiTheme="minorHAnsi" w:eastAsia="Times New Roman" w:hAnsiTheme="minorHAnsi"/>
                <w:iCs/>
                <w:szCs w:val="17"/>
                <w:lang w:eastAsia="en-US"/>
              </w:rPr>
              <w:t>review</w:t>
            </w:r>
          </w:p>
        </w:tc>
        <w:tc>
          <w:tcPr>
            <w:tcW w:w="2381" w:type="dxa"/>
          </w:tcPr>
          <w:p w14:paraId="0C493CAF" w14:textId="77777777" w:rsidR="00CA2125" w:rsidRPr="00CA2125" w:rsidRDefault="00CA212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INI898 Pacific Financial Inclusion Program</w:t>
            </w:r>
          </w:p>
        </w:tc>
        <w:tc>
          <w:tcPr>
            <w:tcW w:w="2459" w:type="dxa"/>
          </w:tcPr>
          <w:p w14:paraId="70A9AA96" w14:textId="77777777" w:rsidR="00CA2125" w:rsidRPr="00CA2125" w:rsidRDefault="003A58BB" w:rsidP="00A83A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2016</w:t>
            </w:r>
          </w:p>
        </w:tc>
        <w:tc>
          <w:tcPr>
            <w:tcW w:w="2227" w:type="dxa"/>
          </w:tcPr>
          <w:p w14:paraId="3802325B" w14:textId="77777777" w:rsidR="00CA2125" w:rsidRPr="00CA2125" w:rsidRDefault="003A58BB" w:rsidP="00A83A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 2016</w:t>
            </w:r>
          </w:p>
        </w:tc>
        <w:tc>
          <w:tcPr>
            <w:tcW w:w="2348" w:type="dxa"/>
          </w:tcPr>
          <w:p w14:paraId="47529C42" w14:textId="77777777" w:rsidR="00CA2125" w:rsidRPr="00CA2125" w:rsidRDefault="00CA2125"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Progress, implementation and inform future.</w:t>
            </w:r>
          </w:p>
        </w:tc>
        <w:tc>
          <w:tcPr>
            <w:tcW w:w="2362" w:type="dxa"/>
          </w:tcPr>
          <w:p w14:paraId="47416997" w14:textId="77777777" w:rsidR="00CA2125" w:rsidRPr="00CA2125" w:rsidRDefault="00CA2125" w:rsidP="006F27B1">
            <w:pPr>
              <w:keepLines/>
              <w:spacing w:before="40" w:after="40" w:line="200" w:lineRule="atLeast"/>
              <w:rPr>
                <w:rFonts w:asciiTheme="minorHAnsi" w:eastAsia="Times New Roman" w:hAnsiTheme="minorHAnsi"/>
                <w:iCs/>
                <w:szCs w:val="17"/>
                <w:lang w:eastAsia="en-US"/>
              </w:rPr>
            </w:pPr>
            <w:r w:rsidRPr="00CA2125">
              <w:rPr>
                <w:rFonts w:asciiTheme="minorHAnsi" w:eastAsia="Times New Roman" w:hAnsiTheme="minorHAnsi"/>
                <w:iCs/>
                <w:szCs w:val="17"/>
                <w:lang w:eastAsia="en-US"/>
              </w:rPr>
              <w:t>Partner led</w:t>
            </w:r>
          </w:p>
        </w:tc>
      </w:tr>
      <w:tr w:rsidR="00400B0F" w:rsidRPr="00C61187" w14:paraId="3F090E7A" w14:textId="77777777" w:rsidTr="006F27B1">
        <w:tc>
          <w:tcPr>
            <w:tcW w:w="2472" w:type="dxa"/>
          </w:tcPr>
          <w:p w14:paraId="506BB14C" w14:textId="77777777" w:rsidR="00400B0F" w:rsidRPr="00A427C6" w:rsidRDefault="00A83A71" w:rsidP="00A83A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Mid-Term Review</w:t>
            </w:r>
            <w:r w:rsidR="00400B0F" w:rsidRPr="00A427C6">
              <w:rPr>
                <w:rFonts w:asciiTheme="minorHAnsi" w:eastAsia="Times New Roman" w:hAnsiTheme="minorHAnsi"/>
                <w:iCs/>
                <w:szCs w:val="17"/>
                <w:lang w:eastAsia="en-US"/>
              </w:rPr>
              <w:t xml:space="preserve"> </w:t>
            </w:r>
          </w:p>
        </w:tc>
        <w:tc>
          <w:tcPr>
            <w:tcW w:w="2381" w:type="dxa"/>
          </w:tcPr>
          <w:p w14:paraId="4E7DA413" w14:textId="77777777" w:rsidR="00400B0F" w:rsidRPr="00A427C6" w:rsidRDefault="00A83A71"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INJ964 Pacific Risk Resilience Program</w:t>
            </w:r>
          </w:p>
        </w:tc>
        <w:tc>
          <w:tcPr>
            <w:tcW w:w="2459" w:type="dxa"/>
          </w:tcPr>
          <w:p w14:paraId="450C4338" w14:textId="77777777" w:rsidR="00400B0F" w:rsidRPr="00A427C6" w:rsidRDefault="00A83A71" w:rsidP="00A83A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2016</w:t>
            </w:r>
          </w:p>
        </w:tc>
        <w:tc>
          <w:tcPr>
            <w:tcW w:w="2227" w:type="dxa"/>
          </w:tcPr>
          <w:p w14:paraId="027B9EC7" w14:textId="77777777" w:rsidR="00400B0F" w:rsidRPr="00A427C6" w:rsidRDefault="00A83A71" w:rsidP="00A83A7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w:t>
            </w:r>
            <w:r w:rsidR="00400B0F" w:rsidRPr="00A427C6">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2016</w:t>
            </w:r>
          </w:p>
        </w:tc>
        <w:tc>
          <w:tcPr>
            <w:tcW w:w="2348" w:type="dxa"/>
          </w:tcPr>
          <w:p w14:paraId="5B86ED31" w14:textId="77777777" w:rsidR="00400B0F" w:rsidRPr="00F7526D" w:rsidRDefault="00A83A71" w:rsidP="006F27B1">
            <w:pPr>
              <w:keepLines/>
              <w:spacing w:before="40" w:after="40" w:line="200" w:lineRule="atLeast"/>
              <w:rPr>
                <w:rFonts w:asciiTheme="minorHAnsi" w:eastAsia="Times New Roman" w:hAnsiTheme="minorHAnsi"/>
                <w:iCs/>
                <w:szCs w:val="17"/>
                <w:lang w:eastAsia="en-US"/>
              </w:rPr>
            </w:pPr>
            <w:r w:rsidRPr="00A83A71">
              <w:rPr>
                <w:rFonts w:asciiTheme="minorHAnsi" w:eastAsia="Times New Roman" w:hAnsiTheme="minorHAnsi"/>
                <w:iCs/>
                <w:szCs w:val="17"/>
                <w:lang w:eastAsia="en-US"/>
              </w:rPr>
              <w:t>Assess progress and shape future support for the program</w:t>
            </w:r>
          </w:p>
        </w:tc>
        <w:tc>
          <w:tcPr>
            <w:tcW w:w="2362" w:type="dxa"/>
          </w:tcPr>
          <w:p w14:paraId="624653C8" w14:textId="77777777" w:rsidR="00400B0F" w:rsidRPr="00A427C6" w:rsidRDefault="00A83A71"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led</w:t>
            </w:r>
          </w:p>
        </w:tc>
      </w:tr>
      <w:tr w:rsidR="00DC6FCA" w:rsidRPr="00C61187" w14:paraId="7A4FF84A" w14:textId="77777777" w:rsidTr="006F27B1">
        <w:tc>
          <w:tcPr>
            <w:tcW w:w="2472" w:type="dxa"/>
          </w:tcPr>
          <w:p w14:paraId="597D2A99" w14:textId="77777777" w:rsidR="00DC6FCA" w:rsidRPr="00DC6FCA" w:rsidRDefault="00DC6FCA" w:rsidP="00A83A71">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Independent Review</w:t>
            </w:r>
          </w:p>
        </w:tc>
        <w:tc>
          <w:tcPr>
            <w:tcW w:w="2381" w:type="dxa"/>
          </w:tcPr>
          <w:p w14:paraId="31D805FA" w14:textId="77777777" w:rsidR="00DC6FCA" w:rsidRPr="00DC6FCA" w:rsidRDefault="00DC6FCA" w:rsidP="006F27B1">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INJ201 Forum Fisheries Agency (FFA)Core Funding Support</w:t>
            </w:r>
          </w:p>
        </w:tc>
        <w:tc>
          <w:tcPr>
            <w:tcW w:w="2459" w:type="dxa"/>
          </w:tcPr>
          <w:p w14:paraId="476A0BDB" w14:textId="77777777" w:rsidR="00DC6FCA" w:rsidRPr="00DC6FCA" w:rsidRDefault="00DC6FCA" w:rsidP="00A83A71">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March 2017</w:t>
            </w:r>
          </w:p>
        </w:tc>
        <w:tc>
          <w:tcPr>
            <w:tcW w:w="2227" w:type="dxa"/>
          </w:tcPr>
          <w:p w14:paraId="4A55A7B3" w14:textId="77777777" w:rsidR="00DC6FCA" w:rsidRPr="00DC6FCA" w:rsidRDefault="00DC6FCA" w:rsidP="00A83A71">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May 2017</w:t>
            </w:r>
          </w:p>
        </w:tc>
        <w:tc>
          <w:tcPr>
            <w:tcW w:w="2348" w:type="dxa"/>
          </w:tcPr>
          <w:p w14:paraId="530F6162" w14:textId="77777777" w:rsidR="00DC6FCA" w:rsidRPr="00DC6FCA" w:rsidRDefault="00DC6FCA" w:rsidP="006F27B1">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Assess the performance of the Forum Fisheries Agency for all Members</w:t>
            </w:r>
            <w:r w:rsidR="00A73C18">
              <w:rPr>
                <w:rFonts w:asciiTheme="minorHAnsi" w:eastAsia="Times New Roman" w:hAnsiTheme="minorHAnsi"/>
                <w:iCs/>
                <w:szCs w:val="17"/>
                <w:lang w:eastAsia="en-US"/>
              </w:rPr>
              <w:t>.</w:t>
            </w:r>
          </w:p>
        </w:tc>
        <w:tc>
          <w:tcPr>
            <w:tcW w:w="2362" w:type="dxa"/>
          </w:tcPr>
          <w:p w14:paraId="1017C0E6" w14:textId="77777777" w:rsidR="00DC6FCA" w:rsidRPr="00DC6FCA" w:rsidRDefault="00E53FFD"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Partner led</w:t>
            </w:r>
          </w:p>
        </w:tc>
      </w:tr>
      <w:tr w:rsidR="001C023C" w:rsidRPr="001C023C" w14:paraId="0642BF5D" w14:textId="77777777" w:rsidTr="006F27B1">
        <w:tc>
          <w:tcPr>
            <w:tcW w:w="2472" w:type="dxa"/>
          </w:tcPr>
          <w:p w14:paraId="68F52CAF" w14:textId="77777777" w:rsidR="001C023C" w:rsidRPr="001C023C" w:rsidRDefault="001C023C" w:rsidP="00A83A7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Evaluation</w:t>
            </w:r>
          </w:p>
        </w:tc>
        <w:tc>
          <w:tcPr>
            <w:tcW w:w="2381" w:type="dxa"/>
          </w:tcPr>
          <w:p w14:paraId="20C034E1" w14:textId="77777777" w:rsidR="001C023C" w:rsidRPr="001C023C" w:rsidRDefault="001C023C" w:rsidP="006F27B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INK933 Partnerships for Health and Rights: Working for Sexual and Reproductive Health and Rights (International Planned Parenthood Federation)</w:t>
            </w:r>
          </w:p>
        </w:tc>
        <w:tc>
          <w:tcPr>
            <w:tcW w:w="2459" w:type="dxa"/>
          </w:tcPr>
          <w:p w14:paraId="08B96685" w14:textId="77777777" w:rsidR="001C023C" w:rsidRPr="001C023C" w:rsidRDefault="001C023C" w:rsidP="00A83A7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2016</w:t>
            </w:r>
          </w:p>
        </w:tc>
        <w:tc>
          <w:tcPr>
            <w:tcW w:w="2227" w:type="dxa"/>
          </w:tcPr>
          <w:p w14:paraId="4B9EBA6E" w14:textId="77777777" w:rsidR="001C023C" w:rsidRPr="001C023C" w:rsidRDefault="001C023C" w:rsidP="00A83A7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2016</w:t>
            </w:r>
          </w:p>
        </w:tc>
        <w:tc>
          <w:tcPr>
            <w:tcW w:w="2348" w:type="dxa"/>
          </w:tcPr>
          <w:p w14:paraId="2362FE0E" w14:textId="77777777" w:rsidR="001C023C" w:rsidRPr="001C023C" w:rsidRDefault="001C023C" w:rsidP="006F27B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Verify program outcomes</w:t>
            </w:r>
          </w:p>
        </w:tc>
        <w:tc>
          <w:tcPr>
            <w:tcW w:w="2362" w:type="dxa"/>
          </w:tcPr>
          <w:p w14:paraId="27B92EBD" w14:textId="77777777" w:rsidR="001C023C" w:rsidRPr="001C023C" w:rsidRDefault="001C023C" w:rsidP="006F27B1">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Partner-led</w:t>
            </w:r>
          </w:p>
        </w:tc>
      </w:tr>
      <w:tr w:rsidR="00A73C18" w:rsidRPr="001C023C" w14:paraId="3D9A74F9" w14:textId="77777777" w:rsidTr="006F27B1">
        <w:tc>
          <w:tcPr>
            <w:tcW w:w="2472" w:type="dxa"/>
          </w:tcPr>
          <w:p w14:paraId="49B3F6D3" w14:textId="77777777" w:rsidR="00A73C18" w:rsidRPr="00F7526D" w:rsidRDefault="00A73C18"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Independent Progress Review</w:t>
            </w:r>
          </w:p>
        </w:tc>
        <w:tc>
          <w:tcPr>
            <w:tcW w:w="2381" w:type="dxa"/>
          </w:tcPr>
          <w:p w14:paraId="1810E4A8" w14:textId="77777777" w:rsidR="00A73C18" w:rsidRPr="00F7526D" w:rsidRDefault="00A73C18" w:rsidP="006F27B1">
            <w:pPr>
              <w:keepLines/>
              <w:spacing w:before="40" w:after="40" w:line="200" w:lineRule="atLeast"/>
              <w:rPr>
                <w:rFonts w:asciiTheme="minorHAnsi" w:eastAsia="Times New Roman" w:hAnsiTheme="minorHAnsi"/>
                <w:iCs/>
                <w:szCs w:val="17"/>
                <w:lang w:eastAsia="en-US"/>
              </w:rPr>
            </w:pPr>
            <w:r w:rsidRPr="00B62E30">
              <w:rPr>
                <w:rFonts w:asciiTheme="minorHAnsi" w:eastAsia="Times New Roman" w:hAnsiTheme="minorHAnsi"/>
                <w:iCs/>
                <w:szCs w:val="17"/>
                <w:lang w:eastAsia="en-US"/>
              </w:rPr>
              <w:t>INK496 Progressing Gender Equality in Pacific Island Countries and Territories</w:t>
            </w:r>
            <w:r w:rsidRPr="00F7526D">
              <w:rPr>
                <w:rFonts w:asciiTheme="minorHAnsi" w:eastAsia="Times New Roman" w:hAnsiTheme="minorHAnsi"/>
                <w:iCs/>
                <w:szCs w:val="17"/>
                <w:lang w:eastAsia="en-US"/>
              </w:rPr>
              <w:t xml:space="preserve"> </w:t>
            </w:r>
          </w:p>
        </w:tc>
        <w:tc>
          <w:tcPr>
            <w:tcW w:w="2459" w:type="dxa"/>
          </w:tcPr>
          <w:p w14:paraId="5B20B900" w14:textId="77777777" w:rsidR="00A73C18" w:rsidRPr="00F7526D" w:rsidRDefault="00A73C18"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October 2016</w:t>
            </w:r>
          </w:p>
        </w:tc>
        <w:tc>
          <w:tcPr>
            <w:tcW w:w="2227" w:type="dxa"/>
          </w:tcPr>
          <w:p w14:paraId="11662924" w14:textId="77777777" w:rsidR="00A73C18" w:rsidRPr="00F7526D" w:rsidRDefault="00A73C18"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December 2016</w:t>
            </w:r>
          </w:p>
        </w:tc>
        <w:tc>
          <w:tcPr>
            <w:tcW w:w="2348" w:type="dxa"/>
          </w:tcPr>
          <w:p w14:paraId="17451263" w14:textId="77777777" w:rsidR="00A73C18" w:rsidRPr="00B62E30" w:rsidRDefault="00A73C18" w:rsidP="004A1159">
            <w:pPr>
              <w:keepLines/>
              <w:spacing w:before="40" w:after="40" w:line="200" w:lineRule="atLeast"/>
              <w:rPr>
                <w:rFonts w:asciiTheme="minorHAnsi" w:eastAsia="Times New Roman" w:hAnsiTheme="minorHAnsi"/>
                <w:iCs/>
                <w:szCs w:val="17"/>
                <w:lang w:eastAsia="en-US"/>
              </w:rPr>
            </w:pPr>
            <w:r w:rsidRPr="00B62E30">
              <w:rPr>
                <w:rFonts w:asciiTheme="minorHAnsi" w:eastAsia="Times New Roman" w:hAnsiTheme="minorHAnsi"/>
                <w:iCs/>
                <w:szCs w:val="17"/>
                <w:lang w:eastAsia="en-US"/>
              </w:rPr>
              <w:t xml:space="preserve">Assessment of </w:t>
            </w:r>
            <w:r w:rsidR="004A1159" w:rsidRPr="00B62E30">
              <w:rPr>
                <w:rFonts w:asciiTheme="minorHAnsi" w:eastAsia="Times New Roman" w:hAnsiTheme="minorHAnsi"/>
                <w:iCs/>
                <w:szCs w:val="17"/>
                <w:lang w:eastAsia="en-US"/>
              </w:rPr>
              <w:t xml:space="preserve">progress and effectiveness of </w:t>
            </w:r>
            <w:r w:rsidRPr="00B62E30">
              <w:rPr>
                <w:rFonts w:asciiTheme="minorHAnsi" w:eastAsia="Times New Roman" w:hAnsiTheme="minorHAnsi"/>
                <w:iCs/>
                <w:szCs w:val="17"/>
                <w:lang w:eastAsia="en-US"/>
              </w:rPr>
              <w:t>gender mainstreaming through the Pac</w:t>
            </w:r>
            <w:r w:rsidR="004A1159" w:rsidRPr="00B62E30">
              <w:rPr>
                <w:rFonts w:asciiTheme="minorHAnsi" w:eastAsia="Times New Roman" w:hAnsiTheme="minorHAnsi"/>
                <w:iCs/>
                <w:szCs w:val="17"/>
                <w:lang w:eastAsia="en-US"/>
              </w:rPr>
              <w:t>ific Community (SPC)</w:t>
            </w:r>
            <w:r w:rsidRPr="00B62E30">
              <w:rPr>
                <w:rFonts w:asciiTheme="minorHAnsi" w:eastAsia="Times New Roman" w:hAnsiTheme="minorHAnsi"/>
                <w:iCs/>
                <w:szCs w:val="17"/>
                <w:lang w:eastAsia="en-US"/>
              </w:rPr>
              <w:t>.</w:t>
            </w:r>
          </w:p>
        </w:tc>
        <w:tc>
          <w:tcPr>
            <w:tcW w:w="2362" w:type="dxa"/>
          </w:tcPr>
          <w:p w14:paraId="4FDF1E4E" w14:textId="77777777" w:rsidR="00A73C18" w:rsidRPr="00F7526D" w:rsidRDefault="00C721B1" w:rsidP="006F27B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DFAT led</w:t>
            </w:r>
          </w:p>
        </w:tc>
      </w:tr>
      <w:tr w:rsidR="00A73C18" w:rsidRPr="001C023C" w14:paraId="1FA47F2E" w14:textId="77777777" w:rsidTr="006F27B1">
        <w:tc>
          <w:tcPr>
            <w:tcW w:w="2472" w:type="dxa"/>
          </w:tcPr>
          <w:p w14:paraId="698637BE" w14:textId="77777777" w:rsidR="00A73C18" w:rsidRPr="00F7526D" w:rsidRDefault="004A1159"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Independent Progress Review</w:t>
            </w:r>
          </w:p>
        </w:tc>
        <w:tc>
          <w:tcPr>
            <w:tcW w:w="2381" w:type="dxa"/>
          </w:tcPr>
          <w:p w14:paraId="5D155235" w14:textId="77777777" w:rsidR="00A73C18" w:rsidRPr="00F7526D" w:rsidRDefault="00B62E30"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INK496 Pacific Women’s P</w:t>
            </w:r>
            <w:r w:rsidR="004A1159" w:rsidRPr="00B62E30">
              <w:rPr>
                <w:rFonts w:asciiTheme="minorHAnsi" w:eastAsia="Times New Roman" w:hAnsiTheme="minorHAnsi"/>
                <w:iCs/>
                <w:szCs w:val="17"/>
                <w:lang w:eastAsia="en-US"/>
              </w:rPr>
              <w:t>arliamentary Partnerships</w:t>
            </w:r>
          </w:p>
        </w:tc>
        <w:tc>
          <w:tcPr>
            <w:tcW w:w="2459" w:type="dxa"/>
          </w:tcPr>
          <w:p w14:paraId="15FFA176" w14:textId="77777777" w:rsidR="00A73C18" w:rsidRPr="00F7526D" w:rsidRDefault="004A1159"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October 2016</w:t>
            </w:r>
          </w:p>
        </w:tc>
        <w:tc>
          <w:tcPr>
            <w:tcW w:w="2227" w:type="dxa"/>
          </w:tcPr>
          <w:p w14:paraId="0AE1D60E" w14:textId="77777777" w:rsidR="00A73C18" w:rsidRPr="00F7526D" w:rsidRDefault="004A1159"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December 2016</w:t>
            </w:r>
          </w:p>
        </w:tc>
        <w:tc>
          <w:tcPr>
            <w:tcW w:w="2348" w:type="dxa"/>
          </w:tcPr>
          <w:p w14:paraId="14DD94AE" w14:textId="77777777" w:rsidR="00A73C18" w:rsidRPr="00B62E30" w:rsidRDefault="004A1159" w:rsidP="00A73C18">
            <w:pPr>
              <w:keepLines/>
              <w:spacing w:before="40" w:after="40" w:line="200" w:lineRule="atLeast"/>
              <w:rPr>
                <w:rFonts w:asciiTheme="minorHAnsi" w:eastAsia="Times New Roman" w:hAnsiTheme="minorHAnsi"/>
                <w:iCs/>
                <w:szCs w:val="17"/>
                <w:lang w:eastAsia="en-US"/>
              </w:rPr>
            </w:pPr>
            <w:r w:rsidRPr="00B62E30">
              <w:rPr>
                <w:rFonts w:asciiTheme="minorHAnsi" w:eastAsia="Times New Roman" w:hAnsiTheme="minorHAnsi"/>
                <w:iCs/>
                <w:szCs w:val="17"/>
                <w:lang w:eastAsia="en-US"/>
              </w:rPr>
              <w:t>Assessment of the Partnership at the three year point in order to review progress and effectiveness.</w:t>
            </w:r>
          </w:p>
        </w:tc>
        <w:tc>
          <w:tcPr>
            <w:tcW w:w="2362" w:type="dxa"/>
          </w:tcPr>
          <w:p w14:paraId="139D9687" w14:textId="77777777" w:rsidR="00A73C18" w:rsidRPr="00F7526D" w:rsidRDefault="00C721B1" w:rsidP="006F27B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DFAT led</w:t>
            </w:r>
          </w:p>
        </w:tc>
      </w:tr>
      <w:tr w:rsidR="007E5594" w:rsidRPr="001C023C" w14:paraId="41A9512B" w14:textId="77777777" w:rsidTr="006F27B1">
        <w:tc>
          <w:tcPr>
            <w:tcW w:w="2472" w:type="dxa"/>
          </w:tcPr>
          <w:p w14:paraId="04AFBBCA" w14:textId="77777777" w:rsidR="007E5594" w:rsidRPr="00F7526D" w:rsidRDefault="007E5594"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Independent Mid-Term Review</w:t>
            </w:r>
          </w:p>
        </w:tc>
        <w:tc>
          <w:tcPr>
            <w:tcW w:w="2381" w:type="dxa"/>
          </w:tcPr>
          <w:p w14:paraId="64C3F113" w14:textId="77777777" w:rsidR="007E5594" w:rsidRPr="00F7526D" w:rsidRDefault="007E5594" w:rsidP="006F27B1">
            <w:pPr>
              <w:keepLines/>
              <w:spacing w:before="40" w:after="40" w:line="200" w:lineRule="atLeast"/>
              <w:rPr>
                <w:rFonts w:asciiTheme="minorHAnsi" w:eastAsia="Times New Roman" w:hAnsiTheme="minorHAnsi"/>
                <w:iCs/>
                <w:szCs w:val="17"/>
                <w:lang w:eastAsia="en-US"/>
              </w:rPr>
            </w:pPr>
            <w:r w:rsidRPr="00B62E30">
              <w:rPr>
                <w:rFonts w:asciiTheme="minorHAnsi" w:eastAsia="Times New Roman" w:hAnsiTheme="minorHAnsi"/>
                <w:iCs/>
                <w:szCs w:val="17"/>
                <w:lang w:eastAsia="en-US"/>
              </w:rPr>
              <w:t>INL322 The Pacific Community (SPC) – Government of Australia Partnership for Pacific Regionalism</w:t>
            </w:r>
          </w:p>
        </w:tc>
        <w:tc>
          <w:tcPr>
            <w:tcW w:w="2459" w:type="dxa"/>
          </w:tcPr>
          <w:p w14:paraId="4C0444B0" w14:textId="77777777" w:rsidR="007E5594" w:rsidRPr="00F7526D" w:rsidRDefault="007E5594"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February 2016</w:t>
            </w:r>
          </w:p>
        </w:tc>
        <w:tc>
          <w:tcPr>
            <w:tcW w:w="2227" w:type="dxa"/>
          </w:tcPr>
          <w:p w14:paraId="5ACBE529" w14:textId="77777777" w:rsidR="007E5594" w:rsidRPr="00F7526D" w:rsidRDefault="007E5594"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August 2016</w:t>
            </w:r>
          </w:p>
        </w:tc>
        <w:tc>
          <w:tcPr>
            <w:tcW w:w="2348" w:type="dxa"/>
          </w:tcPr>
          <w:p w14:paraId="5B232BD6" w14:textId="77777777" w:rsidR="007E5594" w:rsidRPr="00B62E30" w:rsidRDefault="007E5594" w:rsidP="00A73C18">
            <w:pPr>
              <w:keepLines/>
              <w:spacing w:before="40" w:after="40" w:line="200" w:lineRule="atLeast"/>
              <w:rPr>
                <w:rFonts w:asciiTheme="minorHAnsi" w:eastAsia="Times New Roman" w:hAnsiTheme="minorHAnsi"/>
                <w:iCs/>
                <w:szCs w:val="17"/>
                <w:lang w:eastAsia="en-US"/>
              </w:rPr>
            </w:pPr>
            <w:r w:rsidRPr="00B62E30">
              <w:rPr>
                <w:rFonts w:asciiTheme="minorHAnsi" w:eastAsia="Times New Roman" w:hAnsiTheme="minorHAnsi"/>
                <w:iCs/>
                <w:szCs w:val="17"/>
                <w:lang w:eastAsia="en-US"/>
              </w:rPr>
              <w:t>Assess the performance of the Partnership against its stated objectives and assess the effectiveness of the partnership modality in supporting the Pacific regional architecture</w:t>
            </w:r>
          </w:p>
        </w:tc>
        <w:tc>
          <w:tcPr>
            <w:tcW w:w="2362" w:type="dxa"/>
          </w:tcPr>
          <w:p w14:paraId="6F5597B1" w14:textId="77777777" w:rsidR="007E5594" w:rsidRPr="00F7526D" w:rsidRDefault="007E5594" w:rsidP="006F27B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DFAT led</w:t>
            </w:r>
          </w:p>
        </w:tc>
      </w:tr>
      <w:tr w:rsidR="002D0E37" w:rsidRPr="001C023C" w14:paraId="57B44ED6" w14:textId="77777777" w:rsidTr="006F27B1">
        <w:tc>
          <w:tcPr>
            <w:tcW w:w="2472" w:type="dxa"/>
          </w:tcPr>
          <w:p w14:paraId="179BBFCE" w14:textId="77777777" w:rsidR="002D0E37" w:rsidRPr="002D0E37" w:rsidRDefault="002D0E37" w:rsidP="00A83A71">
            <w:pPr>
              <w:keepLines/>
              <w:spacing w:before="40" w:after="40" w:line="200" w:lineRule="atLeast"/>
              <w:rPr>
                <w:rFonts w:asciiTheme="minorHAnsi" w:eastAsia="Times New Roman" w:hAnsiTheme="minorHAnsi"/>
                <w:iCs/>
                <w:szCs w:val="17"/>
                <w:lang w:eastAsia="en-US"/>
              </w:rPr>
            </w:pPr>
          </w:p>
        </w:tc>
        <w:tc>
          <w:tcPr>
            <w:tcW w:w="2381" w:type="dxa"/>
          </w:tcPr>
          <w:p w14:paraId="4D1A0BDD" w14:textId="77777777" w:rsidR="002D0E37" w:rsidRPr="002D0E37" w:rsidRDefault="002D0E37" w:rsidP="006F27B1">
            <w:pPr>
              <w:keepLines/>
              <w:spacing w:before="40" w:after="40" w:line="200" w:lineRule="atLeast"/>
              <w:rPr>
                <w:rFonts w:asciiTheme="minorHAnsi" w:eastAsia="Times New Roman" w:hAnsiTheme="minorHAnsi"/>
                <w:iCs/>
                <w:szCs w:val="17"/>
                <w:lang w:eastAsia="en-US"/>
              </w:rPr>
            </w:pPr>
          </w:p>
        </w:tc>
        <w:tc>
          <w:tcPr>
            <w:tcW w:w="2459" w:type="dxa"/>
          </w:tcPr>
          <w:p w14:paraId="7B4608CE" w14:textId="77777777" w:rsidR="002D0E37" w:rsidRPr="002D0E37" w:rsidRDefault="002D0E37" w:rsidP="00A83A71">
            <w:pPr>
              <w:keepLines/>
              <w:spacing w:before="40" w:after="40" w:line="200" w:lineRule="atLeast"/>
              <w:rPr>
                <w:rFonts w:asciiTheme="minorHAnsi" w:eastAsia="Times New Roman" w:hAnsiTheme="minorHAnsi"/>
                <w:iCs/>
                <w:szCs w:val="17"/>
                <w:lang w:eastAsia="en-US"/>
              </w:rPr>
            </w:pPr>
          </w:p>
        </w:tc>
        <w:tc>
          <w:tcPr>
            <w:tcW w:w="2227" w:type="dxa"/>
          </w:tcPr>
          <w:p w14:paraId="48CCB9C7" w14:textId="77777777" w:rsidR="002D0E37" w:rsidRPr="002D0E37" w:rsidRDefault="002D0E37" w:rsidP="00A83A71">
            <w:pPr>
              <w:keepLines/>
              <w:spacing w:before="40" w:after="40" w:line="200" w:lineRule="atLeast"/>
              <w:rPr>
                <w:rFonts w:asciiTheme="minorHAnsi" w:eastAsia="Times New Roman" w:hAnsiTheme="minorHAnsi"/>
                <w:iCs/>
                <w:szCs w:val="17"/>
                <w:lang w:eastAsia="en-US"/>
              </w:rPr>
            </w:pPr>
          </w:p>
        </w:tc>
        <w:tc>
          <w:tcPr>
            <w:tcW w:w="2348" w:type="dxa"/>
          </w:tcPr>
          <w:p w14:paraId="70FFD358" w14:textId="77777777" w:rsidR="002D0E37" w:rsidRPr="002D0E37" w:rsidRDefault="002D0E37" w:rsidP="002D0E37">
            <w:pPr>
              <w:keepLines/>
              <w:spacing w:before="40" w:after="40" w:line="200" w:lineRule="atLeast"/>
              <w:rPr>
                <w:rFonts w:asciiTheme="minorHAnsi" w:eastAsia="Times New Roman" w:hAnsiTheme="minorHAnsi"/>
                <w:iCs/>
                <w:szCs w:val="17"/>
                <w:lang w:eastAsia="en-US"/>
              </w:rPr>
            </w:pPr>
          </w:p>
        </w:tc>
        <w:tc>
          <w:tcPr>
            <w:tcW w:w="2362" w:type="dxa"/>
          </w:tcPr>
          <w:p w14:paraId="215BBED2" w14:textId="77777777" w:rsidR="00EE45B2" w:rsidRPr="002D0E37" w:rsidRDefault="00EE45B2" w:rsidP="006F27B1">
            <w:pPr>
              <w:keepLines/>
              <w:spacing w:before="40" w:after="40" w:line="200" w:lineRule="atLeast"/>
              <w:rPr>
                <w:rFonts w:asciiTheme="minorHAnsi" w:eastAsia="Times New Roman" w:hAnsiTheme="minorHAnsi"/>
                <w:iCs/>
                <w:szCs w:val="17"/>
                <w:lang w:eastAsia="en-US"/>
              </w:rPr>
            </w:pPr>
          </w:p>
        </w:tc>
      </w:tr>
      <w:tr w:rsidR="00EE45B2" w:rsidRPr="001C023C" w14:paraId="30D5D4A6" w14:textId="77777777" w:rsidTr="006F27B1">
        <w:tc>
          <w:tcPr>
            <w:tcW w:w="2472" w:type="dxa"/>
          </w:tcPr>
          <w:p w14:paraId="3B414BB2" w14:textId="77777777" w:rsidR="00EE45B2" w:rsidRPr="00F7526D" w:rsidRDefault="00EE45B2"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Independent Progress Review</w:t>
            </w:r>
          </w:p>
        </w:tc>
        <w:tc>
          <w:tcPr>
            <w:tcW w:w="2381" w:type="dxa"/>
          </w:tcPr>
          <w:p w14:paraId="5301D157" w14:textId="77777777" w:rsidR="00EE45B2" w:rsidRPr="00F7526D" w:rsidRDefault="00EE45B2" w:rsidP="006F27B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INK496Pacific Women Shaping Pacific Development</w:t>
            </w:r>
          </w:p>
        </w:tc>
        <w:tc>
          <w:tcPr>
            <w:tcW w:w="2459" w:type="dxa"/>
          </w:tcPr>
          <w:p w14:paraId="07C8E31B" w14:textId="77777777" w:rsidR="00EE45B2" w:rsidRPr="00F7526D" w:rsidRDefault="00EE45B2"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August 2016</w:t>
            </w:r>
          </w:p>
        </w:tc>
        <w:tc>
          <w:tcPr>
            <w:tcW w:w="2227" w:type="dxa"/>
          </w:tcPr>
          <w:p w14:paraId="40BD36E2" w14:textId="77777777" w:rsidR="00EE45B2" w:rsidRPr="00F7526D" w:rsidRDefault="00EE45B2" w:rsidP="00A83A7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March 2017</w:t>
            </w:r>
          </w:p>
        </w:tc>
        <w:tc>
          <w:tcPr>
            <w:tcW w:w="2348" w:type="dxa"/>
          </w:tcPr>
          <w:p w14:paraId="35EF5F28" w14:textId="77777777" w:rsidR="00EE45B2" w:rsidRPr="00F7526D" w:rsidRDefault="00EE45B2" w:rsidP="002D0E37">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Progress against three year objectives.</w:t>
            </w:r>
          </w:p>
        </w:tc>
        <w:tc>
          <w:tcPr>
            <w:tcW w:w="2362" w:type="dxa"/>
          </w:tcPr>
          <w:p w14:paraId="3B226051" w14:textId="77777777" w:rsidR="00EE45B2" w:rsidRPr="00F7526D" w:rsidRDefault="00EE45B2" w:rsidP="006F27B1">
            <w:pPr>
              <w:keepLines/>
              <w:spacing w:before="40" w:after="40" w:line="200" w:lineRule="atLeast"/>
              <w:rPr>
                <w:rFonts w:asciiTheme="minorHAnsi" w:eastAsia="Times New Roman" w:hAnsiTheme="minorHAnsi"/>
                <w:iCs/>
                <w:szCs w:val="17"/>
                <w:lang w:eastAsia="en-US"/>
              </w:rPr>
            </w:pPr>
            <w:r w:rsidRPr="00F7526D">
              <w:rPr>
                <w:rFonts w:asciiTheme="minorHAnsi" w:eastAsia="Times New Roman" w:hAnsiTheme="minorHAnsi"/>
                <w:iCs/>
                <w:szCs w:val="17"/>
                <w:lang w:eastAsia="en-US"/>
              </w:rPr>
              <w:t>DFAT led</w:t>
            </w:r>
          </w:p>
        </w:tc>
      </w:tr>
    </w:tbl>
    <w:p w14:paraId="164BBA40" w14:textId="77777777" w:rsidR="00400B0F" w:rsidRPr="00C61187" w:rsidRDefault="00400B0F" w:rsidP="00400B0F">
      <w:pPr>
        <w:rPr>
          <w:b/>
        </w:rPr>
        <w:sectPr w:rsidR="00400B0F" w:rsidRPr="00C61187" w:rsidSect="0006143C">
          <w:headerReference w:type="even" r:id="rId17"/>
          <w:headerReference w:type="default" r:id="rId18"/>
          <w:headerReference w:type="first" r:id="rId19"/>
          <w:footerReference w:type="first" r:id="rId20"/>
          <w:footnotePr>
            <w:numRestart w:val="eachPage"/>
          </w:footnotePr>
          <w:pgSz w:w="16838" w:h="11906" w:orient="landscape" w:code="9"/>
          <w:pgMar w:top="1272" w:right="1814" w:bottom="851" w:left="851" w:header="709" w:footer="230" w:gutter="0"/>
          <w:cols w:space="708"/>
          <w:titlePg/>
          <w:docGrid w:linePitch="360"/>
        </w:sectPr>
      </w:pPr>
    </w:p>
    <w:p w14:paraId="7234E9D6" w14:textId="77777777" w:rsidR="007D5E16" w:rsidRPr="00784031" w:rsidRDefault="007D5E16" w:rsidP="007D5E16">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ratings</w:t>
      </w:r>
    </w:p>
    <w:p w14:paraId="72FBA69B" w14:textId="77777777" w:rsidR="007D5E16" w:rsidRPr="00D70845" w:rsidRDefault="007D5E16" w:rsidP="007D5E16">
      <w:pPr>
        <w:rPr>
          <w:color w:val="auto"/>
        </w:rPr>
      </w:pPr>
      <w:r w:rsidRPr="00D70845">
        <w:rPr>
          <w:color w:val="auto"/>
        </w:rPr>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7D5E16" w:rsidRPr="00C61187" w14:paraId="62BB40CC" w14:textId="77777777" w:rsidTr="00500440">
        <w:trPr>
          <w:cnfStyle w:val="000000010000" w:firstRow="0" w:lastRow="0" w:firstColumn="0" w:lastColumn="0" w:oddVBand="0" w:evenVBand="0" w:oddHBand="0" w:evenHBand="1" w:firstRowFirstColumn="0" w:firstRowLastColumn="0" w:lastRowFirstColumn="0" w:lastRowLastColumn="0"/>
          <w:trHeight w:val="1413"/>
        </w:trPr>
        <w:tc>
          <w:tcPr>
            <w:tcW w:w="909" w:type="pct"/>
          </w:tcPr>
          <w:p w14:paraId="3B338FDB"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6672" behindDoc="0" locked="0" layoutInCell="1" allowOverlap="1" wp14:anchorId="17C1E3B0" wp14:editId="0448A491">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8" w:type="pct"/>
            <w:textDirection w:val="btLr"/>
          </w:tcPr>
          <w:p w14:paraId="44228EAA"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6" w:type="pct"/>
            <w:textDirection w:val="btLr"/>
          </w:tcPr>
          <w:p w14:paraId="7CC7DBE2"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 on year</w:t>
            </w:r>
          </w:p>
        </w:tc>
        <w:tc>
          <w:tcPr>
            <w:tcW w:w="418" w:type="pct"/>
            <w:textDirection w:val="btLr"/>
          </w:tcPr>
          <w:p w14:paraId="1A4B5BEC"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5" w:type="pct"/>
            <w:textDirection w:val="btLr"/>
          </w:tcPr>
          <w:p w14:paraId="58123916"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8" w:type="pct"/>
            <w:textDirection w:val="btLr"/>
          </w:tcPr>
          <w:p w14:paraId="4E24DE5A"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5" w:type="pct"/>
            <w:textDirection w:val="btLr"/>
          </w:tcPr>
          <w:p w14:paraId="777308F8"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8" w:type="pct"/>
            <w:textDirection w:val="btLr"/>
          </w:tcPr>
          <w:p w14:paraId="132C0FFA"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5" w:type="pct"/>
            <w:textDirection w:val="btLr"/>
          </w:tcPr>
          <w:p w14:paraId="1C6DA34B"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14:paraId="351E33F0"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7D5E16" w:rsidRPr="00C61187" w14:paraId="356FCCC3"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44B1BE4E"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State Society and Governance Melanesia</w:t>
            </w:r>
          </w:p>
          <w:p w14:paraId="71DE9B43"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3F74CE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$32m </w:t>
            </w:r>
          </w:p>
          <w:p w14:paraId="414D312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1995-2017 </w:t>
            </w:r>
          </w:p>
        </w:tc>
        <w:tc>
          <w:tcPr>
            <w:tcW w:w="416" w:type="pct"/>
          </w:tcPr>
          <w:p w14:paraId="4964523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FFFF00"/>
            <w:noWrap/>
            <w:vAlign w:val="bottom"/>
          </w:tcPr>
          <w:p w14:paraId="28B374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0795C93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C000"/>
            <w:noWrap/>
            <w:vAlign w:val="bottom"/>
          </w:tcPr>
          <w:p w14:paraId="1855723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5" w:type="pct"/>
            <w:shd w:val="clear" w:color="auto" w:fill="FFC000"/>
            <w:noWrap/>
            <w:vAlign w:val="bottom"/>
          </w:tcPr>
          <w:p w14:paraId="210C628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732CC31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174602D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73E864C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C61187" w14:paraId="347FDC7A"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D0F28F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69A424B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92139C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6AB3459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7A817CB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549A173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3678EBA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FFFF00"/>
            <w:noWrap/>
            <w:vAlign w:val="bottom"/>
          </w:tcPr>
          <w:p w14:paraId="57F51D4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92D050"/>
            <w:noWrap/>
            <w:vAlign w:val="bottom"/>
          </w:tcPr>
          <w:p w14:paraId="71708AF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tcBorders>
              <w:bottom w:val="single" w:sz="4" w:space="0" w:color="auto"/>
            </w:tcBorders>
            <w:shd w:val="clear" w:color="auto" w:fill="FFFF00"/>
            <w:vAlign w:val="bottom"/>
          </w:tcPr>
          <w:p w14:paraId="05915BE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38853AA0"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2839FE34"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UNDP Pacific Sub Regional Centre</w:t>
            </w:r>
          </w:p>
          <w:p w14:paraId="53D9C81D"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64DED55A"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$30m </w:t>
            </w:r>
          </w:p>
          <w:p w14:paraId="53ABCF3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2006-18 </w:t>
            </w:r>
          </w:p>
        </w:tc>
        <w:tc>
          <w:tcPr>
            <w:tcW w:w="416" w:type="pct"/>
          </w:tcPr>
          <w:p w14:paraId="01392B9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094981E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6408D95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428728A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562F4D75" w14:textId="3EBE0FF7"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6FBB639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02E8426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C000"/>
            <w:vAlign w:val="bottom"/>
          </w:tcPr>
          <w:p w14:paraId="2348BCF1" w14:textId="462DCA42"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157F696B"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A26EB2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2175D7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56A014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4EBF4F9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1C5C3A8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193F1B0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24FB986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63138E1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003F42A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15EBE36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6101D128"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53FBF9E7"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 xml:space="preserve">Regional Rights Resource Team (RRRT) </w:t>
            </w:r>
          </w:p>
          <w:p w14:paraId="04AF029F"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49044270"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$12m </w:t>
            </w:r>
          </w:p>
          <w:p w14:paraId="437590C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2006-17 </w:t>
            </w:r>
          </w:p>
        </w:tc>
        <w:tc>
          <w:tcPr>
            <w:tcW w:w="416" w:type="pct"/>
          </w:tcPr>
          <w:p w14:paraId="103F6D0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6C462D0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5B3A9267" w14:textId="5665136F"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710F550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743ED98B" w14:textId="17A61C93"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2A2C933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92D050"/>
            <w:noWrap/>
            <w:vAlign w:val="bottom"/>
          </w:tcPr>
          <w:p w14:paraId="0B18B09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FFC000"/>
            <w:vAlign w:val="bottom"/>
          </w:tcPr>
          <w:p w14:paraId="4D3ABA17" w14:textId="4508D174"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519A8187"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DC1CC5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2EC8F32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E251F4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212E715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0DBDE7A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496CA02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6747B6C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453BD14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92D050"/>
            <w:noWrap/>
            <w:vAlign w:val="bottom"/>
          </w:tcPr>
          <w:p w14:paraId="22D75FB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4" w:space="0" w:color="auto"/>
            </w:tcBorders>
            <w:shd w:val="clear" w:color="auto" w:fill="92D050"/>
            <w:vAlign w:val="bottom"/>
          </w:tcPr>
          <w:p w14:paraId="3B80A72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637B96" w:rsidRPr="00A427C6" w14:paraId="6D389D6D"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2F67EE83"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PACER Plus Support</w:t>
            </w:r>
          </w:p>
          <w:p w14:paraId="4135E298"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4B42B43D"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$12m </w:t>
            </w:r>
          </w:p>
          <w:p w14:paraId="59096BE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2007-18 </w:t>
            </w:r>
          </w:p>
        </w:tc>
        <w:tc>
          <w:tcPr>
            <w:tcW w:w="416" w:type="pct"/>
          </w:tcPr>
          <w:p w14:paraId="597CDA9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25DB1871" w14:textId="4F75EB43" w:rsidR="007D5E16" w:rsidRDefault="00500440"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FFFF00"/>
            <w:noWrap/>
            <w:vAlign w:val="bottom"/>
          </w:tcPr>
          <w:p w14:paraId="6145805D" w14:textId="54CFAE61"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425A5D68" w14:textId="750C44C2"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1FBE2EA8" w14:textId="1B966FB3"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5E10AEA2" w14:textId="7F6719F2"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41086141" w14:textId="6240B2D0"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c>
          <w:tcPr>
            <w:tcW w:w="412" w:type="pct"/>
            <w:shd w:val="clear" w:color="auto" w:fill="FFFF00"/>
            <w:vAlign w:val="bottom"/>
          </w:tcPr>
          <w:p w14:paraId="7987E3BC" w14:textId="47A4DA9A"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07E536B4"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2FFC61CC"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0040AB0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4BEEC05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21552F9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5C10346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74B7779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3D738E5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1529236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663F36C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bottom w:val="single" w:sz="4" w:space="0" w:color="auto"/>
            </w:tcBorders>
            <w:shd w:val="clear" w:color="auto" w:fill="FFFF00"/>
            <w:vAlign w:val="bottom"/>
          </w:tcPr>
          <w:p w14:paraId="2225316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6DD054F"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F705BA6"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Regional Agricultural Market Access</w:t>
            </w:r>
          </w:p>
          <w:p w14:paraId="1478DB5B"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7B83E2D5"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$41m </w:t>
            </w:r>
          </w:p>
          <w:p w14:paraId="0DA20F1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2009-17 </w:t>
            </w:r>
          </w:p>
        </w:tc>
        <w:tc>
          <w:tcPr>
            <w:tcW w:w="416" w:type="pct"/>
          </w:tcPr>
          <w:p w14:paraId="1D2A068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704937B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43EB5D0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375D48B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10BA4BA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55F5E71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55B0376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644930A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5238B378"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482184D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48F1D71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0D6576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39E45C3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08B29A9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46E1C51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5E53A1B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4970659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77F71A5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5DBA616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3CF925DD"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6449DBC2"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UNDP Pacific Financial Inclusion Programme</w:t>
            </w:r>
          </w:p>
          <w:p w14:paraId="0080812A"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5CE7DA0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$19m </w:t>
            </w:r>
          </w:p>
          <w:p w14:paraId="45A36FF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2009-17 </w:t>
            </w:r>
          </w:p>
        </w:tc>
        <w:tc>
          <w:tcPr>
            <w:tcW w:w="416" w:type="pct"/>
          </w:tcPr>
          <w:p w14:paraId="2A0A677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6C2FFDD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082946F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32945E4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00F2916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74C0152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07F9182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7A201CA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55CB4A8D"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D2E636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7A94C20"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74DA474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74EE79D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7BC411C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2BEAEAD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6E3F209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06D1A0A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330C632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tcBorders>
              <w:bottom w:val="single" w:sz="4" w:space="0" w:color="auto"/>
            </w:tcBorders>
            <w:shd w:val="clear" w:color="auto" w:fill="92D050"/>
            <w:vAlign w:val="bottom"/>
          </w:tcPr>
          <w:p w14:paraId="7D44DC7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bl>
    <w:p w14:paraId="02724617" w14:textId="77777777" w:rsidR="002E27B4" w:rsidRDefault="002E27B4">
      <w:r>
        <w:br w:type="page"/>
      </w:r>
    </w:p>
    <w:tbl>
      <w:tblPr>
        <w:tblStyle w:val="APPR"/>
        <w:tblW w:w="5000" w:type="pct"/>
        <w:tblLook w:val="0000" w:firstRow="0" w:lastRow="0" w:firstColumn="0" w:lastColumn="0" w:noHBand="0" w:noVBand="0"/>
      </w:tblPr>
      <w:tblGrid>
        <w:gridCol w:w="2670"/>
        <w:gridCol w:w="1930"/>
        <w:gridCol w:w="1231"/>
        <w:gridCol w:w="1237"/>
        <w:gridCol w:w="1228"/>
        <w:gridCol w:w="1237"/>
        <w:gridCol w:w="1228"/>
        <w:gridCol w:w="1237"/>
        <w:gridCol w:w="1228"/>
        <w:gridCol w:w="1234"/>
      </w:tblGrid>
      <w:tr w:rsidR="007D5E16" w:rsidRPr="00A427C6" w14:paraId="3C441346"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2F7E467" w14:textId="45810A3B"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lastRenderedPageBreak/>
              <w:t>University of the South Pacific Partnership</w:t>
            </w:r>
          </w:p>
          <w:p w14:paraId="2B0233D0"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E8A77BA"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$81m </w:t>
            </w:r>
          </w:p>
          <w:p w14:paraId="711FC0C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2010-19 </w:t>
            </w:r>
          </w:p>
        </w:tc>
        <w:tc>
          <w:tcPr>
            <w:tcW w:w="416" w:type="pct"/>
          </w:tcPr>
          <w:p w14:paraId="6A33AAE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B30F9B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00E90DD2" w14:textId="4073C5B1"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07C3DC14" w14:textId="3CC670E4"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7FDE93E0" w14:textId="6E41CBB6"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92D050"/>
            <w:noWrap/>
            <w:vAlign w:val="bottom"/>
          </w:tcPr>
          <w:p w14:paraId="18DBEEF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486AB82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FFFF00"/>
            <w:vAlign w:val="bottom"/>
          </w:tcPr>
          <w:p w14:paraId="412825E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5F8B14C1"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AA428E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26C2739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CD97F3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0EF2112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778923D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6331CA8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0834410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57AFF0D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13B7BB5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FFFF00"/>
            <w:vAlign w:val="bottom"/>
          </w:tcPr>
          <w:p w14:paraId="0A9A611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0ADCB5EE"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5A81DCE"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Fisheries Development Assistance in the Pacific</w:t>
            </w:r>
          </w:p>
          <w:p w14:paraId="4D8C650A"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1E0D1E8E"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$51m </w:t>
            </w:r>
          </w:p>
          <w:p w14:paraId="7859F2F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2010-18 </w:t>
            </w:r>
          </w:p>
        </w:tc>
        <w:tc>
          <w:tcPr>
            <w:tcW w:w="416" w:type="pct"/>
          </w:tcPr>
          <w:p w14:paraId="2DCAF59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E3BEE6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3C34E13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53B1F7D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6D7DD7A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0FC73F1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69CC475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5CD8F93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5DEAA1C6"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503C18D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2C92D95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18A8862C"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142FF5D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0EF7FBC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5A81ADC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3BF4412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2475105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3A0003B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2D9C3D5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7BC257CA"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0D4D2158"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 xml:space="preserve">Scholarships French </w:t>
            </w:r>
            <w:proofErr w:type="spellStart"/>
            <w:r w:rsidRPr="00FD46B5">
              <w:rPr>
                <w:rFonts w:ascii="Arial" w:hAnsi="Arial" w:cs="Arial"/>
                <w:color w:val="595959" w:themeColor="text1" w:themeTint="A6"/>
                <w:sz w:val="16"/>
                <w:szCs w:val="16"/>
              </w:rPr>
              <w:t>Collectivities</w:t>
            </w:r>
            <w:proofErr w:type="spellEnd"/>
            <w:r w:rsidRPr="00FD46B5">
              <w:rPr>
                <w:rFonts w:ascii="Arial" w:hAnsi="Arial" w:cs="Arial"/>
                <w:color w:val="595959" w:themeColor="text1" w:themeTint="A6"/>
                <w:sz w:val="16"/>
                <w:szCs w:val="16"/>
              </w:rPr>
              <w:t xml:space="preserve"> ADS</w:t>
            </w:r>
          </w:p>
          <w:p w14:paraId="6304DC79"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4C8AEDF1"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$8m </w:t>
            </w:r>
          </w:p>
          <w:p w14:paraId="08D7042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2010-18 </w:t>
            </w:r>
          </w:p>
        </w:tc>
        <w:tc>
          <w:tcPr>
            <w:tcW w:w="416" w:type="pct"/>
          </w:tcPr>
          <w:p w14:paraId="3BC8131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0590D33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C000"/>
            <w:noWrap/>
            <w:vAlign w:val="bottom"/>
          </w:tcPr>
          <w:p w14:paraId="20039C8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4597CB3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6B5AF7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1BE288D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5CA8474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3EC3E20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53004E0"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9AEE44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57785D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555E54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4B4A289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7704FBF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1543AA1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5FE03EF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38DB8B8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59857E8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715501B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D70845" w:rsidRPr="00A427C6" w14:paraId="534CFC73"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E37EA26" w14:textId="77777777" w:rsidR="00500440" w:rsidRPr="00FD46B5" w:rsidRDefault="00500440" w:rsidP="00500440">
            <w:pPr>
              <w:rPr>
                <w:rFonts w:ascii="Arial" w:hAnsi="Arial" w:cs="Arial"/>
                <w:color w:val="595959" w:themeColor="text1" w:themeTint="A6"/>
                <w:sz w:val="16"/>
                <w:szCs w:val="16"/>
              </w:rPr>
            </w:pPr>
            <w:r w:rsidRPr="00FD46B5">
              <w:rPr>
                <w:rFonts w:ascii="Arial" w:hAnsi="Arial" w:cs="Arial"/>
                <w:color w:val="595959" w:themeColor="text1" w:themeTint="A6"/>
                <w:sz w:val="16"/>
                <w:szCs w:val="16"/>
              </w:rPr>
              <w:t>Climate and Oceans Support Program in the Pacific</w:t>
            </w:r>
          </w:p>
          <w:p w14:paraId="421EBFC5" w14:textId="77777777" w:rsidR="00500440" w:rsidRPr="00FD46B5" w:rsidRDefault="00500440" w:rsidP="00500440">
            <w:pPr>
              <w:rPr>
                <w:rFonts w:ascii="Arial" w:hAnsi="Arial" w:cs="Arial"/>
                <w:color w:val="595959" w:themeColor="text1" w:themeTint="A6"/>
                <w:sz w:val="16"/>
                <w:szCs w:val="16"/>
              </w:rPr>
            </w:pPr>
          </w:p>
        </w:tc>
        <w:tc>
          <w:tcPr>
            <w:tcW w:w="658" w:type="pct"/>
            <w:vMerge w:val="restart"/>
          </w:tcPr>
          <w:p w14:paraId="30AFCE18" w14:textId="77777777" w:rsidR="00500440" w:rsidRPr="00FD46B5" w:rsidRDefault="00500440" w:rsidP="00500440">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$34m </w:t>
            </w:r>
          </w:p>
          <w:p w14:paraId="63824D47" w14:textId="77777777" w:rsidR="00500440" w:rsidRPr="00FD46B5" w:rsidRDefault="00500440" w:rsidP="00500440">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2010-17 </w:t>
            </w:r>
          </w:p>
        </w:tc>
        <w:tc>
          <w:tcPr>
            <w:tcW w:w="416" w:type="pct"/>
          </w:tcPr>
          <w:p w14:paraId="18DB7F7A" w14:textId="77777777" w:rsidR="00500440" w:rsidRPr="00FD46B5" w:rsidRDefault="00500440" w:rsidP="00500440">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tcBorders>
              <w:bottom w:val="single" w:sz="4" w:space="0" w:color="auto"/>
            </w:tcBorders>
            <w:shd w:val="clear" w:color="auto" w:fill="92D050"/>
            <w:noWrap/>
            <w:vAlign w:val="bottom"/>
          </w:tcPr>
          <w:p w14:paraId="37B62744" w14:textId="04A99783" w:rsidR="00500440" w:rsidRDefault="00500440" w:rsidP="00500440">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620D1B2A" w14:textId="7F7F0E83" w:rsidR="00500440" w:rsidRDefault="00500440" w:rsidP="00500440">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2BD814B1" w14:textId="231E641A" w:rsidR="00500440" w:rsidRDefault="00500440" w:rsidP="00500440">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92D050"/>
            <w:noWrap/>
            <w:vAlign w:val="bottom"/>
          </w:tcPr>
          <w:p w14:paraId="1B9E9C80" w14:textId="77777777" w:rsidR="00500440" w:rsidRDefault="00500440" w:rsidP="00500440">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2EE697F1" w14:textId="77777777" w:rsidR="00500440" w:rsidRDefault="00500440" w:rsidP="00500440">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0000"/>
            <w:noWrap/>
            <w:vAlign w:val="bottom"/>
          </w:tcPr>
          <w:p w14:paraId="5F5FD04A" w14:textId="77777777" w:rsidR="00500440" w:rsidRDefault="00500440" w:rsidP="00500440">
            <w:pPr>
              <w:jc w:val="center"/>
              <w:rPr>
                <w:rFonts w:ascii="Arial" w:hAnsi="Arial" w:cs="Arial"/>
                <w:color w:val="000000"/>
                <w:sz w:val="16"/>
                <w:szCs w:val="16"/>
              </w:rPr>
            </w:pPr>
            <w:r>
              <w:rPr>
                <w:rFonts w:ascii="Arial" w:hAnsi="Arial" w:cs="Arial"/>
                <w:color w:val="000000"/>
                <w:sz w:val="16"/>
                <w:szCs w:val="16"/>
              </w:rPr>
              <w:t>2</w:t>
            </w:r>
          </w:p>
        </w:tc>
        <w:tc>
          <w:tcPr>
            <w:tcW w:w="412" w:type="pct"/>
            <w:shd w:val="clear" w:color="auto" w:fill="92D050"/>
            <w:vAlign w:val="bottom"/>
          </w:tcPr>
          <w:p w14:paraId="79C69B9E" w14:textId="77777777" w:rsidR="00500440" w:rsidRDefault="00500440" w:rsidP="00500440">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5346DA4A"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4B7DB1F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0209FE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EA2441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621B1FE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45A3394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21D955A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29B6A62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5F10130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0000"/>
            <w:noWrap/>
            <w:vAlign w:val="bottom"/>
          </w:tcPr>
          <w:p w14:paraId="06B6177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1</w:t>
            </w:r>
          </w:p>
        </w:tc>
        <w:tc>
          <w:tcPr>
            <w:tcW w:w="412" w:type="pct"/>
            <w:tcBorders>
              <w:bottom w:val="single" w:sz="4" w:space="0" w:color="auto"/>
            </w:tcBorders>
            <w:shd w:val="clear" w:color="auto" w:fill="92D050"/>
            <w:vAlign w:val="bottom"/>
          </w:tcPr>
          <w:p w14:paraId="12AEB44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12D76C42"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60312232"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Fisheries and Food Security - SPC</w:t>
            </w:r>
          </w:p>
          <w:p w14:paraId="57F9C5C8"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24257FE5"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$10m </w:t>
            </w:r>
          </w:p>
          <w:p w14:paraId="4DA83FC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2010-15 </w:t>
            </w:r>
          </w:p>
        </w:tc>
        <w:tc>
          <w:tcPr>
            <w:tcW w:w="416" w:type="pct"/>
          </w:tcPr>
          <w:p w14:paraId="4AA4332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184B21E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15617B3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57C1631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top w:val="single" w:sz="4" w:space="0" w:color="auto"/>
            </w:tcBorders>
            <w:shd w:val="clear" w:color="auto" w:fill="92D050"/>
            <w:noWrap/>
            <w:vAlign w:val="bottom"/>
          </w:tcPr>
          <w:p w14:paraId="31046A3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116A89A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3F30B4A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4A9009D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383D94C9"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D60D4F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6D6583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8037CE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18DC00A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4B12439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16B6C1E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7C3AA06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70285A3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571914C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783F877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6E11A43A"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2D81BCDC"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SPREP Partnership Agreement 2011-2015</w:t>
            </w:r>
          </w:p>
          <w:p w14:paraId="65371597"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D44419D"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$18m </w:t>
            </w:r>
          </w:p>
          <w:p w14:paraId="0E95CBE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2011-17 </w:t>
            </w:r>
          </w:p>
        </w:tc>
        <w:tc>
          <w:tcPr>
            <w:tcW w:w="416" w:type="pct"/>
          </w:tcPr>
          <w:p w14:paraId="23BC024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7EB15CA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C000"/>
            <w:noWrap/>
            <w:vAlign w:val="bottom"/>
          </w:tcPr>
          <w:p w14:paraId="753D39BA" w14:textId="14AF6B7B"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48DC8F8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507B0AB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1B5775D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05514F2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1B56DAB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215FE236"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5D627A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3BCF32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32CA3C0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136D860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6BBB77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11F1168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68FACF8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78F9342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0B51C30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bottom w:val="single" w:sz="4" w:space="0" w:color="auto"/>
            </w:tcBorders>
            <w:shd w:val="clear" w:color="auto" w:fill="92D050"/>
            <w:vAlign w:val="bottom"/>
          </w:tcPr>
          <w:p w14:paraId="5AB308A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0B7D8069"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675E889"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Tertiary Health Pacific Islands Project</w:t>
            </w:r>
          </w:p>
          <w:p w14:paraId="2466D572"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18172BB1"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$9m </w:t>
            </w:r>
          </w:p>
          <w:p w14:paraId="4BF3DE6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2011-16 </w:t>
            </w:r>
          </w:p>
        </w:tc>
        <w:tc>
          <w:tcPr>
            <w:tcW w:w="416" w:type="pct"/>
          </w:tcPr>
          <w:p w14:paraId="65A7B24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6D6EB1E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4AAC6EB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541F72E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5588431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6782992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183A582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11552BC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0C275ACB"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8B3ED1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599ABCD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204B036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78CF7AC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4AA74DF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0F66AC7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70F2F96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345658F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6F9F6A9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bottom w:val="single" w:sz="4" w:space="0" w:color="auto"/>
            </w:tcBorders>
            <w:shd w:val="clear" w:color="auto" w:fill="FFFF00"/>
            <w:vAlign w:val="bottom"/>
          </w:tcPr>
          <w:p w14:paraId="51C84C6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1601B65C"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4E160DCD"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Australia-Pacific Technical College Stage 2</w:t>
            </w:r>
          </w:p>
          <w:p w14:paraId="3F1C5DE5"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3E4AEDA9"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$242m </w:t>
            </w:r>
          </w:p>
          <w:p w14:paraId="5B8C539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2011-18 </w:t>
            </w:r>
          </w:p>
        </w:tc>
        <w:tc>
          <w:tcPr>
            <w:tcW w:w="416" w:type="pct"/>
          </w:tcPr>
          <w:p w14:paraId="316EE67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068B9E8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354D3ED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6F71895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71AF8FE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77303F9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92D050"/>
            <w:noWrap/>
            <w:vAlign w:val="bottom"/>
          </w:tcPr>
          <w:p w14:paraId="1104B0B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92D050"/>
            <w:vAlign w:val="bottom"/>
          </w:tcPr>
          <w:p w14:paraId="7BFC381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2FEC1D62"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5ABDAAC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94D9FC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71F8AA4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6BA95D1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5B64A8B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3FA8AC2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44E2095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2E8C79D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92D050"/>
            <w:noWrap/>
            <w:vAlign w:val="bottom"/>
          </w:tcPr>
          <w:p w14:paraId="5E2BDC6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tcBorders>
              <w:bottom w:val="single" w:sz="4" w:space="0" w:color="auto"/>
            </w:tcBorders>
            <w:shd w:val="clear" w:color="auto" w:fill="92D050"/>
            <w:vAlign w:val="bottom"/>
          </w:tcPr>
          <w:p w14:paraId="53B3B32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65B90EFE"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10300003"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Risk Resilience Program</w:t>
            </w:r>
          </w:p>
          <w:p w14:paraId="1C7D2A8A"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8D5B37F"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lastRenderedPageBreak/>
              <w:t xml:space="preserve">$20m </w:t>
            </w:r>
          </w:p>
          <w:p w14:paraId="0953CDE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lastRenderedPageBreak/>
              <w:t xml:space="preserve">2011-18 </w:t>
            </w:r>
          </w:p>
        </w:tc>
        <w:tc>
          <w:tcPr>
            <w:tcW w:w="416" w:type="pct"/>
          </w:tcPr>
          <w:p w14:paraId="6F0FDF2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lastRenderedPageBreak/>
              <w:t>2016 AQC</w:t>
            </w:r>
          </w:p>
        </w:tc>
        <w:tc>
          <w:tcPr>
            <w:tcW w:w="418" w:type="pct"/>
            <w:shd w:val="clear" w:color="auto" w:fill="92D050"/>
            <w:noWrap/>
            <w:vAlign w:val="bottom"/>
          </w:tcPr>
          <w:p w14:paraId="4EF1B8A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2A44FF4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3402649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5AD9E33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73EEF0E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309C96A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92D050"/>
            <w:vAlign w:val="bottom"/>
          </w:tcPr>
          <w:p w14:paraId="024D2CB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41E418AC"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07810E0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D04E92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4071749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5B93267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37377A0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6650128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28E3147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FFFF00"/>
            <w:noWrap/>
            <w:vAlign w:val="bottom"/>
          </w:tcPr>
          <w:p w14:paraId="2A95E4A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53712A4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376F3F8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7CD88514"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66934C08"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Women Shaping Pacific Development</w:t>
            </w:r>
          </w:p>
          <w:p w14:paraId="3BD8CF09"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78B56FA"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$196m </w:t>
            </w:r>
          </w:p>
          <w:p w14:paraId="07946BF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2012-22 </w:t>
            </w:r>
          </w:p>
        </w:tc>
        <w:tc>
          <w:tcPr>
            <w:tcW w:w="416" w:type="pct"/>
          </w:tcPr>
          <w:p w14:paraId="63FED6F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4288D13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15CDFF0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1ABD41D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699321C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92D050"/>
            <w:noWrap/>
            <w:vAlign w:val="bottom"/>
          </w:tcPr>
          <w:p w14:paraId="4C83BF3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754C48D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shd w:val="clear" w:color="auto" w:fill="FFFF00"/>
            <w:vAlign w:val="bottom"/>
          </w:tcPr>
          <w:p w14:paraId="0A94785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2952E99"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9763F50"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68679B0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9B359D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208BA34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2804419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4654694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2F57066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389DA02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12166A0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4" w:space="0" w:color="auto"/>
            </w:tcBorders>
            <w:shd w:val="clear" w:color="auto" w:fill="FFFF00"/>
            <w:vAlign w:val="bottom"/>
          </w:tcPr>
          <w:p w14:paraId="00EEC20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D59342D"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1029910F"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Specialised Clinical Services</w:t>
            </w:r>
          </w:p>
          <w:p w14:paraId="25AE937D"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355CEE3D"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$4m </w:t>
            </w:r>
          </w:p>
          <w:p w14:paraId="492C6D1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2011-16 </w:t>
            </w:r>
          </w:p>
        </w:tc>
        <w:tc>
          <w:tcPr>
            <w:tcW w:w="416" w:type="pct"/>
          </w:tcPr>
          <w:p w14:paraId="4862819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FFFF00"/>
            <w:noWrap/>
            <w:vAlign w:val="bottom"/>
          </w:tcPr>
          <w:p w14:paraId="061192F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6B3EACF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5E7D9CC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13F34D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77F82DE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0705F66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shd w:val="clear" w:color="auto" w:fill="FFFF00"/>
            <w:vAlign w:val="bottom"/>
          </w:tcPr>
          <w:p w14:paraId="0AC9734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7D09E70"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2338F1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5F046E9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48139AE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3329858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5AF4531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6A23E13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7D8492C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61FF261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146640A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bottom w:val="single" w:sz="4" w:space="0" w:color="auto"/>
            </w:tcBorders>
            <w:shd w:val="clear" w:color="auto" w:fill="FFFF00"/>
            <w:vAlign w:val="bottom"/>
          </w:tcPr>
          <w:p w14:paraId="31CB859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38E0EAD4"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495B0B73"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Public Administration Governance Imitative</w:t>
            </w:r>
          </w:p>
          <w:p w14:paraId="44D30FAC"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700D0B9A"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$9m </w:t>
            </w:r>
          </w:p>
          <w:p w14:paraId="3F83162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2014-17 </w:t>
            </w:r>
          </w:p>
        </w:tc>
        <w:tc>
          <w:tcPr>
            <w:tcW w:w="416" w:type="pct"/>
          </w:tcPr>
          <w:p w14:paraId="22F5656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3B3F0F3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7D373D5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C000"/>
            <w:noWrap/>
            <w:vAlign w:val="bottom"/>
          </w:tcPr>
          <w:p w14:paraId="4B3931AF" w14:textId="54DC68BC"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5" w:type="pct"/>
            <w:shd w:val="clear" w:color="auto" w:fill="FFFF00"/>
            <w:noWrap/>
            <w:vAlign w:val="bottom"/>
          </w:tcPr>
          <w:p w14:paraId="6C33E2C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1D91100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0000"/>
            <w:noWrap/>
            <w:vAlign w:val="bottom"/>
          </w:tcPr>
          <w:p w14:paraId="61213EC0" w14:textId="064FBB50" w:rsidR="007D5E16" w:rsidRDefault="00E91F8C" w:rsidP="00573C79">
            <w:pPr>
              <w:jc w:val="center"/>
              <w:rPr>
                <w:rFonts w:ascii="Arial" w:hAnsi="Arial" w:cs="Arial"/>
                <w:color w:val="000000"/>
                <w:sz w:val="16"/>
                <w:szCs w:val="16"/>
              </w:rPr>
            </w:pPr>
            <w:r>
              <w:rPr>
                <w:rFonts w:ascii="Arial" w:hAnsi="Arial" w:cs="Arial"/>
                <w:color w:val="000000"/>
                <w:sz w:val="16"/>
                <w:szCs w:val="16"/>
              </w:rPr>
              <w:t>2</w:t>
            </w:r>
          </w:p>
        </w:tc>
        <w:tc>
          <w:tcPr>
            <w:tcW w:w="412" w:type="pct"/>
            <w:shd w:val="clear" w:color="auto" w:fill="FFC000"/>
            <w:vAlign w:val="bottom"/>
          </w:tcPr>
          <w:p w14:paraId="537133E6" w14:textId="305F12BF"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5247C45D"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279D8C8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6225C647"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E346F7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1CA490E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C000"/>
            <w:noWrap/>
            <w:vAlign w:val="bottom"/>
          </w:tcPr>
          <w:p w14:paraId="7058C17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FFFF00"/>
            <w:noWrap/>
            <w:vAlign w:val="bottom"/>
          </w:tcPr>
          <w:p w14:paraId="1803E01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67B943D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FFC000"/>
            <w:noWrap/>
            <w:vAlign w:val="bottom"/>
          </w:tcPr>
          <w:p w14:paraId="496CC61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5" w:type="pct"/>
            <w:tcBorders>
              <w:bottom w:val="single" w:sz="4" w:space="0" w:color="auto"/>
            </w:tcBorders>
            <w:shd w:val="clear" w:color="auto" w:fill="FF0000"/>
            <w:noWrap/>
            <w:vAlign w:val="bottom"/>
          </w:tcPr>
          <w:p w14:paraId="6CF7DC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2</w:t>
            </w:r>
          </w:p>
        </w:tc>
        <w:tc>
          <w:tcPr>
            <w:tcW w:w="412" w:type="pct"/>
            <w:tcBorders>
              <w:bottom w:val="single" w:sz="4" w:space="0" w:color="auto"/>
            </w:tcBorders>
            <w:shd w:val="clear" w:color="auto" w:fill="FFFF00"/>
            <w:vAlign w:val="bottom"/>
          </w:tcPr>
          <w:p w14:paraId="7BDFC2F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52492AB4"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26451202"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 xml:space="preserve">International Finance Corporation Pacific </w:t>
            </w:r>
            <w:proofErr w:type="spellStart"/>
            <w:r w:rsidRPr="00FD46B5">
              <w:rPr>
                <w:rFonts w:ascii="Arial" w:hAnsi="Arial" w:cs="Arial"/>
                <w:color w:val="595959" w:themeColor="text1" w:themeTint="A6"/>
                <w:sz w:val="16"/>
                <w:szCs w:val="16"/>
              </w:rPr>
              <w:t>E.Timor</w:t>
            </w:r>
            <w:proofErr w:type="spellEnd"/>
          </w:p>
          <w:p w14:paraId="42D0919F"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566F51C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$24m </w:t>
            </w:r>
          </w:p>
          <w:p w14:paraId="07A066E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2012-18 </w:t>
            </w:r>
          </w:p>
        </w:tc>
        <w:tc>
          <w:tcPr>
            <w:tcW w:w="416" w:type="pct"/>
          </w:tcPr>
          <w:p w14:paraId="2F9792B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64E358A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00CDF6E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7885169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24C16F1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2BCE78B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2AFA4F1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92D050"/>
            <w:vAlign w:val="bottom"/>
          </w:tcPr>
          <w:p w14:paraId="5FB8DED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48173C47"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5BF8245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5997EFF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34DE551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507406B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0E32516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3B69BBB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6253AA3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3EB592B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56CA39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4" w:space="0" w:color="auto"/>
            </w:tcBorders>
            <w:shd w:val="clear" w:color="auto" w:fill="92D050"/>
            <w:vAlign w:val="bottom"/>
          </w:tcPr>
          <w:p w14:paraId="2714128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39BBAE32"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3E703FF7"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Regional Health Strategy</w:t>
            </w:r>
          </w:p>
          <w:p w14:paraId="7352CE34"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4ABD9B2C"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$37m </w:t>
            </w:r>
          </w:p>
          <w:p w14:paraId="66F6D19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2013-21 </w:t>
            </w:r>
          </w:p>
        </w:tc>
        <w:tc>
          <w:tcPr>
            <w:tcW w:w="416" w:type="pct"/>
          </w:tcPr>
          <w:p w14:paraId="25D4135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3F7610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5453052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0FF9129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5" w:type="pct"/>
            <w:shd w:val="clear" w:color="auto" w:fill="FFFF00"/>
            <w:noWrap/>
            <w:vAlign w:val="bottom"/>
          </w:tcPr>
          <w:p w14:paraId="614BF76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3A5E6F7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53E66A7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499023D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318E5E44"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70168BC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2BFC51E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9DF5FF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8" w:type="pct"/>
            <w:tcBorders>
              <w:bottom w:val="single" w:sz="4" w:space="0" w:color="auto"/>
            </w:tcBorders>
            <w:shd w:val="clear" w:color="auto" w:fill="auto"/>
            <w:noWrap/>
            <w:vAlign w:val="bottom"/>
          </w:tcPr>
          <w:p w14:paraId="59706389"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47A76772" w14:textId="77777777" w:rsidR="007D5E16" w:rsidRDefault="007D5E16" w:rsidP="00573C79">
            <w:pPr>
              <w:jc w:val="center"/>
              <w:rPr>
                <w:rFonts w:ascii="Arial" w:hAnsi="Arial" w:cs="Arial"/>
                <w:color w:val="000000"/>
                <w:sz w:val="16"/>
                <w:szCs w:val="16"/>
              </w:rPr>
            </w:pPr>
          </w:p>
        </w:tc>
        <w:tc>
          <w:tcPr>
            <w:tcW w:w="418" w:type="pct"/>
            <w:tcBorders>
              <w:bottom w:val="single" w:sz="4" w:space="0" w:color="auto"/>
            </w:tcBorders>
            <w:shd w:val="clear" w:color="auto" w:fill="auto"/>
            <w:noWrap/>
            <w:vAlign w:val="bottom"/>
          </w:tcPr>
          <w:p w14:paraId="7C3850BC"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177E31B6" w14:textId="77777777" w:rsidR="007D5E16" w:rsidRDefault="007D5E16" w:rsidP="00573C79">
            <w:pPr>
              <w:jc w:val="center"/>
              <w:rPr>
                <w:rFonts w:ascii="Arial" w:hAnsi="Arial" w:cs="Arial"/>
                <w:color w:val="000000"/>
                <w:sz w:val="16"/>
                <w:szCs w:val="16"/>
              </w:rPr>
            </w:pPr>
          </w:p>
        </w:tc>
        <w:tc>
          <w:tcPr>
            <w:tcW w:w="418" w:type="pct"/>
            <w:tcBorders>
              <w:bottom w:val="single" w:sz="4" w:space="0" w:color="auto"/>
            </w:tcBorders>
            <w:shd w:val="clear" w:color="auto" w:fill="auto"/>
            <w:noWrap/>
            <w:vAlign w:val="bottom"/>
          </w:tcPr>
          <w:p w14:paraId="5F45DEDE"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1683DCFE" w14:textId="77777777" w:rsidR="007D5E16" w:rsidRDefault="007D5E16" w:rsidP="00573C79">
            <w:pPr>
              <w:jc w:val="center"/>
              <w:rPr>
                <w:rFonts w:ascii="Arial" w:hAnsi="Arial" w:cs="Arial"/>
                <w:color w:val="000000"/>
                <w:sz w:val="16"/>
                <w:szCs w:val="16"/>
              </w:rPr>
            </w:pPr>
          </w:p>
        </w:tc>
        <w:tc>
          <w:tcPr>
            <w:tcW w:w="412" w:type="pct"/>
            <w:tcBorders>
              <w:bottom w:val="single" w:sz="4" w:space="0" w:color="auto"/>
            </w:tcBorders>
            <w:shd w:val="clear" w:color="auto" w:fill="auto"/>
            <w:vAlign w:val="bottom"/>
          </w:tcPr>
          <w:p w14:paraId="5BC1B6CB" w14:textId="77777777" w:rsidR="007D5E16" w:rsidRDefault="007D5E16" w:rsidP="00573C79">
            <w:pPr>
              <w:jc w:val="center"/>
              <w:rPr>
                <w:rFonts w:ascii="Arial" w:hAnsi="Arial" w:cs="Arial"/>
                <w:color w:val="000000"/>
                <w:sz w:val="16"/>
                <w:szCs w:val="16"/>
              </w:rPr>
            </w:pPr>
          </w:p>
        </w:tc>
      </w:tr>
      <w:tr w:rsidR="007D5E16" w:rsidRPr="00A427C6" w14:paraId="2B07E2E5"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3DC32C59"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Private Sector Development Initiative Phase 3</w:t>
            </w:r>
          </w:p>
          <w:p w14:paraId="03891D6A"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3E3A1F2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$24m </w:t>
            </w:r>
          </w:p>
          <w:p w14:paraId="56C93AF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2013-19 </w:t>
            </w:r>
          </w:p>
        </w:tc>
        <w:tc>
          <w:tcPr>
            <w:tcW w:w="416" w:type="pct"/>
          </w:tcPr>
          <w:p w14:paraId="00E7C08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5D156E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5B00AD2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4400459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597A1B6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3C791F3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0DAE9B8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7E91662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214C7A62"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8983C0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344251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8500546"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10E73C6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1205EDF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088660A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2636337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0862404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3C4936B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5FC4F08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7C531D60"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0DFFC770"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Tertiary education and support activities</w:t>
            </w:r>
          </w:p>
          <w:p w14:paraId="2892D241"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2398D4CB"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$4m </w:t>
            </w:r>
          </w:p>
          <w:p w14:paraId="392826A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2015-17 </w:t>
            </w:r>
          </w:p>
        </w:tc>
        <w:tc>
          <w:tcPr>
            <w:tcW w:w="416" w:type="pct"/>
          </w:tcPr>
          <w:p w14:paraId="54604D6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FFFF00"/>
            <w:noWrap/>
            <w:vAlign w:val="bottom"/>
          </w:tcPr>
          <w:p w14:paraId="0D87509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1B2BDD0B" w14:textId="579E341D"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7CCBB23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2D80727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33B44FE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276ABA8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shd w:val="clear" w:color="auto" w:fill="FFC000"/>
            <w:vAlign w:val="bottom"/>
          </w:tcPr>
          <w:p w14:paraId="44834DF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45DD9D1E"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B9AD680"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1E23B24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A7A6BE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8" w:type="pct"/>
            <w:tcBorders>
              <w:bottom w:val="single" w:sz="4" w:space="0" w:color="auto"/>
            </w:tcBorders>
            <w:shd w:val="clear" w:color="auto" w:fill="auto"/>
            <w:noWrap/>
            <w:vAlign w:val="bottom"/>
          </w:tcPr>
          <w:p w14:paraId="258BA77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79A51CF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4E54C5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25366CB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33F4CD3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5171AE0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2" w:type="pct"/>
            <w:tcBorders>
              <w:bottom w:val="single" w:sz="4" w:space="0" w:color="auto"/>
            </w:tcBorders>
            <w:shd w:val="clear" w:color="auto" w:fill="auto"/>
            <w:vAlign w:val="bottom"/>
          </w:tcPr>
          <w:p w14:paraId="112EA78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r>
      <w:tr w:rsidR="007D5E16" w:rsidRPr="00A427C6" w14:paraId="66057EF5"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61E14EC7"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World Bank Pacific Facility 4</w:t>
            </w:r>
          </w:p>
          <w:p w14:paraId="1B98220E"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365F2CEE"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$30m </w:t>
            </w:r>
          </w:p>
          <w:p w14:paraId="7C4B88F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2013-18 </w:t>
            </w:r>
          </w:p>
        </w:tc>
        <w:tc>
          <w:tcPr>
            <w:tcW w:w="416" w:type="pct"/>
          </w:tcPr>
          <w:p w14:paraId="78D34CA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D301DC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19F3FC7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4028530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6605A3B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016730A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6EC12EF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0434509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5889436C"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7BE47AB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0745503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922562C"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05509ED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00E980A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18FA7B5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5C5B64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3932D1B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6DA397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37FF4F1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5D94CB7F"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24EC76EE"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Business Fund</w:t>
            </w:r>
          </w:p>
          <w:p w14:paraId="1E9B4322"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456B2B7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lastRenderedPageBreak/>
              <w:t xml:space="preserve">$15m </w:t>
            </w:r>
          </w:p>
          <w:p w14:paraId="3B6E81D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lastRenderedPageBreak/>
              <w:t xml:space="preserve">2013-20 </w:t>
            </w:r>
          </w:p>
        </w:tc>
        <w:tc>
          <w:tcPr>
            <w:tcW w:w="416" w:type="pct"/>
          </w:tcPr>
          <w:p w14:paraId="1976FAC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lastRenderedPageBreak/>
              <w:t>2016 AQC</w:t>
            </w:r>
          </w:p>
        </w:tc>
        <w:tc>
          <w:tcPr>
            <w:tcW w:w="418" w:type="pct"/>
            <w:shd w:val="clear" w:color="auto" w:fill="92D050"/>
            <w:noWrap/>
            <w:vAlign w:val="bottom"/>
          </w:tcPr>
          <w:p w14:paraId="047E911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068FC93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5526F18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92D050"/>
            <w:noWrap/>
            <w:vAlign w:val="bottom"/>
          </w:tcPr>
          <w:p w14:paraId="520C00B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318422F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92D050"/>
            <w:noWrap/>
            <w:vAlign w:val="bottom"/>
          </w:tcPr>
          <w:p w14:paraId="353DC68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shd w:val="clear" w:color="auto" w:fill="92D050"/>
            <w:vAlign w:val="bottom"/>
          </w:tcPr>
          <w:p w14:paraId="1DF510D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43AB1855"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04F9F7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9A5EB1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D383D5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auto"/>
            <w:noWrap/>
            <w:vAlign w:val="bottom"/>
          </w:tcPr>
          <w:p w14:paraId="21966C8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22CD5D5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3B83A41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443A97A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16D92D0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24A117F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2" w:type="pct"/>
            <w:tcBorders>
              <w:bottom w:val="single" w:sz="4" w:space="0" w:color="auto"/>
            </w:tcBorders>
            <w:shd w:val="clear" w:color="auto" w:fill="auto"/>
            <w:vAlign w:val="bottom"/>
          </w:tcPr>
          <w:p w14:paraId="5321684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r>
      <w:tr w:rsidR="007D5E16" w:rsidRPr="00A427C6" w14:paraId="580ACCF8"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15D13DDD" w14:textId="77777777" w:rsidR="007D5E16" w:rsidRPr="00FD46B5" w:rsidRDefault="007D5E16" w:rsidP="00573C79">
            <w:pPr>
              <w:rPr>
                <w:rFonts w:ascii="Arial" w:hAnsi="Arial" w:cs="Arial"/>
                <w:color w:val="595959" w:themeColor="text1" w:themeTint="A6"/>
                <w:sz w:val="16"/>
                <w:szCs w:val="16"/>
              </w:rPr>
            </w:pPr>
            <w:proofErr w:type="spellStart"/>
            <w:r w:rsidRPr="00FD46B5">
              <w:rPr>
                <w:rFonts w:ascii="Arial" w:hAnsi="Arial" w:cs="Arial"/>
                <w:color w:val="595959" w:themeColor="text1" w:themeTint="A6"/>
                <w:sz w:val="16"/>
                <w:szCs w:val="16"/>
              </w:rPr>
              <w:t>Aust</w:t>
            </w:r>
            <w:proofErr w:type="spellEnd"/>
            <w:r w:rsidRPr="00FD46B5">
              <w:rPr>
                <w:rFonts w:ascii="Arial" w:hAnsi="Arial" w:cs="Arial"/>
                <w:color w:val="595959" w:themeColor="text1" w:themeTint="A6"/>
                <w:sz w:val="16"/>
                <w:szCs w:val="16"/>
              </w:rPr>
              <w:t xml:space="preserve"> Awards Pacific Scholarships - 2014 Intake</w:t>
            </w:r>
          </w:p>
          <w:p w14:paraId="173EF79E"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65AE21F1"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$12m </w:t>
            </w:r>
          </w:p>
          <w:p w14:paraId="6459079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2013-21 </w:t>
            </w:r>
          </w:p>
        </w:tc>
        <w:tc>
          <w:tcPr>
            <w:tcW w:w="416" w:type="pct"/>
          </w:tcPr>
          <w:p w14:paraId="468450E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D20276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3594557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169F6EC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7D6A8DA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92D050"/>
            <w:noWrap/>
            <w:vAlign w:val="bottom"/>
          </w:tcPr>
          <w:p w14:paraId="7BC84D8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4E5401F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07DD838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38769225"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1662F8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3839CA9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1C1E1BC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4A1CBD7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4B9C869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C000"/>
            <w:noWrap/>
            <w:vAlign w:val="bottom"/>
          </w:tcPr>
          <w:p w14:paraId="4EE365C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5" w:type="pct"/>
            <w:tcBorders>
              <w:bottom w:val="single" w:sz="4" w:space="0" w:color="auto"/>
            </w:tcBorders>
            <w:shd w:val="clear" w:color="auto" w:fill="FFC000"/>
            <w:noWrap/>
            <w:vAlign w:val="bottom"/>
          </w:tcPr>
          <w:p w14:paraId="04C576B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92D050"/>
            <w:noWrap/>
            <w:vAlign w:val="bottom"/>
          </w:tcPr>
          <w:p w14:paraId="26680D0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00C837A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tcBorders>
              <w:bottom w:val="single" w:sz="4" w:space="0" w:color="auto"/>
            </w:tcBorders>
            <w:shd w:val="clear" w:color="auto" w:fill="92D050"/>
            <w:vAlign w:val="bottom"/>
          </w:tcPr>
          <w:p w14:paraId="1C0CF74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26763670"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37D15B63"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Leadership Program Phase 3</w:t>
            </w:r>
          </w:p>
          <w:p w14:paraId="75ABC120"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591CD27F"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$16m </w:t>
            </w:r>
          </w:p>
          <w:p w14:paraId="41C4454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2014-17 </w:t>
            </w:r>
          </w:p>
        </w:tc>
        <w:tc>
          <w:tcPr>
            <w:tcW w:w="416" w:type="pct"/>
          </w:tcPr>
          <w:p w14:paraId="21A37BC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17D0753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332D4C0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6BCA268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453499D4" w14:textId="2A1CF68F"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0DFE27D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6A4C3EE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FFFF00"/>
            <w:vAlign w:val="bottom"/>
          </w:tcPr>
          <w:p w14:paraId="0A16C452" w14:textId="5BB9FD32" w:rsidR="007D5E16" w:rsidRDefault="00E91F8C"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5223E912"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2013267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19B6F9B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1B96EFEC"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087EEFA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08BD898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6A50E28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C000"/>
            <w:noWrap/>
            <w:vAlign w:val="bottom"/>
          </w:tcPr>
          <w:p w14:paraId="3C0FCFA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92D050"/>
            <w:noWrap/>
            <w:vAlign w:val="bottom"/>
          </w:tcPr>
          <w:p w14:paraId="459F103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023EDFB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2" w:type="pct"/>
            <w:tcBorders>
              <w:bottom w:val="single" w:sz="4" w:space="0" w:color="auto"/>
            </w:tcBorders>
            <w:shd w:val="clear" w:color="auto" w:fill="92D050"/>
            <w:vAlign w:val="bottom"/>
          </w:tcPr>
          <w:p w14:paraId="4118092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7874159A"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46B14875"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SPC - GOA Partnership for Pacific Regionalism</w:t>
            </w:r>
          </w:p>
          <w:p w14:paraId="1A358015"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117F555D"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$51m </w:t>
            </w:r>
          </w:p>
          <w:p w14:paraId="5CFA78F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2014-17 </w:t>
            </w:r>
          </w:p>
        </w:tc>
        <w:tc>
          <w:tcPr>
            <w:tcW w:w="416" w:type="pct"/>
          </w:tcPr>
          <w:p w14:paraId="0FFEC38B"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3BA066F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139BDA4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FFFF00"/>
            <w:noWrap/>
            <w:vAlign w:val="bottom"/>
          </w:tcPr>
          <w:p w14:paraId="5D1235A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1EA2242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92D050"/>
            <w:noWrap/>
            <w:vAlign w:val="bottom"/>
          </w:tcPr>
          <w:p w14:paraId="4D520B7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C000"/>
            <w:noWrap/>
            <w:vAlign w:val="bottom"/>
          </w:tcPr>
          <w:p w14:paraId="5F8EB48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shd w:val="clear" w:color="auto" w:fill="FFC000"/>
            <w:vAlign w:val="bottom"/>
          </w:tcPr>
          <w:p w14:paraId="00AFEF1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04D5442F"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186DA36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41220EAA"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29979B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64DEE87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92D050"/>
            <w:noWrap/>
            <w:vAlign w:val="bottom"/>
          </w:tcPr>
          <w:p w14:paraId="5688597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FFFF00"/>
            <w:noWrap/>
            <w:vAlign w:val="bottom"/>
          </w:tcPr>
          <w:p w14:paraId="47DE2F2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C000"/>
            <w:noWrap/>
            <w:vAlign w:val="bottom"/>
          </w:tcPr>
          <w:p w14:paraId="31C4F3F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92D050"/>
            <w:noWrap/>
            <w:vAlign w:val="bottom"/>
          </w:tcPr>
          <w:p w14:paraId="6BCF448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C000"/>
            <w:noWrap/>
            <w:vAlign w:val="bottom"/>
          </w:tcPr>
          <w:p w14:paraId="0985096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bottom w:val="single" w:sz="4" w:space="0" w:color="auto"/>
            </w:tcBorders>
            <w:shd w:val="clear" w:color="auto" w:fill="FFC000"/>
            <w:vAlign w:val="bottom"/>
          </w:tcPr>
          <w:p w14:paraId="4FC6486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50371940"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04A5769A" w14:textId="77777777" w:rsidR="007D5E16" w:rsidRPr="00FD46B5" w:rsidRDefault="007D5E16" w:rsidP="00573C79">
            <w:pPr>
              <w:rPr>
                <w:rFonts w:ascii="Arial" w:hAnsi="Arial" w:cs="Arial"/>
                <w:color w:val="595959" w:themeColor="text1" w:themeTint="A6"/>
                <w:sz w:val="16"/>
                <w:szCs w:val="16"/>
              </w:rPr>
            </w:pPr>
            <w:proofErr w:type="spellStart"/>
            <w:r w:rsidRPr="00FD46B5">
              <w:rPr>
                <w:rFonts w:ascii="Arial" w:hAnsi="Arial" w:cs="Arial"/>
                <w:color w:val="595959" w:themeColor="text1" w:themeTint="A6"/>
                <w:sz w:val="16"/>
                <w:szCs w:val="16"/>
              </w:rPr>
              <w:t>GoA</w:t>
            </w:r>
            <w:proofErr w:type="spellEnd"/>
            <w:r w:rsidRPr="00FD46B5">
              <w:rPr>
                <w:rFonts w:ascii="Arial" w:hAnsi="Arial" w:cs="Arial"/>
                <w:color w:val="595959" w:themeColor="text1" w:themeTint="A6"/>
                <w:sz w:val="16"/>
                <w:szCs w:val="16"/>
              </w:rPr>
              <w:t>-PIFS Partnership 2014-2019</w:t>
            </w:r>
          </w:p>
          <w:p w14:paraId="5AC395E9"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1C5AECAE"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$28m </w:t>
            </w:r>
          </w:p>
          <w:p w14:paraId="67368B4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2014-18 </w:t>
            </w:r>
          </w:p>
        </w:tc>
        <w:tc>
          <w:tcPr>
            <w:tcW w:w="416" w:type="pct"/>
          </w:tcPr>
          <w:p w14:paraId="328AFCB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190EAA7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C000"/>
            <w:noWrap/>
            <w:vAlign w:val="bottom"/>
          </w:tcPr>
          <w:p w14:paraId="62AF505B" w14:textId="5D5577EA"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7AAA8FD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C000"/>
            <w:noWrap/>
            <w:vAlign w:val="bottom"/>
          </w:tcPr>
          <w:p w14:paraId="7C5C402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C000"/>
            <w:noWrap/>
            <w:vAlign w:val="bottom"/>
          </w:tcPr>
          <w:p w14:paraId="7A171D44" w14:textId="32475028"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5" w:type="pct"/>
            <w:shd w:val="clear" w:color="auto" w:fill="FFC000"/>
            <w:noWrap/>
            <w:vAlign w:val="bottom"/>
          </w:tcPr>
          <w:p w14:paraId="63CAC3F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shd w:val="clear" w:color="auto" w:fill="FFFF00"/>
            <w:vAlign w:val="bottom"/>
          </w:tcPr>
          <w:p w14:paraId="74CBF9B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3665D68C"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6CD0823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161F78C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50684DC4"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4C7C473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C000"/>
            <w:noWrap/>
            <w:vAlign w:val="bottom"/>
          </w:tcPr>
          <w:p w14:paraId="56C61D1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8" w:type="pct"/>
            <w:tcBorders>
              <w:bottom w:val="single" w:sz="4" w:space="0" w:color="auto"/>
            </w:tcBorders>
            <w:shd w:val="clear" w:color="auto" w:fill="FFFF00"/>
            <w:noWrap/>
            <w:vAlign w:val="bottom"/>
          </w:tcPr>
          <w:p w14:paraId="0956059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0000"/>
            <w:noWrap/>
            <w:vAlign w:val="bottom"/>
          </w:tcPr>
          <w:p w14:paraId="4420773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2</w:t>
            </w:r>
          </w:p>
        </w:tc>
        <w:tc>
          <w:tcPr>
            <w:tcW w:w="418" w:type="pct"/>
            <w:tcBorders>
              <w:bottom w:val="single" w:sz="4" w:space="0" w:color="auto"/>
            </w:tcBorders>
            <w:shd w:val="clear" w:color="auto" w:fill="FFFF00"/>
            <w:noWrap/>
            <w:vAlign w:val="bottom"/>
          </w:tcPr>
          <w:p w14:paraId="2C89AC1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tcBorders>
              <w:bottom w:val="single" w:sz="4" w:space="0" w:color="auto"/>
            </w:tcBorders>
            <w:shd w:val="clear" w:color="auto" w:fill="FFFF00"/>
            <w:noWrap/>
            <w:vAlign w:val="bottom"/>
          </w:tcPr>
          <w:p w14:paraId="389C53B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FFC000"/>
            <w:vAlign w:val="bottom"/>
          </w:tcPr>
          <w:p w14:paraId="6044470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r>
      <w:tr w:rsidR="007D5E16" w:rsidRPr="00A427C6" w14:paraId="3E43F6AF" w14:textId="77777777" w:rsidTr="00D70845">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7BE48E20"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Pacific Regional Organisations Facility</w:t>
            </w:r>
          </w:p>
          <w:p w14:paraId="0A2D5697"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085FA72A"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$5m </w:t>
            </w:r>
          </w:p>
          <w:p w14:paraId="589CB499"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2014-16 </w:t>
            </w:r>
          </w:p>
        </w:tc>
        <w:tc>
          <w:tcPr>
            <w:tcW w:w="416" w:type="pct"/>
          </w:tcPr>
          <w:p w14:paraId="0EC9303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574B97A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0A04D9A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C000"/>
            <w:noWrap/>
            <w:vAlign w:val="bottom"/>
          </w:tcPr>
          <w:p w14:paraId="771F81AF" w14:textId="005088A1"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5" w:type="pct"/>
            <w:shd w:val="clear" w:color="auto" w:fill="FFC000"/>
            <w:noWrap/>
            <w:vAlign w:val="bottom"/>
          </w:tcPr>
          <w:p w14:paraId="0EBF0D7D" w14:textId="4E3BDAC9"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8" w:type="pct"/>
            <w:shd w:val="clear" w:color="auto" w:fill="FFFF00"/>
            <w:noWrap/>
            <w:vAlign w:val="bottom"/>
          </w:tcPr>
          <w:p w14:paraId="5275321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0000"/>
            <w:noWrap/>
            <w:vAlign w:val="bottom"/>
          </w:tcPr>
          <w:p w14:paraId="750EEF8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2</w:t>
            </w:r>
          </w:p>
        </w:tc>
        <w:tc>
          <w:tcPr>
            <w:tcW w:w="412" w:type="pct"/>
            <w:shd w:val="clear" w:color="auto" w:fill="FFFF00"/>
            <w:vAlign w:val="bottom"/>
          </w:tcPr>
          <w:p w14:paraId="5908B63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A427C6" w14:paraId="601D326A"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505B7E1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61008B52"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CEDC29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8" w:type="pct"/>
            <w:tcBorders>
              <w:bottom w:val="single" w:sz="4" w:space="0" w:color="auto"/>
            </w:tcBorders>
            <w:shd w:val="clear" w:color="auto" w:fill="auto"/>
            <w:noWrap/>
            <w:vAlign w:val="bottom"/>
          </w:tcPr>
          <w:p w14:paraId="785034E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380BB9A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34DED74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63F55F7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8" w:type="pct"/>
            <w:tcBorders>
              <w:bottom w:val="single" w:sz="4" w:space="0" w:color="auto"/>
            </w:tcBorders>
            <w:shd w:val="clear" w:color="auto" w:fill="auto"/>
            <w:noWrap/>
            <w:vAlign w:val="bottom"/>
          </w:tcPr>
          <w:p w14:paraId="575C133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5" w:type="pct"/>
            <w:tcBorders>
              <w:bottom w:val="single" w:sz="4" w:space="0" w:color="auto"/>
            </w:tcBorders>
            <w:shd w:val="clear" w:color="auto" w:fill="auto"/>
            <w:noWrap/>
            <w:vAlign w:val="bottom"/>
          </w:tcPr>
          <w:p w14:paraId="0259637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c>
          <w:tcPr>
            <w:tcW w:w="412" w:type="pct"/>
            <w:tcBorders>
              <w:bottom w:val="single" w:sz="4" w:space="0" w:color="auto"/>
            </w:tcBorders>
            <w:shd w:val="clear" w:color="auto" w:fill="auto"/>
            <w:vAlign w:val="bottom"/>
          </w:tcPr>
          <w:p w14:paraId="3A4ABC0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 </w:t>
            </w:r>
          </w:p>
        </w:tc>
      </w:tr>
      <w:tr w:rsidR="007D5E16" w:rsidRPr="00A427C6" w14:paraId="103A9463"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5B23E85E"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UNICEF Pacific Child Protection Program 2014-2017</w:t>
            </w:r>
          </w:p>
          <w:p w14:paraId="0B965284"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20E848CE"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$7m </w:t>
            </w:r>
          </w:p>
          <w:p w14:paraId="0A3DB8D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2014-18 </w:t>
            </w:r>
          </w:p>
        </w:tc>
        <w:tc>
          <w:tcPr>
            <w:tcW w:w="416" w:type="pct"/>
          </w:tcPr>
          <w:p w14:paraId="7CE7E351"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67089FD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shd w:val="clear" w:color="auto" w:fill="92D050"/>
            <w:noWrap/>
            <w:vAlign w:val="bottom"/>
          </w:tcPr>
          <w:p w14:paraId="50EA1B2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shd w:val="clear" w:color="auto" w:fill="92D050"/>
            <w:noWrap/>
            <w:vAlign w:val="bottom"/>
          </w:tcPr>
          <w:p w14:paraId="4021A68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65FD60D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92D050"/>
            <w:noWrap/>
            <w:vAlign w:val="bottom"/>
          </w:tcPr>
          <w:p w14:paraId="4478872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5EE67AE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4B04BFB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r>
      <w:tr w:rsidR="007D5E16" w:rsidRPr="00A427C6" w14:paraId="33383D94"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25B5E7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76433C5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0C6FACC8"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2015 AQC</w:t>
            </w:r>
          </w:p>
        </w:tc>
        <w:tc>
          <w:tcPr>
            <w:tcW w:w="418" w:type="pct"/>
            <w:tcBorders>
              <w:bottom w:val="single" w:sz="4" w:space="0" w:color="auto"/>
            </w:tcBorders>
            <w:shd w:val="clear" w:color="auto" w:fill="92D050"/>
            <w:noWrap/>
            <w:vAlign w:val="bottom"/>
          </w:tcPr>
          <w:p w14:paraId="334424D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5" w:type="pct"/>
            <w:tcBorders>
              <w:bottom w:val="single" w:sz="4" w:space="0" w:color="auto"/>
            </w:tcBorders>
            <w:shd w:val="clear" w:color="auto" w:fill="FFFF00"/>
            <w:noWrap/>
            <w:vAlign w:val="bottom"/>
          </w:tcPr>
          <w:p w14:paraId="5845F7B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tcBorders>
              <w:bottom w:val="single" w:sz="4" w:space="0" w:color="auto"/>
            </w:tcBorders>
            <w:shd w:val="clear" w:color="auto" w:fill="92D050"/>
            <w:noWrap/>
            <w:vAlign w:val="bottom"/>
          </w:tcPr>
          <w:p w14:paraId="0F3CF66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92D050"/>
            <w:noWrap/>
            <w:vAlign w:val="bottom"/>
          </w:tcPr>
          <w:p w14:paraId="30C4CB5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8" w:type="pct"/>
            <w:tcBorders>
              <w:bottom w:val="single" w:sz="4" w:space="0" w:color="auto"/>
            </w:tcBorders>
            <w:shd w:val="clear" w:color="auto" w:fill="92D050"/>
            <w:noWrap/>
            <w:vAlign w:val="bottom"/>
          </w:tcPr>
          <w:p w14:paraId="08B9BC3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tcBorders>
              <w:bottom w:val="single" w:sz="4" w:space="0" w:color="auto"/>
            </w:tcBorders>
            <w:shd w:val="clear" w:color="auto" w:fill="FFFF00"/>
            <w:noWrap/>
            <w:vAlign w:val="bottom"/>
          </w:tcPr>
          <w:p w14:paraId="5876949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4" w:space="0" w:color="auto"/>
            </w:tcBorders>
            <w:shd w:val="clear" w:color="auto" w:fill="92D050"/>
            <w:vAlign w:val="bottom"/>
          </w:tcPr>
          <w:p w14:paraId="582F8CC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r>
      <w:tr w:rsidR="007D5E16" w:rsidRPr="00A427C6" w14:paraId="77633841"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val="restart"/>
            <w:vAlign w:val="bottom"/>
          </w:tcPr>
          <w:p w14:paraId="0F9F32B5" w14:textId="77777777" w:rsidR="007D5E16" w:rsidRPr="00FD46B5" w:rsidRDefault="007D5E16" w:rsidP="00573C79">
            <w:pPr>
              <w:rPr>
                <w:rFonts w:ascii="Arial" w:hAnsi="Arial" w:cs="Arial"/>
                <w:color w:val="595959" w:themeColor="text1" w:themeTint="A6"/>
                <w:sz w:val="16"/>
                <w:szCs w:val="16"/>
              </w:rPr>
            </w:pPr>
            <w:r w:rsidRPr="00FD46B5">
              <w:rPr>
                <w:rFonts w:ascii="Arial" w:hAnsi="Arial" w:cs="Arial"/>
                <w:color w:val="595959" w:themeColor="text1" w:themeTint="A6"/>
                <w:sz w:val="16"/>
                <w:szCs w:val="16"/>
              </w:rPr>
              <w:t>Labour Mobility in the Pacific</w:t>
            </w:r>
          </w:p>
          <w:p w14:paraId="6968F85B" w14:textId="77777777" w:rsidR="007D5E16" w:rsidRPr="00FD46B5" w:rsidRDefault="007D5E16" w:rsidP="00573C79">
            <w:pPr>
              <w:rPr>
                <w:rFonts w:ascii="Arial" w:hAnsi="Arial" w:cs="Arial"/>
                <w:color w:val="595959" w:themeColor="text1" w:themeTint="A6"/>
                <w:sz w:val="16"/>
                <w:szCs w:val="16"/>
              </w:rPr>
            </w:pPr>
          </w:p>
        </w:tc>
        <w:tc>
          <w:tcPr>
            <w:tcW w:w="658" w:type="pct"/>
            <w:vMerge w:val="restart"/>
          </w:tcPr>
          <w:p w14:paraId="7B0CBA82" w14:textId="77777777" w:rsidR="007D5E16" w:rsidRPr="00FD46B5" w:rsidRDefault="007D5E16" w:rsidP="00573C79">
            <w:pPr>
              <w:autoSpaceDE w:val="0"/>
              <w:autoSpaceDN w:val="0"/>
              <w:adjustRightInd w:val="0"/>
              <w:rPr>
                <w:rFonts w:asciiTheme="minorHAnsi" w:hAnsiTheme="minorHAnsi" w:cs="Franklin Gothic Book"/>
                <w:color w:val="595959" w:themeColor="text1" w:themeTint="A6"/>
                <w:szCs w:val="17"/>
              </w:rPr>
            </w:pPr>
            <w:r w:rsidRPr="00FD46B5">
              <w:rPr>
                <w:rFonts w:asciiTheme="minorHAnsi" w:hAnsiTheme="minorHAnsi" w:cs="Franklin Gothic Book"/>
                <w:color w:val="595959" w:themeColor="text1" w:themeTint="A6"/>
                <w:szCs w:val="17"/>
              </w:rPr>
              <w:t xml:space="preserve">$7m </w:t>
            </w:r>
          </w:p>
          <w:p w14:paraId="325C0C4E"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 xml:space="preserve">2015-18 </w:t>
            </w:r>
          </w:p>
        </w:tc>
        <w:tc>
          <w:tcPr>
            <w:tcW w:w="416" w:type="pct"/>
          </w:tcPr>
          <w:p w14:paraId="1050E893"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FD46B5">
              <w:rPr>
                <w:rFonts w:asciiTheme="minorHAnsi" w:eastAsia="Times New Roman" w:hAnsiTheme="minorHAnsi"/>
                <w:iCs/>
                <w:color w:val="595959" w:themeColor="text1" w:themeTint="A6"/>
                <w:szCs w:val="17"/>
                <w:lang w:eastAsia="en-US"/>
              </w:rPr>
              <w:t>2016 AQC</w:t>
            </w:r>
          </w:p>
        </w:tc>
        <w:tc>
          <w:tcPr>
            <w:tcW w:w="418" w:type="pct"/>
            <w:shd w:val="clear" w:color="auto" w:fill="92D050"/>
            <w:noWrap/>
            <w:vAlign w:val="bottom"/>
          </w:tcPr>
          <w:p w14:paraId="0AF719E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44A8BBB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FFFF00"/>
            <w:noWrap/>
            <w:vAlign w:val="bottom"/>
          </w:tcPr>
          <w:p w14:paraId="1835E8F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5" w:type="pct"/>
            <w:shd w:val="clear" w:color="auto" w:fill="FFFF00"/>
            <w:noWrap/>
            <w:vAlign w:val="bottom"/>
          </w:tcPr>
          <w:p w14:paraId="6737403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8" w:type="pct"/>
            <w:shd w:val="clear" w:color="auto" w:fill="92D050"/>
            <w:noWrap/>
            <w:vAlign w:val="bottom"/>
          </w:tcPr>
          <w:p w14:paraId="4DA875A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5" w:type="pct"/>
            <w:shd w:val="clear" w:color="auto" w:fill="FFFF00"/>
            <w:noWrap/>
            <w:vAlign w:val="bottom"/>
          </w:tcPr>
          <w:p w14:paraId="52B7179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shd w:val="clear" w:color="auto" w:fill="92D050"/>
            <w:vAlign w:val="bottom"/>
          </w:tcPr>
          <w:p w14:paraId="55108FA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A427C6" w14:paraId="6F2E5AB5" w14:textId="77777777" w:rsidTr="00500440">
        <w:trPr>
          <w:cnfStyle w:val="000000010000" w:firstRow="0" w:lastRow="0" w:firstColumn="0" w:lastColumn="0" w:oddVBand="0" w:evenVBand="0" w:oddHBand="0" w:evenHBand="1" w:firstRowFirstColumn="0" w:firstRowLastColumn="0" w:lastRowFirstColumn="0" w:lastRowLastColumn="0"/>
          <w:trHeight w:val="284"/>
        </w:trPr>
        <w:tc>
          <w:tcPr>
            <w:tcW w:w="909" w:type="pct"/>
            <w:vMerge/>
            <w:tcBorders>
              <w:bottom w:val="single" w:sz="4" w:space="0" w:color="auto"/>
            </w:tcBorders>
            <w:vAlign w:val="bottom"/>
          </w:tcPr>
          <w:p w14:paraId="3471FFDD"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658" w:type="pct"/>
            <w:vMerge/>
            <w:tcBorders>
              <w:bottom w:val="single" w:sz="4" w:space="0" w:color="auto"/>
            </w:tcBorders>
          </w:tcPr>
          <w:p w14:paraId="14718AA5"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6" w:type="pct"/>
            <w:tcBorders>
              <w:bottom w:val="single" w:sz="4" w:space="0" w:color="auto"/>
            </w:tcBorders>
          </w:tcPr>
          <w:p w14:paraId="62E088BF" w14:textId="77777777" w:rsidR="007D5E16" w:rsidRPr="00FD46B5"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p>
        </w:tc>
        <w:tc>
          <w:tcPr>
            <w:tcW w:w="418" w:type="pct"/>
            <w:tcBorders>
              <w:bottom w:val="single" w:sz="4" w:space="0" w:color="auto"/>
            </w:tcBorders>
            <w:shd w:val="clear" w:color="auto" w:fill="auto"/>
            <w:noWrap/>
            <w:vAlign w:val="bottom"/>
          </w:tcPr>
          <w:p w14:paraId="5AEAF90D"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0361569F" w14:textId="77777777" w:rsidR="007D5E16" w:rsidRDefault="007D5E16" w:rsidP="00573C79">
            <w:pPr>
              <w:jc w:val="center"/>
              <w:rPr>
                <w:rFonts w:ascii="Arial" w:hAnsi="Arial" w:cs="Arial"/>
                <w:color w:val="000000"/>
                <w:sz w:val="16"/>
                <w:szCs w:val="16"/>
              </w:rPr>
            </w:pPr>
          </w:p>
        </w:tc>
        <w:tc>
          <w:tcPr>
            <w:tcW w:w="418" w:type="pct"/>
            <w:tcBorders>
              <w:bottom w:val="single" w:sz="4" w:space="0" w:color="auto"/>
            </w:tcBorders>
            <w:shd w:val="clear" w:color="auto" w:fill="auto"/>
            <w:noWrap/>
            <w:vAlign w:val="bottom"/>
          </w:tcPr>
          <w:p w14:paraId="4844BEA5"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10529237" w14:textId="77777777" w:rsidR="007D5E16" w:rsidRDefault="007D5E16" w:rsidP="00573C79">
            <w:pPr>
              <w:jc w:val="center"/>
              <w:rPr>
                <w:rFonts w:ascii="Arial" w:hAnsi="Arial" w:cs="Arial"/>
                <w:color w:val="000000"/>
                <w:sz w:val="16"/>
                <w:szCs w:val="16"/>
              </w:rPr>
            </w:pPr>
          </w:p>
        </w:tc>
        <w:tc>
          <w:tcPr>
            <w:tcW w:w="418" w:type="pct"/>
            <w:tcBorders>
              <w:bottom w:val="single" w:sz="4" w:space="0" w:color="auto"/>
            </w:tcBorders>
            <w:shd w:val="clear" w:color="auto" w:fill="auto"/>
            <w:noWrap/>
            <w:vAlign w:val="bottom"/>
          </w:tcPr>
          <w:p w14:paraId="4AC00C64" w14:textId="77777777" w:rsidR="007D5E16" w:rsidRDefault="007D5E16" w:rsidP="00573C79">
            <w:pPr>
              <w:jc w:val="center"/>
              <w:rPr>
                <w:rFonts w:ascii="Arial" w:hAnsi="Arial" w:cs="Arial"/>
                <w:color w:val="000000"/>
                <w:sz w:val="16"/>
                <w:szCs w:val="16"/>
              </w:rPr>
            </w:pPr>
          </w:p>
        </w:tc>
        <w:tc>
          <w:tcPr>
            <w:tcW w:w="415" w:type="pct"/>
            <w:tcBorders>
              <w:bottom w:val="single" w:sz="4" w:space="0" w:color="auto"/>
            </w:tcBorders>
            <w:shd w:val="clear" w:color="auto" w:fill="auto"/>
            <w:noWrap/>
            <w:vAlign w:val="bottom"/>
          </w:tcPr>
          <w:p w14:paraId="44A82BF3" w14:textId="77777777" w:rsidR="007D5E16" w:rsidRDefault="007D5E16" w:rsidP="00573C79">
            <w:pPr>
              <w:jc w:val="center"/>
              <w:rPr>
                <w:rFonts w:ascii="Arial" w:hAnsi="Arial" w:cs="Arial"/>
                <w:color w:val="000000"/>
                <w:sz w:val="16"/>
                <w:szCs w:val="16"/>
              </w:rPr>
            </w:pPr>
          </w:p>
        </w:tc>
        <w:tc>
          <w:tcPr>
            <w:tcW w:w="412" w:type="pct"/>
            <w:tcBorders>
              <w:bottom w:val="single" w:sz="4" w:space="0" w:color="auto"/>
            </w:tcBorders>
            <w:shd w:val="clear" w:color="auto" w:fill="auto"/>
            <w:vAlign w:val="bottom"/>
          </w:tcPr>
          <w:p w14:paraId="02AAD808" w14:textId="77777777" w:rsidR="007D5E16" w:rsidRDefault="007D5E16" w:rsidP="00573C79">
            <w:pPr>
              <w:jc w:val="center"/>
              <w:rPr>
                <w:rFonts w:ascii="Arial" w:hAnsi="Arial" w:cs="Arial"/>
                <w:color w:val="000000"/>
                <w:sz w:val="16"/>
                <w:szCs w:val="16"/>
              </w:rPr>
            </w:pPr>
          </w:p>
        </w:tc>
      </w:tr>
    </w:tbl>
    <w:p w14:paraId="605ACD9C" w14:textId="77777777" w:rsidR="00F7526D" w:rsidRDefault="00F7526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bookmarkStart w:id="0" w:name="_GoBack"/>
      <w:bookmarkEnd w:id="0"/>
    </w:p>
    <w:p w14:paraId="168ED42F" w14:textId="77777777" w:rsidR="007D5E16" w:rsidRPr="00C61187" w:rsidRDefault="007D5E16" w:rsidP="007D5E16">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lastRenderedPageBreak/>
        <w:t>FAQC ratings</w:t>
      </w:r>
      <w:r w:rsidRPr="00C61187">
        <w:rPr>
          <w:rFonts w:ascii="Helvetica" w:eastAsia="Times New Roman" w:hAnsi="Helvetica" w:cs="Arial"/>
          <w:b/>
          <w:color w:val="124486"/>
          <w:kern w:val="28"/>
          <w:lang w:eastAsia="zh-CN"/>
        </w:rPr>
        <w:t xml:space="preserve"> </w:t>
      </w:r>
    </w:p>
    <w:p w14:paraId="006EC1E1" w14:textId="77777777" w:rsidR="007D5E16" w:rsidRPr="00C61187" w:rsidRDefault="007D5E16" w:rsidP="007D5E16">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2665"/>
        <w:gridCol w:w="1932"/>
        <w:gridCol w:w="1234"/>
        <w:gridCol w:w="1231"/>
        <w:gridCol w:w="1234"/>
        <w:gridCol w:w="1231"/>
        <w:gridCol w:w="1234"/>
        <w:gridCol w:w="1231"/>
        <w:gridCol w:w="1234"/>
        <w:gridCol w:w="1234"/>
      </w:tblGrid>
      <w:tr w:rsidR="007D5E16" w:rsidRPr="00C61187" w14:paraId="585589F7" w14:textId="77777777" w:rsidTr="00573C79">
        <w:trPr>
          <w:cnfStyle w:val="000000010000" w:firstRow="0" w:lastRow="0" w:firstColumn="0" w:lastColumn="0" w:oddVBand="0" w:evenVBand="0" w:oddHBand="0" w:evenHBand="1" w:firstRowFirstColumn="0" w:firstRowLastColumn="0" w:lastRowFirstColumn="0" w:lastRowLastColumn="0"/>
          <w:trHeight w:val="1505"/>
        </w:trPr>
        <w:tc>
          <w:tcPr>
            <w:tcW w:w="908" w:type="pct"/>
          </w:tcPr>
          <w:p w14:paraId="34108E0F"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77696" behindDoc="0" locked="0" layoutInCell="1" allowOverlap="1" wp14:anchorId="71DE090B" wp14:editId="6E0DD7F0">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659" w:type="pct"/>
            <w:textDirection w:val="btLr"/>
          </w:tcPr>
          <w:p w14:paraId="7A26AD90"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17" w:type="pct"/>
            <w:noWrap/>
            <w:textDirection w:val="btLr"/>
          </w:tcPr>
          <w:p w14:paraId="38DD6A08"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16" w:type="pct"/>
            <w:noWrap/>
            <w:textDirection w:val="btLr"/>
          </w:tcPr>
          <w:p w14:paraId="213988C1"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17" w:type="pct"/>
            <w:noWrap/>
            <w:textDirection w:val="btLr"/>
          </w:tcPr>
          <w:p w14:paraId="37401168"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16" w:type="pct"/>
            <w:noWrap/>
            <w:textDirection w:val="btLr"/>
          </w:tcPr>
          <w:p w14:paraId="2FE88C96"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17" w:type="pct"/>
            <w:noWrap/>
            <w:textDirection w:val="btLr"/>
          </w:tcPr>
          <w:p w14:paraId="07662D1D"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16" w:type="pct"/>
            <w:noWrap/>
            <w:textDirection w:val="btLr"/>
          </w:tcPr>
          <w:p w14:paraId="75DD641C"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17" w:type="pct"/>
            <w:textDirection w:val="btLr"/>
          </w:tcPr>
          <w:p w14:paraId="49567750"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12" w:type="pct"/>
            <w:textDirection w:val="btLr"/>
          </w:tcPr>
          <w:p w14:paraId="152C1CB2" w14:textId="77777777" w:rsidR="007D5E16" w:rsidRPr="00A427C6" w:rsidRDefault="007D5E16" w:rsidP="00573C79">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7D5E16" w:rsidRPr="00C61187" w14:paraId="7BBF70BC" w14:textId="77777777" w:rsidTr="00573C79">
        <w:trPr>
          <w:cnfStyle w:val="000000010000" w:firstRow="0" w:lastRow="0" w:firstColumn="0" w:lastColumn="0" w:oddVBand="0" w:evenVBand="0" w:oddHBand="0" w:evenHBand="1" w:firstRowFirstColumn="0" w:firstRowLastColumn="0" w:lastRowFirstColumn="0" w:lastRowLastColumn="0"/>
          <w:trHeight w:val="284"/>
        </w:trPr>
        <w:tc>
          <w:tcPr>
            <w:tcW w:w="908" w:type="pct"/>
            <w:tcBorders>
              <w:top w:val="single" w:sz="2" w:space="0" w:color="000000" w:themeColor="text1"/>
              <w:bottom w:val="single" w:sz="2" w:space="0" w:color="000000" w:themeColor="text1"/>
            </w:tcBorders>
            <w:vAlign w:val="center"/>
          </w:tcPr>
          <w:p w14:paraId="649AB680"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Pacific Public Sector Linkages Program</w:t>
            </w:r>
          </w:p>
        </w:tc>
        <w:tc>
          <w:tcPr>
            <w:tcW w:w="659" w:type="pct"/>
            <w:tcBorders>
              <w:top w:val="single" w:sz="2" w:space="0" w:color="000000" w:themeColor="text1"/>
              <w:bottom w:val="single" w:sz="2" w:space="0" w:color="000000" w:themeColor="text1"/>
            </w:tcBorders>
          </w:tcPr>
          <w:p w14:paraId="1E582A50" w14:textId="77777777" w:rsidR="007D5E16" w:rsidRPr="003378C0" w:rsidRDefault="007D5E16" w:rsidP="00573C79">
            <w:pPr>
              <w:autoSpaceDE w:val="0"/>
              <w:autoSpaceDN w:val="0"/>
              <w:adjustRightInd w:val="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 xml:space="preserve">$26m </w:t>
            </w:r>
          </w:p>
          <w:p w14:paraId="375C026D" w14:textId="77777777" w:rsidR="007D5E16" w:rsidRPr="003378C0"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3378C0">
              <w:rPr>
                <w:rFonts w:asciiTheme="minorHAnsi" w:eastAsia="Times New Roman" w:hAnsiTheme="minorHAnsi"/>
                <w:iCs/>
                <w:color w:val="595959" w:themeColor="text1" w:themeTint="A6"/>
                <w:szCs w:val="17"/>
                <w:lang w:eastAsia="en-US"/>
              </w:rPr>
              <w:t xml:space="preserve">2009-16 </w:t>
            </w:r>
          </w:p>
        </w:tc>
        <w:tc>
          <w:tcPr>
            <w:tcW w:w="417" w:type="pct"/>
            <w:tcBorders>
              <w:top w:val="single" w:sz="2" w:space="0" w:color="000000" w:themeColor="text1"/>
              <w:bottom w:val="single" w:sz="2" w:space="0" w:color="000000" w:themeColor="text1"/>
            </w:tcBorders>
            <w:shd w:val="clear" w:color="auto" w:fill="FFFF00"/>
            <w:noWrap/>
            <w:vAlign w:val="bottom"/>
          </w:tcPr>
          <w:p w14:paraId="5FD5CE6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top w:val="single" w:sz="2" w:space="0" w:color="000000" w:themeColor="text1"/>
              <w:bottom w:val="single" w:sz="2" w:space="0" w:color="000000" w:themeColor="text1"/>
            </w:tcBorders>
            <w:shd w:val="clear" w:color="auto" w:fill="FFFF00"/>
            <w:noWrap/>
            <w:vAlign w:val="bottom"/>
          </w:tcPr>
          <w:p w14:paraId="285B8E0C"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top w:val="single" w:sz="2" w:space="0" w:color="000000" w:themeColor="text1"/>
              <w:bottom w:val="single" w:sz="2" w:space="0" w:color="000000" w:themeColor="text1"/>
            </w:tcBorders>
            <w:shd w:val="clear" w:color="auto" w:fill="FFFF00"/>
            <w:noWrap/>
            <w:vAlign w:val="bottom"/>
          </w:tcPr>
          <w:p w14:paraId="5B65334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top w:val="single" w:sz="2" w:space="0" w:color="000000" w:themeColor="text1"/>
              <w:bottom w:val="single" w:sz="2" w:space="0" w:color="000000" w:themeColor="text1"/>
            </w:tcBorders>
            <w:shd w:val="clear" w:color="auto" w:fill="FFFF00"/>
            <w:noWrap/>
            <w:vAlign w:val="bottom"/>
          </w:tcPr>
          <w:p w14:paraId="546D319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top w:val="single" w:sz="2" w:space="0" w:color="000000" w:themeColor="text1"/>
              <w:bottom w:val="single" w:sz="2" w:space="0" w:color="000000" w:themeColor="text1"/>
            </w:tcBorders>
            <w:shd w:val="clear" w:color="auto" w:fill="FFC000"/>
            <w:noWrap/>
            <w:vAlign w:val="bottom"/>
          </w:tcPr>
          <w:p w14:paraId="7C143EE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single" w:sz="2" w:space="0" w:color="000000" w:themeColor="text1"/>
              <w:bottom w:val="single" w:sz="2" w:space="0" w:color="000000" w:themeColor="text1"/>
            </w:tcBorders>
            <w:shd w:val="clear" w:color="auto" w:fill="FFC000"/>
            <w:noWrap/>
            <w:vAlign w:val="bottom"/>
          </w:tcPr>
          <w:p w14:paraId="2FBEF87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7" w:type="pct"/>
            <w:tcBorders>
              <w:top w:val="single" w:sz="2" w:space="0" w:color="000000" w:themeColor="text1"/>
              <w:bottom w:val="single" w:sz="2" w:space="0" w:color="000000" w:themeColor="text1"/>
            </w:tcBorders>
            <w:shd w:val="clear" w:color="auto" w:fill="FFC000"/>
            <w:vAlign w:val="bottom"/>
          </w:tcPr>
          <w:p w14:paraId="4C4EDC8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3</w:t>
            </w:r>
          </w:p>
        </w:tc>
        <w:tc>
          <w:tcPr>
            <w:tcW w:w="412" w:type="pct"/>
            <w:tcBorders>
              <w:top w:val="single" w:sz="2" w:space="0" w:color="000000" w:themeColor="text1"/>
              <w:bottom w:val="single" w:sz="2" w:space="0" w:color="000000" w:themeColor="text1"/>
            </w:tcBorders>
            <w:shd w:val="clear" w:color="auto" w:fill="FFFF00"/>
            <w:vAlign w:val="bottom"/>
          </w:tcPr>
          <w:p w14:paraId="086DEA3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C61187" w14:paraId="41B18888" w14:textId="77777777" w:rsidTr="00573C79">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7A54C8F1"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APPS in PNG 2015 Intake</w:t>
            </w:r>
          </w:p>
        </w:tc>
        <w:tc>
          <w:tcPr>
            <w:tcW w:w="659" w:type="pct"/>
            <w:tcBorders>
              <w:bottom w:val="single" w:sz="2" w:space="0" w:color="000000" w:themeColor="text1"/>
            </w:tcBorders>
          </w:tcPr>
          <w:p w14:paraId="21ADAE14" w14:textId="77777777" w:rsidR="007D5E16" w:rsidRPr="003378C0"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3378C0">
              <w:rPr>
                <w:rFonts w:asciiTheme="minorHAnsi" w:eastAsia="Times New Roman" w:hAnsiTheme="minorHAnsi"/>
                <w:iCs/>
                <w:color w:val="595959" w:themeColor="text1" w:themeTint="A6"/>
                <w:szCs w:val="17"/>
                <w:lang w:eastAsia="en-US"/>
              </w:rPr>
              <w:t>22m</w:t>
            </w:r>
          </w:p>
          <w:p w14:paraId="1EFBF7BB" w14:textId="77777777" w:rsidR="007D5E16" w:rsidRPr="003378C0" w:rsidRDefault="007D5E16" w:rsidP="00573C79">
            <w:pPr>
              <w:keepLines/>
              <w:spacing w:before="40" w:after="40" w:line="200" w:lineRule="atLeast"/>
              <w:rPr>
                <w:rFonts w:asciiTheme="minorHAnsi" w:eastAsia="Times New Roman" w:hAnsiTheme="minorHAnsi"/>
                <w:iCs/>
                <w:color w:val="595959" w:themeColor="text1" w:themeTint="A6"/>
                <w:szCs w:val="17"/>
                <w:lang w:eastAsia="en-US"/>
              </w:rPr>
            </w:pPr>
            <w:r w:rsidRPr="003378C0">
              <w:rPr>
                <w:rFonts w:asciiTheme="minorHAnsi" w:eastAsia="Times New Roman" w:hAnsiTheme="minorHAnsi"/>
                <w:iCs/>
                <w:color w:val="595959" w:themeColor="text1" w:themeTint="A6"/>
                <w:szCs w:val="17"/>
                <w:lang w:eastAsia="en-US"/>
              </w:rPr>
              <w:t>2015-19</w:t>
            </w:r>
          </w:p>
        </w:tc>
        <w:tc>
          <w:tcPr>
            <w:tcW w:w="417" w:type="pct"/>
            <w:tcBorders>
              <w:bottom w:val="single" w:sz="2" w:space="0" w:color="000000" w:themeColor="text1"/>
            </w:tcBorders>
            <w:shd w:val="clear" w:color="auto" w:fill="92D050"/>
            <w:noWrap/>
            <w:vAlign w:val="bottom"/>
          </w:tcPr>
          <w:p w14:paraId="435B78D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27374A3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0F25DFD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3B0A059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0A863A3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5A7341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7" w:type="pct"/>
            <w:tcBorders>
              <w:bottom w:val="single" w:sz="2" w:space="0" w:color="000000" w:themeColor="text1"/>
            </w:tcBorders>
            <w:shd w:val="clear" w:color="auto" w:fill="92D050"/>
            <w:vAlign w:val="bottom"/>
          </w:tcPr>
          <w:p w14:paraId="12ABFF9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2" w:space="0" w:color="000000" w:themeColor="text1"/>
            </w:tcBorders>
            <w:shd w:val="clear" w:color="auto" w:fill="92D050"/>
            <w:vAlign w:val="bottom"/>
          </w:tcPr>
          <w:p w14:paraId="6B79FB7B"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C61187" w14:paraId="63B0A7DB" w14:textId="77777777" w:rsidTr="00573C79">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52CFA425"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Australia Awards Pacific Scholarships PNG</w:t>
            </w:r>
          </w:p>
        </w:tc>
        <w:tc>
          <w:tcPr>
            <w:tcW w:w="659" w:type="pct"/>
            <w:tcBorders>
              <w:bottom w:val="single" w:sz="2" w:space="0" w:color="000000" w:themeColor="text1"/>
            </w:tcBorders>
          </w:tcPr>
          <w:p w14:paraId="02D8F803"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$26m</w:t>
            </w:r>
          </w:p>
          <w:p w14:paraId="58AF3307"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2014-21</w:t>
            </w:r>
          </w:p>
        </w:tc>
        <w:tc>
          <w:tcPr>
            <w:tcW w:w="417" w:type="pct"/>
            <w:tcBorders>
              <w:bottom w:val="single" w:sz="2" w:space="0" w:color="000000" w:themeColor="text1"/>
            </w:tcBorders>
            <w:shd w:val="clear" w:color="auto" w:fill="92D050"/>
            <w:noWrap/>
            <w:vAlign w:val="bottom"/>
          </w:tcPr>
          <w:p w14:paraId="5445664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05711D9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5F87F58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7DE227A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68194BE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2D81A2F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7" w:type="pct"/>
            <w:tcBorders>
              <w:bottom w:val="single" w:sz="2" w:space="0" w:color="000000" w:themeColor="text1"/>
            </w:tcBorders>
            <w:shd w:val="clear" w:color="auto" w:fill="92D050"/>
            <w:vAlign w:val="bottom"/>
          </w:tcPr>
          <w:p w14:paraId="6156244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2" w:space="0" w:color="000000" w:themeColor="text1"/>
            </w:tcBorders>
            <w:shd w:val="clear" w:color="auto" w:fill="92D050"/>
            <w:vAlign w:val="bottom"/>
          </w:tcPr>
          <w:p w14:paraId="40BB120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7D5E16" w:rsidRPr="00C61187" w14:paraId="4FF28AF6" w14:textId="77777777" w:rsidTr="00573C79">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0B2477AB"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In-PNG Scholarships From 2013</w:t>
            </w:r>
          </w:p>
        </w:tc>
        <w:tc>
          <w:tcPr>
            <w:tcW w:w="659" w:type="pct"/>
            <w:tcBorders>
              <w:bottom w:val="single" w:sz="2" w:space="0" w:color="000000" w:themeColor="text1"/>
            </w:tcBorders>
          </w:tcPr>
          <w:p w14:paraId="110F9F4F"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$43m</w:t>
            </w:r>
          </w:p>
          <w:p w14:paraId="1F5F586B"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2012-20</w:t>
            </w:r>
          </w:p>
        </w:tc>
        <w:tc>
          <w:tcPr>
            <w:tcW w:w="417" w:type="pct"/>
            <w:tcBorders>
              <w:bottom w:val="single" w:sz="2" w:space="0" w:color="000000" w:themeColor="text1"/>
            </w:tcBorders>
            <w:shd w:val="clear" w:color="auto" w:fill="92D050"/>
            <w:noWrap/>
            <w:vAlign w:val="bottom"/>
          </w:tcPr>
          <w:p w14:paraId="27CFB59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667769C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0E22E3E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6B8D9CC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92D050"/>
            <w:noWrap/>
            <w:vAlign w:val="bottom"/>
          </w:tcPr>
          <w:p w14:paraId="32C4A7A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3D5FB8C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7" w:type="pct"/>
            <w:tcBorders>
              <w:bottom w:val="single" w:sz="2" w:space="0" w:color="000000" w:themeColor="text1"/>
            </w:tcBorders>
            <w:shd w:val="clear" w:color="auto" w:fill="92D050"/>
            <w:vAlign w:val="bottom"/>
          </w:tcPr>
          <w:p w14:paraId="1C41B79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6</w:t>
            </w:r>
          </w:p>
        </w:tc>
        <w:tc>
          <w:tcPr>
            <w:tcW w:w="412" w:type="pct"/>
            <w:tcBorders>
              <w:bottom w:val="single" w:sz="2" w:space="0" w:color="000000" w:themeColor="text1"/>
            </w:tcBorders>
            <w:shd w:val="clear" w:color="auto" w:fill="92D050"/>
            <w:vAlign w:val="bottom"/>
          </w:tcPr>
          <w:p w14:paraId="202BEB6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013D0E" w:rsidRPr="00C61187" w14:paraId="1530B8F1" w14:textId="77777777" w:rsidTr="00E91F8C">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26C9D037"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Pacific Regional Audit Initiative</w:t>
            </w:r>
          </w:p>
        </w:tc>
        <w:tc>
          <w:tcPr>
            <w:tcW w:w="659" w:type="pct"/>
            <w:tcBorders>
              <w:bottom w:val="single" w:sz="2" w:space="0" w:color="000000" w:themeColor="text1"/>
            </w:tcBorders>
          </w:tcPr>
          <w:p w14:paraId="2745A772"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$4m</w:t>
            </w:r>
          </w:p>
          <w:p w14:paraId="3635959C"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2008-15</w:t>
            </w:r>
          </w:p>
        </w:tc>
        <w:tc>
          <w:tcPr>
            <w:tcW w:w="417" w:type="pct"/>
            <w:tcBorders>
              <w:bottom w:val="single" w:sz="2" w:space="0" w:color="000000" w:themeColor="text1"/>
            </w:tcBorders>
            <w:shd w:val="clear" w:color="auto" w:fill="92D050"/>
            <w:noWrap/>
            <w:vAlign w:val="bottom"/>
          </w:tcPr>
          <w:p w14:paraId="40B9494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6" w:type="pct"/>
            <w:tcBorders>
              <w:bottom w:val="single" w:sz="2" w:space="0" w:color="000000" w:themeColor="text1"/>
            </w:tcBorders>
            <w:shd w:val="clear" w:color="auto" w:fill="92D050"/>
            <w:noWrap/>
            <w:vAlign w:val="bottom"/>
          </w:tcPr>
          <w:p w14:paraId="1F3E01B1"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FFFF00"/>
            <w:noWrap/>
            <w:vAlign w:val="bottom"/>
          </w:tcPr>
          <w:p w14:paraId="28D39A4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FFFF00"/>
            <w:noWrap/>
            <w:vAlign w:val="bottom"/>
          </w:tcPr>
          <w:p w14:paraId="58D33BE3" w14:textId="1378134C"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C000"/>
            <w:noWrap/>
            <w:vAlign w:val="bottom"/>
          </w:tcPr>
          <w:p w14:paraId="3AAD4AFB" w14:textId="0173B20B" w:rsidR="007D5E16" w:rsidRDefault="00637B96"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bottom w:val="single" w:sz="2" w:space="0" w:color="000000" w:themeColor="text1"/>
            </w:tcBorders>
            <w:shd w:val="clear" w:color="auto" w:fill="FFFF00"/>
            <w:noWrap/>
            <w:vAlign w:val="bottom"/>
          </w:tcPr>
          <w:p w14:paraId="25225F05"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0000"/>
            <w:vAlign w:val="bottom"/>
          </w:tcPr>
          <w:p w14:paraId="32A4028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2</w:t>
            </w:r>
          </w:p>
        </w:tc>
        <w:tc>
          <w:tcPr>
            <w:tcW w:w="412" w:type="pct"/>
            <w:tcBorders>
              <w:bottom w:val="single" w:sz="2" w:space="0" w:color="000000" w:themeColor="text1"/>
            </w:tcBorders>
            <w:shd w:val="clear" w:color="auto" w:fill="FFFF00"/>
            <w:vAlign w:val="bottom"/>
          </w:tcPr>
          <w:p w14:paraId="5900F7D6" w14:textId="62F286C2" w:rsidR="007D5E16" w:rsidRDefault="00637B96" w:rsidP="00573C79">
            <w:pPr>
              <w:jc w:val="center"/>
              <w:rPr>
                <w:rFonts w:ascii="Arial" w:hAnsi="Arial" w:cs="Arial"/>
                <w:color w:val="000000"/>
                <w:sz w:val="16"/>
                <w:szCs w:val="16"/>
              </w:rPr>
            </w:pPr>
            <w:r>
              <w:rPr>
                <w:rFonts w:ascii="Arial" w:hAnsi="Arial" w:cs="Arial"/>
                <w:color w:val="000000"/>
                <w:sz w:val="16"/>
                <w:szCs w:val="16"/>
              </w:rPr>
              <w:t>4</w:t>
            </w:r>
          </w:p>
        </w:tc>
      </w:tr>
      <w:tr w:rsidR="007D5E16" w:rsidRPr="00C61187" w14:paraId="6E6A35CB" w14:textId="77777777" w:rsidTr="00573C79">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0933B41F"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Pacific Benchmarking Education Quality for Results</w:t>
            </w:r>
          </w:p>
        </w:tc>
        <w:tc>
          <w:tcPr>
            <w:tcW w:w="659" w:type="pct"/>
            <w:tcBorders>
              <w:bottom w:val="single" w:sz="2" w:space="0" w:color="000000" w:themeColor="text1"/>
            </w:tcBorders>
          </w:tcPr>
          <w:p w14:paraId="1F91B014"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$6m</w:t>
            </w:r>
          </w:p>
          <w:p w14:paraId="331CA630"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2012-17</w:t>
            </w:r>
          </w:p>
        </w:tc>
        <w:tc>
          <w:tcPr>
            <w:tcW w:w="417" w:type="pct"/>
            <w:tcBorders>
              <w:bottom w:val="single" w:sz="2" w:space="0" w:color="000000" w:themeColor="text1"/>
            </w:tcBorders>
            <w:shd w:val="clear" w:color="auto" w:fill="FFFF00"/>
            <w:noWrap/>
            <w:vAlign w:val="bottom"/>
          </w:tcPr>
          <w:p w14:paraId="6D205EB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92D050"/>
            <w:noWrap/>
            <w:vAlign w:val="bottom"/>
          </w:tcPr>
          <w:p w14:paraId="0DDFA10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FFFF00"/>
            <w:noWrap/>
            <w:vAlign w:val="bottom"/>
          </w:tcPr>
          <w:p w14:paraId="573142B6"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FFFF00"/>
            <w:noWrap/>
            <w:vAlign w:val="bottom"/>
          </w:tcPr>
          <w:p w14:paraId="17D930AA"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FF00"/>
            <w:noWrap/>
            <w:vAlign w:val="bottom"/>
          </w:tcPr>
          <w:p w14:paraId="022C967E"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FFFF00"/>
            <w:noWrap/>
            <w:vAlign w:val="bottom"/>
          </w:tcPr>
          <w:p w14:paraId="0396241D"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FF00"/>
            <w:vAlign w:val="bottom"/>
          </w:tcPr>
          <w:p w14:paraId="31F412D4"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2" w:space="0" w:color="000000" w:themeColor="text1"/>
            </w:tcBorders>
            <w:shd w:val="clear" w:color="auto" w:fill="92D050"/>
            <w:vAlign w:val="bottom"/>
          </w:tcPr>
          <w:p w14:paraId="7B831283"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r w:rsidR="00013D0E" w:rsidRPr="00C61187" w14:paraId="3FD8D700" w14:textId="77777777" w:rsidTr="00E91F8C">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7B9E9B43"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UNICEF Multi-Country Program 2013-2015</w:t>
            </w:r>
          </w:p>
        </w:tc>
        <w:tc>
          <w:tcPr>
            <w:tcW w:w="659" w:type="pct"/>
            <w:tcBorders>
              <w:bottom w:val="single" w:sz="2" w:space="0" w:color="000000" w:themeColor="text1"/>
            </w:tcBorders>
          </w:tcPr>
          <w:p w14:paraId="0EB7568C"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$12m</w:t>
            </w:r>
          </w:p>
          <w:p w14:paraId="2A80006B"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2011-15</w:t>
            </w:r>
          </w:p>
        </w:tc>
        <w:tc>
          <w:tcPr>
            <w:tcW w:w="417" w:type="pct"/>
            <w:tcBorders>
              <w:bottom w:val="single" w:sz="2" w:space="0" w:color="000000" w:themeColor="text1"/>
            </w:tcBorders>
            <w:shd w:val="clear" w:color="auto" w:fill="FFFF00"/>
            <w:noWrap/>
            <w:vAlign w:val="bottom"/>
          </w:tcPr>
          <w:p w14:paraId="0B9CCE42" w14:textId="7AFDFBFE" w:rsidR="007D5E16" w:rsidRDefault="00E91F8C"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92D050"/>
            <w:noWrap/>
            <w:vAlign w:val="bottom"/>
          </w:tcPr>
          <w:p w14:paraId="19A17519"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FFC000"/>
            <w:noWrap/>
            <w:vAlign w:val="bottom"/>
          </w:tcPr>
          <w:p w14:paraId="6215FF9F" w14:textId="6635C737"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bottom w:val="single" w:sz="2" w:space="0" w:color="000000" w:themeColor="text1"/>
            </w:tcBorders>
            <w:shd w:val="clear" w:color="auto" w:fill="FFC000"/>
            <w:noWrap/>
            <w:vAlign w:val="bottom"/>
          </w:tcPr>
          <w:p w14:paraId="00FC51CE" w14:textId="5E211BBF"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7" w:type="pct"/>
            <w:tcBorders>
              <w:bottom w:val="single" w:sz="2" w:space="0" w:color="000000" w:themeColor="text1"/>
            </w:tcBorders>
            <w:shd w:val="clear" w:color="auto" w:fill="FFC000"/>
            <w:noWrap/>
            <w:vAlign w:val="bottom"/>
          </w:tcPr>
          <w:p w14:paraId="6ADAF38C" w14:textId="46122435"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bottom w:val="single" w:sz="2" w:space="0" w:color="000000" w:themeColor="text1"/>
            </w:tcBorders>
            <w:shd w:val="clear" w:color="auto" w:fill="FFC000"/>
            <w:noWrap/>
            <w:vAlign w:val="bottom"/>
          </w:tcPr>
          <w:p w14:paraId="6CBE260A" w14:textId="149DD3FA"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7" w:type="pct"/>
            <w:tcBorders>
              <w:bottom w:val="single" w:sz="2" w:space="0" w:color="000000" w:themeColor="text1"/>
            </w:tcBorders>
            <w:shd w:val="clear" w:color="auto" w:fill="FFFF00"/>
            <w:vAlign w:val="bottom"/>
          </w:tcPr>
          <w:p w14:paraId="55C62D7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2" w:space="0" w:color="000000" w:themeColor="text1"/>
            </w:tcBorders>
            <w:shd w:val="clear" w:color="auto" w:fill="92D050"/>
            <w:vAlign w:val="bottom"/>
          </w:tcPr>
          <w:p w14:paraId="2ECB145C" w14:textId="65918211" w:rsidR="007D5E16" w:rsidRDefault="00E91F8C" w:rsidP="00573C79">
            <w:pPr>
              <w:jc w:val="center"/>
              <w:rPr>
                <w:rFonts w:ascii="Arial" w:hAnsi="Arial" w:cs="Arial"/>
                <w:color w:val="000000"/>
                <w:sz w:val="16"/>
                <w:szCs w:val="16"/>
              </w:rPr>
            </w:pPr>
            <w:r>
              <w:rPr>
                <w:rFonts w:ascii="Arial" w:hAnsi="Arial" w:cs="Arial"/>
                <w:color w:val="000000"/>
                <w:sz w:val="16"/>
                <w:szCs w:val="16"/>
              </w:rPr>
              <w:t>5</w:t>
            </w:r>
          </w:p>
        </w:tc>
      </w:tr>
      <w:tr w:rsidR="00013D0E" w:rsidRPr="00C61187" w14:paraId="634B9251" w14:textId="77777777" w:rsidTr="00E91F8C">
        <w:trPr>
          <w:cnfStyle w:val="000000010000" w:firstRow="0" w:lastRow="0" w:firstColumn="0" w:lastColumn="0" w:oddVBand="0" w:evenVBand="0" w:oddHBand="0" w:evenHBand="1" w:firstRowFirstColumn="0" w:firstRowLastColumn="0" w:lastRowFirstColumn="0" w:lastRowLastColumn="0"/>
          <w:trHeight w:val="284"/>
        </w:trPr>
        <w:tc>
          <w:tcPr>
            <w:tcW w:w="908" w:type="pct"/>
            <w:tcBorders>
              <w:bottom w:val="single" w:sz="2" w:space="0" w:color="000000" w:themeColor="text1"/>
            </w:tcBorders>
            <w:vAlign w:val="center"/>
          </w:tcPr>
          <w:p w14:paraId="7CBD0312" w14:textId="77777777" w:rsidR="007D5E16" w:rsidRPr="003378C0" w:rsidRDefault="007D5E16" w:rsidP="00573C79">
            <w:pPr>
              <w:spacing w:before="0" w:after="0"/>
              <w:rPr>
                <w:rFonts w:ascii="Arial" w:hAnsi="Arial" w:cs="Arial"/>
                <w:color w:val="595959" w:themeColor="text1" w:themeTint="A6"/>
                <w:sz w:val="16"/>
                <w:szCs w:val="16"/>
              </w:rPr>
            </w:pPr>
            <w:r w:rsidRPr="003378C0">
              <w:rPr>
                <w:rFonts w:ascii="Arial" w:hAnsi="Arial" w:cs="Arial"/>
                <w:color w:val="595959" w:themeColor="text1" w:themeTint="A6"/>
                <w:sz w:val="16"/>
                <w:szCs w:val="16"/>
              </w:rPr>
              <w:t>Pacific Media Assistance Scheme (PACMAS) 2</w:t>
            </w:r>
          </w:p>
        </w:tc>
        <w:tc>
          <w:tcPr>
            <w:tcW w:w="659" w:type="pct"/>
            <w:tcBorders>
              <w:bottom w:val="single" w:sz="2" w:space="0" w:color="000000" w:themeColor="text1"/>
            </w:tcBorders>
          </w:tcPr>
          <w:p w14:paraId="7A2BD534"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$12m</w:t>
            </w:r>
          </w:p>
          <w:p w14:paraId="7E9F1BE8" w14:textId="77777777" w:rsidR="007D5E16" w:rsidRPr="003378C0" w:rsidRDefault="007D5E16" w:rsidP="00573C79">
            <w:pPr>
              <w:autoSpaceDE w:val="0"/>
              <w:autoSpaceDN w:val="0"/>
              <w:adjustRightInd w:val="0"/>
              <w:spacing w:before="0" w:after="0"/>
              <w:rPr>
                <w:rFonts w:asciiTheme="minorHAnsi" w:hAnsiTheme="minorHAnsi" w:cs="Franklin Gothic Book"/>
                <w:color w:val="595959" w:themeColor="text1" w:themeTint="A6"/>
                <w:szCs w:val="17"/>
              </w:rPr>
            </w:pPr>
            <w:r w:rsidRPr="003378C0">
              <w:rPr>
                <w:rFonts w:asciiTheme="minorHAnsi" w:hAnsiTheme="minorHAnsi" w:cs="Franklin Gothic Book"/>
                <w:color w:val="595959" w:themeColor="text1" w:themeTint="A6"/>
                <w:szCs w:val="17"/>
              </w:rPr>
              <w:t>2011-17</w:t>
            </w:r>
          </w:p>
        </w:tc>
        <w:tc>
          <w:tcPr>
            <w:tcW w:w="417" w:type="pct"/>
            <w:tcBorders>
              <w:bottom w:val="single" w:sz="2" w:space="0" w:color="000000" w:themeColor="text1"/>
            </w:tcBorders>
            <w:shd w:val="clear" w:color="auto" w:fill="FFFF00"/>
            <w:noWrap/>
            <w:vAlign w:val="bottom"/>
          </w:tcPr>
          <w:p w14:paraId="38FE8267"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6" w:type="pct"/>
            <w:tcBorders>
              <w:bottom w:val="single" w:sz="2" w:space="0" w:color="000000" w:themeColor="text1"/>
            </w:tcBorders>
            <w:shd w:val="clear" w:color="auto" w:fill="92D050"/>
            <w:noWrap/>
            <w:vAlign w:val="bottom"/>
          </w:tcPr>
          <w:p w14:paraId="16DD6B48"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c>
          <w:tcPr>
            <w:tcW w:w="417" w:type="pct"/>
            <w:tcBorders>
              <w:bottom w:val="single" w:sz="2" w:space="0" w:color="000000" w:themeColor="text1"/>
            </w:tcBorders>
            <w:shd w:val="clear" w:color="auto" w:fill="FFC000"/>
            <w:noWrap/>
            <w:vAlign w:val="bottom"/>
          </w:tcPr>
          <w:p w14:paraId="47697608" w14:textId="7E4E964C"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bottom w:val="single" w:sz="2" w:space="0" w:color="000000" w:themeColor="text1"/>
            </w:tcBorders>
            <w:shd w:val="clear" w:color="auto" w:fill="FFFF00"/>
            <w:noWrap/>
            <w:vAlign w:val="bottom"/>
          </w:tcPr>
          <w:p w14:paraId="33E1F8A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C000"/>
            <w:noWrap/>
            <w:vAlign w:val="bottom"/>
          </w:tcPr>
          <w:p w14:paraId="7F0E1B00" w14:textId="2152070E" w:rsidR="007D5E16" w:rsidRDefault="00E91F8C" w:rsidP="00573C79">
            <w:pPr>
              <w:jc w:val="center"/>
              <w:rPr>
                <w:rFonts w:ascii="Arial" w:hAnsi="Arial" w:cs="Arial"/>
                <w:color w:val="000000"/>
                <w:sz w:val="16"/>
                <w:szCs w:val="16"/>
              </w:rPr>
            </w:pPr>
            <w:r>
              <w:rPr>
                <w:rFonts w:ascii="Arial" w:hAnsi="Arial" w:cs="Arial"/>
                <w:color w:val="000000"/>
                <w:sz w:val="16"/>
                <w:szCs w:val="16"/>
              </w:rPr>
              <w:t>3</w:t>
            </w:r>
          </w:p>
        </w:tc>
        <w:tc>
          <w:tcPr>
            <w:tcW w:w="416" w:type="pct"/>
            <w:tcBorders>
              <w:bottom w:val="single" w:sz="2" w:space="0" w:color="000000" w:themeColor="text1"/>
            </w:tcBorders>
            <w:shd w:val="clear" w:color="auto" w:fill="FFFF00"/>
            <w:noWrap/>
            <w:vAlign w:val="bottom"/>
          </w:tcPr>
          <w:p w14:paraId="5B2ECF80"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7" w:type="pct"/>
            <w:tcBorders>
              <w:bottom w:val="single" w:sz="2" w:space="0" w:color="000000" w:themeColor="text1"/>
            </w:tcBorders>
            <w:shd w:val="clear" w:color="auto" w:fill="FFFF00"/>
            <w:vAlign w:val="bottom"/>
          </w:tcPr>
          <w:p w14:paraId="2DDB4F1F"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4</w:t>
            </w:r>
          </w:p>
        </w:tc>
        <w:tc>
          <w:tcPr>
            <w:tcW w:w="412" w:type="pct"/>
            <w:tcBorders>
              <w:bottom w:val="single" w:sz="2" w:space="0" w:color="000000" w:themeColor="text1"/>
            </w:tcBorders>
            <w:shd w:val="clear" w:color="auto" w:fill="92D050"/>
            <w:vAlign w:val="bottom"/>
          </w:tcPr>
          <w:p w14:paraId="51772822" w14:textId="77777777" w:rsidR="007D5E16" w:rsidRDefault="007D5E16" w:rsidP="00573C79">
            <w:pPr>
              <w:jc w:val="center"/>
              <w:rPr>
                <w:rFonts w:ascii="Arial" w:hAnsi="Arial" w:cs="Arial"/>
                <w:color w:val="000000"/>
                <w:sz w:val="16"/>
                <w:szCs w:val="16"/>
              </w:rPr>
            </w:pPr>
            <w:r>
              <w:rPr>
                <w:rFonts w:ascii="Arial" w:hAnsi="Arial" w:cs="Arial"/>
                <w:color w:val="000000"/>
                <w:sz w:val="16"/>
                <w:szCs w:val="16"/>
              </w:rPr>
              <w:t>5</w:t>
            </w:r>
          </w:p>
        </w:tc>
      </w:tr>
    </w:tbl>
    <w:p w14:paraId="653911D4" w14:textId="77777777" w:rsidR="007D5E16" w:rsidRPr="00C61187" w:rsidRDefault="007D5E16" w:rsidP="007D5E16">
      <w:pPr>
        <w:spacing w:before="20" w:after="20" w:line="180" w:lineRule="atLeast"/>
        <w:jc w:val="both"/>
        <w:rPr>
          <w:rFonts w:ascii="Franklin Gothic Book" w:eastAsia="Times New Roman" w:hAnsi="Franklin Gothic Book"/>
          <w:b/>
          <w:sz w:val="14"/>
          <w:szCs w:val="14"/>
        </w:rPr>
      </w:pPr>
    </w:p>
    <w:p w14:paraId="596DDB24"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14:paraId="667CC7D9"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sz w:val="16"/>
          <w:szCs w:val="14"/>
        </w:rPr>
        <w:t>Satisfactory (4, 5 and 6)</w:t>
      </w:r>
    </w:p>
    <w:p w14:paraId="5C0BAC84"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14:paraId="46E6383E"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14:paraId="090878C5"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14:paraId="250DD3AB" w14:textId="77777777" w:rsidR="007D5E16" w:rsidRPr="00A427C6" w:rsidRDefault="007D5E16" w:rsidP="007D5E16">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14:paraId="1E7E0025" w14:textId="77777777" w:rsidR="007D5E16" w:rsidRPr="00A427C6" w:rsidRDefault="007D5E16" w:rsidP="007D5E16">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14:paraId="62D847AF" w14:textId="77777777" w:rsidR="00400B0F" w:rsidRPr="00E644AE" w:rsidRDefault="00400B0F" w:rsidP="007D5E16">
      <w:pPr>
        <w:keepNext/>
        <w:tabs>
          <w:tab w:val="left" w:pos="1560"/>
        </w:tabs>
        <w:spacing w:before="360" w:after="120"/>
        <w:outlineLvl w:val="1"/>
      </w:pPr>
    </w:p>
    <w:sectPr w:rsidR="00400B0F" w:rsidRPr="00E644AE" w:rsidSect="00573C79">
      <w:headerReference w:type="default" r:id="rId21"/>
      <w:pgSz w:w="16838" w:h="11906" w:orient="landscape" w:code="9"/>
      <w:pgMar w:top="1134" w:right="1527" w:bottom="1134" w:left="851" w:header="1418" w:footer="267" w:gutter="0"/>
      <w:pgBorders w:offsetFrom="page">
        <w:top w:val="single" w:sz="4" w:space="24" w:color="auto"/>
        <w:bottom w:val="single" w:sz="4" w:space="24" w:color="auto"/>
      </w:pgBorders>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17F2" w14:textId="77777777" w:rsidR="00013D0E" w:rsidRDefault="00013D0E" w:rsidP="00EF4574">
      <w:pPr>
        <w:spacing w:before="0" w:after="0" w:line="240" w:lineRule="auto"/>
      </w:pPr>
      <w:r>
        <w:separator/>
      </w:r>
    </w:p>
  </w:endnote>
  <w:endnote w:type="continuationSeparator" w:id="0">
    <w:p w14:paraId="6FB28FB8" w14:textId="77777777" w:rsidR="00013D0E" w:rsidRDefault="00013D0E"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54196"/>
      <w:docPartObj>
        <w:docPartGallery w:val="Page Numbers (Bottom of Page)"/>
        <w:docPartUnique/>
      </w:docPartObj>
    </w:sdtPr>
    <w:sdtEndPr>
      <w:rPr>
        <w:noProof/>
      </w:rPr>
    </w:sdtEndPr>
    <w:sdtContent>
      <w:p w14:paraId="273ACE16" w14:textId="4A9BED1D" w:rsidR="00013D0E" w:rsidRDefault="00013D0E">
        <w:pPr>
          <w:pStyle w:val="Footer"/>
        </w:pPr>
        <w:r>
          <w:fldChar w:fldCharType="begin"/>
        </w:r>
        <w:r>
          <w:instrText xml:space="preserve"> PAGE   \* MERGEFORMAT </w:instrText>
        </w:r>
        <w:r>
          <w:fldChar w:fldCharType="separate"/>
        </w:r>
        <w:r w:rsidR="002E27B4">
          <w:rPr>
            <w:noProof/>
          </w:rPr>
          <w:t>26</w:t>
        </w:r>
        <w:r>
          <w:rPr>
            <w:noProof/>
          </w:rPr>
          <w:fldChar w:fldCharType="end"/>
        </w:r>
      </w:p>
    </w:sdtContent>
  </w:sdt>
  <w:p w14:paraId="1600FAAC" w14:textId="77777777" w:rsidR="00013D0E" w:rsidRDefault="0001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EE65" w14:textId="77777777" w:rsidR="00013D0E" w:rsidRPr="00CD0E4B" w:rsidRDefault="00013D0E" w:rsidP="00784031">
    <w:pPr>
      <w:pStyle w:val="Footer"/>
    </w:pPr>
    <w:r w:rsidRPr="00CD0E4B">
      <w:rPr>
        <w:noProof/>
        <w:lang w:val="en-AU" w:eastAsia="en-AU"/>
      </w:rPr>
      <w:drawing>
        <wp:inline distT="0" distB="0" distL="0" distR="0" wp14:anchorId="10E2A4A7" wp14:editId="61D34932">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46A38736" w14:textId="77777777" w:rsidR="00013D0E" w:rsidRPr="00CD0E4B" w:rsidRDefault="00013D0E"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43FDA" w14:textId="77777777" w:rsidR="00013D0E" w:rsidRPr="008C5A0E" w:rsidRDefault="00013D0E" w:rsidP="001D663E">
      <w:pPr>
        <w:pStyle w:val="Footer"/>
        <w:pBdr>
          <w:top w:val="single" w:sz="4" w:space="1" w:color="495965" w:themeColor="text2"/>
        </w:pBdr>
      </w:pPr>
    </w:p>
  </w:footnote>
  <w:footnote w:type="continuationSeparator" w:id="0">
    <w:p w14:paraId="4AAA6B2E" w14:textId="77777777" w:rsidR="00013D0E" w:rsidRDefault="00013D0E"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CF7C" w14:textId="77777777" w:rsidR="00013D0E" w:rsidRPr="00333501" w:rsidRDefault="00013D0E" w:rsidP="008F56A8">
    <w:pPr>
      <w:pStyle w:val="Header"/>
      <w:jc w:val="left"/>
    </w:pPr>
    <w:r>
      <w:rPr>
        <w:noProof/>
        <w:lang w:val="en-AU" w:eastAsia="en-AU"/>
      </w:rPr>
      <w:drawing>
        <wp:anchor distT="0" distB="0" distL="114300" distR="114300" simplePos="0" relativeHeight="251681792" behindDoc="1" locked="1" layoutInCell="1" allowOverlap="1" wp14:anchorId="3978FF17" wp14:editId="71DEE227">
          <wp:simplePos x="0" y="0"/>
          <wp:positionH relativeFrom="page">
            <wp:posOffset>15240</wp:posOffset>
          </wp:positionH>
          <wp:positionV relativeFrom="page">
            <wp:posOffset>55245</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E58C" w14:textId="77777777" w:rsidR="00013D0E" w:rsidRDefault="00013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D236" w14:textId="77777777" w:rsidR="00013D0E" w:rsidRPr="00333501" w:rsidRDefault="00013D0E" w:rsidP="008F56A8">
    <w:pPr>
      <w:pStyle w:val="Header"/>
      <w:jc w:val="left"/>
    </w:pPr>
    <w:r>
      <w:rPr>
        <w:noProof/>
        <w:lang w:val="en-AU" w:eastAsia="en-AU"/>
      </w:rPr>
      <w:drawing>
        <wp:anchor distT="0" distB="0" distL="114300" distR="114300" simplePos="0" relativeHeight="251697152" behindDoc="1" locked="1" layoutInCell="1" allowOverlap="1" wp14:anchorId="0E96F958" wp14:editId="50E84C28">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6DDED" w14:textId="77777777" w:rsidR="00013D0E" w:rsidRPr="003D352D" w:rsidRDefault="00013D0E" w:rsidP="003D352D">
    <w:pPr>
      <w:pStyle w:val="Header"/>
      <w:jc w:val="left"/>
    </w:pPr>
    <w:r>
      <w:rPr>
        <w:noProof/>
        <w:lang w:val="en-AU" w:eastAsia="en-AU"/>
      </w:rPr>
      <w:drawing>
        <wp:anchor distT="0" distB="0" distL="114300" distR="114300" simplePos="0" relativeHeight="251695104" behindDoc="1" locked="1" layoutInCell="1" allowOverlap="1" wp14:anchorId="7ABE744B" wp14:editId="7780524F">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A0B7A" w14:textId="77777777" w:rsidR="00013D0E" w:rsidRPr="00333501" w:rsidRDefault="00013D0E" w:rsidP="008F56A8">
    <w:pPr>
      <w:pStyle w:val="Header"/>
      <w:jc w:val="left"/>
    </w:pPr>
    <w:r>
      <w:rPr>
        <w:noProof/>
        <w:lang w:val="en-AU" w:eastAsia="en-AU"/>
      </w:rPr>
      <w:drawing>
        <wp:anchor distT="0" distB="0" distL="114300" distR="114300" simplePos="0" relativeHeight="251699200" behindDoc="1" locked="1" layoutInCell="1" allowOverlap="1" wp14:anchorId="01ABFBA7" wp14:editId="3DE1EC24">
          <wp:simplePos x="0" y="0"/>
          <wp:positionH relativeFrom="page">
            <wp:posOffset>7620</wp:posOffset>
          </wp:positionH>
          <wp:positionV relativeFrom="page">
            <wp:posOffset>57785</wp:posOffset>
          </wp:positionV>
          <wp:extent cx="10800000" cy="7560000"/>
          <wp:effectExtent l="0" t="0" r="1905" b="317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1437C"/>
    <w:multiLevelType w:val="hybridMultilevel"/>
    <w:tmpl w:val="5AD89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59688C"/>
    <w:multiLevelType w:val="hybridMultilevel"/>
    <w:tmpl w:val="046630D4"/>
    <w:lvl w:ilvl="0" w:tplc="0C090001">
      <w:start w:val="1"/>
      <w:numFmt w:val="bullet"/>
      <w:lvlText w:val=""/>
      <w:lvlJc w:val="left"/>
      <w:pPr>
        <w:ind w:left="502"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8F2EE0"/>
    <w:multiLevelType w:val="hybridMultilevel"/>
    <w:tmpl w:val="144E5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D21C3A"/>
    <w:multiLevelType w:val="hybridMultilevel"/>
    <w:tmpl w:val="19D0C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9C0A4A"/>
    <w:multiLevelType w:val="hybridMultilevel"/>
    <w:tmpl w:val="B1521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4EB2B59"/>
    <w:multiLevelType w:val="hybridMultilevel"/>
    <w:tmpl w:val="75D04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87739"/>
    <w:multiLevelType w:val="hybridMultilevel"/>
    <w:tmpl w:val="3B301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122B6"/>
    <w:multiLevelType w:val="hybridMultilevel"/>
    <w:tmpl w:val="B1A6B7A0"/>
    <w:lvl w:ilvl="0" w:tplc="0C090001">
      <w:start w:val="1"/>
      <w:numFmt w:val="bullet"/>
      <w:lvlText w:val=""/>
      <w:lvlJc w:val="left"/>
      <w:pPr>
        <w:ind w:left="218" w:hanging="360"/>
      </w:pPr>
      <w:rPr>
        <w:rFonts w:ascii="Symbol" w:hAnsi="Symbol" w:hint="default"/>
      </w:rPr>
    </w:lvl>
    <w:lvl w:ilvl="1" w:tplc="0C090003">
      <w:start w:val="1"/>
      <w:numFmt w:val="bullet"/>
      <w:lvlText w:val="o"/>
      <w:lvlJc w:val="left"/>
      <w:pPr>
        <w:ind w:left="938" w:hanging="360"/>
      </w:pPr>
      <w:rPr>
        <w:rFonts w:ascii="Courier New" w:hAnsi="Courier New" w:cs="Times New Roman" w:hint="default"/>
      </w:rPr>
    </w:lvl>
    <w:lvl w:ilvl="2" w:tplc="0C090005">
      <w:start w:val="1"/>
      <w:numFmt w:val="bullet"/>
      <w:lvlText w:val=""/>
      <w:lvlJc w:val="left"/>
      <w:pPr>
        <w:ind w:left="1658" w:hanging="360"/>
      </w:pPr>
      <w:rPr>
        <w:rFonts w:ascii="Wingdings" w:hAnsi="Wingdings" w:hint="default"/>
      </w:rPr>
    </w:lvl>
    <w:lvl w:ilvl="3" w:tplc="0C090001">
      <w:start w:val="1"/>
      <w:numFmt w:val="bullet"/>
      <w:lvlText w:val=""/>
      <w:lvlJc w:val="left"/>
      <w:pPr>
        <w:ind w:left="2378" w:hanging="360"/>
      </w:pPr>
      <w:rPr>
        <w:rFonts w:ascii="Symbol" w:hAnsi="Symbol" w:hint="default"/>
      </w:rPr>
    </w:lvl>
    <w:lvl w:ilvl="4" w:tplc="0C090003">
      <w:start w:val="1"/>
      <w:numFmt w:val="bullet"/>
      <w:lvlText w:val="o"/>
      <w:lvlJc w:val="left"/>
      <w:pPr>
        <w:ind w:left="3098" w:hanging="360"/>
      </w:pPr>
      <w:rPr>
        <w:rFonts w:ascii="Courier New" w:hAnsi="Courier New" w:cs="Times New Roman" w:hint="default"/>
      </w:rPr>
    </w:lvl>
    <w:lvl w:ilvl="5" w:tplc="0C090005">
      <w:start w:val="1"/>
      <w:numFmt w:val="bullet"/>
      <w:lvlText w:val=""/>
      <w:lvlJc w:val="left"/>
      <w:pPr>
        <w:ind w:left="3818" w:hanging="360"/>
      </w:pPr>
      <w:rPr>
        <w:rFonts w:ascii="Wingdings" w:hAnsi="Wingdings" w:hint="default"/>
      </w:rPr>
    </w:lvl>
    <w:lvl w:ilvl="6" w:tplc="0C090001">
      <w:start w:val="1"/>
      <w:numFmt w:val="bullet"/>
      <w:lvlText w:val=""/>
      <w:lvlJc w:val="left"/>
      <w:pPr>
        <w:ind w:left="4538" w:hanging="360"/>
      </w:pPr>
      <w:rPr>
        <w:rFonts w:ascii="Symbol" w:hAnsi="Symbol" w:hint="default"/>
      </w:rPr>
    </w:lvl>
    <w:lvl w:ilvl="7" w:tplc="0C090003">
      <w:start w:val="1"/>
      <w:numFmt w:val="bullet"/>
      <w:lvlText w:val="o"/>
      <w:lvlJc w:val="left"/>
      <w:pPr>
        <w:ind w:left="5258" w:hanging="360"/>
      </w:pPr>
      <w:rPr>
        <w:rFonts w:ascii="Courier New" w:hAnsi="Courier New" w:cs="Times New Roman" w:hint="default"/>
      </w:rPr>
    </w:lvl>
    <w:lvl w:ilvl="8" w:tplc="0C090005">
      <w:start w:val="1"/>
      <w:numFmt w:val="bullet"/>
      <w:lvlText w:val=""/>
      <w:lvlJc w:val="left"/>
      <w:pPr>
        <w:ind w:left="5978"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43428892"/>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3F457E2"/>
    <w:multiLevelType w:val="hybridMultilevel"/>
    <w:tmpl w:val="8B20C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F4545"/>
    <w:multiLevelType w:val="hybridMultilevel"/>
    <w:tmpl w:val="D0108766"/>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6F596690"/>
    <w:multiLevelType w:val="hybridMultilevel"/>
    <w:tmpl w:val="E8B4D204"/>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6FCF1591"/>
    <w:multiLevelType w:val="hybridMultilevel"/>
    <w:tmpl w:val="1CF65680"/>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FD87CE5"/>
    <w:multiLevelType w:val="hybridMultilevel"/>
    <w:tmpl w:val="585C5B48"/>
    <w:lvl w:ilvl="0" w:tplc="0C090001">
      <w:start w:val="1"/>
      <w:numFmt w:val="bullet"/>
      <w:lvlText w:val=""/>
      <w:lvlJc w:val="left"/>
      <w:pPr>
        <w:ind w:left="502" w:hanging="360"/>
      </w:pPr>
      <w:rPr>
        <w:rFonts w:ascii="Symbol" w:hAnsi="Symbol" w:hint="default"/>
        <w:color w:val="auto"/>
        <w:position w:val="3"/>
      </w:rPr>
    </w:lvl>
    <w:lvl w:ilvl="1" w:tplc="0C9ADF3E">
      <w:start w:val="1"/>
      <w:numFmt w:val="bullet"/>
      <w:lvlText w:val="­"/>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22B50"/>
    <w:multiLevelType w:val="hybridMultilevel"/>
    <w:tmpl w:val="9858E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7A528B"/>
    <w:multiLevelType w:val="hybridMultilevel"/>
    <w:tmpl w:val="A39658C0"/>
    <w:lvl w:ilvl="0" w:tplc="7B640FF6">
      <w:start w:val="1"/>
      <w:numFmt w:val="bullet"/>
      <w:lvlText w:val="›"/>
      <w:lvlJc w:val="left"/>
      <w:pPr>
        <w:ind w:left="502"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num>
  <w:num w:numId="23">
    <w:abstractNumId w:val="17"/>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8"/>
  </w:num>
  <w:num w:numId="32">
    <w:abstractNumId w:val="23"/>
  </w:num>
  <w:num w:numId="33">
    <w:abstractNumId w:val="34"/>
  </w:num>
  <w:num w:numId="34">
    <w:abstractNumId w:val="21"/>
  </w:num>
  <w:num w:numId="35">
    <w:abstractNumId w:val="14"/>
  </w:num>
  <w:num w:numId="36">
    <w:abstractNumId w:val="24"/>
  </w:num>
  <w:num w:numId="37">
    <w:abstractNumId w:val="22"/>
  </w:num>
  <w:num w:numId="38">
    <w:abstractNumId w:val="20"/>
  </w:num>
  <w:num w:numId="39">
    <w:abstractNumId w:val="16"/>
  </w:num>
  <w:num w:numId="40">
    <w:abstractNumId w:val="10"/>
  </w:num>
  <w:num w:numId="41">
    <w:abstractNumId w:val="36"/>
  </w:num>
  <w:num w:numId="42">
    <w:abstractNumId w:val="13"/>
  </w:num>
  <w:num w:numId="43">
    <w:abstractNumId w:val="29"/>
  </w:num>
  <w:num w:numId="44">
    <w:abstractNumId w:val="31"/>
  </w:num>
  <w:num w:numId="45">
    <w:abstractNumId w:val="28"/>
  </w:num>
  <w:num w:numId="46">
    <w:abstractNumId w:val="35"/>
  </w:num>
  <w:num w:numId="47">
    <w:abstractNumId w:val="15"/>
  </w:num>
  <w:num w:numId="48">
    <w:abstractNumId w:val="30"/>
  </w:num>
  <w:num w:numId="49">
    <w:abstractNumId w:val="3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585"/>
    <w:rsid w:val="00001DA8"/>
    <w:rsid w:val="00013D0E"/>
    <w:rsid w:val="00015316"/>
    <w:rsid w:val="000173E0"/>
    <w:rsid w:val="0002080A"/>
    <w:rsid w:val="00023977"/>
    <w:rsid w:val="0002782F"/>
    <w:rsid w:val="00031512"/>
    <w:rsid w:val="00031AD0"/>
    <w:rsid w:val="0003212B"/>
    <w:rsid w:val="00041E03"/>
    <w:rsid w:val="00054E4D"/>
    <w:rsid w:val="00060073"/>
    <w:rsid w:val="00060268"/>
    <w:rsid w:val="00060AB0"/>
    <w:rsid w:val="0006143C"/>
    <w:rsid w:val="000654CF"/>
    <w:rsid w:val="00065802"/>
    <w:rsid w:val="0007408B"/>
    <w:rsid w:val="00077A96"/>
    <w:rsid w:val="00084483"/>
    <w:rsid w:val="000B749C"/>
    <w:rsid w:val="000C57BF"/>
    <w:rsid w:val="000C5F2E"/>
    <w:rsid w:val="000D2E48"/>
    <w:rsid w:val="000D6167"/>
    <w:rsid w:val="000D66D6"/>
    <w:rsid w:val="000E193D"/>
    <w:rsid w:val="000E314A"/>
    <w:rsid w:val="000F4F34"/>
    <w:rsid w:val="001040F3"/>
    <w:rsid w:val="0011773B"/>
    <w:rsid w:val="00132D41"/>
    <w:rsid w:val="00133A08"/>
    <w:rsid w:val="001541EA"/>
    <w:rsid w:val="00163AEE"/>
    <w:rsid w:val="00164DFC"/>
    <w:rsid w:val="0019023B"/>
    <w:rsid w:val="00190C56"/>
    <w:rsid w:val="00195FBA"/>
    <w:rsid w:val="001B2D08"/>
    <w:rsid w:val="001C023C"/>
    <w:rsid w:val="001C4EB8"/>
    <w:rsid w:val="001D0B41"/>
    <w:rsid w:val="001D0E7E"/>
    <w:rsid w:val="001D663E"/>
    <w:rsid w:val="001E1DC0"/>
    <w:rsid w:val="00213370"/>
    <w:rsid w:val="0023068A"/>
    <w:rsid w:val="00234423"/>
    <w:rsid w:val="00236A53"/>
    <w:rsid w:val="00250041"/>
    <w:rsid w:val="00251E0F"/>
    <w:rsid w:val="00255739"/>
    <w:rsid w:val="002575E8"/>
    <w:rsid w:val="00265068"/>
    <w:rsid w:val="00271C32"/>
    <w:rsid w:val="00273EDA"/>
    <w:rsid w:val="00275DB7"/>
    <w:rsid w:val="00282C0E"/>
    <w:rsid w:val="00283FC1"/>
    <w:rsid w:val="00284957"/>
    <w:rsid w:val="0028602A"/>
    <w:rsid w:val="00287095"/>
    <w:rsid w:val="002948DA"/>
    <w:rsid w:val="00295B81"/>
    <w:rsid w:val="002A51CA"/>
    <w:rsid w:val="002B3E2A"/>
    <w:rsid w:val="002B3E95"/>
    <w:rsid w:val="002B4187"/>
    <w:rsid w:val="002B5E10"/>
    <w:rsid w:val="002C22C0"/>
    <w:rsid w:val="002D0E37"/>
    <w:rsid w:val="002E03C3"/>
    <w:rsid w:val="002E27B4"/>
    <w:rsid w:val="002E3387"/>
    <w:rsid w:val="002F22EE"/>
    <w:rsid w:val="002F58EF"/>
    <w:rsid w:val="003002C0"/>
    <w:rsid w:val="00301144"/>
    <w:rsid w:val="00304AD9"/>
    <w:rsid w:val="00312CA8"/>
    <w:rsid w:val="00312D2A"/>
    <w:rsid w:val="003148B7"/>
    <w:rsid w:val="003158C3"/>
    <w:rsid w:val="003274CD"/>
    <w:rsid w:val="003319E8"/>
    <w:rsid w:val="00333501"/>
    <w:rsid w:val="0033510B"/>
    <w:rsid w:val="0034180D"/>
    <w:rsid w:val="00343748"/>
    <w:rsid w:val="003457C4"/>
    <w:rsid w:val="0035119D"/>
    <w:rsid w:val="00354257"/>
    <w:rsid w:val="0035447A"/>
    <w:rsid w:val="00357AC1"/>
    <w:rsid w:val="003614F0"/>
    <w:rsid w:val="00363D14"/>
    <w:rsid w:val="0036409E"/>
    <w:rsid w:val="0037098B"/>
    <w:rsid w:val="00372306"/>
    <w:rsid w:val="003762E1"/>
    <w:rsid w:val="00386C03"/>
    <w:rsid w:val="003A0CE1"/>
    <w:rsid w:val="003A3CFB"/>
    <w:rsid w:val="003A58BB"/>
    <w:rsid w:val="003B0793"/>
    <w:rsid w:val="003B4F12"/>
    <w:rsid w:val="003D352D"/>
    <w:rsid w:val="003D7137"/>
    <w:rsid w:val="00400B0F"/>
    <w:rsid w:val="00402ACC"/>
    <w:rsid w:val="00404648"/>
    <w:rsid w:val="00405183"/>
    <w:rsid w:val="00406C2A"/>
    <w:rsid w:val="00407E32"/>
    <w:rsid w:val="004120EC"/>
    <w:rsid w:val="00421BF3"/>
    <w:rsid w:val="00423F31"/>
    <w:rsid w:val="004241C0"/>
    <w:rsid w:val="0042738B"/>
    <w:rsid w:val="00431899"/>
    <w:rsid w:val="00442E9A"/>
    <w:rsid w:val="00446471"/>
    <w:rsid w:val="00481656"/>
    <w:rsid w:val="00482C1B"/>
    <w:rsid w:val="00482F07"/>
    <w:rsid w:val="00486804"/>
    <w:rsid w:val="0049257E"/>
    <w:rsid w:val="00494540"/>
    <w:rsid w:val="004977A1"/>
    <w:rsid w:val="004A1159"/>
    <w:rsid w:val="004A2DED"/>
    <w:rsid w:val="004A34BE"/>
    <w:rsid w:val="004A4056"/>
    <w:rsid w:val="004A44D7"/>
    <w:rsid w:val="004A595A"/>
    <w:rsid w:val="004A6E19"/>
    <w:rsid w:val="004B1DAE"/>
    <w:rsid w:val="004B3775"/>
    <w:rsid w:val="004B553C"/>
    <w:rsid w:val="004C6397"/>
    <w:rsid w:val="004D0BA0"/>
    <w:rsid w:val="004D13C6"/>
    <w:rsid w:val="004D219A"/>
    <w:rsid w:val="004D4ED1"/>
    <w:rsid w:val="004D6E45"/>
    <w:rsid w:val="004E0264"/>
    <w:rsid w:val="004E058F"/>
    <w:rsid w:val="004E3B87"/>
    <w:rsid w:val="004E5E96"/>
    <w:rsid w:val="00500440"/>
    <w:rsid w:val="00507AD8"/>
    <w:rsid w:val="00510921"/>
    <w:rsid w:val="00510AD3"/>
    <w:rsid w:val="00513348"/>
    <w:rsid w:val="005321F2"/>
    <w:rsid w:val="00533B5D"/>
    <w:rsid w:val="00543E60"/>
    <w:rsid w:val="005511BF"/>
    <w:rsid w:val="00551ADA"/>
    <w:rsid w:val="005556BA"/>
    <w:rsid w:val="005639A0"/>
    <w:rsid w:val="00573C79"/>
    <w:rsid w:val="00586966"/>
    <w:rsid w:val="00590591"/>
    <w:rsid w:val="005907D8"/>
    <w:rsid w:val="0059146A"/>
    <w:rsid w:val="005A4363"/>
    <w:rsid w:val="005A5A29"/>
    <w:rsid w:val="005B5769"/>
    <w:rsid w:val="005B608A"/>
    <w:rsid w:val="005C6FC1"/>
    <w:rsid w:val="005D1D26"/>
    <w:rsid w:val="005D3655"/>
    <w:rsid w:val="005E05F0"/>
    <w:rsid w:val="005E606B"/>
    <w:rsid w:val="005F2B5A"/>
    <w:rsid w:val="005F2DEE"/>
    <w:rsid w:val="005F6E4F"/>
    <w:rsid w:val="005F7394"/>
    <w:rsid w:val="006115BD"/>
    <w:rsid w:val="00614A69"/>
    <w:rsid w:val="0061556D"/>
    <w:rsid w:val="00623BA1"/>
    <w:rsid w:val="006346BC"/>
    <w:rsid w:val="00637B96"/>
    <w:rsid w:val="00643F1D"/>
    <w:rsid w:val="00653B58"/>
    <w:rsid w:val="00664A78"/>
    <w:rsid w:val="00665218"/>
    <w:rsid w:val="0066652A"/>
    <w:rsid w:val="00677BC4"/>
    <w:rsid w:val="00680522"/>
    <w:rsid w:val="00681F08"/>
    <w:rsid w:val="00682167"/>
    <w:rsid w:val="0069652A"/>
    <w:rsid w:val="006B5E69"/>
    <w:rsid w:val="006C42AF"/>
    <w:rsid w:val="006D143B"/>
    <w:rsid w:val="006D7FE9"/>
    <w:rsid w:val="006E0475"/>
    <w:rsid w:val="006F1C78"/>
    <w:rsid w:val="006F2334"/>
    <w:rsid w:val="006F27B1"/>
    <w:rsid w:val="0071167E"/>
    <w:rsid w:val="00711D8E"/>
    <w:rsid w:val="00712672"/>
    <w:rsid w:val="007153F4"/>
    <w:rsid w:val="007170AD"/>
    <w:rsid w:val="00720877"/>
    <w:rsid w:val="007238DD"/>
    <w:rsid w:val="0073372C"/>
    <w:rsid w:val="00734E3F"/>
    <w:rsid w:val="00736985"/>
    <w:rsid w:val="00742456"/>
    <w:rsid w:val="00745DF5"/>
    <w:rsid w:val="0076250F"/>
    <w:rsid w:val="007667CD"/>
    <w:rsid w:val="00771B53"/>
    <w:rsid w:val="00775446"/>
    <w:rsid w:val="00776140"/>
    <w:rsid w:val="007774CD"/>
    <w:rsid w:val="00781385"/>
    <w:rsid w:val="00784031"/>
    <w:rsid w:val="007A4B4A"/>
    <w:rsid w:val="007A6D79"/>
    <w:rsid w:val="007B6200"/>
    <w:rsid w:val="007C0341"/>
    <w:rsid w:val="007D5E16"/>
    <w:rsid w:val="007E5594"/>
    <w:rsid w:val="007E7A0B"/>
    <w:rsid w:val="007F0FC1"/>
    <w:rsid w:val="007F3395"/>
    <w:rsid w:val="007F7328"/>
    <w:rsid w:val="00801B9F"/>
    <w:rsid w:val="008057FD"/>
    <w:rsid w:val="00807B34"/>
    <w:rsid w:val="0081062B"/>
    <w:rsid w:val="00811097"/>
    <w:rsid w:val="00827FC9"/>
    <w:rsid w:val="0083730A"/>
    <w:rsid w:val="00840BCB"/>
    <w:rsid w:val="00841FBA"/>
    <w:rsid w:val="00843AF1"/>
    <w:rsid w:val="00844408"/>
    <w:rsid w:val="008475F0"/>
    <w:rsid w:val="00864210"/>
    <w:rsid w:val="00870EFF"/>
    <w:rsid w:val="00875103"/>
    <w:rsid w:val="00887DF9"/>
    <w:rsid w:val="008A5AFE"/>
    <w:rsid w:val="008B68D7"/>
    <w:rsid w:val="008C0D74"/>
    <w:rsid w:val="008C2F58"/>
    <w:rsid w:val="008C4EC2"/>
    <w:rsid w:val="008C5A0E"/>
    <w:rsid w:val="008D07D1"/>
    <w:rsid w:val="008D16BB"/>
    <w:rsid w:val="008D2B6C"/>
    <w:rsid w:val="008E52FB"/>
    <w:rsid w:val="008F0C4F"/>
    <w:rsid w:val="008F56A8"/>
    <w:rsid w:val="009033DA"/>
    <w:rsid w:val="00912E11"/>
    <w:rsid w:val="00924A3F"/>
    <w:rsid w:val="00927EA3"/>
    <w:rsid w:val="00930E38"/>
    <w:rsid w:val="00942650"/>
    <w:rsid w:val="00942AB5"/>
    <w:rsid w:val="00945A82"/>
    <w:rsid w:val="00947E56"/>
    <w:rsid w:val="009619FD"/>
    <w:rsid w:val="0096436D"/>
    <w:rsid w:val="00971786"/>
    <w:rsid w:val="009903F3"/>
    <w:rsid w:val="00992821"/>
    <w:rsid w:val="00992C76"/>
    <w:rsid w:val="009B1DBC"/>
    <w:rsid w:val="009B4D3B"/>
    <w:rsid w:val="009C6911"/>
    <w:rsid w:val="009C7ABA"/>
    <w:rsid w:val="009D3E54"/>
    <w:rsid w:val="009D5772"/>
    <w:rsid w:val="009D7407"/>
    <w:rsid w:val="009E0866"/>
    <w:rsid w:val="009E3085"/>
    <w:rsid w:val="009E4516"/>
    <w:rsid w:val="009E727E"/>
    <w:rsid w:val="009F063C"/>
    <w:rsid w:val="009F1A18"/>
    <w:rsid w:val="009F5488"/>
    <w:rsid w:val="009F6423"/>
    <w:rsid w:val="00A01F77"/>
    <w:rsid w:val="00A0230E"/>
    <w:rsid w:val="00A1142A"/>
    <w:rsid w:val="00A14B03"/>
    <w:rsid w:val="00A24A62"/>
    <w:rsid w:val="00A31C9F"/>
    <w:rsid w:val="00A32AEB"/>
    <w:rsid w:val="00A4144F"/>
    <w:rsid w:val="00A427C6"/>
    <w:rsid w:val="00A56F14"/>
    <w:rsid w:val="00A64EFE"/>
    <w:rsid w:val="00A73A4E"/>
    <w:rsid w:val="00A73C18"/>
    <w:rsid w:val="00A75FE4"/>
    <w:rsid w:val="00A779FC"/>
    <w:rsid w:val="00A80F95"/>
    <w:rsid w:val="00A8197B"/>
    <w:rsid w:val="00A83A71"/>
    <w:rsid w:val="00AA1631"/>
    <w:rsid w:val="00AA17C5"/>
    <w:rsid w:val="00AA678F"/>
    <w:rsid w:val="00AA699A"/>
    <w:rsid w:val="00AA7BE3"/>
    <w:rsid w:val="00AB1D00"/>
    <w:rsid w:val="00AC09D0"/>
    <w:rsid w:val="00AC164A"/>
    <w:rsid w:val="00AF1B85"/>
    <w:rsid w:val="00AF2050"/>
    <w:rsid w:val="00B03CA8"/>
    <w:rsid w:val="00B13B75"/>
    <w:rsid w:val="00B17592"/>
    <w:rsid w:val="00B331DC"/>
    <w:rsid w:val="00B40314"/>
    <w:rsid w:val="00B438D3"/>
    <w:rsid w:val="00B44BC6"/>
    <w:rsid w:val="00B460C0"/>
    <w:rsid w:val="00B54B46"/>
    <w:rsid w:val="00B55E19"/>
    <w:rsid w:val="00B62E30"/>
    <w:rsid w:val="00B7290C"/>
    <w:rsid w:val="00B77847"/>
    <w:rsid w:val="00B807ED"/>
    <w:rsid w:val="00B817AD"/>
    <w:rsid w:val="00B8680A"/>
    <w:rsid w:val="00BA2ED0"/>
    <w:rsid w:val="00BA4B6D"/>
    <w:rsid w:val="00BA562C"/>
    <w:rsid w:val="00BB26C5"/>
    <w:rsid w:val="00BB2716"/>
    <w:rsid w:val="00BD2197"/>
    <w:rsid w:val="00BE7CE1"/>
    <w:rsid w:val="00BF36CA"/>
    <w:rsid w:val="00BF4DE6"/>
    <w:rsid w:val="00C04FC8"/>
    <w:rsid w:val="00C0733A"/>
    <w:rsid w:val="00C10C54"/>
    <w:rsid w:val="00C25C42"/>
    <w:rsid w:val="00C30721"/>
    <w:rsid w:val="00C30F7D"/>
    <w:rsid w:val="00C42849"/>
    <w:rsid w:val="00C42CDE"/>
    <w:rsid w:val="00C5182A"/>
    <w:rsid w:val="00C63EE9"/>
    <w:rsid w:val="00C6626C"/>
    <w:rsid w:val="00C66788"/>
    <w:rsid w:val="00C721B1"/>
    <w:rsid w:val="00C826F2"/>
    <w:rsid w:val="00C92443"/>
    <w:rsid w:val="00CA2125"/>
    <w:rsid w:val="00CA2615"/>
    <w:rsid w:val="00CA37B1"/>
    <w:rsid w:val="00CA3DA8"/>
    <w:rsid w:val="00CB1959"/>
    <w:rsid w:val="00CC1A25"/>
    <w:rsid w:val="00CC5220"/>
    <w:rsid w:val="00CD0611"/>
    <w:rsid w:val="00CD0E4B"/>
    <w:rsid w:val="00CD2C4F"/>
    <w:rsid w:val="00CD4910"/>
    <w:rsid w:val="00CE0155"/>
    <w:rsid w:val="00CE0768"/>
    <w:rsid w:val="00CE7451"/>
    <w:rsid w:val="00CF2450"/>
    <w:rsid w:val="00CF2559"/>
    <w:rsid w:val="00CF320D"/>
    <w:rsid w:val="00CF72FE"/>
    <w:rsid w:val="00D00802"/>
    <w:rsid w:val="00D00EBA"/>
    <w:rsid w:val="00D01B23"/>
    <w:rsid w:val="00D0296C"/>
    <w:rsid w:val="00D146A2"/>
    <w:rsid w:val="00D15A00"/>
    <w:rsid w:val="00D324E1"/>
    <w:rsid w:val="00D330B3"/>
    <w:rsid w:val="00D537B0"/>
    <w:rsid w:val="00D55784"/>
    <w:rsid w:val="00D603C1"/>
    <w:rsid w:val="00D61D44"/>
    <w:rsid w:val="00D62919"/>
    <w:rsid w:val="00D64BD1"/>
    <w:rsid w:val="00D70845"/>
    <w:rsid w:val="00D72760"/>
    <w:rsid w:val="00D729B4"/>
    <w:rsid w:val="00D72D03"/>
    <w:rsid w:val="00D7441B"/>
    <w:rsid w:val="00D853C3"/>
    <w:rsid w:val="00D90821"/>
    <w:rsid w:val="00D9633D"/>
    <w:rsid w:val="00DA317B"/>
    <w:rsid w:val="00DC6FCA"/>
    <w:rsid w:val="00DD1986"/>
    <w:rsid w:val="00DD36A1"/>
    <w:rsid w:val="00DD512F"/>
    <w:rsid w:val="00DE084C"/>
    <w:rsid w:val="00DF1745"/>
    <w:rsid w:val="00E065A9"/>
    <w:rsid w:val="00E1090D"/>
    <w:rsid w:val="00E21BF4"/>
    <w:rsid w:val="00E23169"/>
    <w:rsid w:val="00E357B7"/>
    <w:rsid w:val="00E53800"/>
    <w:rsid w:val="00E53FFD"/>
    <w:rsid w:val="00E6081F"/>
    <w:rsid w:val="00E65D46"/>
    <w:rsid w:val="00E76B46"/>
    <w:rsid w:val="00E81560"/>
    <w:rsid w:val="00E86697"/>
    <w:rsid w:val="00E90353"/>
    <w:rsid w:val="00E91F8C"/>
    <w:rsid w:val="00E9504A"/>
    <w:rsid w:val="00EA04B2"/>
    <w:rsid w:val="00EA20F3"/>
    <w:rsid w:val="00EA5608"/>
    <w:rsid w:val="00EB30F4"/>
    <w:rsid w:val="00ED2831"/>
    <w:rsid w:val="00ED43D1"/>
    <w:rsid w:val="00EE45B2"/>
    <w:rsid w:val="00EE4EE1"/>
    <w:rsid w:val="00EE6217"/>
    <w:rsid w:val="00EF1436"/>
    <w:rsid w:val="00EF4574"/>
    <w:rsid w:val="00EF4D7B"/>
    <w:rsid w:val="00F03905"/>
    <w:rsid w:val="00F051A8"/>
    <w:rsid w:val="00F12F7E"/>
    <w:rsid w:val="00F172F1"/>
    <w:rsid w:val="00F2684E"/>
    <w:rsid w:val="00F26967"/>
    <w:rsid w:val="00F306BD"/>
    <w:rsid w:val="00F312A0"/>
    <w:rsid w:val="00F34801"/>
    <w:rsid w:val="00F3555F"/>
    <w:rsid w:val="00F4237A"/>
    <w:rsid w:val="00F4653E"/>
    <w:rsid w:val="00F5057E"/>
    <w:rsid w:val="00F5404C"/>
    <w:rsid w:val="00F729EF"/>
    <w:rsid w:val="00F73A1A"/>
    <w:rsid w:val="00F7526D"/>
    <w:rsid w:val="00F75A5C"/>
    <w:rsid w:val="00F77CAE"/>
    <w:rsid w:val="00F82271"/>
    <w:rsid w:val="00F83428"/>
    <w:rsid w:val="00F96BB9"/>
    <w:rsid w:val="00FA0ED3"/>
    <w:rsid w:val="00FA1054"/>
    <w:rsid w:val="00FA6290"/>
    <w:rsid w:val="00FA7685"/>
    <w:rsid w:val="00FB05E4"/>
    <w:rsid w:val="00FC69CF"/>
    <w:rsid w:val="00FE6D51"/>
    <w:rsid w:val="00FF0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144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styleId="ListParagraph">
    <w:name w:val="List Paragraph"/>
    <w:basedOn w:val="Normal"/>
    <w:uiPriority w:val="34"/>
    <w:qFormat/>
    <w:rsid w:val="004A34BE"/>
    <w:pPr>
      <w:ind w:left="720"/>
      <w:contextualSpacing/>
    </w:pPr>
  </w:style>
  <w:style w:type="paragraph" w:styleId="CommentText">
    <w:name w:val="annotation text"/>
    <w:basedOn w:val="BodyText"/>
    <w:link w:val="CommentTextChar"/>
    <w:semiHidden/>
    <w:rsid w:val="004A34BE"/>
    <w:pPr>
      <w:spacing w:line="240" w:lineRule="atLeast"/>
    </w:pPr>
    <w:rPr>
      <w:sz w:val="18"/>
      <w:szCs w:val="18"/>
    </w:rPr>
  </w:style>
  <w:style w:type="character" w:customStyle="1" w:styleId="CommentTextChar">
    <w:name w:val="Comment Text Char"/>
    <w:basedOn w:val="DefaultParagraphFont"/>
    <w:link w:val="CommentText"/>
    <w:semiHidden/>
    <w:rsid w:val="004A34BE"/>
    <w:rPr>
      <w:rFonts w:ascii="Franklin Gothic Book" w:eastAsia="Times New Roman" w:hAnsi="Franklin Gothic Book" w:cs="Times New Roman"/>
      <w:sz w:val="18"/>
      <w:szCs w:val="18"/>
      <w:lang w:eastAsia="en-AU"/>
    </w:rPr>
  </w:style>
  <w:style w:type="character" w:styleId="CommentReference">
    <w:name w:val="annotation reference"/>
    <w:basedOn w:val="DefaultParagraphFont"/>
    <w:semiHidden/>
    <w:unhideWhenUsed/>
    <w:rsid w:val="004A34BE"/>
    <w:rPr>
      <w:rFonts w:ascii="Franklin Gothic Book" w:hAnsi="Franklin Gothic Book"/>
      <w:sz w:val="16"/>
      <w:szCs w:val="16"/>
    </w:rPr>
  </w:style>
  <w:style w:type="paragraph" w:styleId="CommentSubject">
    <w:name w:val="annotation subject"/>
    <w:basedOn w:val="CommentText"/>
    <w:next w:val="CommentText"/>
    <w:link w:val="CommentSubjectChar"/>
    <w:uiPriority w:val="99"/>
    <w:semiHidden/>
    <w:unhideWhenUsed/>
    <w:rsid w:val="00945A82"/>
    <w:pPr>
      <w:suppressAutoHyphens/>
      <w:spacing w:before="120" w:after="60" w:line="240" w:lineRule="auto"/>
    </w:pPr>
    <w:rPr>
      <w:rFonts w:asciiTheme="minorHAnsi" w:eastAsiaTheme="minorHAnsi" w:hAnsiTheme="minorHAnsi" w:cstheme="minorBidi"/>
      <w:b/>
      <w:bCs/>
      <w:color w:val="495965" w:themeColor="text2"/>
      <w:sz w:val="20"/>
      <w:szCs w:val="20"/>
      <w:lang w:val="en-GB" w:eastAsia="en-US"/>
    </w:rPr>
  </w:style>
  <w:style w:type="character" w:customStyle="1" w:styleId="CommentSubjectChar">
    <w:name w:val="Comment Subject Char"/>
    <w:basedOn w:val="CommentTextChar"/>
    <w:link w:val="CommentSubject"/>
    <w:uiPriority w:val="99"/>
    <w:semiHidden/>
    <w:rsid w:val="00945A82"/>
    <w:rPr>
      <w:rFonts w:ascii="Franklin Gothic Book" w:eastAsia="Times New Roman" w:hAnsi="Franklin Gothic Book" w:cs="Times New Roman"/>
      <w:b/>
      <w:bCs/>
      <w:color w:val="495965" w:themeColor="text2"/>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1078">
      <w:bodyDiv w:val="1"/>
      <w:marLeft w:val="0"/>
      <w:marRight w:val="0"/>
      <w:marTop w:val="0"/>
      <w:marBottom w:val="0"/>
      <w:divBdr>
        <w:top w:val="none" w:sz="0" w:space="0" w:color="auto"/>
        <w:left w:val="none" w:sz="0" w:space="0" w:color="auto"/>
        <w:bottom w:val="none" w:sz="0" w:space="0" w:color="auto"/>
        <w:right w:val="none" w:sz="0" w:space="0" w:color="auto"/>
      </w:divBdr>
    </w:div>
    <w:div w:id="440220725">
      <w:bodyDiv w:val="1"/>
      <w:marLeft w:val="0"/>
      <w:marRight w:val="0"/>
      <w:marTop w:val="0"/>
      <w:marBottom w:val="0"/>
      <w:divBdr>
        <w:top w:val="none" w:sz="0" w:space="0" w:color="auto"/>
        <w:left w:val="none" w:sz="0" w:space="0" w:color="auto"/>
        <w:bottom w:val="none" w:sz="0" w:space="0" w:color="auto"/>
        <w:right w:val="none" w:sz="0" w:space="0" w:color="auto"/>
      </w:divBdr>
    </w:div>
    <w:div w:id="762265254">
      <w:bodyDiv w:val="1"/>
      <w:marLeft w:val="0"/>
      <w:marRight w:val="0"/>
      <w:marTop w:val="0"/>
      <w:marBottom w:val="0"/>
      <w:divBdr>
        <w:top w:val="none" w:sz="0" w:space="0" w:color="auto"/>
        <w:left w:val="none" w:sz="0" w:space="0" w:color="auto"/>
        <w:bottom w:val="none" w:sz="0" w:space="0" w:color="auto"/>
        <w:right w:val="none" w:sz="0" w:space="0" w:color="auto"/>
      </w:divBdr>
    </w:div>
    <w:div w:id="916212442">
      <w:bodyDiv w:val="1"/>
      <w:marLeft w:val="0"/>
      <w:marRight w:val="0"/>
      <w:marTop w:val="0"/>
      <w:marBottom w:val="0"/>
      <w:divBdr>
        <w:top w:val="none" w:sz="0" w:space="0" w:color="auto"/>
        <w:left w:val="none" w:sz="0" w:space="0" w:color="auto"/>
        <w:bottom w:val="none" w:sz="0" w:space="0" w:color="auto"/>
        <w:right w:val="none" w:sz="0" w:space="0" w:color="auto"/>
      </w:divBdr>
    </w:div>
    <w:div w:id="1028870336">
      <w:bodyDiv w:val="1"/>
      <w:marLeft w:val="0"/>
      <w:marRight w:val="0"/>
      <w:marTop w:val="0"/>
      <w:marBottom w:val="0"/>
      <w:divBdr>
        <w:top w:val="none" w:sz="0" w:space="0" w:color="auto"/>
        <w:left w:val="none" w:sz="0" w:space="0" w:color="auto"/>
        <w:bottom w:val="none" w:sz="0" w:space="0" w:color="auto"/>
        <w:right w:val="none" w:sz="0" w:space="0" w:color="auto"/>
      </w:divBdr>
    </w:div>
    <w:div w:id="1150637469">
      <w:bodyDiv w:val="1"/>
      <w:marLeft w:val="0"/>
      <w:marRight w:val="0"/>
      <w:marTop w:val="0"/>
      <w:marBottom w:val="0"/>
      <w:divBdr>
        <w:top w:val="none" w:sz="0" w:space="0" w:color="auto"/>
        <w:left w:val="none" w:sz="0" w:space="0" w:color="auto"/>
        <w:bottom w:val="none" w:sz="0" w:space="0" w:color="auto"/>
        <w:right w:val="none" w:sz="0" w:space="0" w:color="auto"/>
      </w:divBdr>
    </w:div>
    <w:div w:id="1352142918">
      <w:bodyDiv w:val="1"/>
      <w:marLeft w:val="0"/>
      <w:marRight w:val="0"/>
      <w:marTop w:val="0"/>
      <w:marBottom w:val="0"/>
      <w:divBdr>
        <w:top w:val="none" w:sz="0" w:space="0" w:color="auto"/>
        <w:left w:val="none" w:sz="0" w:space="0" w:color="auto"/>
        <w:bottom w:val="none" w:sz="0" w:space="0" w:color="auto"/>
        <w:right w:val="none" w:sz="0" w:space="0" w:color="auto"/>
      </w:divBdr>
    </w:div>
    <w:div w:id="1423142663">
      <w:bodyDiv w:val="1"/>
      <w:marLeft w:val="0"/>
      <w:marRight w:val="0"/>
      <w:marTop w:val="0"/>
      <w:marBottom w:val="0"/>
      <w:divBdr>
        <w:top w:val="none" w:sz="0" w:space="0" w:color="auto"/>
        <w:left w:val="none" w:sz="0" w:space="0" w:color="auto"/>
        <w:bottom w:val="none" w:sz="0" w:space="0" w:color="auto"/>
        <w:right w:val="none" w:sz="0" w:space="0" w:color="auto"/>
      </w:divBdr>
    </w:div>
    <w:div w:id="18712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ho.int/topics/international_health_regulations/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86A8B-1A82-46AE-AA76-F480E4E4F292}"/>
</file>

<file path=customXml/itemProps2.xml><?xml version="1.0" encoding="utf-8"?>
<ds:datastoreItem xmlns:ds="http://schemas.openxmlformats.org/officeDocument/2006/customXml" ds:itemID="{3D79E761-8B58-4D46-B3E9-075F5938B5F6}"/>
</file>

<file path=customXml/itemProps3.xml><?xml version="1.0" encoding="utf-8"?>
<ds:datastoreItem xmlns:ds="http://schemas.openxmlformats.org/officeDocument/2006/customXml" ds:itemID="{68D17007-77D5-4D2D-A3AA-5EF47B2F901C}"/>
</file>

<file path=customXml/itemProps4.xml><?xml version="1.0" encoding="utf-8"?>
<ds:datastoreItem xmlns:ds="http://schemas.openxmlformats.org/officeDocument/2006/customXml" ds:itemID="{927FB4FE-31B9-4D53-8CB2-59F828F7CA75}"/>
</file>

<file path=docProps/app.xml><?xml version="1.0" encoding="utf-8"?>
<Properties xmlns="http://schemas.openxmlformats.org/officeDocument/2006/extended-properties" xmlns:vt="http://schemas.openxmlformats.org/officeDocument/2006/docPropsVTypes">
  <Template>Normal.dotm</Template>
  <TotalTime>0</TotalTime>
  <Pages>27</Pages>
  <Words>10467</Words>
  <Characters>59662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2017-01-20T01:54:00Z</dcterms:created>
  <dcterms:modified xsi:type="dcterms:W3CDTF">2017-02-14T00:56:00Z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65e75165-2188-412f-9d1c-dae6c58e4690</vt:lpwstr>
  </property>
  <property fmtid="{D5CDD505-2E9C-101B-9397-08002B2CF9AE}" pid="3" name="ContentTypeId">
    <vt:lpwstr>0x01010050F19AC2165D2E47A5E6B7F563E4CF00</vt:lpwstr>
  </property>
  <property fmtid="{D5CDD505-2E9C-101B-9397-08002B2CF9AE}" pid="4" name="Order">
    <vt:r8>1056000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hptrimdataset">
    <vt:lpwstr>CH</vt:lpwstr>
  </property>
  <property fmtid="{D5CDD505-2E9C-101B-9397-08002B2CF9AE}" pid="11" name="hptrimfileref">
    <vt:lpwstr>16/23256</vt:lpwstr>
  </property>
  <property fmtid="{D5CDD505-2E9C-101B-9397-08002B2CF9AE}" pid="12" name="hptrimrecordref">
    <vt:lpwstr/>
  </property>
  <property fmtid="{D5CDD505-2E9C-101B-9397-08002B2CF9AE}" pid="13" name="SEC">
    <vt:lpwstr>UNCLASSIFIED</vt:lpwstr>
  </property>
  <property fmtid="{D5CDD505-2E9C-101B-9397-08002B2CF9AE}" pid="14" name="DLM">
    <vt:lpwstr>No DLM</vt:lpwstr>
  </property>
</Properties>
</file>