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73A9" w14:textId="77777777" w:rsidR="00E10EAF" w:rsidRDefault="00E10EAF" w:rsidP="001A568E">
      <w:pPr>
        <w:pStyle w:val="Title"/>
        <w:jc w:val="left"/>
      </w:pPr>
    </w:p>
    <w:p w14:paraId="74AF9AC9" w14:textId="67D2820C" w:rsidR="00F706EF" w:rsidRPr="00F706EF" w:rsidRDefault="00F706EF" w:rsidP="001A568E">
      <w:pPr>
        <w:pStyle w:val="Title"/>
        <w:spacing w:line="240" w:lineRule="auto"/>
        <w:jc w:val="left"/>
      </w:pPr>
      <w:r>
        <w:t xml:space="preserve">Final Review of the Papua New Guinea – Australia Governance Partnership </w:t>
      </w:r>
    </w:p>
    <w:p w14:paraId="5B862CE3" w14:textId="11019A4A" w:rsidR="00505928" w:rsidRPr="00505928" w:rsidRDefault="00F706EF" w:rsidP="001A568E">
      <w:pPr>
        <w:spacing w:line="240" w:lineRule="auto"/>
        <w:jc w:val="left"/>
        <w:rPr>
          <w:rFonts w:ascii="Poppins" w:hAnsi="Poppins" w:cs="Poppins"/>
          <w:b/>
          <w:bCs/>
          <w:color w:val="0B1F51"/>
          <w:sz w:val="40"/>
          <w:szCs w:val="40"/>
        </w:rPr>
      </w:pPr>
      <w:r>
        <w:rPr>
          <w:rFonts w:ascii="Poppins" w:hAnsi="Poppins" w:cs="Poppins"/>
          <w:b/>
          <w:bCs/>
          <w:color w:val="0B1F51"/>
          <w:sz w:val="40"/>
          <w:szCs w:val="40"/>
        </w:rPr>
        <w:t>Annexes</w:t>
      </w:r>
    </w:p>
    <w:p w14:paraId="4574F487" w14:textId="77777777" w:rsidR="00505928" w:rsidRDefault="00E6585E" w:rsidP="001A568E">
      <w:pPr>
        <w:pStyle w:val="Subtitle"/>
        <w:spacing w:line="240" w:lineRule="auto"/>
        <w:jc w:val="left"/>
        <w:rPr>
          <w:color w:val="0B1F51"/>
        </w:rPr>
      </w:pPr>
      <w:r>
        <w:rPr>
          <w:color w:val="0B1F51"/>
        </w:rPr>
        <w:pict w14:anchorId="54306F29">
          <v:rect id="_x0000_i1025" style="width:451pt;height:6pt" o:hrstd="t" o:hrnoshade="t" o:hr="t" fillcolor="#45a7e1 [3204]" stroked="f"/>
        </w:pict>
      </w:r>
    </w:p>
    <w:p w14:paraId="32D5C6BF" w14:textId="253F1237" w:rsidR="0073416D" w:rsidRDefault="0014461C" w:rsidP="001A568E">
      <w:pPr>
        <w:pStyle w:val="Subtitle"/>
        <w:spacing w:line="240" w:lineRule="auto"/>
        <w:jc w:val="left"/>
        <w:rPr>
          <w:color w:val="0B1F51"/>
        </w:rPr>
      </w:pPr>
      <w:r>
        <w:rPr>
          <w:color w:val="0B1F51"/>
        </w:rPr>
        <w:t>May</w:t>
      </w:r>
      <w:r w:rsidR="007038E1" w:rsidRPr="00881EBF">
        <w:rPr>
          <w:color w:val="0B1F51"/>
        </w:rPr>
        <w:t xml:space="preserve"> 20</w:t>
      </w:r>
      <w:r w:rsidR="00030F6B">
        <w:rPr>
          <w:color w:val="0B1F51"/>
        </w:rPr>
        <w:t>22</w:t>
      </w:r>
    </w:p>
    <w:p w14:paraId="4E364FD9" w14:textId="77777777" w:rsidR="00030F6B" w:rsidRDefault="00030F6B" w:rsidP="001A568E">
      <w:pPr>
        <w:jc w:val="left"/>
      </w:pPr>
    </w:p>
    <w:p w14:paraId="14A21618" w14:textId="77777777" w:rsidR="00030F6B" w:rsidRDefault="00030F6B" w:rsidP="001A568E">
      <w:pPr>
        <w:jc w:val="left"/>
      </w:pPr>
      <w:r>
        <w:t xml:space="preserve">Submitted by: </w:t>
      </w:r>
    </w:p>
    <w:p w14:paraId="29365D87" w14:textId="2C1852BE" w:rsidR="00030F6B" w:rsidRDefault="00030F6B" w:rsidP="001A568E">
      <w:pPr>
        <w:jc w:val="left"/>
      </w:pPr>
      <w:r>
        <w:tab/>
      </w:r>
      <w:r w:rsidR="00F706EF">
        <w:t xml:space="preserve">Steve Bertram – Team Leader, </w:t>
      </w:r>
      <w:r w:rsidR="0014461C">
        <w:t xml:space="preserve">QTAG </w:t>
      </w:r>
      <w:r w:rsidR="00F706EF">
        <w:t xml:space="preserve">Final Review </w:t>
      </w:r>
      <w:r>
        <w:t xml:space="preserve"> </w:t>
      </w:r>
    </w:p>
    <w:p w14:paraId="25AED079" w14:textId="77777777" w:rsidR="00030F6B" w:rsidRDefault="00030F6B" w:rsidP="001A568E">
      <w:pPr>
        <w:jc w:val="left"/>
      </w:pPr>
      <w:r>
        <w:t xml:space="preserve">Submitted to: </w:t>
      </w:r>
    </w:p>
    <w:p w14:paraId="3E806FEC" w14:textId="0DB2DFB9" w:rsidR="00030F6B" w:rsidRDefault="00030F6B" w:rsidP="001A568E">
      <w:pPr>
        <w:ind w:firstLine="720"/>
        <w:jc w:val="left"/>
      </w:pPr>
      <w:r>
        <w:t xml:space="preserve">Joe Manteit – Contract Manager, </w:t>
      </w:r>
      <w:r w:rsidR="00F706EF">
        <w:t xml:space="preserve">Australian High Commission </w:t>
      </w:r>
    </w:p>
    <w:p w14:paraId="605292E4" w14:textId="77777777" w:rsidR="00030F6B" w:rsidRPr="00030F6B" w:rsidRDefault="00030F6B" w:rsidP="001A568E">
      <w:pPr>
        <w:jc w:val="left"/>
      </w:pPr>
    </w:p>
    <w:p w14:paraId="5ADA0CB8" w14:textId="77777777" w:rsidR="00E10EAF" w:rsidRDefault="00E10EAF" w:rsidP="001A568E">
      <w:pPr>
        <w:jc w:val="left"/>
      </w:pPr>
    </w:p>
    <w:p w14:paraId="2AF83222" w14:textId="77777777" w:rsidR="00EC72B2" w:rsidRDefault="00EC72B2" w:rsidP="001A568E">
      <w:pPr>
        <w:pStyle w:val="Heading1"/>
        <w:jc w:val="left"/>
        <w:sectPr w:rsidR="00EC72B2" w:rsidSect="00625C22">
          <w:headerReference w:type="default" r:id="rId8"/>
          <w:headerReference w:type="first" r:id="rId9"/>
          <w:footerReference w:type="first" r:id="rId10"/>
          <w:pgSz w:w="11900" w:h="16840" w:code="9"/>
          <w:pgMar w:top="1440" w:right="1440" w:bottom="1440" w:left="1440" w:header="709" w:footer="709" w:gutter="0"/>
          <w:pgNumType w:fmt="lowerRoman"/>
          <w:cols w:space="708"/>
          <w:titlePg/>
          <w:docGrid w:linePitch="360"/>
        </w:sectPr>
      </w:pPr>
    </w:p>
    <w:p w14:paraId="1F1C1BAD" w14:textId="6E511EA7" w:rsidR="00A96E21" w:rsidRDefault="00625C22" w:rsidP="001A568E">
      <w:pPr>
        <w:spacing w:after="0"/>
        <w:jc w:val="left"/>
        <w:rPr>
          <w:rFonts w:ascii="Poppins" w:eastAsia="Times New Roman" w:hAnsi="Poppins" w:cs="Poppins"/>
          <w:b/>
          <w:color w:val="0B1F51"/>
          <w:sz w:val="40"/>
          <w:szCs w:val="20"/>
        </w:rPr>
      </w:pPr>
      <w:r w:rsidRPr="00D15C47">
        <w:rPr>
          <w:noProof/>
        </w:rPr>
        <w:drawing>
          <wp:inline distT="0" distB="0" distL="0" distR="0" wp14:anchorId="55551077" wp14:editId="433BB7DA">
            <wp:extent cx="2576830" cy="805815"/>
            <wp:effectExtent l="0" t="0" r="0" b="0"/>
            <wp:docPr id="4" name="Picture 4" descr="OPM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M Logo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6830" cy="805815"/>
                    </a:xfrm>
                    <a:prstGeom prst="rect">
                      <a:avLst/>
                    </a:prstGeom>
                    <a:noFill/>
                    <a:ln>
                      <a:noFill/>
                    </a:ln>
                  </pic:spPr>
                </pic:pic>
              </a:graphicData>
            </a:graphic>
          </wp:inline>
        </w:drawing>
      </w:r>
      <w:r w:rsidR="00A96E21">
        <w:br w:type="page"/>
      </w:r>
    </w:p>
    <w:sdt>
      <w:sdtPr>
        <w:rPr>
          <w:rFonts w:asciiTheme="minorHAnsi" w:eastAsiaTheme="minorHAnsi" w:hAnsiTheme="minorHAnsi" w:cstheme="minorHAnsi"/>
          <w:b w:val="0"/>
          <w:bCs w:val="0"/>
          <w:color w:val="auto"/>
          <w:sz w:val="22"/>
          <w:szCs w:val="22"/>
          <w:lang w:val="en-GB" w:eastAsia="en-GB"/>
        </w:rPr>
        <w:id w:val="472638457"/>
        <w:docPartObj>
          <w:docPartGallery w:val="Table of Contents"/>
          <w:docPartUnique/>
        </w:docPartObj>
      </w:sdtPr>
      <w:sdtEndPr>
        <w:rPr>
          <w:noProof/>
        </w:rPr>
      </w:sdtEndPr>
      <w:sdtContent>
        <w:p w14:paraId="0334AEED" w14:textId="77777777" w:rsidR="00A96E21" w:rsidRDefault="00A96E21" w:rsidP="001A568E">
          <w:pPr>
            <w:pStyle w:val="TOCHeading"/>
            <w:jc w:val="left"/>
          </w:pPr>
          <w:r>
            <w:t>Contents</w:t>
          </w:r>
        </w:p>
        <w:p w14:paraId="476B9BF1" w14:textId="5D7D3033" w:rsidR="00F20AAC" w:rsidRPr="00913238" w:rsidRDefault="00F20AAC" w:rsidP="00D63830">
          <w:pPr>
            <w:pStyle w:val="TOC1"/>
            <w:rPr>
              <w:rFonts w:eastAsiaTheme="minorEastAsia" w:cstheme="minorBidi"/>
              <w:color w:val="auto"/>
              <w:szCs w:val="22"/>
              <w:lang w:val="en-US" w:eastAsia="en-US"/>
            </w:rPr>
          </w:pPr>
          <w:r>
            <w:fldChar w:fldCharType="begin"/>
          </w:r>
          <w:r>
            <w:instrText xml:space="preserve"> TOC \o "1-1" \h \z \u </w:instrText>
          </w:r>
          <w:r>
            <w:fldChar w:fldCharType="separate"/>
          </w:r>
          <w:hyperlink w:anchor="_Toc104183789" w:history="1">
            <w:r w:rsidRPr="00913238">
              <w:rPr>
                <w:rStyle w:val="Hyperlink"/>
                <w:color w:val="auto"/>
              </w:rPr>
              <w:t>Annex I – Terms of Reference</w:t>
            </w:r>
            <w:r w:rsidRPr="00913238">
              <w:rPr>
                <w:webHidden/>
                <w:color w:val="auto"/>
              </w:rPr>
              <w:tab/>
            </w:r>
            <w:r w:rsidRPr="00913238">
              <w:rPr>
                <w:webHidden/>
                <w:color w:val="auto"/>
              </w:rPr>
              <w:fldChar w:fldCharType="begin"/>
            </w:r>
            <w:r w:rsidRPr="00913238">
              <w:rPr>
                <w:webHidden/>
                <w:color w:val="auto"/>
              </w:rPr>
              <w:instrText xml:space="preserve"> PAGEREF _Toc104183789 \h </w:instrText>
            </w:r>
            <w:r w:rsidRPr="00913238">
              <w:rPr>
                <w:webHidden/>
                <w:color w:val="auto"/>
              </w:rPr>
            </w:r>
            <w:r w:rsidRPr="00913238">
              <w:rPr>
                <w:webHidden/>
                <w:color w:val="auto"/>
              </w:rPr>
              <w:fldChar w:fldCharType="separate"/>
            </w:r>
            <w:r w:rsidR="001A568E" w:rsidRPr="00913238">
              <w:rPr>
                <w:webHidden/>
                <w:color w:val="auto"/>
              </w:rPr>
              <w:t>3</w:t>
            </w:r>
            <w:r w:rsidRPr="00913238">
              <w:rPr>
                <w:webHidden/>
                <w:color w:val="auto"/>
              </w:rPr>
              <w:fldChar w:fldCharType="end"/>
            </w:r>
          </w:hyperlink>
        </w:p>
        <w:p w14:paraId="064A577A" w14:textId="1F716408" w:rsidR="00F20AAC" w:rsidRPr="00913238" w:rsidRDefault="00E6585E" w:rsidP="00D63830">
          <w:pPr>
            <w:pStyle w:val="TOC1"/>
            <w:rPr>
              <w:rFonts w:eastAsiaTheme="minorEastAsia" w:cstheme="minorBidi"/>
              <w:color w:val="auto"/>
              <w:szCs w:val="22"/>
              <w:lang w:val="en-US" w:eastAsia="en-US"/>
            </w:rPr>
          </w:pPr>
          <w:hyperlink w:anchor="_Toc104183790" w:history="1">
            <w:r w:rsidR="00F20AAC" w:rsidRPr="00913238">
              <w:rPr>
                <w:rStyle w:val="Hyperlink"/>
                <w:color w:val="auto"/>
              </w:rPr>
              <w:t>Annex II – Document List</w:t>
            </w:r>
            <w:r w:rsidR="00F20AAC" w:rsidRPr="00913238">
              <w:rPr>
                <w:webHidden/>
                <w:color w:val="auto"/>
              </w:rPr>
              <w:tab/>
            </w:r>
            <w:r w:rsidR="00F20AAC" w:rsidRPr="00913238">
              <w:rPr>
                <w:webHidden/>
                <w:color w:val="auto"/>
              </w:rPr>
              <w:fldChar w:fldCharType="begin"/>
            </w:r>
            <w:r w:rsidR="00F20AAC" w:rsidRPr="00913238">
              <w:rPr>
                <w:webHidden/>
                <w:color w:val="auto"/>
              </w:rPr>
              <w:instrText xml:space="preserve"> PAGEREF _Toc104183790 \h </w:instrText>
            </w:r>
            <w:r w:rsidR="00F20AAC" w:rsidRPr="00913238">
              <w:rPr>
                <w:webHidden/>
                <w:color w:val="auto"/>
              </w:rPr>
            </w:r>
            <w:r w:rsidR="00F20AAC" w:rsidRPr="00913238">
              <w:rPr>
                <w:webHidden/>
                <w:color w:val="auto"/>
              </w:rPr>
              <w:fldChar w:fldCharType="separate"/>
            </w:r>
            <w:r w:rsidR="001A568E" w:rsidRPr="00913238">
              <w:rPr>
                <w:webHidden/>
                <w:color w:val="auto"/>
              </w:rPr>
              <w:t>10</w:t>
            </w:r>
            <w:r w:rsidR="00F20AAC" w:rsidRPr="00913238">
              <w:rPr>
                <w:webHidden/>
                <w:color w:val="auto"/>
              </w:rPr>
              <w:fldChar w:fldCharType="end"/>
            </w:r>
          </w:hyperlink>
        </w:p>
        <w:p w14:paraId="6D0A9E83" w14:textId="02FC49B5" w:rsidR="00F20AAC" w:rsidRPr="00913238" w:rsidRDefault="00E6585E" w:rsidP="00D63830">
          <w:pPr>
            <w:pStyle w:val="TOC1"/>
            <w:rPr>
              <w:rFonts w:eastAsiaTheme="minorEastAsia" w:cstheme="minorBidi"/>
              <w:color w:val="auto"/>
              <w:szCs w:val="22"/>
              <w:lang w:val="en-US" w:eastAsia="en-US"/>
            </w:rPr>
          </w:pPr>
          <w:hyperlink w:anchor="_Toc104183791" w:history="1">
            <w:r w:rsidR="00F20AAC" w:rsidRPr="00913238">
              <w:rPr>
                <w:rStyle w:val="Hyperlink"/>
                <w:color w:val="auto"/>
              </w:rPr>
              <w:t>Annex III – Individuals Consulted</w:t>
            </w:r>
            <w:r w:rsidR="00F20AAC" w:rsidRPr="00913238">
              <w:rPr>
                <w:webHidden/>
                <w:color w:val="auto"/>
              </w:rPr>
              <w:tab/>
            </w:r>
            <w:r w:rsidR="00F20AAC" w:rsidRPr="00913238">
              <w:rPr>
                <w:webHidden/>
                <w:color w:val="auto"/>
              </w:rPr>
              <w:fldChar w:fldCharType="begin"/>
            </w:r>
            <w:r w:rsidR="00F20AAC" w:rsidRPr="00913238">
              <w:rPr>
                <w:webHidden/>
                <w:color w:val="auto"/>
              </w:rPr>
              <w:instrText xml:space="preserve"> PAGEREF _Toc104183791 \h </w:instrText>
            </w:r>
            <w:r w:rsidR="00F20AAC" w:rsidRPr="00913238">
              <w:rPr>
                <w:webHidden/>
                <w:color w:val="auto"/>
              </w:rPr>
            </w:r>
            <w:r w:rsidR="00F20AAC" w:rsidRPr="00913238">
              <w:rPr>
                <w:webHidden/>
                <w:color w:val="auto"/>
              </w:rPr>
              <w:fldChar w:fldCharType="separate"/>
            </w:r>
            <w:r w:rsidR="001A568E" w:rsidRPr="00913238">
              <w:rPr>
                <w:webHidden/>
                <w:color w:val="auto"/>
              </w:rPr>
              <w:t>14</w:t>
            </w:r>
            <w:r w:rsidR="00F20AAC" w:rsidRPr="00913238">
              <w:rPr>
                <w:webHidden/>
                <w:color w:val="auto"/>
              </w:rPr>
              <w:fldChar w:fldCharType="end"/>
            </w:r>
          </w:hyperlink>
        </w:p>
        <w:p w14:paraId="4B6FF476" w14:textId="73131E85" w:rsidR="00F20AAC" w:rsidRPr="00913238" w:rsidRDefault="00E6585E" w:rsidP="00D63830">
          <w:pPr>
            <w:pStyle w:val="TOC1"/>
            <w:rPr>
              <w:rFonts w:eastAsiaTheme="minorEastAsia" w:cstheme="minorBidi"/>
              <w:color w:val="auto"/>
              <w:szCs w:val="22"/>
              <w:lang w:val="en-US" w:eastAsia="en-US"/>
            </w:rPr>
          </w:pPr>
          <w:hyperlink w:anchor="_Toc104183792" w:history="1">
            <w:r w:rsidR="00F20AAC" w:rsidRPr="00913238">
              <w:rPr>
                <w:rStyle w:val="Hyperlink"/>
                <w:color w:val="auto"/>
              </w:rPr>
              <w:t>Annex IV – Performance Assessment Framework Outcomes</w:t>
            </w:r>
            <w:r w:rsidR="00F20AAC" w:rsidRPr="00913238">
              <w:rPr>
                <w:webHidden/>
                <w:color w:val="auto"/>
              </w:rPr>
              <w:tab/>
            </w:r>
            <w:r w:rsidR="00F20AAC" w:rsidRPr="00913238">
              <w:rPr>
                <w:webHidden/>
                <w:color w:val="auto"/>
              </w:rPr>
              <w:fldChar w:fldCharType="begin"/>
            </w:r>
            <w:r w:rsidR="00F20AAC" w:rsidRPr="00913238">
              <w:rPr>
                <w:webHidden/>
                <w:color w:val="auto"/>
              </w:rPr>
              <w:instrText xml:space="preserve"> PAGEREF _Toc104183792 \h </w:instrText>
            </w:r>
            <w:r w:rsidR="00F20AAC" w:rsidRPr="00913238">
              <w:rPr>
                <w:webHidden/>
                <w:color w:val="auto"/>
              </w:rPr>
            </w:r>
            <w:r w:rsidR="00F20AAC" w:rsidRPr="00913238">
              <w:rPr>
                <w:webHidden/>
                <w:color w:val="auto"/>
              </w:rPr>
              <w:fldChar w:fldCharType="separate"/>
            </w:r>
            <w:r w:rsidR="001A568E" w:rsidRPr="00913238">
              <w:rPr>
                <w:webHidden/>
                <w:color w:val="auto"/>
              </w:rPr>
              <w:t>19</w:t>
            </w:r>
            <w:r w:rsidR="00F20AAC" w:rsidRPr="00913238">
              <w:rPr>
                <w:webHidden/>
                <w:color w:val="auto"/>
              </w:rPr>
              <w:fldChar w:fldCharType="end"/>
            </w:r>
          </w:hyperlink>
        </w:p>
        <w:p w14:paraId="210229DC" w14:textId="2F5AC91B" w:rsidR="00F20AAC" w:rsidRPr="00913238" w:rsidRDefault="00E6585E" w:rsidP="00D63830">
          <w:pPr>
            <w:pStyle w:val="TOC1"/>
            <w:rPr>
              <w:rFonts w:eastAsiaTheme="minorEastAsia" w:cstheme="minorBidi"/>
              <w:color w:val="auto"/>
              <w:szCs w:val="22"/>
              <w:lang w:val="en-US" w:eastAsia="en-US"/>
            </w:rPr>
          </w:pPr>
          <w:hyperlink w:anchor="_Toc104183793" w:history="1">
            <w:r w:rsidR="00F20AAC" w:rsidRPr="00913238">
              <w:rPr>
                <w:rStyle w:val="Hyperlink"/>
                <w:color w:val="auto"/>
              </w:rPr>
              <w:t>Annex V – Reflection on 2019 Recommendations</w:t>
            </w:r>
            <w:r w:rsidR="00F20AAC" w:rsidRPr="00913238">
              <w:rPr>
                <w:webHidden/>
                <w:color w:val="auto"/>
              </w:rPr>
              <w:tab/>
            </w:r>
            <w:r w:rsidR="00F20AAC" w:rsidRPr="00913238">
              <w:rPr>
                <w:webHidden/>
                <w:color w:val="auto"/>
              </w:rPr>
              <w:fldChar w:fldCharType="begin"/>
            </w:r>
            <w:r w:rsidR="00F20AAC" w:rsidRPr="00913238">
              <w:rPr>
                <w:webHidden/>
                <w:color w:val="auto"/>
              </w:rPr>
              <w:instrText xml:space="preserve"> PAGEREF _Toc104183793 \h </w:instrText>
            </w:r>
            <w:r w:rsidR="00F20AAC" w:rsidRPr="00913238">
              <w:rPr>
                <w:webHidden/>
                <w:color w:val="auto"/>
              </w:rPr>
            </w:r>
            <w:r w:rsidR="00F20AAC" w:rsidRPr="00913238">
              <w:rPr>
                <w:webHidden/>
                <w:color w:val="auto"/>
              </w:rPr>
              <w:fldChar w:fldCharType="separate"/>
            </w:r>
            <w:r w:rsidR="001A568E" w:rsidRPr="00913238">
              <w:rPr>
                <w:webHidden/>
                <w:color w:val="auto"/>
              </w:rPr>
              <w:t>24</w:t>
            </w:r>
            <w:r w:rsidR="00F20AAC" w:rsidRPr="00913238">
              <w:rPr>
                <w:webHidden/>
                <w:color w:val="auto"/>
              </w:rPr>
              <w:fldChar w:fldCharType="end"/>
            </w:r>
          </w:hyperlink>
        </w:p>
        <w:p w14:paraId="6B0CB256" w14:textId="1CE86002" w:rsidR="00F20AAC" w:rsidRPr="00913238" w:rsidRDefault="00E6585E" w:rsidP="00D63830">
          <w:pPr>
            <w:pStyle w:val="TOC1"/>
            <w:rPr>
              <w:rFonts w:eastAsiaTheme="minorEastAsia" w:cstheme="minorBidi"/>
              <w:color w:val="auto"/>
              <w:szCs w:val="22"/>
              <w:lang w:val="en-US" w:eastAsia="en-US"/>
            </w:rPr>
          </w:pPr>
          <w:hyperlink w:anchor="_Toc104183794" w:history="1">
            <w:r w:rsidR="00F20AAC" w:rsidRPr="00913238">
              <w:rPr>
                <w:rStyle w:val="Hyperlink"/>
                <w:color w:val="auto"/>
              </w:rPr>
              <w:t>Annex VI – Additional Information for DCP</w:t>
            </w:r>
            <w:r w:rsidR="00F20AAC" w:rsidRPr="00913238">
              <w:rPr>
                <w:webHidden/>
                <w:color w:val="auto"/>
              </w:rPr>
              <w:tab/>
            </w:r>
            <w:r w:rsidR="00F20AAC" w:rsidRPr="00913238">
              <w:rPr>
                <w:webHidden/>
                <w:color w:val="auto"/>
              </w:rPr>
              <w:fldChar w:fldCharType="begin"/>
            </w:r>
            <w:r w:rsidR="00F20AAC" w:rsidRPr="00913238">
              <w:rPr>
                <w:webHidden/>
                <w:color w:val="auto"/>
              </w:rPr>
              <w:instrText xml:space="preserve"> PAGEREF _Toc104183794 \h </w:instrText>
            </w:r>
            <w:r w:rsidR="00F20AAC" w:rsidRPr="00913238">
              <w:rPr>
                <w:webHidden/>
                <w:color w:val="auto"/>
              </w:rPr>
            </w:r>
            <w:r w:rsidR="00F20AAC" w:rsidRPr="00913238">
              <w:rPr>
                <w:webHidden/>
                <w:color w:val="auto"/>
              </w:rPr>
              <w:fldChar w:fldCharType="separate"/>
            </w:r>
            <w:r w:rsidR="001A568E" w:rsidRPr="00913238">
              <w:rPr>
                <w:webHidden/>
                <w:color w:val="auto"/>
              </w:rPr>
              <w:t>28</w:t>
            </w:r>
            <w:r w:rsidR="00F20AAC" w:rsidRPr="00913238">
              <w:rPr>
                <w:webHidden/>
                <w:color w:val="auto"/>
              </w:rPr>
              <w:fldChar w:fldCharType="end"/>
            </w:r>
          </w:hyperlink>
        </w:p>
        <w:p w14:paraId="000D97D1" w14:textId="61229024" w:rsidR="00A96E21" w:rsidRDefault="00F20AAC" w:rsidP="001A568E">
          <w:pPr>
            <w:jc w:val="left"/>
            <w:rPr>
              <w:b/>
              <w:bCs/>
              <w:noProof/>
            </w:rPr>
          </w:pPr>
          <w:r>
            <w:rPr>
              <w:b/>
              <w:bCs/>
              <w:szCs w:val="20"/>
            </w:rPr>
            <w:fldChar w:fldCharType="end"/>
          </w:r>
        </w:p>
      </w:sdtContent>
    </w:sdt>
    <w:p w14:paraId="15AF6CA6" w14:textId="6A1768CB" w:rsidR="00F706EF" w:rsidRDefault="00F706EF" w:rsidP="001A568E">
      <w:pPr>
        <w:pStyle w:val="Heading1"/>
        <w:jc w:val="left"/>
      </w:pPr>
      <w:bookmarkStart w:id="0" w:name="_Toc104183789"/>
      <w:r>
        <w:lastRenderedPageBreak/>
        <w:t>Annex I – Terms of Reference</w:t>
      </w:r>
      <w:bookmarkEnd w:id="0"/>
      <w:r>
        <w:t xml:space="preserve"> </w:t>
      </w:r>
    </w:p>
    <w:p w14:paraId="19BE698B" w14:textId="77777777" w:rsidR="00A96E21" w:rsidRDefault="00A96E21" w:rsidP="001A568E">
      <w:pPr>
        <w:pStyle w:val="Heading2"/>
        <w:jc w:val="left"/>
      </w:pPr>
      <w:bookmarkStart w:id="1" w:name="_Toc102121203"/>
      <w:bookmarkStart w:id="2" w:name="_Toc102394252"/>
      <w:r w:rsidRPr="001259FD">
        <w:t>Review</w:t>
      </w:r>
      <w:r>
        <w:t xml:space="preserve"> Context</w:t>
      </w:r>
      <w:bookmarkEnd w:id="1"/>
      <w:bookmarkEnd w:id="2"/>
      <w:r>
        <w:t xml:space="preserve"> </w:t>
      </w:r>
    </w:p>
    <w:p w14:paraId="38E3C519" w14:textId="77777777" w:rsidR="00A96E21" w:rsidRDefault="00A96E21" w:rsidP="001A568E">
      <w:pPr>
        <w:pStyle w:val="Heading3"/>
        <w:jc w:val="left"/>
      </w:pPr>
      <w:bookmarkStart w:id="3" w:name="_Toc88562272"/>
      <w:bookmarkStart w:id="4" w:name="_Toc102121204"/>
      <w:bookmarkStart w:id="5" w:name="_Toc102394253"/>
      <w:r w:rsidRPr="001259FD">
        <w:t>Background</w:t>
      </w:r>
      <w:bookmarkEnd w:id="3"/>
      <w:bookmarkEnd w:id="4"/>
      <w:bookmarkEnd w:id="5"/>
      <w:r>
        <w:t xml:space="preserve"> </w:t>
      </w:r>
    </w:p>
    <w:p w14:paraId="150D347D" w14:textId="77777777" w:rsidR="00A96E21" w:rsidRDefault="00A96E21" w:rsidP="001A568E">
      <w:pPr>
        <w:pStyle w:val="BodyText"/>
      </w:pPr>
      <w:r>
        <w:t xml:space="preserve">QTAG has previously been engaged to conduct two Annual Reviews to consider progress of the Papua New Guinea (PNG) – Australia Governance Partnership (PAGP) conducted in 2018 and 2019. A Third and final review will be conducted in two phases during 2021 and 2022 covering the period from 1 April 2019 to the end of the Facility in April 2022, with a focus on the final reporting requirements of the Facility. </w:t>
      </w:r>
    </w:p>
    <w:p w14:paraId="36A3622C" w14:textId="77777777" w:rsidR="00A96E21" w:rsidRDefault="00A96E21" w:rsidP="001A568E">
      <w:pPr>
        <w:pStyle w:val="BodyText"/>
      </w:pPr>
      <w:r>
        <w:t xml:space="preserve">Since the last annual review there have been some notable impacts on PAGP operations that have had an effect on implementation: </w:t>
      </w:r>
    </w:p>
    <w:p w14:paraId="34FA05C1" w14:textId="77777777" w:rsidR="00A96E21" w:rsidRDefault="00A96E21" w:rsidP="001A568E">
      <w:pPr>
        <w:pStyle w:val="BulletList"/>
      </w:pPr>
      <w:r>
        <w:t xml:space="preserve">In August 2020 the Comprehensive Strategic and Economic Partnership (CSEP) was signed, providing a </w:t>
      </w:r>
      <w:r w:rsidRPr="001259FD">
        <w:t>framework</w:t>
      </w:r>
      <w:r>
        <w:t xml:space="preserve"> for the partnership between the Australian and Papua New Guinean Governments to 2030.  </w:t>
      </w:r>
    </w:p>
    <w:p w14:paraId="76BB99CC" w14:textId="3DABF5B1" w:rsidR="00A96E21" w:rsidRDefault="00A96E21" w:rsidP="001A568E">
      <w:pPr>
        <w:pStyle w:val="BulletList"/>
      </w:pPr>
      <w:r w:rsidRPr="00B26ACB">
        <w:t>In line with</w:t>
      </w:r>
      <w:r>
        <w:t xml:space="preserve"> the</w:t>
      </w:r>
      <w:r w:rsidRPr="00B26ACB">
        <w:t xml:space="preserve"> ‘Investment Concept: Deconstructing the PNG-Australia Governance Partnership’, PAGP will be concluding in April 2022</w:t>
      </w:r>
      <w:r>
        <w:t xml:space="preserve"> with Facility operations looking to cease </w:t>
      </w:r>
      <w:r w:rsidR="00C32E70">
        <w:t>on</w:t>
      </w:r>
      <w:r>
        <w:t xml:space="preserve"> 31 December with the final 6 months of the Facility focused on handover/transition to new arrangements or the conclusion of activities</w:t>
      </w:r>
      <w:r w:rsidRPr="00B26ACB">
        <w:t>.</w:t>
      </w:r>
      <w:r>
        <w:t xml:space="preserve"> </w:t>
      </w:r>
    </w:p>
    <w:p w14:paraId="16081B67" w14:textId="77777777" w:rsidR="00A96E21" w:rsidRDefault="00A96E21" w:rsidP="001A568E">
      <w:pPr>
        <w:pStyle w:val="BulletList"/>
      </w:pPr>
      <w:r>
        <w:t xml:space="preserve">The COVID-19 pandemic continues to impact implementation, requiring the Facility to move to a ‘Remote Working Model’, changing requirements regarding health and safety procedures for the Facility, changes to the absorptive capacity of partner organisations and a move within DFAT to implementation of the Partnerships for Recovery: Australia’s COVID-19 Development Response policy and subsequent performance framework. </w:t>
      </w:r>
    </w:p>
    <w:p w14:paraId="500FEE4C" w14:textId="77777777" w:rsidR="00A96E21" w:rsidRDefault="00A96E21" w:rsidP="001A568E">
      <w:pPr>
        <w:pStyle w:val="BodyText"/>
      </w:pPr>
      <w:r>
        <w:t xml:space="preserve">The review will take place during the sixth and final year of implementation, and given this will focus primarily on </w:t>
      </w:r>
      <w:r w:rsidRPr="00221EF0">
        <w:t xml:space="preserve">seeking to validate a sample of evidence on </w:t>
      </w:r>
      <w:r>
        <w:t>a sample of key achievements at</w:t>
      </w:r>
      <w:r w:rsidRPr="00221EF0">
        <w:t xml:space="preserve"> </w:t>
      </w:r>
      <w:r>
        <w:t xml:space="preserve">both Facility level and Workstream Partnership </w:t>
      </w:r>
      <w:r w:rsidRPr="00221EF0">
        <w:t>outcomes</w:t>
      </w:r>
      <w:r>
        <w:rPr>
          <w:rStyle w:val="FootnoteReference"/>
        </w:rPr>
        <w:footnoteReference w:id="2"/>
      </w:r>
      <w:r>
        <w:t xml:space="preserve">. </w:t>
      </w:r>
    </w:p>
    <w:p w14:paraId="0E35B613" w14:textId="77777777" w:rsidR="00A96E21" w:rsidRPr="00C53434" w:rsidRDefault="00A96E21" w:rsidP="001A568E">
      <w:pPr>
        <w:pStyle w:val="BodyText"/>
      </w:pPr>
      <w:r w:rsidRPr="00C53434">
        <w:t>The partnerships delivered through the Facility under the PNG–Australia Governance Partnership, referred to as the ‘</w:t>
      </w:r>
      <w:r>
        <w:t>Workstream Partnership</w:t>
      </w:r>
      <w:r w:rsidRPr="00C53434">
        <w:t>s’ in this document, include:</w:t>
      </w:r>
    </w:p>
    <w:p w14:paraId="3D96AFEC" w14:textId="77777777" w:rsidR="00A96E21" w:rsidRPr="00C53434" w:rsidRDefault="00A96E21" w:rsidP="001A568E">
      <w:pPr>
        <w:pStyle w:val="BulletList"/>
      </w:pPr>
      <w:r w:rsidRPr="001259FD">
        <w:t>Decentralisation</w:t>
      </w:r>
      <w:r w:rsidRPr="00C53434">
        <w:t xml:space="preserve"> and Citizen Participation</w:t>
      </w:r>
      <w:r>
        <w:t xml:space="preserve"> (DCP)</w:t>
      </w:r>
      <w:r w:rsidRPr="00C53434">
        <w:t xml:space="preserve"> Partnership</w:t>
      </w:r>
    </w:p>
    <w:p w14:paraId="58E7D357" w14:textId="77777777" w:rsidR="00A96E21" w:rsidRPr="00C53434" w:rsidRDefault="00A96E21" w:rsidP="001A568E">
      <w:pPr>
        <w:pStyle w:val="BulletList"/>
      </w:pPr>
      <w:r w:rsidRPr="00C53434">
        <w:t>Economic Governance and Inclusive Growth</w:t>
      </w:r>
      <w:r>
        <w:t xml:space="preserve"> (EGIG)</w:t>
      </w:r>
      <w:r w:rsidRPr="00C53434">
        <w:t xml:space="preserve"> Partnership</w:t>
      </w:r>
    </w:p>
    <w:p w14:paraId="50A38BF1" w14:textId="77777777" w:rsidR="00A96E21" w:rsidRDefault="00A96E21" w:rsidP="001A568E">
      <w:pPr>
        <w:pStyle w:val="BulletList"/>
      </w:pPr>
      <w:r w:rsidRPr="00C53434">
        <w:lastRenderedPageBreak/>
        <w:t>Public Sector Leadership and Reform</w:t>
      </w:r>
      <w:r>
        <w:t xml:space="preserve"> (PSLR)</w:t>
      </w:r>
      <w:r w:rsidRPr="00C53434">
        <w:t xml:space="preserve"> Partnership</w:t>
      </w:r>
      <w:r>
        <w:rPr>
          <w:rStyle w:val="FootnoteReference"/>
        </w:rPr>
        <w:footnoteReference w:id="3"/>
      </w:r>
    </w:p>
    <w:p w14:paraId="2D3C8680" w14:textId="77777777" w:rsidR="00A96E21" w:rsidRPr="00C53434" w:rsidRDefault="00A96E21" w:rsidP="001A568E">
      <w:pPr>
        <w:pStyle w:val="BulletList"/>
      </w:pPr>
      <w:r>
        <w:t>Institutional Partnerships Program (IPP) Deployee Support Services (DSS)</w:t>
      </w:r>
    </w:p>
    <w:p w14:paraId="0600B033" w14:textId="77777777" w:rsidR="00A96E21" w:rsidRPr="00C53434" w:rsidRDefault="00A96E21" w:rsidP="001A568E">
      <w:pPr>
        <w:pStyle w:val="BulletList"/>
      </w:pPr>
      <w:r w:rsidRPr="00C53434">
        <w:t>Bougainville Partnership</w:t>
      </w:r>
      <w:r>
        <w:t xml:space="preserve"> (BP)</w:t>
      </w:r>
    </w:p>
    <w:p w14:paraId="637443E1" w14:textId="77777777" w:rsidR="00A96E21" w:rsidRPr="00C53434" w:rsidRDefault="00A96E21" w:rsidP="001A568E">
      <w:pPr>
        <w:pStyle w:val="BulletList"/>
      </w:pPr>
      <w:r w:rsidRPr="00C53434">
        <w:t>Kokoda Initiative Partnership</w:t>
      </w:r>
      <w:r>
        <w:t xml:space="preserve"> (KIP)</w:t>
      </w:r>
    </w:p>
    <w:p w14:paraId="7E5D0725" w14:textId="77777777" w:rsidR="00A96E21" w:rsidRPr="00C53434" w:rsidRDefault="00A96E21" w:rsidP="001A568E">
      <w:pPr>
        <w:pStyle w:val="BulletList"/>
      </w:pPr>
      <w:r w:rsidRPr="00C53434">
        <w:t>PNG Partnership Fund</w:t>
      </w:r>
      <w:r>
        <w:t xml:space="preserve"> (PPF)</w:t>
      </w:r>
    </w:p>
    <w:p w14:paraId="51E812AC" w14:textId="77777777" w:rsidR="00A96E21" w:rsidRDefault="00A96E21" w:rsidP="001A568E">
      <w:pPr>
        <w:pStyle w:val="BodyText"/>
      </w:pPr>
      <w:r>
        <w:t xml:space="preserve">A key element of the 2019 review was an emphasis on the key efficiencies of the Facility model including embedding learning and adaptive planning processes across the Workstream Partnerships. The Final Review will provide a short confirmation of progress on implementation of the recommendations from the 2019 review to provide an update on progress and keeping in mind the constraints of the operating environment as outlined above. </w:t>
      </w:r>
    </w:p>
    <w:p w14:paraId="4F21309E" w14:textId="77777777" w:rsidR="00A96E21" w:rsidRDefault="00A96E21" w:rsidP="001A568E">
      <w:pPr>
        <w:pStyle w:val="BodyText"/>
      </w:pPr>
      <w:r>
        <w:t>Since the previous review, MERL reporting systems have been finalised and are operational. The PAFs for each Workstream Partnership and the Facility as a whole, will form a basis for analysis of Facility progress from 1 April 2019 to Facility closure. The Workstream Partnerships and Facility Platform aim to contribute to the goal of</w:t>
      </w:r>
      <w:r w:rsidRPr="005A5500">
        <w:t xml:space="preserve"> support </w:t>
      </w:r>
      <w:r>
        <w:t xml:space="preserve">to </w:t>
      </w:r>
      <w:r w:rsidRPr="005A5500">
        <w:t>the Government of Australia (GoA) and the Government of Papua New Guinea (GoPNG) in their endeavours to improve governance and to contribute to meeting the socio-economic needs of Papua New Guineans</w:t>
      </w:r>
      <w:r>
        <w:rPr>
          <w:rStyle w:val="FootnoteReference"/>
        </w:rPr>
        <w:footnoteReference w:id="4"/>
      </w:r>
      <w:r w:rsidRPr="005A5500">
        <w:t xml:space="preserve">. </w:t>
      </w:r>
    </w:p>
    <w:p w14:paraId="4752F8F6" w14:textId="77777777" w:rsidR="00A96E21" w:rsidRDefault="00A96E21" w:rsidP="001A568E">
      <w:pPr>
        <w:pStyle w:val="BodyText"/>
      </w:pPr>
      <w:r>
        <w:t>The Platform</w:t>
      </w:r>
      <w:r>
        <w:rPr>
          <w:rStyle w:val="FootnoteReference"/>
        </w:rPr>
        <w:footnoteReference w:id="5"/>
      </w:r>
      <w:r>
        <w:t xml:space="preserve"> has been restructured since the previous Annual Review with previous QTAG recommendations of functions responsible for Learning and Analysis, Performance and Assurance and People, Culture and Diversity subsumed into the Delivery Enabling Services unit</w:t>
      </w:r>
      <w:r>
        <w:rPr>
          <w:rStyle w:val="FootnoteReference"/>
        </w:rPr>
        <w:footnoteReference w:id="6"/>
      </w:r>
      <w:r>
        <w:t xml:space="preserve">. The performance of the Platform is measured against the Facility PAF which has a particular focus on the rational for the Facility’s establishment. </w:t>
      </w:r>
    </w:p>
    <w:p w14:paraId="5525CDDB" w14:textId="77777777" w:rsidR="00A96E21" w:rsidRPr="00540067" w:rsidRDefault="00A96E21" w:rsidP="001A568E">
      <w:pPr>
        <w:pStyle w:val="BodyText"/>
      </w:pPr>
      <w:r>
        <w:t xml:space="preserve">There is no single Results Framework that consolidates or aggregates performance in terms of development outcomes across the Workstream Partnerships and the unifying Platform (the Facility PAF seeks to provide evidence of value add to Workstream Partnerships through the collection of evidence against additional outcomes). The end of program outcomes outlined below were agreed between DFAT and Abt Associates in the original Deed of Standing Offer, however, in line with a contract amendment, the outcomes agreed in the Whole of Facility PAF will replace the outcomes agreed in the original Deed. To </w:t>
      </w:r>
      <w:r>
        <w:lastRenderedPageBreak/>
        <w:t>supplement this the Facility has reported against a set of KRA’s aligned to</w:t>
      </w:r>
      <w:r w:rsidRPr="00A70105">
        <w:t xml:space="preserve"> </w:t>
      </w:r>
      <w:r w:rsidRPr="005E0A8E">
        <w:t>the GoPNG MTDP 3 Goals and KRAs and GoA indicators</w:t>
      </w:r>
      <w:r>
        <w:t xml:space="preserve"> as outlined below. An additional analysis bringing together results from across the Facility will be produced by Abt Associates as an annex to the Whole of Facility Completion report. Phase one of the Final Review will seek to confirm how cross Facility outcome reporting will be generated for validation at completion reporting. </w:t>
      </w:r>
      <w:r w:rsidRPr="005E0A8E">
        <w:t xml:space="preserve"> </w:t>
      </w:r>
      <w:r>
        <w:t xml:space="preserve"> </w:t>
      </w:r>
    </w:p>
    <w:p w14:paraId="26573841" w14:textId="77777777" w:rsidR="00A96E21" w:rsidRPr="002250CC" w:rsidRDefault="00A96E21" w:rsidP="001A568E">
      <w:pPr>
        <w:pStyle w:val="Heading4"/>
        <w:jc w:val="left"/>
      </w:pPr>
      <w:bookmarkStart w:id="6" w:name="_Toc102121205"/>
      <w:bookmarkStart w:id="7" w:name="_Toc102394254"/>
      <w:r w:rsidRPr="002250CC">
        <w:t>Original End of Program outcomes</w:t>
      </w:r>
      <w:r>
        <w:t xml:space="preserve"> (informed by Australian priorities)</w:t>
      </w:r>
      <w:bookmarkEnd w:id="6"/>
      <w:bookmarkEnd w:id="7"/>
    </w:p>
    <w:tbl>
      <w:tblPr>
        <w:tblpPr w:leftFromText="180" w:rightFromText="180" w:vertAnchor="text" w:horzAnchor="margin" w:tblpX="36" w:tblpY="6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88"/>
        <w:gridCol w:w="7992"/>
      </w:tblGrid>
      <w:tr w:rsidR="00A96E21" w:rsidRPr="001259FD" w14:paraId="5C61A779" w14:textId="77777777" w:rsidTr="00265BB9">
        <w:tc>
          <w:tcPr>
            <w:tcW w:w="988" w:type="dxa"/>
            <w:shd w:val="clear" w:color="auto" w:fill="0A1F50" w:themeFill="text2"/>
            <w:vAlign w:val="center"/>
          </w:tcPr>
          <w:p w14:paraId="7B15EC74" w14:textId="77777777"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KRA 1</w:t>
            </w:r>
          </w:p>
        </w:tc>
        <w:tc>
          <w:tcPr>
            <w:tcW w:w="7992" w:type="dxa"/>
            <w:shd w:val="clear" w:color="auto" w:fill="F2F2F2" w:themeFill="background1" w:themeFillShade="F2"/>
          </w:tcPr>
          <w:p w14:paraId="131D0BFD" w14:textId="77777777" w:rsidR="00A96E21" w:rsidRPr="001259FD" w:rsidRDefault="00A96E21" w:rsidP="001A568E">
            <w:pPr>
              <w:spacing w:before="40" w:after="40" w:line="240" w:lineRule="auto"/>
              <w:jc w:val="left"/>
              <w:rPr>
                <w:rFonts w:ascii="Arial" w:hAnsi="Arial" w:cs="Arial"/>
                <w:sz w:val="20"/>
                <w:szCs w:val="20"/>
              </w:rPr>
            </w:pPr>
            <w:r w:rsidRPr="001259FD">
              <w:rPr>
                <w:rFonts w:ascii="Arial" w:hAnsi="Arial" w:cs="Arial"/>
                <w:sz w:val="20"/>
                <w:szCs w:val="20"/>
              </w:rPr>
              <w:t>Effective governance programs addressing development opportunities and constraints in priority areas, delivered.</w:t>
            </w:r>
          </w:p>
        </w:tc>
      </w:tr>
      <w:tr w:rsidR="00A96E21" w:rsidRPr="001259FD" w14:paraId="57F9FF8B" w14:textId="77777777" w:rsidTr="00265BB9">
        <w:trPr>
          <w:trHeight w:val="513"/>
        </w:trPr>
        <w:tc>
          <w:tcPr>
            <w:tcW w:w="988" w:type="dxa"/>
            <w:shd w:val="clear" w:color="auto" w:fill="0A1F50" w:themeFill="text2"/>
            <w:vAlign w:val="center"/>
          </w:tcPr>
          <w:p w14:paraId="2962C080" w14:textId="77777777"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KRA 2</w:t>
            </w:r>
          </w:p>
        </w:tc>
        <w:tc>
          <w:tcPr>
            <w:tcW w:w="7992" w:type="dxa"/>
            <w:shd w:val="clear" w:color="auto" w:fill="F2F2F2" w:themeFill="background1" w:themeFillShade="F2"/>
            <w:vAlign w:val="center"/>
          </w:tcPr>
          <w:p w14:paraId="4C7FA56C" w14:textId="77777777" w:rsidR="00A96E21" w:rsidRPr="001259FD" w:rsidRDefault="00A96E21" w:rsidP="001A568E">
            <w:pPr>
              <w:spacing w:before="40" w:after="40" w:line="240" w:lineRule="auto"/>
              <w:jc w:val="left"/>
              <w:rPr>
                <w:rFonts w:ascii="Arial" w:hAnsi="Arial" w:cs="Arial"/>
                <w:sz w:val="20"/>
                <w:szCs w:val="20"/>
              </w:rPr>
            </w:pPr>
            <w:r w:rsidRPr="001259FD">
              <w:rPr>
                <w:rFonts w:ascii="Arial" w:hAnsi="Arial" w:cs="Arial"/>
                <w:sz w:val="20"/>
                <w:szCs w:val="20"/>
              </w:rPr>
              <w:t>Governance programs effectively addressing critical gender issues.</w:t>
            </w:r>
          </w:p>
        </w:tc>
      </w:tr>
      <w:tr w:rsidR="00A96E21" w:rsidRPr="001259FD" w14:paraId="4BD9D4C6" w14:textId="77777777" w:rsidTr="00265BB9">
        <w:tc>
          <w:tcPr>
            <w:tcW w:w="988" w:type="dxa"/>
            <w:shd w:val="clear" w:color="auto" w:fill="0A1F50" w:themeFill="text2"/>
            <w:vAlign w:val="center"/>
          </w:tcPr>
          <w:p w14:paraId="2CCD5323" w14:textId="77777777"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KRA 3</w:t>
            </w:r>
          </w:p>
        </w:tc>
        <w:tc>
          <w:tcPr>
            <w:tcW w:w="7992" w:type="dxa"/>
            <w:shd w:val="clear" w:color="auto" w:fill="F2F2F2" w:themeFill="background1" w:themeFillShade="F2"/>
          </w:tcPr>
          <w:p w14:paraId="5BFB1ECF" w14:textId="77777777" w:rsidR="00A96E21" w:rsidRPr="001259FD" w:rsidRDefault="00A96E21" w:rsidP="001A568E">
            <w:pPr>
              <w:spacing w:before="40" w:after="40" w:line="240" w:lineRule="auto"/>
              <w:jc w:val="left"/>
              <w:rPr>
                <w:rFonts w:ascii="Arial" w:hAnsi="Arial" w:cs="Arial"/>
                <w:sz w:val="20"/>
                <w:szCs w:val="20"/>
              </w:rPr>
            </w:pPr>
            <w:r w:rsidRPr="001259FD">
              <w:rPr>
                <w:rFonts w:ascii="Arial" w:hAnsi="Arial" w:cs="Arial"/>
                <w:sz w:val="20"/>
                <w:szCs w:val="20"/>
              </w:rPr>
              <w:t>Efficient and effective operational support provided to PNG stakeholders and AHC.</w:t>
            </w:r>
          </w:p>
        </w:tc>
      </w:tr>
      <w:tr w:rsidR="00A96E21" w:rsidRPr="001259FD" w14:paraId="0735AF75" w14:textId="77777777" w:rsidTr="001B3EAE">
        <w:trPr>
          <w:trHeight w:val="50"/>
        </w:trPr>
        <w:tc>
          <w:tcPr>
            <w:tcW w:w="988" w:type="dxa"/>
            <w:shd w:val="clear" w:color="auto" w:fill="0A1F50" w:themeFill="text2"/>
            <w:vAlign w:val="center"/>
          </w:tcPr>
          <w:p w14:paraId="7EC48725" w14:textId="77777777"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KRA 4</w:t>
            </w:r>
          </w:p>
        </w:tc>
        <w:tc>
          <w:tcPr>
            <w:tcW w:w="7992" w:type="dxa"/>
            <w:shd w:val="clear" w:color="auto" w:fill="F2F2F2" w:themeFill="background1" w:themeFillShade="F2"/>
          </w:tcPr>
          <w:p w14:paraId="548180C4" w14:textId="77777777" w:rsidR="00A96E21" w:rsidRPr="001259FD" w:rsidRDefault="00A96E21" w:rsidP="001A568E">
            <w:pPr>
              <w:spacing w:before="40" w:after="40" w:line="240" w:lineRule="auto"/>
              <w:jc w:val="left"/>
              <w:rPr>
                <w:rFonts w:ascii="Arial" w:hAnsi="Arial" w:cs="Arial"/>
                <w:sz w:val="20"/>
                <w:szCs w:val="20"/>
              </w:rPr>
            </w:pPr>
            <w:r w:rsidRPr="001259FD">
              <w:rPr>
                <w:rFonts w:ascii="Arial" w:hAnsi="Arial" w:cs="Arial"/>
                <w:sz w:val="20"/>
                <w:szCs w:val="20"/>
              </w:rPr>
              <w:t>High quality knowledge and learning about governance and development in PNG communicated effectively to stakeholders.</w:t>
            </w:r>
          </w:p>
        </w:tc>
      </w:tr>
    </w:tbl>
    <w:p w14:paraId="3198BD39" w14:textId="77777777" w:rsidR="00A96E21" w:rsidRPr="003E2AC9" w:rsidRDefault="00A96E21" w:rsidP="001A568E">
      <w:pPr>
        <w:pStyle w:val="BodyText"/>
        <w:spacing w:after="0"/>
      </w:pPr>
    </w:p>
    <w:p w14:paraId="4BA00381" w14:textId="77777777" w:rsidR="00A96E21" w:rsidRPr="00650CB6" w:rsidRDefault="00A96E21" w:rsidP="001A568E">
      <w:pPr>
        <w:pStyle w:val="Heading4"/>
        <w:jc w:val="left"/>
      </w:pPr>
      <w:bookmarkStart w:id="8" w:name="_Toc102121206"/>
      <w:bookmarkStart w:id="9" w:name="_Toc102394255"/>
      <w:r w:rsidRPr="00650CB6">
        <w:t>GoPNG MTDP KRA’s</w:t>
      </w:r>
      <w:bookmarkEnd w:id="8"/>
      <w:bookmarkEnd w:id="9"/>
      <w:r w:rsidRPr="00650CB6">
        <w:t xml:space="preserve"> </w:t>
      </w:r>
    </w:p>
    <w:tbl>
      <w:tblPr>
        <w:tblpPr w:leftFromText="180" w:rightFromText="180" w:vertAnchor="text" w:horzAnchor="margin" w:tblpX="36" w:tblpY="6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88"/>
        <w:gridCol w:w="7992"/>
      </w:tblGrid>
      <w:tr w:rsidR="00A96E21" w:rsidRPr="001259FD" w14:paraId="5B54E42A" w14:textId="77777777" w:rsidTr="00265BB9">
        <w:tc>
          <w:tcPr>
            <w:tcW w:w="988" w:type="dxa"/>
            <w:shd w:val="clear" w:color="auto" w:fill="0A1F50" w:themeFill="text2"/>
            <w:vAlign w:val="center"/>
          </w:tcPr>
          <w:p w14:paraId="54B356DC" w14:textId="77777777"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KRA 1</w:t>
            </w:r>
          </w:p>
        </w:tc>
        <w:tc>
          <w:tcPr>
            <w:tcW w:w="7992" w:type="dxa"/>
            <w:shd w:val="clear" w:color="auto" w:fill="F2F2F2" w:themeFill="background1" w:themeFillShade="F2"/>
          </w:tcPr>
          <w:p w14:paraId="7F181E71" w14:textId="77777777" w:rsidR="00A96E21" w:rsidRPr="001259FD" w:rsidRDefault="00A96E21" w:rsidP="001A568E">
            <w:pPr>
              <w:spacing w:before="40" w:after="40" w:line="240" w:lineRule="auto"/>
              <w:jc w:val="left"/>
              <w:rPr>
                <w:rFonts w:ascii="Arial" w:hAnsi="Arial" w:cs="Arial"/>
                <w:sz w:val="20"/>
                <w:szCs w:val="20"/>
              </w:rPr>
            </w:pPr>
            <w:r w:rsidRPr="001259FD">
              <w:rPr>
                <w:rFonts w:ascii="Arial" w:hAnsi="Arial" w:cs="Arial"/>
                <w:sz w:val="20"/>
                <w:szCs w:val="20"/>
              </w:rPr>
              <w:t>Increased revenue, wealth creation, employment generation and women’s economic empowerment.</w:t>
            </w:r>
          </w:p>
        </w:tc>
      </w:tr>
      <w:tr w:rsidR="00A96E21" w:rsidRPr="001259FD" w14:paraId="22E25A01" w14:textId="77777777" w:rsidTr="00265BB9">
        <w:trPr>
          <w:trHeight w:val="513"/>
        </w:trPr>
        <w:tc>
          <w:tcPr>
            <w:tcW w:w="988" w:type="dxa"/>
            <w:shd w:val="clear" w:color="auto" w:fill="0A1F50" w:themeFill="text2"/>
            <w:vAlign w:val="center"/>
          </w:tcPr>
          <w:p w14:paraId="62C1F6B3" w14:textId="7FC5DE03"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 xml:space="preserve">KRA </w:t>
            </w:r>
            <w:r w:rsidR="000411D2">
              <w:rPr>
                <w:rFonts w:ascii="Arial" w:hAnsi="Arial" w:cs="Arial"/>
                <w:b/>
                <w:sz w:val="20"/>
                <w:szCs w:val="20"/>
              </w:rPr>
              <w:t>2</w:t>
            </w:r>
          </w:p>
        </w:tc>
        <w:tc>
          <w:tcPr>
            <w:tcW w:w="7992" w:type="dxa"/>
            <w:shd w:val="clear" w:color="auto" w:fill="F2F2F2" w:themeFill="background1" w:themeFillShade="F2"/>
            <w:vAlign w:val="center"/>
          </w:tcPr>
          <w:p w14:paraId="462209E4" w14:textId="77777777" w:rsidR="00A96E21" w:rsidRPr="001259FD" w:rsidRDefault="00A96E21" w:rsidP="001A568E">
            <w:pPr>
              <w:spacing w:before="40" w:after="40" w:line="240" w:lineRule="auto"/>
              <w:jc w:val="left"/>
              <w:rPr>
                <w:rFonts w:ascii="Arial" w:hAnsi="Arial" w:cs="Arial"/>
                <w:sz w:val="20"/>
                <w:szCs w:val="20"/>
              </w:rPr>
            </w:pPr>
            <w:r w:rsidRPr="001259FD">
              <w:rPr>
                <w:rFonts w:ascii="Arial" w:hAnsi="Arial" w:cs="Arial"/>
                <w:sz w:val="20"/>
                <w:szCs w:val="20"/>
              </w:rPr>
              <w:t>Improved sustainable social development</w:t>
            </w:r>
          </w:p>
        </w:tc>
      </w:tr>
      <w:tr w:rsidR="00A96E21" w:rsidRPr="001259FD" w14:paraId="59139024" w14:textId="77777777" w:rsidTr="00265BB9">
        <w:tc>
          <w:tcPr>
            <w:tcW w:w="988" w:type="dxa"/>
            <w:shd w:val="clear" w:color="auto" w:fill="0A1F50" w:themeFill="text2"/>
            <w:vAlign w:val="center"/>
          </w:tcPr>
          <w:p w14:paraId="60A39A99" w14:textId="77E39D44"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 xml:space="preserve">KRA </w:t>
            </w:r>
            <w:r w:rsidR="000411D2">
              <w:rPr>
                <w:rFonts w:ascii="Arial" w:hAnsi="Arial" w:cs="Arial"/>
                <w:b/>
                <w:sz w:val="20"/>
                <w:szCs w:val="20"/>
              </w:rPr>
              <w:t>3</w:t>
            </w:r>
          </w:p>
        </w:tc>
        <w:tc>
          <w:tcPr>
            <w:tcW w:w="7992" w:type="dxa"/>
            <w:shd w:val="clear" w:color="auto" w:fill="F2F2F2" w:themeFill="background1" w:themeFillShade="F2"/>
          </w:tcPr>
          <w:p w14:paraId="7F6ECF4C" w14:textId="77777777" w:rsidR="00A96E21" w:rsidRPr="001259FD" w:rsidRDefault="00A96E21" w:rsidP="001A568E">
            <w:pPr>
              <w:spacing w:before="40" w:after="40" w:line="240" w:lineRule="auto"/>
              <w:jc w:val="left"/>
              <w:rPr>
                <w:rFonts w:ascii="Arial" w:hAnsi="Arial" w:cs="Arial"/>
                <w:sz w:val="20"/>
                <w:szCs w:val="20"/>
              </w:rPr>
            </w:pPr>
            <w:r w:rsidRPr="001259FD">
              <w:rPr>
                <w:rFonts w:ascii="Arial" w:hAnsi="Arial" w:cs="Arial"/>
                <w:sz w:val="20"/>
                <w:szCs w:val="20"/>
              </w:rPr>
              <w:t>Improved service delivery and effectiveness of Public Service machinery</w:t>
            </w:r>
          </w:p>
        </w:tc>
      </w:tr>
      <w:tr w:rsidR="00A96E21" w:rsidRPr="001259FD" w14:paraId="25D69F66" w14:textId="77777777" w:rsidTr="00265BB9">
        <w:tc>
          <w:tcPr>
            <w:tcW w:w="988" w:type="dxa"/>
            <w:shd w:val="clear" w:color="auto" w:fill="0A1F50" w:themeFill="text2"/>
            <w:vAlign w:val="center"/>
          </w:tcPr>
          <w:p w14:paraId="5E8DA6E5" w14:textId="30F706A7"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 xml:space="preserve">KRA </w:t>
            </w:r>
            <w:r w:rsidR="000411D2">
              <w:rPr>
                <w:rFonts w:ascii="Arial" w:hAnsi="Arial" w:cs="Arial"/>
                <w:b/>
                <w:sz w:val="20"/>
                <w:szCs w:val="20"/>
              </w:rPr>
              <w:t>4</w:t>
            </w:r>
          </w:p>
        </w:tc>
        <w:tc>
          <w:tcPr>
            <w:tcW w:w="7992" w:type="dxa"/>
            <w:shd w:val="clear" w:color="auto" w:fill="F2F2F2" w:themeFill="background1" w:themeFillShade="F2"/>
          </w:tcPr>
          <w:p w14:paraId="7B4875A8" w14:textId="77777777" w:rsidR="00A96E21" w:rsidRPr="001259FD" w:rsidRDefault="00A96E21" w:rsidP="001A568E">
            <w:pPr>
              <w:spacing w:before="40" w:after="40" w:line="240" w:lineRule="auto"/>
              <w:jc w:val="left"/>
              <w:rPr>
                <w:rFonts w:ascii="Arial" w:hAnsi="Arial" w:cs="Arial"/>
                <w:bCs/>
                <w:sz w:val="20"/>
                <w:szCs w:val="20"/>
              </w:rPr>
            </w:pPr>
            <w:r w:rsidRPr="001259FD">
              <w:rPr>
                <w:rFonts w:ascii="Arial" w:hAnsi="Arial" w:cs="Arial"/>
                <w:bCs/>
                <w:sz w:val="20"/>
                <w:szCs w:val="20"/>
              </w:rPr>
              <w:t>Improved Governance</w:t>
            </w:r>
          </w:p>
        </w:tc>
      </w:tr>
      <w:tr w:rsidR="00A96E21" w:rsidRPr="001259FD" w14:paraId="1831E485" w14:textId="77777777" w:rsidTr="00265BB9">
        <w:tc>
          <w:tcPr>
            <w:tcW w:w="988" w:type="dxa"/>
            <w:shd w:val="clear" w:color="auto" w:fill="0A1F50" w:themeFill="text2"/>
            <w:vAlign w:val="center"/>
          </w:tcPr>
          <w:p w14:paraId="35ADDF27" w14:textId="5E1D9598"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 xml:space="preserve">KRA </w:t>
            </w:r>
            <w:r w:rsidR="000411D2">
              <w:rPr>
                <w:rFonts w:ascii="Arial" w:hAnsi="Arial" w:cs="Arial"/>
                <w:b/>
                <w:sz w:val="20"/>
                <w:szCs w:val="20"/>
              </w:rPr>
              <w:t>5</w:t>
            </w:r>
          </w:p>
        </w:tc>
        <w:tc>
          <w:tcPr>
            <w:tcW w:w="7992" w:type="dxa"/>
            <w:shd w:val="clear" w:color="auto" w:fill="F2F2F2" w:themeFill="background1" w:themeFillShade="F2"/>
          </w:tcPr>
          <w:p w14:paraId="6A569F80" w14:textId="77777777" w:rsidR="00A96E21" w:rsidRPr="001259FD" w:rsidRDefault="00A96E21" w:rsidP="001A568E">
            <w:pPr>
              <w:spacing w:before="40" w:after="40" w:line="240" w:lineRule="auto"/>
              <w:jc w:val="left"/>
              <w:rPr>
                <w:rFonts w:ascii="Arial" w:hAnsi="Arial" w:cs="Arial"/>
                <w:bCs/>
                <w:sz w:val="20"/>
                <w:szCs w:val="20"/>
              </w:rPr>
            </w:pPr>
            <w:r w:rsidRPr="001259FD">
              <w:rPr>
                <w:rFonts w:ascii="Arial" w:hAnsi="Arial" w:cs="Arial"/>
                <w:bCs/>
                <w:sz w:val="20"/>
                <w:szCs w:val="20"/>
              </w:rPr>
              <w:t>Responsible Sustainable Development</w:t>
            </w:r>
          </w:p>
        </w:tc>
      </w:tr>
      <w:tr w:rsidR="00A96E21" w:rsidRPr="001259FD" w14:paraId="36E0706E" w14:textId="77777777" w:rsidTr="00265BB9">
        <w:tc>
          <w:tcPr>
            <w:tcW w:w="988" w:type="dxa"/>
            <w:shd w:val="clear" w:color="auto" w:fill="0A1F50" w:themeFill="text2"/>
            <w:vAlign w:val="center"/>
          </w:tcPr>
          <w:p w14:paraId="4D186ED3" w14:textId="28B144A8"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 xml:space="preserve">KRA </w:t>
            </w:r>
            <w:r w:rsidR="000411D2">
              <w:rPr>
                <w:rFonts w:ascii="Arial" w:hAnsi="Arial" w:cs="Arial"/>
                <w:b/>
                <w:sz w:val="20"/>
                <w:szCs w:val="20"/>
              </w:rPr>
              <w:t>6</w:t>
            </w:r>
          </w:p>
        </w:tc>
        <w:tc>
          <w:tcPr>
            <w:tcW w:w="7992" w:type="dxa"/>
            <w:shd w:val="clear" w:color="auto" w:fill="F2F2F2" w:themeFill="background1" w:themeFillShade="F2"/>
          </w:tcPr>
          <w:p w14:paraId="3D606A72" w14:textId="77777777" w:rsidR="00A96E21" w:rsidRPr="001259FD" w:rsidRDefault="00A96E21" w:rsidP="001A568E">
            <w:pPr>
              <w:spacing w:before="40" w:after="40" w:line="240" w:lineRule="auto"/>
              <w:jc w:val="left"/>
              <w:rPr>
                <w:rFonts w:ascii="Arial" w:hAnsi="Arial" w:cs="Arial"/>
                <w:bCs/>
                <w:sz w:val="20"/>
                <w:szCs w:val="20"/>
              </w:rPr>
            </w:pPr>
            <w:r w:rsidRPr="001259FD">
              <w:rPr>
                <w:rFonts w:ascii="Arial" w:hAnsi="Arial" w:cs="Arial"/>
                <w:bCs/>
                <w:sz w:val="20"/>
                <w:szCs w:val="20"/>
              </w:rPr>
              <w:t>Improved Law, Justice and National Security</w:t>
            </w:r>
          </w:p>
        </w:tc>
      </w:tr>
      <w:tr w:rsidR="00A96E21" w:rsidRPr="001259FD" w14:paraId="0155C7A5" w14:textId="77777777" w:rsidTr="00265BB9">
        <w:tc>
          <w:tcPr>
            <w:tcW w:w="988" w:type="dxa"/>
            <w:shd w:val="clear" w:color="auto" w:fill="0A1F50" w:themeFill="text2"/>
            <w:vAlign w:val="center"/>
          </w:tcPr>
          <w:p w14:paraId="5B45FDB5" w14:textId="29116808" w:rsidR="00A96E21" w:rsidRPr="001259FD" w:rsidRDefault="00A96E21" w:rsidP="001A568E">
            <w:pPr>
              <w:spacing w:before="40" w:after="40" w:line="240" w:lineRule="auto"/>
              <w:jc w:val="left"/>
              <w:rPr>
                <w:rFonts w:ascii="Arial" w:hAnsi="Arial" w:cs="Arial"/>
                <w:b/>
                <w:sz w:val="20"/>
                <w:szCs w:val="20"/>
              </w:rPr>
            </w:pPr>
            <w:r w:rsidRPr="001259FD">
              <w:rPr>
                <w:rFonts w:ascii="Arial" w:hAnsi="Arial" w:cs="Arial"/>
                <w:b/>
                <w:sz w:val="20"/>
                <w:szCs w:val="20"/>
              </w:rPr>
              <w:t xml:space="preserve">KRA </w:t>
            </w:r>
            <w:r w:rsidR="000411D2">
              <w:rPr>
                <w:rFonts w:ascii="Arial" w:hAnsi="Arial" w:cs="Arial"/>
                <w:b/>
                <w:sz w:val="20"/>
                <w:szCs w:val="20"/>
              </w:rPr>
              <w:t>7</w:t>
            </w:r>
          </w:p>
        </w:tc>
        <w:tc>
          <w:tcPr>
            <w:tcW w:w="7992" w:type="dxa"/>
            <w:shd w:val="clear" w:color="auto" w:fill="F2F2F2" w:themeFill="background1" w:themeFillShade="F2"/>
          </w:tcPr>
          <w:p w14:paraId="2722E91D" w14:textId="77777777" w:rsidR="00A96E21" w:rsidRPr="001259FD" w:rsidRDefault="00A96E21" w:rsidP="001A568E">
            <w:pPr>
              <w:spacing w:before="40" w:after="40" w:line="240" w:lineRule="auto"/>
              <w:jc w:val="left"/>
              <w:rPr>
                <w:rFonts w:ascii="Arial" w:hAnsi="Arial" w:cs="Arial"/>
                <w:bCs/>
                <w:sz w:val="20"/>
                <w:szCs w:val="20"/>
              </w:rPr>
            </w:pPr>
            <w:r w:rsidRPr="001259FD">
              <w:rPr>
                <w:rFonts w:ascii="Arial" w:hAnsi="Arial" w:cs="Arial"/>
                <w:bCs/>
                <w:sz w:val="20"/>
                <w:szCs w:val="20"/>
              </w:rPr>
              <w:t>Quality Infrastructure and Utilities</w:t>
            </w:r>
          </w:p>
        </w:tc>
      </w:tr>
    </w:tbl>
    <w:p w14:paraId="52D8AAB4" w14:textId="77777777" w:rsidR="00A96E21" w:rsidRPr="000831F3" w:rsidRDefault="00A96E21" w:rsidP="001A568E">
      <w:pPr>
        <w:pStyle w:val="Heading2"/>
        <w:jc w:val="left"/>
      </w:pPr>
      <w:bookmarkStart w:id="10" w:name="_Toc102121207"/>
      <w:bookmarkStart w:id="11" w:name="_Toc102394256"/>
      <w:r w:rsidRPr="000831F3">
        <w:t>Evaluation rationale</w:t>
      </w:r>
      <w:bookmarkEnd w:id="10"/>
      <w:bookmarkEnd w:id="11"/>
    </w:p>
    <w:p w14:paraId="5D19AA36" w14:textId="77777777" w:rsidR="00A96E21" w:rsidRPr="000831F3" w:rsidRDefault="00A96E21" w:rsidP="001A568E">
      <w:pPr>
        <w:pStyle w:val="Heading3"/>
        <w:jc w:val="left"/>
      </w:pPr>
      <w:bookmarkStart w:id="12" w:name="_Toc102121208"/>
      <w:bookmarkStart w:id="13" w:name="_Toc102394257"/>
      <w:r w:rsidRPr="000831F3">
        <w:t>Overall purpose</w:t>
      </w:r>
      <w:bookmarkEnd w:id="12"/>
      <w:bookmarkEnd w:id="13"/>
    </w:p>
    <w:p w14:paraId="3CA3B15C" w14:textId="77777777" w:rsidR="00A96E21" w:rsidRPr="00C53434" w:rsidRDefault="00A96E21" w:rsidP="001A568E">
      <w:pPr>
        <w:pStyle w:val="BodyText"/>
      </w:pPr>
      <w:r w:rsidRPr="00C53434">
        <w:t xml:space="preserve">The overall purpose of the review is to </w:t>
      </w:r>
      <w:r>
        <w:t>provide an independent assessment of the evidence of achievement against Facility outcomes</w:t>
      </w:r>
      <w:r w:rsidRPr="00C53434">
        <w:t xml:space="preserve">. </w:t>
      </w:r>
    </w:p>
    <w:tbl>
      <w:tblPr>
        <w:tblStyle w:val="TableGrid"/>
        <w:tblpPr w:leftFromText="181" w:rightFromText="181" w:bottomFromText="284" w:vertAnchor="text" w:tblpY="1"/>
        <w:tblOverlap w:val="never"/>
        <w:tblW w:w="5000" w:type="pct"/>
        <w:tblBorders>
          <w:top w:val="single" w:sz="18" w:space="0" w:color="45A7E1" w:themeColor="accent1"/>
          <w:left w:val="single" w:sz="18" w:space="0" w:color="45A7E1" w:themeColor="accent1"/>
          <w:bottom w:val="single" w:sz="18" w:space="0" w:color="45A7E1" w:themeColor="accent1"/>
          <w:right w:val="single" w:sz="18" w:space="0" w:color="45A7E1" w:themeColor="accent1"/>
          <w:insideH w:val="single" w:sz="18" w:space="0" w:color="45A7E1" w:themeColor="accent1"/>
          <w:insideV w:val="single" w:sz="18" w:space="0" w:color="45A7E1" w:themeColor="accent1"/>
        </w:tblBorders>
        <w:tblLook w:val="04A0" w:firstRow="1" w:lastRow="0" w:firstColumn="1" w:lastColumn="0" w:noHBand="0" w:noVBand="1"/>
      </w:tblPr>
      <w:tblGrid>
        <w:gridCol w:w="8974"/>
      </w:tblGrid>
      <w:tr w:rsidR="00A96E21" w:rsidRPr="00BC1D96" w14:paraId="0CB83450" w14:textId="77777777" w:rsidTr="00BC1D96">
        <w:tc>
          <w:tcPr>
            <w:tcW w:w="5000" w:type="pct"/>
            <w:shd w:val="clear" w:color="auto" w:fill="auto"/>
          </w:tcPr>
          <w:p w14:paraId="6ED7E4CB" w14:textId="528CDFE3" w:rsidR="00A96E21" w:rsidRPr="00BC1D96" w:rsidRDefault="00A96E21" w:rsidP="001A568E">
            <w:pPr>
              <w:spacing w:before="40" w:after="40"/>
              <w:jc w:val="left"/>
              <w:rPr>
                <w:rFonts w:ascii="Arial" w:hAnsi="Arial" w:cs="Arial"/>
                <w:sz w:val="20"/>
                <w:szCs w:val="20"/>
                <w:lang w:val="en-AU"/>
              </w:rPr>
            </w:pPr>
            <w:r w:rsidRPr="00BC1D96">
              <w:rPr>
                <w:rFonts w:ascii="Arial" w:hAnsi="Arial" w:cs="Arial"/>
                <w:b/>
                <w:sz w:val="20"/>
                <w:szCs w:val="20"/>
                <w:lang w:val="en-AU"/>
              </w:rPr>
              <w:t>Purpose 1</w:t>
            </w:r>
            <w:r w:rsidRPr="00BC1D96">
              <w:rPr>
                <w:rFonts w:ascii="Arial" w:hAnsi="Arial" w:cs="Arial"/>
                <w:sz w:val="20"/>
                <w:szCs w:val="20"/>
                <w:lang w:val="en-AU"/>
              </w:rPr>
              <w:t xml:space="preserve"> – Understand, contribute </w:t>
            </w:r>
            <w:r w:rsidR="00FA1F51" w:rsidRPr="00BC1D96">
              <w:rPr>
                <w:rFonts w:ascii="Arial" w:hAnsi="Arial" w:cs="Arial"/>
                <w:sz w:val="20"/>
                <w:szCs w:val="20"/>
                <w:lang w:val="en-AU"/>
              </w:rPr>
              <w:t>to,</w:t>
            </w:r>
            <w:r w:rsidRPr="00BC1D96">
              <w:rPr>
                <w:rFonts w:ascii="Arial" w:hAnsi="Arial" w:cs="Arial"/>
                <w:sz w:val="20"/>
                <w:szCs w:val="20"/>
                <w:lang w:val="en-AU"/>
              </w:rPr>
              <w:t xml:space="preserve"> and verify performance for each Workstream Partnership through:</w:t>
            </w:r>
          </w:p>
          <w:p w14:paraId="6B713FCC" w14:textId="57842E1B" w:rsidR="00A96E21" w:rsidRPr="00BC1D96" w:rsidRDefault="00A96E21" w:rsidP="001A568E">
            <w:pPr>
              <w:numPr>
                <w:ilvl w:val="0"/>
                <w:numId w:val="6"/>
              </w:numPr>
              <w:spacing w:before="40" w:after="40"/>
              <w:jc w:val="left"/>
              <w:rPr>
                <w:rFonts w:ascii="Arial" w:hAnsi="Arial" w:cs="Arial"/>
                <w:sz w:val="20"/>
                <w:szCs w:val="20"/>
                <w:lang w:val="en-AU"/>
              </w:rPr>
            </w:pPr>
            <w:r w:rsidRPr="00BC1D96">
              <w:rPr>
                <w:rFonts w:ascii="Arial" w:hAnsi="Arial" w:cs="Arial"/>
                <w:sz w:val="20"/>
                <w:szCs w:val="20"/>
                <w:lang w:val="en-AU"/>
              </w:rPr>
              <w:t>Completing a stocktake of the progress each is making towards its outcomes as outlined in each agreed PAF to highlight key achievements and lessons. Verify evidence against a selection of outcome statements</w:t>
            </w:r>
            <w:r w:rsidR="007C0323">
              <w:rPr>
                <w:rFonts w:ascii="Arial" w:hAnsi="Arial" w:cs="Arial"/>
                <w:sz w:val="20"/>
                <w:szCs w:val="20"/>
                <w:lang w:val="en-AU"/>
              </w:rPr>
              <w:t>.</w:t>
            </w:r>
          </w:p>
          <w:p w14:paraId="72A95F48" w14:textId="77777777" w:rsidR="00A96E21" w:rsidRPr="00BC1D96" w:rsidRDefault="00A96E21" w:rsidP="001A568E">
            <w:pPr>
              <w:numPr>
                <w:ilvl w:val="0"/>
                <w:numId w:val="6"/>
              </w:numPr>
              <w:spacing w:before="40" w:after="40"/>
              <w:jc w:val="left"/>
              <w:rPr>
                <w:rFonts w:ascii="Arial" w:hAnsi="Arial" w:cs="Arial"/>
                <w:sz w:val="20"/>
                <w:szCs w:val="20"/>
                <w:lang w:val="en-AU"/>
              </w:rPr>
            </w:pPr>
            <w:r w:rsidRPr="00BC1D96">
              <w:rPr>
                <w:rFonts w:ascii="Arial" w:hAnsi="Arial" w:cs="Arial"/>
                <w:sz w:val="20"/>
                <w:szCs w:val="20"/>
                <w:lang w:val="en-AU"/>
              </w:rPr>
              <w:t xml:space="preserve">Examine the evidence of performance of the Facility Platform through the Facility PAF.  Validate the evidence, provided through Facility reporting, that the Facility as a whole (through aggregation of data from across the Partnership PAFs) has contributed to agreed KRAs/outcomes aligned to PNG and GoA development priorities. This will be through </w:t>
            </w:r>
            <w:r w:rsidRPr="00BC1D96">
              <w:rPr>
                <w:rFonts w:ascii="Arial" w:hAnsi="Arial" w:cs="Arial"/>
                <w:sz w:val="20"/>
                <w:szCs w:val="20"/>
                <w:lang w:val="en-AU"/>
              </w:rPr>
              <w:lastRenderedPageBreak/>
              <w:t>verification of the analysis conducted by the Facility. Also examination of two key areas of focus for whole of Facility performance including:</w:t>
            </w:r>
          </w:p>
          <w:p w14:paraId="66B935D4" w14:textId="77777777" w:rsidR="00A96E21" w:rsidRPr="00BC1D96" w:rsidRDefault="00A96E21" w:rsidP="001A568E">
            <w:pPr>
              <w:numPr>
                <w:ilvl w:val="1"/>
                <w:numId w:val="10"/>
              </w:numPr>
              <w:spacing w:before="40" w:after="40"/>
              <w:jc w:val="left"/>
              <w:rPr>
                <w:rFonts w:ascii="Arial" w:hAnsi="Arial" w:cs="Arial"/>
                <w:sz w:val="20"/>
                <w:szCs w:val="20"/>
                <w:lang w:val="en-AU"/>
              </w:rPr>
            </w:pPr>
            <w:r w:rsidRPr="00BC1D96">
              <w:rPr>
                <w:rFonts w:ascii="Arial" w:hAnsi="Arial" w:cs="Arial"/>
                <w:sz w:val="20"/>
                <w:szCs w:val="20"/>
                <w:lang w:val="en-AU"/>
              </w:rPr>
              <w:t>Gender and social inclusion, following ‘deep dives’ from previous reviews and based on the evidence outlined in</w:t>
            </w:r>
            <w:r w:rsidRPr="00BC1D96">
              <w:rPr>
                <w:rFonts w:ascii="Arial" w:hAnsi="Arial" w:cs="Arial"/>
                <w:sz w:val="20"/>
                <w:szCs w:val="20"/>
              </w:rPr>
              <w:t xml:space="preserve"> </w:t>
            </w:r>
            <w:r w:rsidRPr="00BC1D96">
              <w:rPr>
                <w:rFonts w:ascii="Arial" w:hAnsi="Arial" w:cs="Arial"/>
                <w:sz w:val="20"/>
                <w:szCs w:val="20"/>
                <w:lang w:val="en-AU"/>
              </w:rPr>
              <w:t>intermediate outcome 1.2: “Strengthened collaboration to promote Gender Equality and Social Inclusion across partnerships” highlight findings on the approach to gender and social inclusion across the Facility to inform future programming in PNG.</w:t>
            </w:r>
          </w:p>
          <w:p w14:paraId="6A52FCC6" w14:textId="77777777" w:rsidR="00A96E21" w:rsidRPr="00BC1D96" w:rsidRDefault="00A96E21" w:rsidP="001A568E">
            <w:pPr>
              <w:spacing w:before="40" w:after="40"/>
              <w:ind w:left="408"/>
              <w:jc w:val="left"/>
              <w:rPr>
                <w:rFonts w:ascii="Arial" w:hAnsi="Arial" w:cs="Arial"/>
                <w:sz w:val="20"/>
                <w:szCs w:val="20"/>
                <w:lang w:val="en-AU"/>
              </w:rPr>
            </w:pPr>
            <w:r w:rsidRPr="00BC1D96">
              <w:rPr>
                <w:rFonts w:ascii="Arial" w:hAnsi="Arial" w:cs="Arial"/>
                <w:sz w:val="20"/>
                <w:szCs w:val="20"/>
                <w:lang w:val="en-AU"/>
              </w:rPr>
              <w:t>Impact of COVID-19: provide a summary of key achievements and challenges to inform DFAT reporting against the PNG COVID-19 Development Response Plan.</w:t>
            </w:r>
          </w:p>
        </w:tc>
      </w:tr>
      <w:tr w:rsidR="00A96E21" w:rsidRPr="00BC1D96" w14:paraId="3572E9ED" w14:textId="77777777" w:rsidTr="00BC1D96">
        <w:tc>
          <w:tcPr>
            <w:tcW w:w="5000" w:type="pct"/>
            <w:shd w:val="clear" w:color="auto" w:fill="auto"/>
          </w:tcPr>
          <w:p w14:paraId="6740A125" w14:textId="4514E0FD" w:rsidR="00A96E21" w:rsidRPr="00BC1D96" w:rsidRDefault="00A96E21" w:rsidP="001A568E">
            <w:pPr>
              <w:spacing w:before="40" w:after="40"/>
              <w:jc w:val="left"/>
              <w:rPr>
                <w:rFonts w:ascii="Arial" w:hAnsi="Arial" w:cs="Arial"/>
                <w:bCs/>
                <w:sz w:val="20"/>
                <w:szCs w:val="20"/>
                <w:lang w:val="en-AU"/>
              </w:rPr>
            </w:pPr>
            <w:r w:rsidRPr="00BC1D96">
              <w:rPr>
                <w:rFonts w:ascii="Arial" w:hAnsi="Arial" w:cs="Arial"/>
                <w:b/>
                <w:sz w:val="20"/>
                <w:szCs w:val="20"/>
                <w:lang w:val="en-AU"/>
              </w:rPr>
              <w:lastRenderedPageBreak/>
              <w:t xml:space="preserve">Purpose 2 </w:t>
            </w:r>
            <w:r w:rsidRPr="00BC1D96">
              <w:rPr>
                <w:rFonts w:ascii="Arial" w:hAnsi="Arial" w:cs="Arial"/>
                <w:bCs/>
                <w:sz w:val="20"/>
                <w:szCs w:val="20"/>
                <w:lang w:val="en-AU"/>
              </w:rPr>
              <w:t>-</w:t>
            </w:r>
            <w:r w:rsidRPr="00BC1D96">
              <w:rPr>
                <w:rFonts w:ascii="Arial" w:hAnsi="Arial" w:cs="Arial"/>
                <w:b/>
                <w:sz w:val="20"/>
                <w:szCs w:val="20"/>
                <w:lang w:val="en-AU"/>
              </w:rPr>
              <w:t xml:space="preserve"> </w:t>
            </w:r>
            <w:r w:rsidRPr="00BC1D96">
              <w:rPr>
                <w:rFonts w:ascii="Arial" w:hAnsi="Arial" w:cs="Arial"/>
                <w:bCs/>
                <w:sz w:val="20"/>
                <w:szCs w:val="20"/>
                <w:lang w:val="en-AU"/>
              </w:rPr>
              <w:t xml:space="preserve">Strategically assess the progress on implementing the agreed management responses to the 2019 Governance Partnership Annual Review’s recommendations. </w:t>
            </w:r>
          </w:p>
        </w:tc>
      </w:tr>
      <w:tr w:rsidR="003C2774" w:rsidRPr="00BC1D96" w14:paraId="11B355F1" w14:textId="77777777" w:rsidTr="00BC1D96">
        <w:tc>
          <w:tcPr>
            <w:tcW w:w="5000" w:type="pct"/>
            <w:shd w:val="clear" w:color="auto" w:fill="auto"/>
          </w:tcPr>
          <w:p w14:paraId="4328DD01" w14:textId="3D760308" w:rsidR="003C2774" w:rsidRPr="00BC1D96" w:rsidRDefault="003C2774" w:rsidP="001A568E">
            <w:pPr>
              <w:spacing w:before="40" w:after="40"/>
              <w:jc w:val="left"/>
              <w:rPr>
                <w:rFonts w:ascii="Arial" w:hAnsi="Arial" w:cs="Arial"/>
                <w:b/>
                <w:sz w:val="20"/>
                <w:szCs w:val="20"/>
                <w:lang w:val="en-AU"/>
              </w:rPr>
            </w:pPr>
            <w:r w:rsidRPr="00BC1D96">
              <w:rPr>
                <w:rFonts w:ascii="Arial" w:hAnsi="Arial" w:cs="Arial"/>
                <w:b/>
                <w:sz w:val="20"/>
                <w:szCs w:val="20"/>
                <w:lang w:val="en-AU"/>
              </w:rPr>
              <w:t>Purpose 3 (Phase one)</w:t>
            </w:r>
            <w:r w:rsidRPr="00BC1D96">
              <w:rPr>
                <w:rFonts w:ascii="Arial" w:hAnsi="Arial" w:cs="Arial"/>
                <w:bCs/>
                <w:sz w:val="20"/>
                <w:szCs w:val="20"/>
                <w:lang w:val="en-AU"/>
              </w:rPr>
              <w:t xml:space="preserve"> – Provide recommendations for DFAT management of the transition from PAGP to new program/facility arrangements.</w:t>
            </w:r>
          </w:p>
        </w:tc>
      </w:tr>
    </w:tbl>
    <w:p w14:paraId="1484E8A4" w14:textId="77777777" w:rsidR="00A96E21" w:rsidRDefault="00A96E21" w:rsidP="001A568E">
      <w:pPr>
        <w:pStyle w:val="Heading3"/>
        <w:jc w:val="left"/>
      </w:pPr>
      <w:bookmarkStart w:id="14" w:name="_Toc102121209"/>
      <w:bookmarkStart w:id="15" w:name="_Toc102394258"/>
      <w:r w:rsidRPr="00BC1D96">
        <w:t>Review</w:t>
      </w:r>
      <w:r w:rsidRPr="000831F3">
        <w:t xml:space="preserve"> </w:t>
      </w:r>
      <w:r>
        <w:t>Context and Scope</w:t>
      </w:r>
      <w:bookmarkEnd w:id="14"/>
      <w:bookmarkEnd w:id="15"/>
    </w:p>
    <w:p w14:paraId="49DD9041" w14:textId="77777777" w:rsidR="00A96E21" w:rsidRPr="00570129" w:rsidRDefault="00A96E21" w:rsidP="001A568E">
      <w:pPr>
        <w:pStyle w:val="BodyText"/>
      </w:pPr>
      <w:r>
        <w:t>The 2021/22 review is taking place in the following context and with these parameters:</w:t>
      </w:r>
    </w:p>
    <w:p w14:paraId="53F3DBB0" w14:textId="77777777" w:rsidR="00A96E21" w:rsidRDefault="00A96E21" w:rsidP="001A568E">
      <w:pPr>
        <w:pStyle w:val="BulletList"/>
      </w:pPr>
      <w:r>
        <w:t xml:space="preserve">The COVID-19 pandemic continues to have significant impacts on implementation. Given travel restrictions the review will be conducted remotely and will: </w:t>
      </w:r>
    </w:p>
    <w:p w14:paraId="4D3FD31E" w14:textId="77777777" w:rsidR="00A96E21" w:rsidRDefault="00A96E21" w:rsidP="001A568E">
      <w:pPr>
        <w:numPr>
          <w:ilvl w:val="1"/>
          <w:numId w:val="5"/>
        </w:numPr>
        <w:spacing w:before="120" w:after="120"/>
        <w:jc w:val="left"/>
      </w:pPr>
      <w:r>
        <w:t>Seek to include the impact of the pandemic on the operating environment including the move to the DFAT policy: Partnerships for Recovery;</w:t>
      </w:r>
    </w:p>
    <w:p w14:paraId="2492FA1F" w14:textId="77777777" w:rsidR="00A96E21" w:rsidRDefault="00A96E21" w:rsidP="001A568E">
      <w:pPr>
        <w:numPr>
          <w:ilvl w:val="1"/>
          <w:numId w:val="5"/>
        </w:numPr>
        <w:spacing w:before="120" w:after="120"/>
        <w:jc w:val="left"/>
      </w:pPr>
      <w:r>
        <w:t>Findings will be cognisant of the impact of COVID-19 in particular how existing programming has adapted to respond to the pandemic and capturing lessons regarding effective management of the transition to new programs in the future;</w:t>
      </w:r>
    </w:p>
    <w:p w14:paraId="35923108" w14:textId="77777777" w:rsidR="00A96E21" w:rsidRDefault="00A96E21" w:rsidP="001A568E">
      <w:pPr>
        <w:numPr>
          <w:ilvl w:val="1"/>
          <w:numId w:val="5"/>
        </w:numPr>
        <w:spacing w:before="120" w:after="120"/>
        <w:jc w:val="left"/>
      </w:pPr>
      <w:r>
        <w:t xml:space="preserve">The approach taken by the team will draw on lessons both externally and within QTAG on conducting remote reviews including: ensuring time for consultations, drawing on locally based team members where possible and engaging resources who have a sound understanding of the operating context and established relationships.   </w:t>
      </w:r>
    </w:p>
    <w:p w14:paraId="446FDB78" w14:textId="77777777" w:rsidR="00A96E21" w:rsidRPr="00C31DB0" w:rsidRDefault="00A96E21" w:rsidP="001A568E">
      <w:pPr>
        <w:pStyle w:val="BulletList"/>
      </w:pPr>
      <w:r>
        <w:t>The QTAG are aware of the range of competing priorities for the Facility and DFAT teams as they transition towards new programming (as outlined above) with six-monthly reporting due in August and handover plans expected from June to November</w:t>
      </w:r>
      <w:r w:rsidRPr="00C31DB0">
        <w:t>.</w:t>
      </w:r>
      <w:r>
        <w:t xml:space="preserve"> The move from PSLR to Australian Awards and PPF grants to PATH and Education to Prosperity will need to be factored into the planning in terms of availability of stakeholders. Timing for the review will be considered to ensure availability of both key stakeholders and data to inform the review.  </w:t>
      </w:r>
    </w:p>
    <w:p w14:paraId="12436316" w14:textId="77777777" w:rsidR="00A96E21" w:rsidRDefault="00A96E21" w:rsidP="001A568E">
      <w:pPr>
        <w:pStyle w:val="BulletList"/>
      </w:pPr>
      <w:r>
        <w:t>The QTAG are aware that there have been changes to PAGP since the 2019 review which have had an impact on operations, including changes to key personnel. Given this, consultations during the design planning stage will be important to re-establish relationships, establish an understanding of the current directions of the Facility and the status of evidence collected against each PAF for final reporting requirements feeding into the DFAT FIMR.</w:t>
      </w:r>
    </w:p>
    <w:p w14:paraId="3E3D0A53" w14:textId="77777777" w:rsidR="00A96E21" w:rsidRPr="000831F3" w:rsidRDefault="00A96E21" w:rsidP="001A568E">
      <w:pPr>
        <w:pStyle w:val="Heading3"/>
        <w:jc w:val="left"/>
      </w:pPr>
      <w:bookmarkStart w:id="16" w:name="_Toc102121210"/>
      <w:bookmarkStart w:id="17" w:name="_Toc102394259"/>
      <w:r w:rsidRPr="000831F3">
        <w:lastRenderedPageBreak/>
        <w:t>Primary users</w:t>
      </w:r>
      <w:bookmarkEnd w:id="16"/>
      <w:bookmarkEnd w:id="17"/>
    </w:p>
    <w:p w14:paraId="46C1E8FF" w14:textId="77777777" w:rsidR="00A96E21" w:rsidRPr="00C53434" w:rsidRDefault="00A96E21" w:rsidP="001A568E">
      <w:pPr>
        <w:pStyle w:val="BodyText"/>
      </w:pPr>
      <w:r w:rsidRPr="00C53434">
        <w:t>The primary users for the review are:</w:t>
      </w:r>
    </w:p>
    <w:p w14:paraId="1814461F" w14:textId="77777777" w:rsidR="00A96E21" w:rsidRPr="00C53434" w:rsidRDefault="00A96E21" w:rsidP="001A568E">
      <w:pPr>
        <w:pStyle w:val="BulletList"/>
      </w:pPr>
      <w:r w:rsidRPr="00C53434">
        <w:t>DFAT – the Australian High Commission, Port Moresby</w:t>
      </w:r>
      <w:r>
        <w:t xml:space="preserve"> and DFAT Canberra</w:t>
      </w:r>
    </w:p>
    <w:p w14:paraId="5CD2D1AD" w14:textId="77777777" w:rsidR="00A96E21" w:rsidRPr="00C53434" w:rsidRDefault="00A96E21" w:rsidP="001A568E">
      <w:pPr>
        <w:pStyle w:val="BulletList"/>
      </w:pPr>
      <w:r w:rsidRPr="00C53434">
        <w:t>The Managing Contractor – Abt PNG;</w:t>
      </w:r>
    </w:p>
    <w:p w14:paraId="1EC2BF74" w14:textId="77777777" w:rsidR="00A96E21" w:rsidRPr="00C53434" w:rsidRDefault="00A96E21" w:rsidP="001A568E">
      <w:pPr>
        <w:pStyle w:val="BulletList"/>
      </w:pPr>
      <w:r w:rsidRPr="00C53434">
        <w:t>The Government of Papua New Guinea.</w:t>
      </w:r>
    </w:p>
    <w:p w14:paraId="3037844E" w14:textId="77777777" w:rsidR="00A96E21" w:rsidRPr="000831F3" w:rsidRDefault="00A96E21" w:rsidP="001A568E">
      <w:pPr>
        <w:pStyle w:val="Heading4"/>
        <w:jc w:val="left"/>
      </w:pPr>
      <w:r w:rsidRPr="000831F3">
        <w:t xml:space="preserve">Key </w:t>
      </w:r>
      <w:r>
        <w:t>D</w:t>
      </w:r>
      <w:r w:rsidRPr="000831F3">
        <w:t xml:space="preserve">ecisions the </w:t>
      </w:r>
      <w:r>
        <w:t>E</w:t>
      </w:r>
      <w:r w:rsidRPr="000831F3">
        <w:t xml:space="preserve">valuation is </w:t>
      </w:r>
      <w:r>
        <w:t>E</w:t>
      </w:r>
      <w:r w:rsidRPr="000831F3">
        <w:t xml:space="preserve">xpected to </w:t>
      </w:r>
      <w:r>
        <w:t>I</w:t>
      </w:r>
      <w:r w:rsidRPr="000831F3">
        <w:t>nform</w:t>
      </w:r>
    </w:p>
    <w:p w14:paraId="5CDB82E5" w14:textId="77777777" w:rsidR="00A96E21" w:rsidRPr="00C53434" w:rsidRDefault="00A96E21" w:rsidP="001A568E">
      <w:pPr>
        <w:pStyle w:val="BodyText"/>
      </w:pPr>
      <w:r w:rsidRPr="00C53434">
        <w:t>The Review will inform:</w:t>
      </w:r>
    </w:p>
    <w:p w14:paraId="6C396DDF" w14:textId="77777777" w:rsidR="00A96E21" w:rsidRPr="00622274" w:rsidRDefault="00A96E21" w:rsidP="001A568E">
      <w:pPr>
        <w:pStyle w:val="BulletList"/>
      </w:pPr>
      <w:r w:rsidRPr="00622274">
        <w:t xml:space="preserve">The final Investment Monitoring Report (FIMR) for moderation </w:t>
      </w:r>
      <w:r>
        <w:t>and finalisation prior to 30 June 2022</w:t>
      </w:r>
    </w:p>
    <w:p w14:paraId="7238E651" w14:textId="77777777" w:rsidR="00A96E21" w:rsidRPr="00C25174" w:rsidRDefault="00A96E21" w:rsidP="001A568E">
      <w:pPr>
        <w:pStyle w:val="BulletList"/>
      </w:pPr>
      <w:r w:rsidRPr="00C25174">
        <w:t>Approach to transition between the Facility and new programs with transitions beginning from November; and</w:t>
      </w:r>
    </w:p>
    <w:p w14:paraId="0BE89742" w14:textId="77777777" w:rsidR="00A96E21" w:rsidRPr="00C25174" w:rsidRDefault="00A96E21" w:rsidP="001A568E">
      <w:pPr>
        <w:pStyle w:val="BulletList"/>
      </w:pPr>
      <w:r w:rsidRPr="00C25174">
        <w:t xml:space="preserve">Analysis to support future programming both in PNG and more broadly. </w:t>
      </w:r>
    </w:p>
    <w:p w14:paraId="74FF6CC1" w14:textId="77777777" w:rsidR="00A96E21" w:rsidRDefault="00A96E21" w:rsidP="001A568E">
      <w:pPr>
        <w:pStyle w:val="Heading2"/>
        <w:jc w:val="left"/>
      </w:pPr>
      <w:bookmarkStart w:id="18" w:name="_Toc102121211"/>
      <w:bookmarkStart w:id="19" w:name="_Toc102394260"/>
      <w:r w:rsidRPr="00BC1D96">
        <w:t>Approach</w:t>
      </w:r>
      <w:bookmarkEnd w:id="18"/>
      <w:bookmarkEnd w:id="19"/>
    </w:p>
    <w:p w14:paraId="05FC27A5" w14:textId="77777777" w:rsidR="00A96E21" w:rsidRDefault="00A96E21" w:rsidP="001A568E">
      <w:pPr>
        <w:pStyle w:val="BodyText"/>
      </w:pPr>
      <w:r>
        <w:t xml:space="preserve">The review will be conducted in two phases. Phase one was conducted October - December 2021 following initial collection of evidence against the Workstream Partnership PAFs. The second phase will be conducted following submission of completion reports by Abt Associates, expected in February 2022, however the document review of existing SMRs, AQCs/IMRs and other reports (as detailed in </w:t>
      </w:r>
      <w:r w:rsidRPr="003E2AC9">
        <w:t>Annex</w:t>
      </w:r>
      <w:r>
        <w:t xml:space="preserve"> 2) will commence late January 2022. </w:t>
      </w:r>
    </w:p>
    <w:p w14:paraId="35899E6A" w14:textId="77777777" w:rsidR="00A96E21" w:rsidRPr="00D03BB1" w:rsidRDefault="00A96E21" w:rsidP="001A568E">
      <w:pPr>
        <w:pStyle w:val="BodyText"/>
      </w:pPr>
      <w:r>
        <w:t xml:space="preserve">As stated in the aide memoire document delivered in December 2021, </w:t>
      </w:r>
      <w:r w:rsidRPr="0000724E">
        <w:t>the DFAT September 2020 Guidance for Facility PAFs provides an appropriate framework for the FAR</w:t>
      </w:r>
      <w:r>
        <w:t xml:space="preserve"> and</w:t>
      </w:r>
      <w:r w:rsidRPr="0000724E">
        <w:t xml:space="preserve"> four headline perspectives provide a suitable framework for analysis. Those perspectives are:</w:t>
      </w:r>
    </w:p>
    <w:p w14:paraId="7B8F0832" w14:textId="17C47CBD" w:rsidR="00A96E21" w:rsidRPr="0000724E" w:rsidRDefault="00A96E21" w:rsidP="001A568E">
      <w:pPr>
        <w:pStyle w:val="Caption"/>
        <w:jc w:val="left"/>
        <w:rPr>
          <w:rFonts w:ascii="Arial" w:hAnsi="Arial" w:cs="Arial"/>
        </w:rPr>
      </w:pPr>
      <w:r w:rsidRPr="00BC1D96">
        <w:t>Figure</w:t>
      </w:r>
      <w:r w:rsidRPr="0000724E">
        <w:t xml:space="preserve"> </w:t>
      </w:r>
      <w:r w:rsidRPr="0000724E">
        <w:fldChar w:fldCharType="begin"/>
      </w:r>
      <w:r w:rsidRPr="0000724E">
        <w:instrText xml:space="preserve"> SEQ Figure \* ARABIC </w:instrText>
      </w:r>
      <w:r w:rsidRPr="0000724E">
        <w:fldChar w:fldCharType="separate"/>
      </w:r>
      <w:r w:rsidRPr="0000724E">
        <w:rPr>
          <w:noProof/>
        </w:rPr>
        <w:t>1</w:t>
      </w:r>
      <w:r w:rsidRPr="0000724E">
        <w:fldChar w:fldCharType="end"/>
      </w:r>
      <w:r w:rsidRPr="0000724E">
        <w:t>:</w:t>
      </w:r>
      <w:r w:rsidR="00BC1D96">
        <w:tab/>
      </w:r>
      <w:r w:rsidRPr="0000724E">
        <w:t>DFAT's Guidance for Facility PAF Framework</w:t>
      </w:r>
    </w:p>
    <w:p w14:paraId="393A4F24" w14:textId="77777777" w:rsidR="00A96E21" w:rsidRPr="0000724E" w:rsidRDefault="00A96E21" w:rsidP="001A568E">
      <w:pPr>
        <w:jc w:val="left"/>
        <w:rPr>
          <w:rFonts w:ascii="Arial" w:hAnsi="Arial" w:cs="Arial"/>
        </w:rPr>
      </w:pPr>
      <w:r w:rsidRPr="0000724E">
        <w:rPr>
          <w:rFonts w:ascii="Arial" w:hAnsi="Arial" w:cs="Arial"/>
          <w:noProof/>
          <w:lang w:val="en-US" w:eastAsia="en-US"/>
        </w:rPr>
        <w:drawing>
          <wp:inline distT="0" distB="0" distL="0" distR="0" wp14:anchorId="19DE5D29" wp14:editId="78EF84BF">
            <wp:extent cx="3952875" cy="1762125"/>
            <wp:effectExtent l="0" t="0" r="9525" b="9525"/>
            <wp:docPr id="3" name="Picture 3" descr="Diagram: DFAT's Guidance for Facility PAF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DFAT's Guidance for Facility PAF Framewo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75" cy="1762125"/>
                    </a:xfrm>
                    <a:prstGeom prst="rect">
                      <a:avLst/>
                    </a:prstGeom>
                    <a:noFill/>
                    <a:ln>
                      <a:noFill/>
                    </a:ln>
                  </pic:spPr>
                </pic:pic>
              </a:graphicData>
            </a:graphic>
          </wp:inline>
        </w:drawing>
      </w:r>
    </w:p>
    <w:p w14:paraId="0CFADDFD" w14:textId="77777777" w:rsidR="00A96E21" w:rsidRDefault="00A96E21" w:rsidP="001A568E">
      <w:pPr>
        <w:pStyle w:val="BodyText"/>
      </w:pPr>
      <w:r>
        <w:t xml:space="preserve">Within each of these perspectives, specific areas of interest will be highlighted as identified through the phase one consultations. As agreed, this phase two will focused on a relatively narrow sample of interventions, but taken on the required accuracy to provide meaningful </w:t>
      </w:r>
      <w:r>
        <w:lastRenderedPageBreak/>
        <w:t xml:space="preserve">validation to the FIMRs. This was agreed by AHC and the review team as being more productive than an attempt to verify and wider range of claimed results and outcomes. These areas of focus are detailed in Annex 3. </w:t>
      </w:r>
    </w:p>
    <w:p w14:paraId="1F793742" w14:textId="77777777" w:rsidR="00A96E21" w:rsidRDefault="00A96E21" w:rsidP="001A568E">
      <w:pPr>
        <w:pStyle w:val="Heading2"/>
        <w:jc w:val="left"/>
      </w:pPr>
      <w:bookmarkStart w:id="20" w:name="_Toc102121212"/>
      <w:bookmarkStart w:id="21" w:name="_Toc102394261"/>
      <w:r>
        <w:t>Overview of Phases</w:t>
      </w:r>
      <w:bookmarkEnd w:id="20"/>
      <w:bookmarkEnd w:id="21"/>
      <w:r>
        <w:t xml:space="preserve"> </w:t>
      </w:r>
    </w:p>
    <w:p w14:paraId="08499467" w14:textId="77777777" w:rsidR="00A96E21" w:rsidRDefault="00A96E21" w:rsidP="001A568E">
      <w:pPr>
        <w:pStyle w:val="Heading3"/>
        <w:jc w:val="left"/>
      </w:pPr>
      <w:bookmarkStart w:id="22" w:name="_Toc102121213"/>
      <w:bookmarkStart w:id="23" w:name="_Toc102394262"/>
      <w:r>
        <w:t>Phase One</w:t>
      </w:r>
      <w:bookmarkEnd w:id="22"/>
      <w:bookmarkEnd w:id="23"/>
      <w:r>
        <w:t xml:space="preserve"> </w:t>
      </w:r>
    </w:p>
    <w:p w14:paraId="09CEFA74" w14:textId="77777777" w:rsidR="00A96E21" w:rsidRDefault="00A96E21" w:rsidP="001A568E">
      <w:pPr>
        <w:pStyle w:val="BodyText"/>
      </w:pPr>
      <w:r>
        <w:t xml:space="preserve">Phase one was successfully completed in October – December 2021.The review team delivered an aide memoire in which the approach to evaluating performance was suggested. </w:t>
      </w:r>
    </w:p>
    <w:p w14:paraId="646AEF1B" w14:textId="77777777" w:rsidR="00A96E21" w:rsidRDefault="00A96E21" w:rsidP="001A568E">
      <w:pPr>
        <w:pStyle w:val="Heading3"/>
        <w:jc w:val="left"/>
      </w:pPr>
      <w:bookmarkStart w:id="24" w:name="_Toc102121214"/>
      <w:bookmarkStart w:id="25" w:name="_Toc102394263"/>
      <w:r>
        <w:t>Phase Two</w:t>
      </w:r>
      <w:bookmarkEnd w:id="24"/>
      <w:bookmarkEnd w:id="25"/>
      <w:r>
        <w:t xml:space="preserve"> </w:t>
      </w:r>
    </w:p>
    <w:p w14:paraId="7563DD22" w14:textId="77777777" w:rsidR="00A96E21" w:rsidRDefault="00A96E21" w:rsidP="001A568E">
      <w:pPr>
        <w:pStyle w:val="BodyText"/>
      </w:pPr>
      <w:r>
        <w:t xml:space="preserve">Phase 1 was conducted remotely. Whilst this was appropriate for the number of consultations needed for phase 1, the aide memoire outlined that phase 2 should be conducted in-country. This is based on a number of factors: </w:t>
      </w:r>
    </w:p>
    <w:p w14:paraId="13276AFF" w14:textId="77777777" w:rsidR="00A96E21" w:rsidRDefault="00A96E21" w:rsidP="001A568E">
      <w:pPr>
        <w:pStyle w:val="BulletList"/>
      </w:pPr>
      <w:r>
        <w:t xml:space="preserve">improved access to a range of stakeholders - invariably conducting a review remotely makes it more time consuming and less likely to get access to a wide variety of stakeholders. This is of particular importance with GoPNG and implementing partners, as other pieces of work that QTAG has conducted remotely (e.g. Church Partnership Program sub-design) has resulted in less engagement and less buy-in from in-country stakeholders. Considering the visibility of FAR, combined with the ongoing commitment to the GoPNG contained within CSEP, the review team considers it vital to make every accommodation to ensure PNG involvement. </w:t>
      </w:r>
    </w:p>
    <w:p w14:paraId="6A408609" w14:textId="77777777" w:rsidR="00A96E21" w:rsidRDefault="00A96E21" w:rsidP="001A568E">
      <w:pPr>
        <w:pStyle w:val="BulletList"/>
      </w:pPr>
      <w:r>
        <w:t xml:space="preserve">timeliness of the review - AHC stakeholders repeatedly stressed the value of the FAR contributing to the validation of evidence for the FIMR process and invariably remote reviews take longer to organise and complete. </w:t>
      </w:r>
    </w:p>
    <w:p w14:paraId="4862F976" w14:textId="77777777" w:rsidR="00A96E21" w:rsidRDefault="00A96E21" w:rsidP="001A568E">
      <w:pPr>
        <w:pStyle w:val="BulletList"/>
      </w:pPr>
      <w:r>
        <w:t>Capacity to conduct the review safely – through consultation with stakeholders in the AHC and externally, there is a growing consensus that with appropriate safeguarding that the risk of spread of COVID-19 can be minimised for both the review team and its participants.</w:t>
      </w:r>
    </w:p>
    <w:p w14:paraId="1808F6D1" w14:textId="77777777" w:rsidR="00A96E21" w:rsidRDefault="00A96E21" w:rsidP="001A568E">
      <w:pPr>
        <w:pStyle w:val="BodyText"/>
      </w:pPr>
      <w:r>
        <w:t xml:space="preserve">The review team agree to adhere to relevant COVID-19 management plans detailed in Annex 2 and all relevant AHC and GoPNG COVID-19 measures. </w:t>
      </w:r>
    </w:p>
    <w:tbl>
      <w:tblPr>
        <w:tblStyle w:val="TableGrid"/>
        <w:tblW w:w="0" w:type="auto"/>
        <w:tblBorders>
          <w:top w:val="single" w:sz="18" w:space="0" w:color="0A1F50" w:themeColor="text2"/>
          <w:left w:val="single" w:sz="18" w:space="0" w:color="0A1F50" w:themeColor="text2"/>
          <w:bottom w:val="single" w:sz="18" w:space="0" w:color="0A1F50" w:themeColor="text2"/>
          <w:right w:val="single" w:sz="18" w:space="0" w:color="0A1F50" w:themeColor="text2"/>
          <w:insideH w:val="single" w:sz="18" w:space="0" w:color="0A1F50" w:themeColor="text2"/>
          <w:insideV w:val="single" w:sz="18" w:space="0" w:color="0A1F50" w:themeColor="text2"/>
        </w:tblBorders>
        <w:tblLook w:val="04A0" w:firstRow="1" w:lastRow="0" w:firstColumn="1" w:lastColumn="0" w:noHBand="0" w:noVBand="1"/>
      </w:tblPr>
      <w:tblGrid>
        <w:gridCol w:w="2991"/>
        <w:gridCol w:w="2992"/>
        <w:gridCol w:w="2991"/>
      </w:tblGrid>
      <w:tr w:rsidR="00A96E21" w:rsidRPr="00BC1D96" w14:paraId="0511DC86" w14:textId="77777777" w:rsidTr="00265BB9">
        <w:tc>
          <w:tcPr>
            <w:tcW w:w="3003" w:type="dxa"/>
            <w:shd w:val="clear" w:color="auto" w:fill="0A1F50" w:themeFill="text2"/>
          </w:tcPr>
          <w:p w14:paraId="2AF16653" w14:textId="77777777" w:rsidR="00A96E21" w:rsidRPr="00BC1D96" w:rsidRDefault="00A96E21" w:rsidP="001A568E">
            <w:pPr>
              <w:pStyle w:val="BodyText"/>
              <w:spacing w:before="40" w:after="40" w:line="240" w:lineRule="auto"/>
              <w:rPr>
                <w:b/>
                <w:bCs/>
                <w:sz w:val="20"/>
                <w:szCs w:val="20"/>
              </w:rPr>
            </w:pPr>
            <w:r w:rsidRPr="00BC1D96">
              <w:rPr>
                <w:b/>
                <w:bCs/>
                <w:sz w:val="20"/>
                <w:szCs w:val="20"/>
              </w:rPr>
              <w:t xml:space="preserve">Task </w:t>
            </w:r>
          </w:p>
        </w:tc>
        <w:tc>
          <w:tcPr>
            <w:tcW w:w="3003" w:type="dxa"/>
            <w:shd w:val="clear" w:color="auto" w:fill="0A1F50" w:themeFill="text2"/>
          </w:tcPr>
          <w:p w14:paraId="09EF530D" w14:textId="77777777" w:rsidR="00A96E21" w:rsidRPr="00BC1D96" w:rsidRDefault="00A96E21" w:rsidP="001A568E">
            <w:pPr>
              <w:pStyle w:val="BodyText"/>
              <w:spacing w:before="40" w:after="40" w:line="240" w:lineRule="auto"/>
              <w:rPr>
                <w:b/>
                <w:bCs/>
                <w:sz w:val="20"/>
                <w:szCs w:val="20"/>
              </w:rPr>
            </w:pPr>
            <w:r w:rsidRPr="00BC1D96">
              <w:rPr>
                <w:b/>
                <w:bCs/>
                <w:sz w:val="20"/>
                <w:szCs w:val="20"/>
              </w:rPr>
              <w:t xml:space="preserve">Description </w:t>
            </w:r>
          </w:p>
        </w:tc>
        <w:tc>
          <w:tcPr>
            <w:tcW w:w="3004" w:type="dxa"/>
            <w:shd w:val="clear" w:color="auto" w:fill="0A1F50" w:themeFill="text2"/>
          </w:tcPr>
          <w:p w14:paraId="3D51C57B" w14:textId="77777777" w:rsidR="00A96E21" w:rsidRPr="00BC1D96" w:rsidRDefault="00A96E21" w:rsidP="001A568E">
            <w:pPr>
              <w:pStyle w:val="BodyText"/>
              <w:spacing w:before="40" w:after="40" w:line="240" w:lineRule="auto"/>
              <w:rPr>
                <w:b/>
                <w:bCs/>
                <w:sz w:val="20"/>
                <w:szCs w:val="20"/>
              </w:rPr>
            </w:pPr>
            <w:r w:rsidRPr="00BC1D96">
              <w:rPr>
                <w:b/>
                <w:bCs/>
                <w:sz w:val="20"/>
                <w:szCs w:val="20"/>
              </w:rPr>
              <w:t xml:space="preserve">Suggested Time </w:t>
            </w:r>
          </w:p>
        </w:tc>
      </w:tr>
      <w:tr w:rsidR="00A96E21" w:rsidRPr="00BC1D96" w14:paraId="7F4D75DA" w14:textId="77777777" w:rsidTr="00265BB9">
        <w:tc>
          <w:tcPr>
            <w:tcW w:w="3003" w:type="dxa"/>
          </w:tcPr>
          <w:p w14:paraId="1945B62E" w14:textId="77777777" w:rsidR="00A96E21" w:rsidRPr="00BC1D96" w:rsidRDefault="00A96E21" w:rsidP="001A568E">
            <w:pPr>
              <w:pStyle w:val="BodyText"/>
              <w:spacing w:before="40" w:after="40" w:line="240" w:lineRule="auto"/>
              <w:rPr>
                <w:sz w:val="20"/>
                <w:szCs w:val="20"/>
              </w:rPr>
            </w:pPr>
            <w:r w:rsidRPr="00BC1D96">
              <w:rPr>
                <w:sz w:val="20"/>
                <w:szCs w:val="20"/>
              </w:rPr>
              <w:t xml:space="preserve">Aide Memoire </w:t>
            </w:r>
          </w:p>
        </w:tc>
        <w:tc>
          <w:tcPr>
            <w:tcW w:w="3003" w:type="dxa"/>
          </w:tcPr>
          <w:p w14:paraId="226AD0B7" w14:textId="77777777" w:rsidR="00A96E21" w:rsidRPr="00BC1D96" w:rsidRDefault="00A96E21" w:rsidP="001A568E">
            <w:pPr>
              <w:pStyle w:val="BodyText"/>
              <w:spacing w:before="40" w:after="40" w:line="240" w:lineRule="auto"/>
              <w:rPr>
                <w:sz w:val="20"/>
                <w:szCs w:val="20"/>
              </w:rPr>
            </w:pPr>
            <w:r w:rsidRPr="00BC1D96">
              <w:rPr>
                <w:sz w:val="20"/>
                <w:szCs w:val="20"/>
              </w:rPr>
              <w:t xml:space="preserve">Provide examination of evidence and assessment of aims for the FAR </w:t>
            </w:r>
          </w:p>
        </w:tc>
        <w:tc>
          <w:tcPr>
            <w:tcW w:w="3004" w:type="dxa"/>
          </w:tcPr>
          <w:p w14:paraId="76D5B353" w14:textId="77777777" w:rsidR="00A96E21" w:rsidRPr="00BC1D96" w:rsidRDefault="00A96E21" w:rsidP="001A568E">
            <w:pPr>
              <w:pStyle w:val="BodyText"/>
              <w:spacing w:before="40" w:after="40" w:line="240" w:lineRule="auto"/>
              <w:rPr>
                <w:sz w:val="20"/>
                <w:szCs w:val="20"/>
              </w:rPr>
            </w:pPr>
            <w:r w:rsidRPr="00BC1D96">
              <w:rPr>
                <w:sz w:val="20"/>
                <w:szCs w:val="20"/>
              </w:rPr>
              <w:t xml:space="preserve">December 2021 </w:t>
            </w:r>
          </w:p>
        </w:tc>
      </w:tr>
      <w:tr w:rsidR="00A96E21" w:rsidRPr="00BC1D96" w14:paraId="477A43B4" w14:textId="77777777" w:rsidTr="00265BB9">
        <w:tc>
          <w:tcPr>
            <w:tcW w:w="3003" w:type="dxa"/>
          </w:tcPr>
          <w:p w14:paraId="59AF3264" w14:textId="77777777" w:rsidR="00A96E21" w:rsidRPr="00BC1D96" w:rsidRDefault="00A96E21" w:rsidP="001A568E">
            <w:pPr>
              <w:pStyle w:val="BodyText"/>
              <w:spacing w:before="40" w:after="40" w:line="240" w:lineRule="auto"/>
              <w:rPr>
                <w:sz w:val="20"/>
                <w:szCs w:val="20"/>
              </w:rPr>
            </w:pPr>
            <w:r w:rsidRPr="00BC1D96">
              <w:rPr>
                <w:sz w:val="20"/>
                <w:szCs w:val="20"/>
              </w:rPr>
              <w:t xml:space="preserve">Document Review </w:t>
            </w:r>
          </w:p>
        </w:tc>
        <w:tc>
          <w:tcPr>
            <w:tcW w:w="3003" w:type="dxa"/>
          </w:tcPr>
          <w:p w14:paraId="312D0C75" w14:textId="77777777" w:rsidR="00A96E21" w:rsidRPr="00BC1D96" w:rsidRDefault="00A96E21" w:rsidP="001A568E">
            <w:pPr>
              <w:pStyle w:val="BodyText"/>
              <w:spacing w:before="40" w:after="40" w:line="240" w:lineRule="auto"/>
              <w:rPr>
                <w:sz w:val="20"/>
                <w:szCs w:val="20"/>
              </w:rPr>
            </w:pPr>
            <w:r w:rsidRPr="00BC1D96">
              <w:rPr>
                <w:sz w:val="20"/>
                <w:szCs w:val="20"/>
              </w:rPr>
              <w:t xml:space="preserve">In depth document analysis provided covering April 2019 – April 2022 </w:t>
            </w:r>
          </w:p>
        </w:tc>
        <w:tc>
          <w:tcPr>
            <w:tcW w:w="3004" w:type="dxa"/>
          </w:tcPr>
          <w:p w14:paraId="2843AE16" w14:textId="77777777" w:rsidR="00A96E21" w:rsidRPr="00BC1D96" w:rsidRDefault="00A96E21" w:rsidP="001A568E">
            <w:pPr>
              <w:pStyle w:val="BodyText"/>
              <w:spacing w:before="40" w:after="40" w:line="240" w:lineRule="auto"/>
              <w:rPr>
                <w:sz w:val="20"/>
                <w:szCs w:val="20"/>
              </w:rPr>
            </w:pPr>
            <w:r w:rsidRPr="00BC1D96">
              <w:rPr>
                <w:sz w:val="20"/>
                <w:szCs w:val="20"/>
              </w:rPr>
              <w:t xml:space="preserve">Mid to end of January 2022 </w:t>
            </w:r>
          </w:p>
        </w:tc>
      </w:tr>
      <w:tr w:rsidR="00A96E21" w:rsidRPr="00BC1D96" w14:paraId="3CFD15C7" w14:textId="77777777" w:rsidTr="00265BB9">
        <w:tc>
          <w:tcPr>
            <w:tcW w:w="3003" w:type="dxa"/>
          </w:tcPr>
          <w:p w14:paraId="388435B2" w14:textId="77777777" w:rsidR="00A96E21" w:rsidRPr="00BC1D96" w:rsidRDefault="00A96E21" w:rsidP="001A568E">
            <w:pPr>
              <w:pStyle w:val="BodyText"/>
              <w:spacing w:before="40" w:after="40" w:line="240" w:lineRule="auto"/>
              <w:rPr>
                <w:sz w:val="20"/>
                <w:szCs w:val="20"/>
              </w:rPr>
            </w:pPr>
            <w:r w:rsidRPr="00BC1D96">
              <w:rPr>
                <w:sz w:val="20"/>
                <w:szCs w:val="20"/>
              </w:rPr>
              <w:t xml:space="preserve">In country consultations </w:t>
            </w:r>
          </w:p>
        </w:tc>
        <w:tc>
          <w:tcPr>
            <w:tcW w:w="3003" w:type="dxa"/>
          </w:tcPr>
          <w:p w14:paraId="430CB752" w14:textId="77777777" w:rsidR="00A96E21" w:rsidRPr="00BC1D96" w:rsidRDefault="00A96E21" w:rsidP="001A568E">
            <w:pPr>
              <w:pStyle w:val="BodyText"/>
              <w:spacing w:before="40" w:after="40" w:line="240" w:lineRule="auto"/>
              <w:rPr>
                <w:sz w:val="20"/>
                <w:szCs w:val="20"/>
              </w:rPr>
            </w:pPr>
            <w:r w:rsidRPr="00BC1D96">
              <w:rPr>
                <w:sz w:val="20"/>
                <w:szCs w:val="20"/>
              </w:rPr>
              <w:t xml:space="preserve">Consultations to be held with AHC, GoPNG, MC and implementing partners </w:t>
            </w:r>
          </w:p>
        </w:tc>
        <w:tc>
          <w:tcPr>
            <w:tcW w:w="3004" w:type="dxa"/>
          </w:tcPr>
          <w:p w14:paraId="59E18D78" w14:textId="77777777" w:rsidR="00A96E21" w:rsidRPr="00BC1D96" w:rsidRDefault="00A96E21" w:rsidP="001A568E">
            <w:pPr>
              <w:pStyle w:val="BodyText"/>
              <w:spacing w:before="40" w:after="40" w:line="240" w:lineRule="auto"/>
              <w:rPr>
                <w:sz w:val="20"/>
                <w:szCs w:val="20"/>
              </w:rPr>
            </w:pPr>
            <w:r w:rsidRPr="00BC1D96">
              <w:rPr>
                <w:sz w:val="20"/>
                <w:szCs w:val="20"/>
              </w:rPr>
              <w:t xml:space="preserve">Early to late February 2022 </w:t>
            </w:r>
          </w:p>
        </w:tc>
      </w:tr>
      <w:tr w:rsidR="00A96E21" w:rsidRPr="00BC1D96" w14:paraId="32AE327B" w14:textId="77777777" w:rsidTr="00265BB9">
        <w:tc>
          <w:tcPr>
            <w:tcW w:w="3003" w:type="dxa"/>
          </w:tcPr>
          <w:p w14:paraId="54393D52" w14:textId="77777777" w:rsidR="00A96E21" w:rsidRPr="00BC1D96" w:rsidRDefault="00A96E21" w:rsidP="001A568E">
            <w:pPr>
              <w:pStyle w:val="BodyText"/>
              <w:spacing w:before="40" w:after="40" w:line="240" w:lineRule="auto"/>
              <w:rPr>
                <w:sz w:val="20"/>
                <w:szCs w:val="20"/>
              </w:rPr>
            </w:pPr>
            <w:r w:rsidRPr="00BC1D96">
              <w:rPr>
                <w:sz w:val="20"/>
                <w:szCs w:val="20"/>
              </w:rPr>
              <w:lastRenderedPageBreak/>
              <w:t xml:space="preserve">Writing up first draft </w:t>
            </w:r>
          </w:p>
        </w:tc>
        <w:tc>
          <w:tcPr>
            <w:tcW w:w="3003" w:type="dxa"/>
          </w:tcPr>
          <w:p w14:paraId="32F25E50" w14:textId="77777777" w:rsidR="00A96E21" w:rsidRPr="00BC1D96" w:rsidRDefault="00A96E21" w:rsidP="001A568E">
            <w:pPr>
              <w:pStyle w:val="BodyText"/>
              <w:spacing w:before="40" w:after="40" w:line="240" w:lineRule="auto"/>
              <w:rPr>
                <w:sz w:val="20"/>
                <w:szCs w:val="20"/>
              </w:rPr>
            </w:pPr>
          </w:p>
        </w:tc>
        <w:tc>
          <w:tcPr>
            <w:tcW w:w="3004" w:type="dxa"/>
          </w:tcPr>
          <w:p w14:paraId="1718EFA4" w14:textId="211ACCFA" w:rsidR="00A96E21" w:rsidRPr="00BC1D96" w:rsidRDefault="00A96E21" w:rsidP="001A568E">
            <w:pPr>
              <w:pStyle w:val="BodyText"/>
              <w:spacing w:before="40" w:after="40" w:line="240" w:lineRule="auto"/>
              <w:rPr>
                <w:sz w:val="20"/>
                <w:szCs w:val="20"/>
              </w:rPr>
            </w:pPr>
            <w:r w:rsidRPr="00BC1D96">
              <w:rPr>
                <w:sz w:val="20"/>
                <w:szCs w:val="20"/>
              </w:rPr>
              <w:t xml:space="preserve">Early to </w:t>
            </w:r>
            <w:r w:rsidR="00FA1F51" w:rsidRPr="00BC1D96">
              <w:rPr>
                <w:sz w:val="20"/>
                <w:szCs w:val="20"/>
              </w:rPr>
              <w:t>mid-March</w:t>
            </w:r>
            <w:r w:rsidRPr="00BC1D96">
              <w:rPr>
                <w:sz w:val="20"/>
                <w:szCs w:val="20"/>
              </w:rPr>
              <w:t xml:space="preserve"> 2022</w:t>
            </w:r>
          </w:p>
        </w:tc>
      </w:tr>
      <w:tr w:rsidR="00A96E21" w:rsidRPr="00BC1D96" w14:paraId="1685786C" w14:textId="77777777" w:rsidTr="00265BB9">
        <w:tc>
          <w:tcPr>
            <w:tcW w:w="3003" w:type="dxa"/>
          </w:tcPr>
          <w:p w14:paraId="5FD37299" w14:textId="77777777" w:rsidR="00A96E21" w:rsidRPr="00BC1D96" w:rsidRDefault="00A96E21" w:rsidP="001A568E">
            <w:pPr>
              <w:pStyle w:val="BodyText"/>
              <w:spacing w:before="40" w:after="40" w:line="240" w:lineRule="auto"/>
              <w:rPr>
                <w:sz w:val="20"/>
                <w:szCs w:val="20"/>
              </w:rPr>
            </w:pPr>
            <w:r w:rsidRPr="00BC1D96">
              <w:rPr>
                <w:sz w:val="20"/>
                <w:szCs w:val="20"/>
              </w:rPr>
              <w:t xml:space="preserve">Completion and addressing feedback </w:t>
            </w:r>
          </w:p>
        </w:tc>
        <w:tc>
          <w:tcPr>
            <w:tcW w:w="3003" w:type="dxa"/>
          </w:tcPr>
          <w:p w14:paraId="4DE03039" w14:textId="77777777" w:rsidR="00A96E21" w:rsidRPr="00BC1D96" w:rsidRDefault="00A96E21" w:rsidP="001A568E">
            <w:pPr>
              <w:pStyle w:val="BodyText"/>
              <w:spacing w:before="40" w:after="40" w:line="240" w:lineRule="auto"/>
              <w:rPr>
                <w:sz w:val="20"/>
                <w:szCs w:val="20"/>
              </w:rPr>
            </w:pPr>
          </w:p>
        </w:tc>
        <w:tc>
          <w:tcPr>
            <w:tcW w:w="3004" w:type="dxa"/>
          </w:tcPr>
          <w:p w14:paraId="2CA6CFFA" w14:textId="2F1E9FC2" w:rsidR="00A96E21" w:rsidRPr="00BC1D96" w:rsidRDefault="00A96E21" w:rsidP="001A568E">
            <w:pPr>
              <w:pStyle w:val="BodyText"/>
              <w:spacing w:before="40" w:after="40" w:line="240" w:lineRule="auto"/>
              <w:rPr>
                <w:sz w:val="20"/>
                <w:szCs w:val="20"/>
              </w:rPr>
            </w:pPr>
            <w:r w:rsidRPr="00BC1D96">
              <w:rPr>
                <w:sz w:val="20"/>
                <w:szCs w:val="20"/>
              </w:rPr>
              <w:t xml:space="preserve">April 2022  </w:t>
            </w:r>
          </w:p>
        </w:tc>
      </w:tr>
    </w:tbl>
    <w:p w14:paraId="19698F78" w14:textId="77777777" w:rsidR="00A96E21" w:rsidRDefault="00A96E21" w:rsidP="001A568E">
      <w:pPr>
        <w:pStyle w:val="BodyText"/>
        <w:spacing w:after="0"/>
      </w:pPr>
    </w:p>
    <w:p w14:paraId="01B1A5F8" w14:textId="77777777" w:rsidR="00A96E21" w:rsidRDefault="00A96E21" w:rsidP="001A568E">
      <w:pPr>
        <w:pStyle w:val="BodyText"/>
      </w:pPr>
      <w:r>
        <w:t xml:space="preserve">Proposed Team: </w:t>
      </w:r>
    </w:p>
    <w:p w14:paraId="1738D77D" w14:textId="20AFF291" w:rsidR="00A96E21" w:rsidRDefault="00A96E21" w:rsidP="001A568E">
      <w:pPr>
        <w:pStyle w:val="BulletList"/>
      </w:pPr>
      <w:r>
        <w:t xml:space="preserve">Governance specialist and Team Leader </w:t>
      </w:r>
    </w:p>
    <w:p w14:paraId="7AAF9952" w14:textId="056577C2" w:rsidR="00A96E21" w:rsidRDefault="00A96E21" w:rsidP="001A568E">
      <w:pPr>
        <w:pStyle w:val="BulletList"/>
      </w:pPr>
      <w:r>
        <w:t xml:space="preserve">Gender and social inclusion specialist </w:t>
      </w:r>
    </w:p>
    <w:p w14:paraId="3D99D780" w14:textId="09330578" w:rsidR="00A96E21" w:rsidRDefault="00A96E21" w:rsidP="001A568E">
      <w:pPr>
        <w:pStyle w:val="BulletList"/>
      </w:pPr>
      <w:r w:rsidRPr="00180F1A">
        <w:t>PNG Research Coordinator</w:t>
      </w:r>
    </w:p>
    <w:p w14:paraId="51ED14F4" w14:textId="57ECBE11" w:rsidR="00A96E21" w:rsidRDefault="00A96E21" w:rsidP="001A568E">
      <w:pPr>
        <w:pStyle w:val="BulletList"/>
      </w:pPr>
      <w:r>
        <w:t xml:space="preserve">Value for Money and Public Financial Management Specialist </w:t>
      </w:r>
    </w:p>
    <w:p w14:paraId="0F49AB1C" w14:textId="4FE67A40" w:rsidR="00A96E21" w:rsidRDefault="00A96E21" w:rsidP="001A568E">
      <w:pPr>
        <w:pStyle w:val="BulletList"/>
      </w:pPr>
      <w:r>
        <w:t xml:space="preserve">Program Manager </w:t>
      </w:r>
    </w:p>
    <w:p w14:paraId="18361C2E" w14:textId="57465304" w:rsidR="00A96E21" w:rsidRDefault="00A96E21" w:rsidP="001A568E">
      <w:pPr>
        <w:pStyle w:val="BulletList"/>
      </w:pPr>
      <w:r>
        <w:t>Programme administrator</w:t>
      </w:r>
    </w:p>
    <w:p w14:paraId="7D50A532" w14:textId="3A3BB96F" w:rsidR="00A96E21" w:rsidRDefault="00A96E21" w:rsidP="001A568E">
      <w:pPr>
        <w:pStyle w:val="BodyText"/>
      </w:pPr>
      <w:r>
        <w:t xml:space="preserve">Additionally there will be a panel of specialist skills as and when is needed. </w:t>
      </w:r>
    </w:p>
    <w:p w14:paraId="6B0A96DE" w14:textId="2F716FF9" w:rsidR="00F706EF" w:rsidRDefault="00A96E21" w:rsidP="001A568E">
      <w:pPr>
        <w:pStyle w:val="Heading1"/>
        <w:jc w:val="left"/>
      </w:pPr>
      <w:bookmarkStart w:id="26" w:name="_Toc104183790"/>
      <w:r>
        <w:lastRenderedPageBreak/>
        <w:t>A</w:t>
      </w:r>
      <w:r w:rsidR="00F706EF">
        <w:t>nnex II – Document List</w:t>
      </w:r>
      <w:bookmarkEnd w:id="26"/>
    </w:p>
    <w:tbl>
      <w:tblPr>
        <w:tblW w:w="9360" w:type="dxa"/>
        <w:tblLook w:val="04A0" w:firstRow="1" w:lastRow="0" w:firstColumn="1" w:lastColumn="0" w:noHBand="0" w:noVBand="1"/>
      </w:tblPr>
      <w:tblGrid>
        <w:gridCol w:w="6111"/>
        <w:gridCol w:w="3249"/>
      </w:tblGrid>
      <w:tr w:rsidR="003A2D10" w:rsidRPr="003A2D10" w14:paraId="5202F230" w14:textId="77777777" w:rsidTr="003A2D10">
        <w:trPr>
          <w:trHeight w:val="290"/>
        </w:trPr>
        <w:tc>
          <w:tcPr>
            <w:tcW w:w="6111" w:type="dxa"/>
            <w:tcBorders>
              <w:top w:val="nil"/>
              <w:left w:val="nil"/>
              <w:bottom w:val="nil"/>
              <w:right w:val="nil"/>
            </w:tcBorders>
            <w:shd w:val="clear" w:color="auto" w:fill="auto"/>
            <w:noWrap/>
            <w:vAlign w:val="center"/>
            <w:hideMark/>
          </w:tcPr>
          <w:p w14:paraId="57A8C1B5"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Document</w:t>
            </w:r>
          </w:p>
        </w:tc>
        <w:tc>
          <w:tcPr>
            <w:tcW w:w="3249" w:type="dxa"/>
            <w:tcBorders>
              <w:top w:val="nil"/>
              <w:left w:val="nil"/>
              <w:bottom w:val="nil"/>
              <w:right w:val="nil"/>
            </w:tcBorders>
            <w:shd w:val="clear" w:color="auto" w:fill="auto"/>
            <w:noWrap/>
            <w:vAlign w:val="center"/>
            <w:hideMark/>
          </w:tcPr>
          <w:p w14:paraId="001C1FF7"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Year </w:t>
            </w:r>
          </w:p>
        </w:tc>
      </w:tr>
      <w:tr w:rsidR="003A2D10" w:rsidRPr="003A2D10" w14:paraId="1AA6E81C" w14:textId="77777777" w:rsidTr="003A2D10">
        <w:trPr>
          <w:trHeight w:val="290"/>
        </w:trPr>
        <w:tc>
          <w:tcPr>
            <w:tcW w:w="6111" w:type="dxa"/>
            <w:tcBorders>
              <w:top w:val="nil"/>
              <w:left w:val="nil"/>
              <w:bottom w:val="nil"/>
              <w:right w:val="nil"/>
            </w:tcBorders>
            <w:shd w:val="clear" w:color="auto" w:fill="auto"/>
            <w:noWrap/>
            <w:vAlign w:val="center"/>
            <w:hideMark/>
          </w:tcPr>
          <w:p w14:paraId="561202C4"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Bougainville </w:t>
            </w:r>
          </w:p>
        </w:tc>
        <w:tc>
          <w:tcPr>
            <w:tcW w:w="3249" w:type="dxa"/>
            <w:tcBorders>
              <w:top w:val="nil"/>
              <w:left w:val="nil"/>
              <w:bottom w:val="nil"/>
              <w:right w:val="nil"/>
            </w:tcBorders>
            <w:shd w:val="clear" w:color="auto" w:fill="auto"/>
            <w:noWrap/>
            <w:vAlign w:val="bottom"/>
            <w:hideMark/>
          </w:tcPr>
          <w:p w14:paraId="0C00ED93"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59E6BDBE" w14:textId="77777777" w:rsidTr="003A2D10">
        <w:trPr>
          <w:trHeight w:val="290"/>
        </w:trPr>
        <w:tc>
          <w:tcPr>
            <w:tcW w:w="6111" w:type="dxa"/>
            <w:tcBorders>
              <w:top w:val="nil"/>
              <w:left w:val="nil"/>
              <w:bottom w:val="nil"/>
              <w:right w:val="nil"/>
            </w:tcBorders>
            <w:shd w:val="clear" w:color="auto" w:fill="auto"/>
            <w:noWrap/>
            <w:vAlign w:val="center"/>
            <w:hideMark/>
          </w:tcPr>
          <w:p w14:paraId="10234D7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AQC </w:t>
            </w:r>
          </w:p>
        </w:tc>
        <w:tc>
          <w:tcPr>
            <w:tcW w:w="3249" w:type="dxa"/>
            <w:tcBorders>
              <w:top w:val="nil"/>
              <w:left w:val="nil"/>
              <w:bottom w:val="nil"/>
              <w:right w:val="nil"/>
            </w:tcBorders>
            <w:shd w:val="clear" w:color="auto" w:fill="auto"/>
            <w:noWrap/>
            <w:vAlign w:val="center"/>
            <w:hideMark/>
          </w:tcPr>
          <w:p w14:paraId="3560B40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020C32ED" w14:textId="77777777" w:rsidTr="003A2D10">
        <w:trPr>
          <w:trHeight w:val="290"/>
        </w:trPr>
        <w:tc>
          <w:tcPr>
            <w:tcW w:w="6111" w:type="dxa"/>
            <w:tcBorders>
              <w:top w:val="nil"/>
              <w:left w:val="nil"/>
              <w:bottom w:val="nil"/>
              <w:right w:val="nil"/>
            </w:tcBorders>
            <w:shd w:val="clear" w:color="auto" w:fill="auto"/>
            <w:noWrap/>
            <w:vAlign w:val="center"/>
            <w:hideMark/>
          </w:tcPr>
          <w:p w14:paraId="0409F60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AQC </w:t>
            </w:r>
          </w:p>
        </w:tc>
        <w:tc>
          <w:tcPr>
            <w:tcW w:w="3249" w:type="dxa"/>
            <w:tcBorders>
              <w:top w:val="nil"/>
              <w:left w:val="nil"/>
              <w:bottom w:val="nil"/>
              <w:right w:val="nil"/>
            </w:tcBorders>
            <w:shd w:val="clear" w:color="auto" w:fill="auto"/>
            <w:noWrap/>
            <w:vAlign w:val="center"/>
            <w:hideMark/>
          </w:tcPr>
          <w:p w14:paraId="0D2FE90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2D9E20E8" w14:textId="77777777" w:rsidTr="003A2D10">
        <w:trPr>
          <w:trHeight w:val="290"/>
        </w:trPr>
        <w:tc>
          <w:tcPr>
            <w:tcW w:w="6111" w:type="dxa"/>
            <w:tcBorders>
              <w:top w:val="nil"/>
              <w:left w:val="nil"/>
              <w:bottom w:val="nil"/>
              <w:right w:val="nil"/>
            </w:tcBorders>
            <w:shd w:val="clear" w:color="auto" w:fill="auto"/>
            <w:noWrap/>
            <w:vAlign w:val="center"/>
            <w:hideMark/>
          </w:tcPr>
          <w:p w14:paraId="290A5F1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IMR </w:t>
            </w:r>
          </w:p>
        </w:tc>
        <w:tc>
          <w:tcPr>
            <w:tcW w:w="3249" w:type="dxa"/>
            <w:tcBorders>
              <w:top w:val="nil"/>
              <w:left w:val="nil"/>
              <w:bottom w:val="nil"/>
              <w:right w:val="nil"/>
            </w:tcBorders>
            <w:shd w:val="clear" w:color="auto" w:fill="auto"/>
            <w:noWrap/>
            <w:vAlign w:val="center"/>
            <w:hideMark/>
          </w:tcPr>
          <w:p w14:paraId="0DEF3A5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3FDFCC6E" w14:textId="77777777" w:rsidTr="003A2D10">
        <w:trPr>
          <w:trHeight w:val="290"/>
        </w:trPr>
        <w:tc>
          <w:tcPr>
            <w:tcW w:w="6111" w:type="dxa"/>
            <w:tcBorders>
              <w:top w:val="nil"/>
              <w:left w:val="nil"/>
              <w:bottom w:val="nil"/>
              <w:right w:val="nil"/>
            </w:tcBorders>
            <w:shd w:val="clear" w:color="auto" w:fill="auto"/>
            <w:noWrap/>
            <w:vAlign w:val="center"/>
            <w:hideMark/>
          </w:tcPr>
          <w:p w14:paraId="26611D1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Bougainville MERLA Framework</w:t>
            </w:r>
          </w:p>
        </w:tc>
        <w:tc>
          <w:tcPr>
            <w:tcW w:w="3249" w:type="dxa"/>
            <w:tcBorders>
              <w:top w:val="nil"/>
              <w:left w:val="nil"/>
              <w:bottom w:val="nil"/>
              <w:right w:val="nil"/>
            </w:tcBorders>
            <w:shd w:val="clear" w:color="auto" w:fill="auto"/>
            <w:noWrap/>
            <w:vAlign w:val="center"/>
            <w:hideMark/>
          </w:tcPr>
          <w:p w14:paraId="76A555F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2EE9F9F7" w14:textId="77777777" w:rsidTr="003A2D10">
        <w:trPr>
          <w:trHeight w:val="290"/>
        </w:trPr>
        <w:tc>
          <w:tcPr>
            <w:tcW w:w="6111" w:type="dxa"/>
            <w:tcBorders>
              <w:top w:val="nil"/>
              <w:left w:val="nil"/>
              <w:bottom w:val="nil"/>
              <w:right w:val="nil"/>
            </w:tcBorders>
            <w:shd w:val="clear" w:color="auto" w:fill="auto"/>
            <w:noWrap/>
            <w:vAlign w:val="center"/>
            <w:hideMark/>
          </w:tcPr>
          <w:p w14:paraId="07B280C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Outcomes Report </w:t>
            </w:r>
          </w:p>
        </w:tc>
        <w:tc>
          <w:tcPr>
            <w:tcW w:w="3249" w:type="dxa"/>
            <w:tcBorders>
              <w:top w:val="nil"/>
              <w:left w:val="nil"/>
              <w:bottom w:val="nil"/>
              <w:right w:val="nil"/>
            </w:tcBorders>
            <w:shd w:val="clear" w:color="auto" w:fill="auto"/>
            <w:noWrap/>
            <w:vAlign w:val="center"/>
            <w:hideMark/>
          </w:tcPr>
          <w:p w14:paraId="66037D4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7F5C2113" w14:textId="77777777" w:rsidTr="003A2D10">
        <w:trPr>
          <w:trHeight w:val="290"/>
        </w:trPr>
        <w:tc>
          <w:tcPr>
            <w:tcW w:w="6111" w:type="dxa"/>
            <w:tcBorders>
              <w:top w:val="nil"/>
              <w:left w:val="nil"/>
              <w:bottom w:val="nil"/>
              <w:right w:val="nil"/>
            </w:tcBorders>
            <w:shd w:val="clear" w:color="auto" w:fill="auto"/>
            <w:noWrap/>
            <w:vAlign w:val="center"/>
            <w:hideMark/>
          </w:tcPr>
          <w:p w14:paraId="6127452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Outcomes Report </w:t>
            </w:r>
          </w:p>
        </w:tc>
        <w:tc>
          <w:tcPr>
            <w:tcW w:w="3249" w:type="dxa"/>
            <w:tcBorders>
              <w:top w:val="nil"/>
              <w:left w:val="nil"/>
              <w:bottom w:val="nil"/>
              <w:right w:val="nil"/>
            </w:tcBorders>
            <w:shd w:val="clear" w:color="auto" w:fill="auto"/>
            <w:noWrap/>
            <w:vAlign w:val="center"/>
            <w:hideMark/>
          </w:tcPr>
          <w:p w14:paraId="3A94F3D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4124B5C9" w14:textId="77777777" w:rsidTr="003A2D10">
        <w:trPr>
          <w:trHeight w:val="290"/>
        </w:trPr>
        <w:tc>
          <w:tcPr>
            <w:tcW w:w="6111" w:type="dxa"/>
            <w:tcBorders>
              <w:top w:val="nil"/>
              <w:left w:val="nil"/>
              <w:bottom w:val="nil"/>
              <w:right w:val="nil"/>
            </w:tcBorders>
            <w:shd w:val="clear" w:color="auto" w:fill="auto"/>
            <w:noWrap/>
            <w:vAlign w:val="center"/>
            <w:hideMark/>
          </w:tcPr>
          <w:p w14:paraId="0C6DD42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Outcomes Report </w:t>
            </w:r>
          </w:p>
        </w:tc>
        <w:tc>
          <w:tcPr>
            <w:tcW w:w="3249" w:type="dxa"/>
            <w:tcBorders>
              <w:top w:val="nil"/>
              <w:left w:val="nil"/>
              <w:bottom w:val="nil"/>
              <w:right w:val="nil"/>
            </w:tcBorders>
            <w:shd w:val="clear" w:color="auto" w:fill="auto"/>
            <w:noWrap/>
            <w:vAlign w:val="center"/>
            <w:hideMark/>
          </w:tcPr>
          <w:p w14:paraId="6C70DEE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5DF0BCE" w14:textId="77777777" w:rsidTr="003A2D10">
        <w:trPr>
          <w:trHeight w:val="290"/>
        </w:trPr>
        <w:tc>
          <w:tcPr>
            <w:tcW w:w="6111" w:type="dxa"/>
            <w:tcBorders>
              <w:top w:val="nil"/>
              <w:left w:val="nil"/>
              <w:bottom w:val="nil"/>
              <w:right w:val="nil"/>
            </w:tcBorders>
            <w:shd w:val="clear" w:color="auto" w:fill="auto"/>
            <w:noWrap/>
            <w:vAlign w:val="center"/>
            <w:hideMark/>
          </w:tcPr>
          <w:p w14:paraId="385EC6B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Partnership Design Document </w:t>
            </w:r>
          </w:p>
        </w:tc>
        <w:tc>
          <w:tcPr>
            <w:tcW w:w="3249" w:type="dxa"/>
            <w:tcBorders>
              <w:top w:val="nil"/>
              <w:left w:val="nil"/>
              <w:bottom w:val="nil"/>
              <w:right w:val="nil"/>
            </w:tcBorders>
            <w:shd w:val="clear" w:color="auto" w:fill="auto"/>
            <w:noWrap/>
            <w:vAlign w:val="center"/>
            <w:hideMark/>
          </w:tcPr>
          <w:p w14:paraId="26FB685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71C88995" w14:textId="77777777" w:rsidTr="003A2D10">
        <w:trPr>
          <w:trHeight w:val="290"/>
        </w:trPr>
        <w:tc>
          <w:tcPr>
            <w:tcW w:w="6111" w:type="dxa"/>
            <w:tcBorders>
              <w:top w:val="nil"/>
              <w:left w:val="nil"/>
              <w:bottom w:val="nil"/>
              <w:right w:val="nil"/>
            </w:tcBorders>
            <w:shd w:val="clear" w:color="auto" w:fill="auto"/>
            <w:noWrap/>
            <w:vAlign w:val="center"/>
            <w:hideMark/>
          </w:tcPr>
          <w:p w14:paraId="28D49FC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Results Framework Scorecard </w:t>
            </w:r>
          </w:p>
        </w:tc>
        <w:tc>
          <w:tcPr>
            <w:tcW w:w="3249" w:type="dxa"/>
            <w:tcBorders>
              <w:top w:val="nil"/>
              <w:left w:val="nil"/>
              <w:bottom w:val="nil"/>
              <w:right w:val="nil"/>
            </w:tcBorders>
            <w:shd w:val="clear" w:color="auto" w:fill="auto"/>
            <w:noWrap/>
            <w:vAlign w:val="center"/>
            <w:hideMark/>
          </w:tcPr>
          <w:p w14:paraId="000242C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70697515" w14:textId="77777777" w:rsidTr="003A2D10">
        <w:trPr>
          <w:trHeight w:val="290"/>
        </w:trPr>
        <w:tc>
          <w:tcPr>
            <w:tcW w:w="6111" w:type="dxa"/>
            <w:tcBorders>
              <w:top w:val="nil"/>
              <w:left w:val="nil"/>
              <w:bottom w:val="nil"/>
              <w:right w:val="nil"/>
            </w:tcBorders>
            <w:shd w:val="clear" w:color="auto" w:fill="auto"/>
            <w:noWrap/>
            <w:vAlign w:val="center"/>
            <w:hideMark/>
          </w:tcPr>
          <w:p w14:paraId="3553094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Six Monthly Report Jan - June </w:t>
            </w:r>
          </w:p>
        </w:tc>
        <w:tc>
          <w:tcPr>
            <w:tcW w:w="3249" w:type="dxa"/>
            <w:tcBorders>
              <w:top w:val="nil"/>
              <w:left w:val="nil"/>
              <w:bottom w:val="nil"/>
              <w:right w:val="nil"/>
            </w:tcBorders>
            <w:shd w:val="clear" w:color="auto" w:fill="auto"/>
            <w:noWrap/>
            <w:vAlign w:val="center"/>
            <w:hideMark/>
          </w:tcPr>
          <w:p w14:paraId="4D988D1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536D69DA" w14:textId="77777777" w:rsidTr="003A2D10">
        <w:trPr>
          <w:trHeight w:val="290"/>
        </w:trPr>
        <w:tc>
          <w:tcPr>
            <w:tcW w:w="6111" w:type="dxa"/>
            <w:tcBorders>
              <w:top w:val="nil"/>
              <w:left w:val="nil"/>
              <w:bottom w:val="nil"/>
              <w:right w:val="nil"/>
            </w:tcBorders>
            <w:shd w:val="clear" w:color="auto" w:fill="auto"/>
            <w:noWrap/>
            <w:vAlign w:val="center"/>
            <w:hideMark/>
          </w:tcPr>
          <w:p w14:paraId="18BD9CA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Six Monthly Report Jan - June </w:t>
            </w:r>
          </w:p>
        </w:tc>
        <w:tc>
          <w:tcPr>
            <w:tcW w:w="3249" w:type="dxa"/>
            <w:tcBorders>
              <w:top w:val="nil"/>
              <w:left w:val="nil"/>
              <w:bottom w:val="nil"/>
              <w:right w:val="nil"/>
            </w:tcBorders>
            <w:shd w:val="clear" w:color="auto" w:fill="auto"/>
            <w:noWrap/>
            <w:vAlign w:val="center"/>
            <w:hideMark/>
          </w:tcPr>
          <w:p w14:paraId="3D2F1CB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1587204B" w14:textId="77777777" w:rsidTr="003A2D10">
        <w:trPr>
          <w:trHeight w:val="290"/>
        </w:trPr>
        <w:tc>
          <w:tcPr>
            <w:tcW w:w="6111" w:type="dxa"/>
            <w:tcBorders>
              <w:top w:val="nil"/>
              <w:left w:val="nil"/>
              <w:bottom w:val="nil"/>
              <w:right w:val="nil"/>
            </w:tcBorders>
            <w:shd w:val="clear" w:color="auto" w:fill="auto"/>
            <w:noWrap/>
            <w:vAlign w:val="center"/>
            <w:hideMark/>
          </w:tcPr>
          <w:p w14:paraId="2782B41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Six Monthly Report Jan - June </w:t>
            </w:r>
          </w:p>
        </w:tc>
        <w:tc>
          <w:tcPr>
            <w:tcW w:w="3249" w:type="dxa"/>
            <w:tcBorders>
              <w:top w:val="nil"/>
              <w:left w:val="nil"/>
              <w:bottom w:val="nil"/>
              <w:right w:val="nil"/>
            </w:tcBorders>
            <w:shd w:val="clear" w:color="auto" w:fill="auto"/>
            <w:noWrap/>
            <w:vAlign w:val="center"/>
            <w:hideMark/>
          </w:tcPr>
          <w:p w14:paraId="5C431B9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26D700E0" w14:textId="77777777" w:rsidTr="003A2D10">
        <w:trPr>
          <w:trHeight w:val="290"/>
        </w:trPr>
        <w:tc>
          <w:tcPr>
            <w:tcW w:w="6111" w:type="dxa"/>
            <w:tcBorders>
              <w:top w:val="nil"/>
              <w:left w:val="nil"/>
              <w:bottom w:val="nil"/>
              <w:right w:val="nil"/>
            </w:tcBorders>
            <w:shd w:val="clear" w:color="auto" w:fill="auto"/>
            <w:noWrap/>
            <w:vAlign w:val="center"/>
            <w:hideMark/>
          </w:tcPr>
          <w:p w14:paraId="7BEE90F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Six Monthly Report Jan - June </w:t>
            </w:r>
          </w:p>
        </w:tc>
        <w:tc>
          <w:tcPr>
            <w:tcW w:w="3249" w:type="dxa"/>
            <w:tcBorders>
              <w:top w:val="nil"/>
              <w:left w:val="nil"/>
              <w:bottom w:val="nil"/>
              <w:right w:val="nil"/>
            </w:tcBorders>
            <w:shd w:val="clear" w:color="auto" w:fill="auto"/>
            <w:noWrap/>
            <w:vAlign w:val="center"/>
            <w:hideMark/>
          </w:tcPr>
          <w:p w14:paraId="0A3B7A7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7EBCE531" w14:textId="77777777" w:rsidTr="003A2D10">
        <w:trPr>
          <w:trHeight w:val="290"/>
        </w:trPr>
        <w:tc>
          <w:tcPr>
            <w:tcW w:w="6111" w:type="dxa"/>
            <w:tcBorders>
              <w:top w:val="nil"/>
              <w:left w:val="nil"/>
              <w:bottom w:val="nil"/>
              <w:right w:val="nil"/>
            </w:tcBorders>
            <w:shd w:val="clear" w:color="auto" w:fill="auto"/>
            <w:noWrap/>
            <w:vAlign w:val="center"/>
            <w:hideMark/>
          </w:tcPr>
          <w:p w14:paraId="214967B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Strategic Review </w:t>
            </w:r>
          </w:p>
        </w:tc>
        <w:tc>
          <w:tcPr>
            <w:tcW w:w="3249" w:type="dxa"/>
            <w:tcBorders>
              <w:top w:val="nil"/>
              <w:left w:val="nil"/>
              <w:bottom w:val="nil"/>
              <w:right w:val="nil"/>
            </w:tcBorders>
            <w:shd w:val="clear" w:color="auto" w:fill="auto"/>
            <w:noWrap/>
            <w:vAlign w:val="center"/>
            <w:hideMark/>
          </w:tcPr>
          <w:p w14:paraId="181BD4B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24AF3231" w14:textId="77777777" w:rsidTr="003A2D10">
        <w:trPr>
          <w:trHeight w:val="290"/>
        </w:trPr>
        <w:tc>
          <w:tcPr>
            <w:tcW w:w="6111" w:type="dxa"/>
            <w:tcBorders>
              <w:top w:val="nil"/>
              <w:left w:val="nil"/>
              <w:bottom w:val="nil"/>
              <w:right w:val="nil"/>
            </w:tcBorders>
            <w:shd w:val="clear" w:color="auto" w:fill="auto"/>
            <w:noWrap/>
            <w:vAlign w:val="center"/>
            <w:hideMark/>
          </w:tcPr>
          <w:p w14:paraId="2FB1922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Bougainville Youth Initiative Strategy </w:t>
            </w:r>
          </w:p>
        </w:tc>
        <w:tc>
          <w:tcPr>
            <w:tcW w:w="3249" w:type="dxa"/>
            <w:tcBorders>
              <w:top w:val="nil"/>
              <w:left w:val="nil"/>
              <w:bottom w:val="nil"/>
              <w:right w:val="nil"/>
            </w:tcBorders>
            <w:shd w:val="clear" w:color="auto" w:fill="auto"/>
            <w:noWrap/>
            <w:vAlign w:val="center"/>
            <w:hideMark/>
          </w:tcPr>
          <w:p w14:paraId="4A406D5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4C5F4109" w14:textId="77777777" w:rsidTr="003A2D10">
        <w:trPr>
          <w:trHeight w:val="290"/>
        </w:trPr>
        <w:tc>
          <w:tcPr>
            <w:tcW w:w="6111" w:type="dxa"/>
            <w:tcBorders>
              <w:top w:val="nil"/>
              <w:left w:val="nil"/>
              <w:bottom w:val="nil"/>
              <w:right w:val="nil"/>
            </w:tcBorders>
            <w:shd w:val="clear" w:color="auto" w:fill="auto"/>
            <w:noWrap/>
            <w:vAlign w:val="bottom"/>
            <w:hideMark/>
          </w:tcPr>
          <w:p w14:paraId="7025533F"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62F782BC"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669196CA" w14:textId="77777777" w:rsidTr="003A2D10">
        <w:trPr>
          <w:trHeight w:val="290"/>
        </w:trPr>
        <w:tc>
          <w:tcPr>
            <w:tcW w:w="6111" w:type="dxa"/>
            <w:tcBorders>
              <w:top w:val="nil"/>
              <w:left w:val="nil"/>
              <w:bottom w:val="nil"/>
              <w:right w:val="nil"/>
            </w:tcBorders>
            <w:shd w:val="clear" w:color="auto" w:fill="auto"/>
            <w:noWrap/>
            <w:vAlign w:val="center"/>
            <w:hideMark/>
          </w:tcPr>
          <w:p w14:paraId="7D4ECED5"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COVID </w:t>
            </w:r>
          </w:p>
        </w:tc>
        <w:tc>
          <w:tcPr>
            <w:tcW w:w="3249" w:type="dxa"/>
            <w:tcBorders>
              <w:top w:val="nil"/>
              <w:left w:val="nil"/>
              <w:bottom w:val="nil"/>
              <w:right w:val="nil"/>
            </w:tcBorders>
            <w:shd w:val="clear" w:color="auto" w:fill="auto"/>
            <w:noWrap/>
            <w:vAlign w:val="bottom"/>
            <w:hideMark/>
          </w:tcPr>
          <w:p w14:paraId="5361B60B"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03B10DCC" w14:textId="77777777" w:rsidTr="003A2D10">
        <w:trPr>
          <w:trHeight w:val="290"/>
        </w:trPr>
        <w:tc>
          <w:tcPr>
            <w:tcW w:w="6111" w:type="dxa"/>
            <w:tcBorders>
              <w:top w:val="nil"/>
              <w:left w:val="nil"/>
              <w:bottom w:val="nil"/>
              <w:right w:val="nil"/>
            </w:tcBorders>
            <w:shd w:val="clear" w:color="auto" w:fill="auto"/>
            <w:noWrap/>
            <w:vAlign w:val="center"/>
            <w:hideMark/>
          </w:tcPr>
          <w:p w14:paraId="7A52B89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Abt PNG COVID Safe Plan </w:t>
            </w:r>
          </w:p>
        </w:tc>
        <w:tc>
          <w:tcPr>
            <w:tcW w:w="3249" w:type="dxa"/>
            <w:tcBorders>
              <w:top w:val="nil"/>
              <w:left w:val="nil"/>
              <w:bottom w:val="nil"/>
              <w:right w:val="nil"/>
            </w:tcBorders>
            <w:shd w:val="clear" w:color="auto" w:fill="auto"/>
            <w:noWrap/>
            <w:vAlign w:val="center"/>
            <w:hideMark/>
          </w:tcPr>
          <w:p w14:paraId="527F962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5A2513D4" w14:textId="77777777" w:rsidTr="003A2D10">
        <w:trPr>
          <w:trHeight w:val="290"/>
        </w:trPr>
        <w:tc>
          <w:tcPr>
            <w:tcW w:w="6111" w:type="dxa"/>
            <w:tcBorders>
              <w:top w:val="nil"/>
              <w:left w:val="nil"/>
              <w:bottom w:val="nil"/>
              <w:right w:val="nil"/>
            </w:tcBorders>
            <w:shd w:val="clear" w:color="auto" w:fill="auto"/>
            <w:noWrap/>
            <w:vAlign w:val="center"/>
            <w:hideMark/>
          </w:tcPr>
          <w:p w14:paraId="3A6B0F9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COVID Response PNG </w:t>
            </w:r>
          </w:p>
        </w:tc>
        <w:tc>
          <w:tcPr>
            <w:tcW w:w="3249" w:type="dxa"/>
            <w:tcBorders>
              <w:top w:val="nil"/>
              <w:left w:val="nil"/>
              <w:bottom w:val="nil"/>
              <w:right w:val="nil"/>
            </w:tcBorders>
            <w:shd w:val="clear" w:color="auto" w:fill="auto"/>
            <w:noWrap/>
            <w:vAlign w:val="center"/>
            <w:hideMark/>
          </w:tcPr>
          <w:p w14:paraId="384214C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580121A2" w14:textId="77777777" w:rsidTr="003A2D10">
        <w:trPr>
          <w:trHeight w:val="290"/>
        </w:trPr>
        <w:tc>
          <w:tcPr>
            <w:tcW w:w="6111" w:type="dxa"/>
            <w:tcBorders>
              <w:top w:val="nil"/>
              <w:left w:val="nil"/>
              <w:bottom w:val="nil"/>
              <w:right w:val="nil"/>
            </w:tcBorders>
            <w:shd w:val="clear" w:color="auto" w:fill="auto"/>
            <w:noWrap/>
            <w:vAlign w:val="bottom"/>
            <w:hideMark/>
          </w:tcPr>
          <w:p w14:paraId="5B76828E"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6C7B79EB"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26EF9EC3" w14:textId="77777777" w:rsidTr="003A2D10">
        <w:trPr>
          <w:trHeight w:val="290"/>
        </w:trPr>
        <w:tc>
          <w:tcPr>
            <w:tcW w:w="6111" w:type="dxa"/>
            <w:tcBorders>
              <w:top w:val="nil"/>
              <w:left w:val="nil"/>
              <w:bottom w:val="nil"/>
              <w:right w:val="nil"/>
            </w:tcBorders>
            <w:shd w:val="clear" w:color="auto" w:fill="auto"/>
            <w:noWrap/>
            <w:vAlign w:val="center"/>
            <w:hideMark/>
          </w:tcPr>
          <w:p w14:paraId="3E742808"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DCP </w:t>
            </w:r>
          </w:p>
        </w:tc>
        <w:tc>
          <w:tcPr>
            <w:tcW w:w="3249" w:type="dxa"/>
            <w:tcBorders>
              <w:top w:val="nil"/>
              <w:left w:val="nil"/>
              <w:bottom w:val="nil"/>
              <w:right w:val="nil"/>
            </w:tcBorders>
            <w:shd w:val="clear" w:color="auto" w:fill="auto"/>
            <w:noWrap/>
            <w:vAlign w:val="bottom"/>
            <w:hideMark/>
          </w:tcPr>
          <w:p w14:paraId="09308F21"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1B177EF6" w14:textId="77777777" w:rsidTr="003A2D10">
        <w:trPr>
          <w:trHeight w:val="290"/>
        </w:trPr>
        <w:tc>
          <w:tcPr>
            <w:tcW w:w="6111" w:type="dxa"/>
            <w:tcBorders>
              <w:top w:val="nil"/>
              <w:left w:val="nil"/>
              <w:bottom w:val="nil"/>
              <w:right w:val="nil"/>
            </w:tcBorders>
            <w:shd w:val="clear" w:color="auto" w:fill="auto"/>
            <w:noWrap/>
            <w:vAlign w:val="center"/>
            <w:hideMark/>
          </w:tcPr>
          <w:p w14:paraId="51AA540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Abt Briefing Note DCP Key Messages </w:t>
            </w:r>
          </w:p>
        </w:tc>
        <w:tc>
          <w:tcPr>
            <w:tcW w:w="3249" w:type="dxa"/>
            <w:tcBorders>
              <w:top w:val="nil"/>
              <w:left w:val="nil"/>
              <w:bottom w:val="nil"/>
              <w:right w:val="nil"/>
            </w:tcBorders>
            <w:shd w:val="clear" w:color="auto" w:fill="auto"/>
            <w:noWrap/>
            <w:vAlign w:val="center"/>
            <w:hideMark/>
          </w:tcPr>
          <w:p w14:paraId="0E66DC2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1BBA8FE" w14:textId="77777777" w:rsidTr="003A2D10">
        <w:trPr>
          <w:trHeight w:val="290"/>
        </w:trPr>
        <w:tc>
          <w:tcPr>
            <w:tcW w:w="6111" w:type="dxa"/>
            <w:tcBorders>
              <w:top w:val="nil"/>
              <w:left w:val="nil"/>
              <w:bottom w:val="nil"/>
              <w:right w:val="nil"/>
            </w:tcBorders>
            <w:shd w:val="clear" w:color="auto" w:fill="auto"/>
            <w:noWrap/>
            <w:vAlign w:val="center"/>
            <w:hideMark/>
          </w:tcPr>
          <w:p w14:paraId="6F6E53D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Abt Handover Notes DCP Portfolio A </w:t>
            </w:r>
          </w:p>
        </w:tc>
        <w:tc>
          <w:tcPr>
            <w:tcW w:w="3249" w:type="dxa"/>
            <w:tcBorders>
              <w:top w:val="nil"/>
              <w:left w:val="nil"/>
              <w:bottom w:val="nil"/>
              <w:right w:val="nil"/>
            </w:tcBorders>
            <w:shd w:val="clear" w:color="auto" w:fill="auto"/>
            <w:noWrap/>
            <w:vAlign w:val="center"/>
            <w:hideMark/>
          </w:tcPr>
          <w:p w14:paraId="7693735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1FD9104" w14:textId="77777777" w:rsidTr="003A2D10">
        <w:trPr>
          <w:trHeight w:val="290"/>
        </w:trPr>
        <w:tc>
          <w:tcPr>
            <w:tcW w:w="6111" w:type="dxa"/>
            <w:tcBorders>
              <w:top w:val="nil"/>
              <w:left w:val="nil"/>
              <w:bottom w:val="nil"/>
              <w:right w:val="nil"/>
            </w:tcBorders>
            <w:shd w:val="clear" w:color="auto" w:fill="auto"/>
            <w:noWrap/>
            <w:vAlign w:val="center"/>
            <w:hideMark/>
          </w:tcPr>
          <w:p w14:paraId="674EE58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Abt Handover Notes DCP Portfolio B</w:t>
            </w:r>
          </w:p>
        </w:tc>
        <w:tc>
          <w:tcPr>
            <w:tcW w:w="3249" w:type="dxa"/>
            <w:tcBorders>
              <w:top w:val="nil"/>
              <w:left w:val="nil"/>
              <w:bottom w:val="nil"/>
              <w:right w:val="nil"/>
            </w:tcBorders>
            <w:shd w:val="clear" w:color="auto" w:fill="auto"/>
            <w:noWrap/>
            <w:vAlign w:val="center"/>
            <w:hideMark/>
          </w:tcPr>
          <w:p w14:paraId="58C829E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64D97D91" w14:textId="77777777" w:rsidTr="003A2D10">
        <w:trPr>
          <w:trHeight w:val="290"/>
        </w:trPr>
        <w:tc>
          <w:tcPr>
            <w:tcW w:w="6111" w:type="dxa"/>
            <w:tcBorders>
              <w:top w:val="nil"/>
              <w:left w:val="nil"/>
              <w:bottom w:val="nil"/>
              <w:right w:val="nil"/>
            </w:tcBorders>
            <w:shd w:val="clear" w:color="auto" w:fill="auto"/>
            <w:noWrap/>
            <w:vAlign w:val="center"/>
            <w:hideMark/>
          </w:tcPr>
          <w:p w14:paraId="47B0FC1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CPP Mid-term Review </w:t>
            </w:r>
          </w:p>
        </w:tc>
        <w:tc>
          <w:tcPr>
            <w:tcW w:w="3249" w:type="dxa"/>
            <w:tcBorders>
              <w:top w:val="nil"/>
              <w:left w:val="nil"/>
              <w:bottom w:val="nil"/>
              <w:right w:val="nil"/>
            </w:tcBorders>
            <w:shd w:val="clear" w:color="auto" w:fill="auto"/>
            <w:noWrap/>
            <w:vAlign w:val="center"/>
            <w:hideMark/>
          </w:tcPr>
          <w:p w14:paraId="6BC44D6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11A48669" w14:textId="77777777" w:rsidTr="003A2D10">
        <w:trPr>
          <w:trHeight w:val="290"/>
        </w:trPr>
        <w:tc>
          <w:tcPr>
            <w:tcW w:w="6111" w:type="dxa"/>
            <w:tcBorders>
              <w:top w:val="nil"/>
              <w:left w:val="nil"/>
              <w:bottom w:val="nil"/>
              <w:right w:val="nil"/>
            </w:tcBorders>
            <w:shd w:val="clear" w:color="auto" w:fill="auto"/>
            <w:noWrap/>
            <w:vAlign w:val="center"/>
            <w:hideMark/>
          </w:tcPr>
          <w:p w14:paraId="06B3234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DCP AQC</w:t>
            </w:r>
          </w:p>
        </w:tc>
        <w:tc>
          <w:tcPr>
            <w:tcW w:w="3249" w:type="dxa"/>
            <w:tcBorders>
              <w:top w:val="nil"/>
              <w:left w:val="nil"/>
              <w:bottom w:val="nil"/>
              <w:right w:val="nil"/>
            </w:tcBorders>
            <w:shd w:val="clear" w:color="auto" w:fill="auto"/>
            <w:noWrap/>
            <w:vAlign w:val="center"/>
            <w:hideMark/>
          </w:tcPr>
          <w:p w14:paraId="215D417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60495121" w14:textId="77777777" w:rsidTr="003A2D10">
        <w:trPr>
          <w:trHeight w:val="290"/>
        </w:trPr>
        <w:tc>
          <w:tcPr>
            <w:tcW w:w="6111" w:type="dxa"/>
            <w:tcBorders>
              <w:top w:val="nil"/>
              <w:left w:val="nil"/>
              <w:bottom w:val="nil"/>
              <w:right w:val="nil"/>
            </w:tcBorders>
            <w:shd w:val="clear" w:color="auto" w:fill="auto"/>
            <w:noWrap/>
            <w:vAlign w:val="center"/>
            <w:hideMark/>
          </w:tcPr>
          <w:p w14:paraId="6FC5355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DCP AQC</w:t>
            </w:r>
          </w:p>
        </w:tc>
        <w:tc>
          <w:tcPr>
            <w:tcW w:w="3249" w:type="dxa"/>
            <w:tcBorders>
              <w:top w:val="nil"/>
              <w:left w:val="nil"/>
              <w:bottom w:val="nil"/>
              <w:right w:val="nil"/>
            </w:tcBorders>
            <w:shd w:val="clear" w:color="auto" w:fill="auto"/>
            <w:noWrap/>
            <w:vAlign w:val="center"/>
            <w:hideMark/>
          </w:tcPr>
          <w:p w14:paraId="7B9D656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31DEB8CA" w14:textId="77777777" w:rsidTr="003A2D10">
        <w:trPr>
          <w:trHeight w:val="290"/>
        </w:trPr>
        <w:tc>
          <w:tcPr>
            <w:tcW w:w="6111" w:type="dxa"/>
            <w:tcBorders>
              <w:top w:val="nil"/>
              <w:left w:val="nil"/>
              <w:bottom w:val="nil"/>
              <w:right w:val="nil"/>
            </w:tcBorders>
            <w:shd w:val="clear" w:color="auto" w:fill="auto"/>
            <w:noWrap/>
            <w:vAlign w:val="center"/>
            <w:hideMark/>
          </w:tcPr>
          <w:p w14:paraId="77BA37E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DCP IMR</w:t>
            </w:r>
          </w:p>
        </w:tc>
        <w:tc>
          <w:tcPr>
            <w:tcW w:w="3249" w:type="dxa"/>
            <w:tcBorders>
              <w:top w:val="nil"/>
              <w:left w:val="nil"/>
              <w:bottom w:val="nil"/>
              <w:right w:val="nil"/>
            </w:tcBorders>
            <w:shd w:val="clear" w:color="auto" w:fill="auto"/>
            <w:noWrap/>
            <w:vAlign w:val="center"/>
            <w:hideMark/>
          </w:tcPr>
          <w:p w14:paraId="3E00703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0C63BECD" w14:textId="77777777" w:rsidTr="003A2D10">
        <w:trPr>
          <w:trHeight w:val="290"/>
        </w:trPr>
        <w:tc>
          <w:tcPr>
            <w:tcW w:w="6111" w:type="dxa"/>
            <w:tcBorders>
              <w:top w:val="nil"/>
              <w:left w:val="nil"/>
              <w:bottom w:val="nil"/>
              <w:right w:val="nil"/>
            </w:tcBorders>
            <w:shd w:val="clear" w:color="auto" w:fill="auto"/>
            <w:noWrap/>
            <w:vAlign w:val="center"/>
            <w:hideMark/>
          </w:tcPr>
          <w:p w14:paraId="4863F50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DCP Outcomes Report </w:t>
            </w:r>
          </w:p>
        </w:tc>
        <w:tc>
          <w:tcPr>
            <w:tcW w:w="3249" w:type="dxa"/>
            <w:tcBorders>
              <w:top w:val="nil"/>
              <w:left w:val="nil"/>
              <w:bottom w:val="nil"/>
              <w:right w:val="nil"/>
            </w:tcBorders>
            <w:shd w:val="clear" w:color="auto" w:fill="auto"/>
            <w:noWrap/>
            <w:vAlign w:val="center"/>
            <w:hideMark/>
          </w:tcPr>
          <w:p w14:paraId="3DBCBB2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99E1C7D" w14:textId="77777777" w:rsidTr="003A2D10">
        <w:trPr>
          <w:trHeight w:val="290"/>
        </w:trPr>
        <w:tc>
          <w:tcPr>
            <w:tcW w:w="6111" w:type="dxa"/>
            <w:tcBorders>
              <w:top w:val="nil"/>
              <w:left w:val="nil"/>
              <w:bottom w:val="nil"/>
              <w:right w:val="nil"/>
            </w:tcBorders>
            <w:shd w:val="clear" w:color="auto" w:fill="auto"/>
            <w:noWrap/>
            <w:vAlign w:val="center"/>
            <w:hideMark/>
          </w:tcPr>
          <w:p w14:paraId="699B81D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DCP PAF Implementation</w:t>
            </w:r>
          </w:p>
        </w:tc>
        <w:tc>
          <w:tcPr>
            <w:tcW w:w="3249" w:type="dxa"/>
            <w:tcBorders>
              <w:top w:val="nil"/>
              <w:left w:val="nil"/>
              <w:bottom w:val="nil"/>
              <w:right w:val="nil"/>
            </w:tcBorders>
            <w:shd w:val="clear" w:color="auto" w:fill="auto"/>
            <w:noWrap/>
            <w:vAlign w:val="center"/>
            <w:hideMark/>
          </w:tcPr>
          <w:p w14:paraId="0DD0AD8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64CC4F22" w14:textId="77777777" w:rsidTr="003A2D10">
        <w:trPr>
          <w:trHeight w:val="290"/>
        </w:trPr>
        <w:tc>
          <w:tcPr>
            <w:tcW w:w="6111" w:type="dxa"/>
            <w:tcBorders>
              <w:top w:val="nil"/>
              <w:left w:val="nil"/>
              <w:bottom w:val="nil"/>
              <w:right w:val="nil"/>
            </w:tcBorders>
            <w:shd w:val="clear" w:color="auto" w:fill="auto"/>
            <w:noWrap/>
            <w:vAlign w:val="center"/>
            <w:hideMark/>
          </w:tcPr>
          <w:p w14:paraId="61B7B85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DCP Six Monthly Report Jan - Jun</w:t>
            </w:r>
          </w:p>
        </w:tc>
        <w:tc>
          <w:tcPr>
            <w:tcW w:w="3249" w:type="dxa"/>
            <w:tcBorders>
              <w:top w:val="nil"/>
              <w:left w:val="nil"/>
              <w:bottom w:val="nil"/>
              <w:right w:val="nil"/>
            </w:tcBorders>
            <w:shd w:val="clear" w:color="auto" w:fill="auto"/>
            <w:noWrap/>
            <w:vAlign w:val="center"/>
            <w:hideMark/>
          </w:tcPr>
          <w:p w14:paraId="6027754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385BC364" w14:textId="77777777" w:rsidTr="003A2D10">
        <w:trPr>
          <w:trHeight w:val="290"/>
        </w:trPr>
        <w:tc>
          <w:tcPr>
            <w:tcW w:w="6111" w:type="dxa"/>
            <w:tcBorders>
              <w:top w:val="nil"/>
              <w:left w:val="nil"/>
              <w:bottom w:val="nil"/>
              <w:right w:val="nil"/>
            </w:tcBorders>
            <w:shd w:val="clear" w:color="auto" w:fill="auto"/>
            <w:noWrap/>
            <w:vAlign w:val="center"/>
            <w:hideMark/>
          </w:tcPr>
          <w:p w14:paraId="0D04B9B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DCP Six Monthly Report Jan - Jun</w:t>
            </w:r>
          </w:p>
        </w:tc>
        <w:tc>
          <w:tcPr>
            <w:tcW w:w="3249" w:type="dxa"/>
            <w:tcBorders>
              <w:top w:val="nil"/>
              <w:left w:val="nil"/>
              <w:bottom w:val="nil"/>
              <w:right w:val="nil"/>
            </w:tcBorders>
            <w:shd w:val="clear" w:color="auto" w:fill="auto"/>
            <w:noWrap/>
            <w:vAlign w:val="center"/>
            <w:hideMark/>
          </w:tcPr>
          <w:p w14:paraId="0955B70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09BA7BBC" w14:textId="77777777" w:rsidTr="003A2D10">
        <w:trPr>
          <w:trHeight w:val="290"/>
        </w:trPr>
        <w:tc>
          <w:tcPr>
            <w:tcW w:w="6111" w:type="dxa"/>
            <w:tcBorders>
              <w:top w:val="nil"/>
              <w:left w:val="nil"/>
              <w:bottom w:val="nil"/>
              <w:right w:val="nil"/>
            </w:tcBorders>
            <w:shd w:val="clear" w:color="auto" w:fill="auto"/>
            <w:noWrap/>
            <w:vAlign w:val="center"/>
            <w:hideMark/>
          </w:tcPr>
          <w:p w14:paraId="3363951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DCP Six Monthly Report Jan - Jun</w:t>
            </w:r>
          </w:p>
        </w:tc>
        <w:tc>
          <w:tcPr>
            <w:tcW w:w="3249" w:type="dxa"/>
            <w:tcBorders>
              <w:top w:val="nil"/>
              <w:left w:val="nil"/>
              <w:bottom w:val="nil"/>
              <w:right w:val="nil"/>
            </w:tcBorders>
            <w:shd w:val="clear" w:color="auto" w:fill="auto"/>
            <w:noWrap/>
            <w:vAlign w:val="center"/>
            <w:hideMark/>
          </w:tcPr>
          <w:p w14:paraId="0E5C65C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79CEF4D8" w14:textId="77777777" w:rsidTr="003A2D10">
        <w:trPr>
          <w:trHeight w:val="290"/>
        </w:trPr>
        <w:tc>
          <w:tcPr>
            <w:tcW w:w="6111" w:type="dxa"/>
            <w:tcBorders>
              <w:top w:val="nil"/>
              <w:left w:val="nil"/>
              <w:bottom w:val="nil"/>
              <w:right w:val="nil"/>
            </w:tcBorders>
            <w:shd w:val="clear" w:color="auto" w:fill="auto"/>
            <w:noWrap/>
            <w:vAlign w:val="center"/>
            <w:hideMark/>
          </w:tcPr>
          <w:p w14:paraId="5229A45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DCP Six Monthly Report Jul - Dec </w:t>
            </w:r>
          </w:p>
        </w:tc>
        <w:tc>
          <w:tcPr>
            <w:tcW w:w="3249" w:type="dxa"/>
            <w:tcBorders>
              <w:top w:val="nil"/>
              <w:left w:val="nil"/>
              <w:bottom w:val="nil"/>
              <w:right w:val="nil"/>
            </w:tcBorders>
            <w:shd w:val="clear" w:color="auto" w:fill="auto"/>
            <w:noWrap/>
            <w:vAlign w:val="center"/>
            <w:hideMark/>
          </w:tcPr>
          <w:p w14:paraId="2292EE5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364DCF5D" w14:textId="77777777" w:rsidTr="003A2D10">
        <w:trPr>
          <w:trHeight w:val="290"/>
        </w:trPr>
        <w:tc>
          <w:tcPr>
            <w:tcW w:w="6111" w:type="dxa"/>
            <w:tcBorders>
              <w:top w:val="nil"/>
              <w:left w:val="nil"/>
              <w:bottom w:val="nil"/>
              <w:right w:val="nil"/>
            </w:tcBorders>
            <w:shd w:val="clear" w:color="auto" w:fill="auto"/>
            <w:noWrap/>
            <w:vAlign w:val="center"/>
            <w:hideMark/>
          </w:tcPr>
          <w:p w14:paraId="1393EFD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DCP Six Monthly Report Jul - Dec </w:t>
            </w:r>
          </w:p>
        </w:tc>
        <w:tc>
          <w:tcPr>
            <w:tcW w:w="3249" w:type="dxa"/>
            <w:tcBorders>
              <w:top w:val="nil"/>
              <w:left w:val="nil"/>
              <w:bottom w:val="nil"/>
              <w:right w:val="nil"/>
            </w:tcBorders>
            <w:shd w:val="clear" w:color="auto" w:fill="auto"/>
            <w:noWrap/>
            <w:vAlign w:val="center"/>
            <w:hideMark/>
          </w:tcPr>
          <w:p w14:paraId="2D65D29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2FFD24B9" w14:textId="77777777" w:rsidTr="003A2D10">
        <w:trPr>
          <w:trHeight w:val="290"/>
        </w:trPr>
        <w:tc>
          <w:tcPr>
            <w:tcW w:w="6111" w:type="dxa"/>
            <w:tcBorders>
              <w:top w:val="nil"/>
              <w:left w:val="nil"/>
              <w:bottom w:val="nil"/>
              <w:right w:val="nil"/>
            </w:tcBorders>
            <w:shd w:val="clear" w:color="auto" w:fill="auto"/>
            <w:noWrap/>
            <w:vAlign w:val="center"/>
            <w:hideMark/>
          </w:tcPr>
          <w:p w14:paraId="6219061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DCP Six Monthly Report Jul - Dec </w:t>
            </w:r>
          </w:p>
        </w:tc>
        <w:tc>
          <w:tcPr>
            <w:tcW w:w="3249" w:type="dxa"/>
            <w:tcBorders>
              <w:top w:val="nil"/>
              <w:left w:val="nil"/>
              <w:bottom w:val="nil"/>
              <w:right w:val="nil"/>
            </w:tcBorders>
            <w:shd w:val="clear" w:color="auto" w:fill="auto"/>
            <w:noWrap/>
            <w:vAlign w:val="center"/>
            <w:hideMark/>
          </w:tcPr>
          <w:p w14:paraId="750A878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6D5EAD3B" w14:textId="77777777" w:rsidTr="003A2D10">
        <w:trPr>
          <w:trHeight w:val="290"/>
        </w:trPr>
        <w:tc>
          <w:tcPr>
            <w:tcW w:w="6111" w:type="dxa"/>
            <w:tcBorders>
              <w:top w:val="nil"/>
              <w:left w:val="nil"/>
              <w:bottom w:val="nil"/>
              <w:right w:val="nil"/>
            </w:tcBorders>
            <w:shd w:val="clear" w:color="auto" w:fill="auto"/>
            <w:noWrap/>
            <w:vAlign w:val="center"/>
            <w:hideMark/>
          </w:tcPr>
          <w:p w14:paraId="1D76A45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MDI Review </w:t>
            </w:r>
          </w:p>
        </w:tc>
        <w:tc>
          <w:tcPr>
            <w:tcW w:w="3249" w:type="dxa"/>
            <w:tcBorders>
              <w:top w:val="nil"/>
              <w:left w:val="nil"/>
              <w:bottom w:val="nil"/>
              <w:right w:val="nil"/>
            </w:tcBorders>
            <w:shd w:val="clear" w:color="auto" w:fill="auto"/>
            <w:noWrap/>
            <w:vAlign w:val="center"/>
            <w:hideMark/>
          </w:tcPr>
          <w:p w14:paraId="6B8BCDA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1CF14C3F" w14:textId="77777777" w:rsidTr="003A2D10">
        <w:trPr>
          <w:trHeight w:val="290"/>
        </w:trPr>
        <w:tc>
          <w:tcPr>
            <w:tcW w:w="6111" w:type="dxa"/>
            <w:tcBorders>
              <w:top w:val="nil"/>
              <w:left w:val="nil"/>
              <w:bottom w:val="nil"/>
              <w:right w:val="nil"/>
            </w:tcBorders>
            <w:shd w:val="clear" w:color="auto" w:fill="auto"/>
            <w:noWrap/>
            <w:vAlign w:val="center"/>
            <w:hideMark/>
          </w:tcPr>
          <w:p w14:paraId="6428979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Youth Skills Training End Term Evaluation </w:t>
            </w:r>
          </w:p>
        </w:tc>
        <w:tc>
          <w:tcPr>
            <w:tcW w:w="3249" w:type="dxa"/>
            <w:tcBorders>
              <w:top w:val="nil"/>
              <w:left w:val="nil"/>
              <w:bottom w:val="nil"/>
              <w:right w:val="nil"/>
            </w:tcBorders>
            <w:shd w:val="clear" w:color="auto" w:fill="auto"/>
            <w:noWrap/>
            <w:vAlign w:val="center"/>
            <w:hideMark/>
          </w:tcPr>
          <w:p w14:paraId="044D1A2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7BBEBCAC" w14:textId="77777777" w:rsidTr="003A2D10">
        <w:trPr>
          <w:trHeight w:val="290"/>
        </w:trPr>
        <w:tc>
          <w:tcPr>
            <w:tcW w:w="6111" w:type="dxa"/>
            <w:tcBorders>
              <w:top w:val="nil"/>
              <w:left w:val="nil"/>
              <w:bottom w:val="nil"/>
              <w:right w:val="nil"/>
            </w:tcBorders>
            <w:shd w:val="clear" w:color="auto" w:fill="auto"/>
            <w:noWrap/>
            <w:vAlign w:val="bottom"/>
            <w:hideMark/>
          </w:tcPr>
          <w:p w14:paraId="7006CCF3"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4FF16BBB"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6ED09F87" w14:textId="77777777" w:rsidTr="003A2D10">
        <w:trPr>
          <w:trHeight w:val="290"/>
        </w:trPr>
        <w:tc>
          <w:tcPr>
            <w:tcW w:w="6111" w:type="dxa"/>
            <w:tcBorders>
              <w:top w:val="nil"/>
              <w:left w:val="nil"/>
              <w:bottom w:val="nil"/>
              <w:right w:val="nil"/>
            </w:tcBorders>
            <w:shd w:val="clear" w:color="auto" w:fill="auto"/>
            <w:noWrap/>
            <w:vAlign w:val="center"/>
            <w:hideMark/>
          </w:tcPr>
          <w:p w14:paraId="5F590739"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EGIG </w:t>
            </w:r>
          </w:p>
        </w:tc>
        <w:tc>
          <w:tcPr>
            <w:tcW w:w="3249" w:type="dxa"/>
            <w:tcBorders>
              <w:top w:val="nil"/>
              <w:left w:val="nil"/>
              <w:bottom w:val="nil"/>
              <w:right w:val="nil"/>
            </w:tcBorders>
            <w:shd w:val="clear" w:color="auto" w:fill="auto"/>
            <w:noWrap/>
            <w:vAlign w:val="bottom"/>
            <w:hideMark/>
          </w:tcPr>
          <w:p w14:paraId="7576EF8B"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14DEE7A6" w14:textId="77777777" w:rsidTr="003A2D10">
        <w:trPr>
          <w:trHeight w:val="290"/>
        </w:trPr>
        <w:tc>
          <w:tcPr>
            <w:tcW w:w="6111" w:type="dxa"/>
            <w:tcBorders>
              <w:top w:val="nil"/>
              <w:left w:val="nil"/>
              <w:bottom w:val="nil"/>
              <w:right w:val="nil"/>
            </w:tcBorders>
            <w:shd w:val="clear" w:color="auto" w:fill="auto"/>
            <w:noWrap/>
            <w:vAlign w:val="center"/>
            <w:hideMark/>
          </w:tcPr>
          <w:p w14:paraId="5484FDF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Abt Briefing Note EGIG Key Messages </w:t>
            </w:r>
          </w:p>
        </w:tc>
        <w:tc>
          <w:tcPr>
            <w:tcW w:w="3249" w:type="dxa"/>
            <w:tcBorders>
              <w:top w:val="nil"/>
              <w:left w:val="nil"/>
              <w:bottom w:val="nil"/>
              <w:right w:val="nil"/>
            </w:tcBorders>
            <w:shd w:val="clear" w:color="auto" w:fill="auto"/>
            <w:noWrap/>
            <w:vAlign w:val="center"/>
            <w:hideMark/>
          </w:tcPr>
          <w:p w14:paraId="0D0F092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7A0B6512" w14:textId="77777777" w:rsidTr="003A2D10">
        <w:trPr>
          <w:trHeight w:val="290"/>
        </w:trPr>
        <w:tc>
          <w:tcPr>
            <w:tcW w:w="6111" w:type="dxa"/>
            <w:tcBorders>
              <w:top w:val="nil"/>
              <w:left w:val="nil"/>
              <w:bottom w:val="nil"/>
              <w:right w:val="nil"/>
            </w:tcBorders>
            <w:shd w:val="clear" w:color="auto" w:fill="auto"/>
            <w:noWrap/>
            <w:vAlign w:val="center"/>
            <w:hideMark/>
          </w:tcPr>
          <w:p w14:paraId="466993E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Abt EGIG Handover Notes (Draft) </w:t>
            </w:r>
          </w:p>
        </w:tc>
        <w:tc>
          <w:tcPr>
            <w:tcW w:w="3249" w:type="dxa"/>
            <w:tcBorders>
              <w:top w:val="nil"/>
              <w:left w:val="nil"/>
              <w:bottom w:val="nil"/>
              <w:right w:val="nil"/>
            </w:tcBorders>
            <w:shd w:val="clear" w:color="auto" w:fill="auto"/>
            <w:noWrap/>
            <w:vAlign w:val="center"/>
            <w:hideMark/>
          </w:tcPr>
          <w:p w14:paraId="5B5C2BD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3ABCA785" w14:textId="77777777" w:rsidTr="003A2D10">
        <w:trPr>
          <w:trHeight w:val="290"/>
        </w:trPr>
        <w:tc>
          <w:tcPr>
            <w:tcW w:w="6111" w:type="dxa"/>
            <w:tcBorders>
              <w:top w:val="nil"/>
              <w:left w:val="nil"/>
              <w:bottom w:val="nil"/>
              <w:right w:val="nil"/>
            </w:tcBorders>
            <w:shd w:val="clear" w:color="auto" w:fill="auto"/>
            <w:noWrap/>
            <w:vAlign w:val="center"/>
            <w:hideMark/>
          </w:tcPr>
          <w:p w14:paraId="22314EB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lastRenderedPageBreak/>
              <w:t xml:space="preserve">EGIG Annual Review Outcomes </w:t>
            </w:r>
          </w:p>
        </w:tc>
        <w:tc>
          <w:tcPr>
            <w:tcW w:w="3249" w:type="dxa"/>
            <w:tcBorders>
              <w:top w:val="nil"/>
              <w:left w:val="nil"/>
              <w:bottom w:val="nil"/>
              <w:right w:val="nil"/>
            </w:tcBorders>
            <w:shd w:val="clear" w:color="auto" w:fill="auto"/>
            <w:noWrap/>
            <w:vAlign w:val="center"/>
            <w:hideMark/>
          </w:tcPr>
          <w:p w14:paraId="58A4862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687B11EE" w14:textId="77777777" w:rsidTr="003A2D10">
        <w:trPr>
          <w:trHeight w:val="290"/>
        </w:trPr>
        <w:tc>
          <w:tcPr>
            <w:tcW w:w="6111" w:type="dxa"/>
            <w:tcBorders>
              <w:top w:val="nil"/>
              <w:left w:val="nil"/>
              <w:bottom w:val="nil"/>
              <w:right w:val="nil"/>
            </w:tcBorders>
            <w:shd w:val="clear" w:color="auto" w:fill="auto"/>
            <w:noWrap/>
            <w:vAlign w:val="center"/>
            <w:hideMark/>
          </w:tcPr>
          <w:p w14:paraId="7273691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EGIG AQC</w:t>
            </w:r>
          </w:p>
        </w:tc>
        <w:tc>
          <w:tcPr>
            <w:tcW w:w="3249" w:type="dxa"/>
            <w:tcBorders>
              <w:top w:val="nil"/>
              <w:left w:val="nil"/>
              <w:bottom w:val="nil"/>
              <w:right w:val="nil"/>
            </w:tcBorders>
            <w:shd w:val="clear" w:color="auto" w:fill="auto"/>
            <w:noWrap/>
            <w:vAlign w:val="center"/>
            <w:hideMark/>
          </w:tcPr>
          <w:p w14:paraId="5094688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2277EB93" w14:textId="77777777" w:rsidTr="003A2D10">
        <w:trPr>
          <w:trHeight w:val="290"/>
        </w:trPr>
        <w:tc>
          <w:tcPr>
            <w:tcW w:w="6111" w:type="dxa"/>
            <w:tcBorders>
              <w:top w:val="nil"/>
              <w:left w:val="nil"/>
              <w:bottom w:val="nil"/>
              <w:right w:val="nil"/>
            </w:tcBorders>
            <w:shd w:val="clear" w:color="auto" w:fill="auto"/>
            <w:noWrap/>
            <w:vAlign w:val="center"/>
            <w:hideMark/>
          </w:tcPr>
          <w:p w14:paraId="546BC03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EGIG AQC</w:t>
            </w:r>
          </w:p>
        </w:tc>
        <w:tc>
          <w:tcPr>
            <w:tcW w:w="3249" w:type="dxa"/>
            <w:tcBorders>
              <w:top w:val="nil"/>
              <w:left w:val="nil"/>
              <w:bottom w:val="nil"/>
              <w:right w:val="nil"/>
            </w:tcBorders>
            <w:shd w:val="clear" w:color="auto" w:fill="auto"/>
            <w:noWrap/>
            <w:vAlign w:val="center"/>
            <w:hideMark/>
          </w:tcPr>
          <w:p w14:paraId="44B9AEE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7217A7D2" w14:textId="77777777" w:rsidTr="003A2D10">
        <w:trPr>
          <w:trHeight w:val="290"/>
        </w:trPr>
        <w:tc>
          <w:tcPr>
            <w:tcW w:w="6111" w:type="dxa"/>
            <w:tcBorders>
              <w:top w:val="nil"/>
              <w:left w:val="nil"/>
              <w:bottom w:val="nil"/>
              <w:right w:val="nil"/>
            </w:tcBorders>
            <w:shd w:val="clear" w:color="auto" w:fill="auto"/>
            <w:noWrap/>
            <w:vAlign w:val="center"/>
            <w:hideMark/>
          </w:tcPr>
          <w:p w14:paraId="6D95327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EGIG IMR</w:t>
            </w:r>
          </w:p>
        </w:tc>
        <w:tc>
          <w:tcPr>
            <w:tcW w:w="3249" w:type="dxa"/>
            <w:tcBorders>
              <w:top w:val="nil"/>
              <w:left w:val="nil"/>
              <w:bottom w:val="nil"/>
              <w:right w:val="nil"/>
            </w:tcBorders>
            <w:shd w:val="clear" w:color="auto" w:fill="auto"/>
            <w:noWrap/>
            <w:vAlign w:val="center"/>
            <w:hideMark/>
          </w:tcPr>
          <w:p w14:paraId="0FBD73F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50F83FC4" w14:textId="77777777" w:rsidTr="003A2D10">
        <w:trPr>
          <w:trHeight w:val="290"/>
        </w:trPr>
        <w:tc>
          <w:tcPr>
            <w:tcW w:w="6111" w:type="dxa"/>
            <w:tcBorders>
              <w:top w:val="nil"/>
              <w:left w:val="nil"/>
              <w:bottom w:val="nil"/>
              <w:right w:val="nil"/>
            </w:tcBorders>
            <w:shd w:val="clear" w:color="auto" w:fill="auto"/>
            <w:noWrap/>
            <w:vAlign w:val="center"/>
            <w:hideMark/>
          </w:tcPr>
          <w:p w14:paraId="108E073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EGIG PAF </w:t>
            </w:r>
          </w:p>
        </w:tc>
        <w:tc>
          <w:tcPr>
            <w:tcW w:w="3249" w:type="dxa"/>
            <w:tcBorders>
              <w:top w:val="nil"/>
              <w:left w:val="nil"/>
              <w:bottom w:val="nil"/>
              <w:right w:val="nil"/>
            </w:tcBorders>
            <w:shd w:val="clear" w:color="auto" w:fill="auto"/>
            <w:noWrap/>
            <w:vAlign w:val="center"/>
            <w:hideMark/>
          </w:tcPr>
          <w:p w14:paraId="33B8BB5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1F507FAA" w14:textId="77777777" w:rsidTr="003A2D10">
        <w:trPr>
          <w:trHeight w:val="290"/>
        </w:trPr>
        <w:tc>
          <w:tcPr>
            <w:tcW w:w="6111" w:type="dxa"/>
            <w:tcBorders>
              <w:top w:val="nil"/>
              <w:left w:val="nil"/>
              <w:bottom w:val="nil"/>
              <w:right w:val="nil"/>
            </w:tcBorders>
            <w:shd w:val="clear" w:color="auto" w:fill="auto"/>
            <w:noWrap/>
            <w:vAlign w:val="center"/>
            <w:hideMark/>
          </w:tcPr>
          <w:p w14:paraId="5EB3146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EGIG Six Monthly Report Jan - Jun </w:t>
            </w:r>
          </w:p>
        </w:tc>
        <w:tc>
          <w:tcPr>
            <w:tcW w:w="3249" w:type="dxa"/>
            <w:tcBorders>
              <w:top w:val="nil"/>
              <w:left w:val="nil"/>
              <w:bottom w:val="nil"/>
              <w:right w:val="nil"/>
            </w:tcBorders>
            <w:shd w:val="clear" w:color="auto" w:fill="auto"/>
            <w:noWrap/>
            <w:vAlign w:val="center"/>
            <w:hideMark/>
          </w:tcPr>
          <w:p w14:paraId="172270D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138056CF" w14:textId="77777777" w:rsidTr="003A2D10">
        <w:trPr>
          <w:trHeight w:val="290"/>
        </w:trPr>
        <w:tc>
          <w:tcPr>
            <w:tcW w:w="6111" w:type="dxa"/>
            <w:tcBorders>
              <w:top w:val="nil"/>
              <w:left w:val="nil"/>
              <w:bottom w:val="nil"/>
              <w:right w:val="nil"/>
            </w:tcBorders>
            <w:shd w:val="clear" w:color="auto" w:fill="auto"/>
            <w:noWrap/>
            <w:vAlign w:val="center"/>
            <w:hideMark/>
          </w:tcPr>
          <w:p w14:paraId="6E3E6B2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EGIG Six Monthly Report Jan - Jun </w:t>
            </w:r>
          </w:p>
        </w:tc>
        <w:tc>
          <w:tcPr>
            <w:tcW w:w="3249" w:type="dxa"/>
            <w:tcBorders>
              <w:top w:val="nil"/>
              <w:left w:val="nil"/>
              <w:bottom w:val="nil"/>
              <w:right w:val="nil"/>
            </w:tcBorders>
            <w:shd w:val="clear" w:color="auto" w:fill="auto"/>
            <w:noWrap/>
            <w:vAlign w:val="center"/>
            <w:hideMark/>
          </w:tcPr>
          <w:p w14:paraId="6BA0D10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6DBADA0E" w14:textId="77777777" w:rsidTr="003A2D10">
        <w:trPr>
          <w:trHeight w:val="290"/>
        </w:trPr>
        <w:tc>
          <w:tcPr>
            <w:tcW w:w="6111" w:type="dxa"/>
            <w:tcBorders>
              <w:top w:val="nil"/>
              <w:left w:val="nil"/>
              <w:bottom w:val="nil"/>
              <w:right w:val="nil"/>
            </w:tcBorders>
            <w:shd w:val="clear" w:color="auto" w:fill="auto"/>
            <w:noWrap/>
            <w:vAlign w:val="center"/>
            <w:hideMark/>
          </w:tcPr>
          <w:p w14:paraId="3D8F058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EGIG Six Monthly Report Jul - Dec </w:t>
            </w:r>
          </w:p>
        </w:tc>
        <w:tc>
          <w:tcPr>
            <w:tcW w:w="3249" w:type="dxa"/>
            <w:tcBorders>
              <w:top w:val="nil"/>
              <w:left w:val="nil"/>
              <w:bottom w:val="nil"/>
              <w:right w:val="nil"/>
            </w:tcBorders>
            <w:shd w:val="clear" w:color="auto" w:fill="auto"/>
            <w:noWrap/>
            <w:vAlign w:val="center"/>
            <w:hideMark/>
          </w:tcPr>
          <w:p w14:paraId="32D342E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6D90DE61" w14:textId="77777777" w:rsidTr="003A2D10">
        <w:trPr>
          <w:trHeight w:val="290"/>
        </w:trPr>
        <w:tc>
          <w:tcPr>
            <w:tcW w:w="6111" w:type="dxa"/>
            <w:tcBorders>
              <w:top w:val="nil"/>
              <w:left w:val="nil"/>
              <w:bottom w:val="nil"/>
              <w:right w:val="nil"/>
            </w:tcBorders>
            <w:shd w:val="clear" w:color="auto" w:fill="auto"/>
            <w:noWrap/>
            <w:vAlign w:val="center"/>
            <w:hideMark/>
          </w:tcPr>
          <w:p w14:paraId="344C3D2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EGIG Six Monthly Report Jul - Dec </w:t>
            </w:r>
          </w:p>
        </w:tc>
        <w:tc>
          <w:tcPr>
            <w:tcW w:w="3249" w:type="dxa"/>
            <w:tcBorders>
              <w:top w:val="nil"/>
              <w:left w:val="nil"/>
              <w:bottom w:val="nil"/>
              <w:right w:val="nil"/>
            </w:tcBorders>
            <w:shd w:val="clear" w:color="auto" w:fill="auto"/>
            <w:noWrap/>
            <w:vAlign w:val="center"/>
            <w:hideMark/>
          </w:tcPr>
          <w:p w14:paraId="6BD1E02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3BE5FD96" w14:textId="77777777" w:rsidTr="003A2D10">
        <w:trPr>
          <w:trHeight w:val="290"/>
        </w:trPr>
        <w:tc>
          <w:tcPr>
            <w:tcW w:w="6111" w:type="dxa"/>
            <w:tcBorders>
              <w:top w:val="nil"/>
              <w:left w:val="nil"/>
              <w:bottom w:val="nil"/>
              <w:right w:val="nil"/>
            </w:tcBorders>
            <w:shd w:val="clear" w:color="auto" w:fill="auto"/>
            <w:noWrap/>
            <w:vAlign w:val="bottom"/>
            <w:hideMark/>
          </w:tcPr>
          <w:p w14:paraId="69B021A7"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2507EB98"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053D9D35" w14:textId="77777777" w:rsidTr="003A2D10">
        <w:trPr>
          <w:trHeight w:val="290"/>
        </w:trPr>
        <w:tc>
          <w:tcPr>
            <w:tcW w:w="6111" w:type="dxa"/>
            <w:tcBorders>
              <w:top w:val="nil"/>
              <w:left w:val="nil"/>
              <w:bottom w:val="nil"/>
              <w:right w:val="nil"/>
            </w:tcBorders>
            <w:shd w:val="clear" w:color="auto" w:fill="auto"/>
            <w:noWrap/>
            <w:vAlign w:val="center"/>
            <w:hideMark/>
          </w:tcPr>
          <w:p w14:paraId="013E3565"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GESI </w:t>
            </w:r>
          </w:p>
        </w:tc>
        <w:tc>
          <w:tcPr>
            <w:tcW w:w="3249" w:type="dxa"/>
            <w:tcBorders>
              <w:top w:val="nil"/>
              <w:left w:val="nil"/>
              <w:bottom w:val="nil"/>
              <w:right w:val="nil"/>
            </w:tcBorders>
            <w:shd w:val="clear" w:color="auto" w:fill="auto"/>
            <w:noWrap/>
            <w:vAlign w:val="bottom"/>
            <w:hideMark/>
          </w:tcPr>
          <w:p w14:paraId="4A930542"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6B88BDE2" w14:textId="77777777" w:rsidTr="003A2D10">
        <w:trPr>
          <w:trHeight w:val="290"/>
        </w:trPr>
        <w:tc>
          <w:tcPr>
            <w:tcW w:w="6111" w:type="dxa"/>
            <w:tcBorders>
              <w:top w:val="nil"/>
              <w:left w:val="nil"/>
              <w:bottom w:val="nil"/>
              <w:right w:val="nil"/>
            </w:tcBorders>
            <w:shd w:val="clear" w:color="auto" w:fill="auto"/>
            <w:noWrap/>
            <w:vAlign w:val="center"/>
            <w:hideMark/>
          </w:tcPr>
          <w:p w14:paraId="27C4AC3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Annual GEDSI Mainstreaming Report </w:t>
            </w:r>
          </w:p>
        </w:tc>
        <w:tc>
          <w:tcPr>
            <w:tcW w:w="3249" w:type="dxa"/>
            <w:tcBorders>
              <w:top w:val="nil"/>
              <w:left w:val="nil"/>
              <w:bottom w:val="nil"/>
              <w:right w:val="nil"/>
            </w:tcBorders>
            <w:shd w:val="clear" w:color="auto" w:fill="auto"/>
            <w:noWrap/>
            <w:vAlign w:val="center"/>
            <w:hideMark/>
          </w:tcPr>
          <w:p w14:paraId="3F10333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0622E513" w14:textId="77777777" w:rsidTr="003A2D10">
        <w:trPr>
          <w:trHeight w:val="290"/>
        </w:trPr>
        <w:tc>
          <w:tcPr>
            <w:tcW w:w="6111" w:type="dxa"/>
            <w:tcBorders>
              <w:top w:val="nil"/>
              <w:left w:val="nil"/>
              <w:bottom w:val="nil"/>
              <w:right w:val="nil"/>
            </w:tcBorders>
            <w:shd w:val="clear" w:color="auto" w:fill="auto"/>
            <w:noWrap/>
            <w:vAlign w:val="center"/>
            <w:hideMark/>
          </w:tcPr>
          <w:p w14:paraId="77E9743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Annual GEDSI Mainstreaming Report </w:t>
            </w:r>
          </w:p>
        </w:tc>
        <w:tc>
          <w:tcPr>
            <w:tcW w:w="3249" w:type="dxa"/>
            <w:tcBorders>
              <w:top w:val="nil"/>
              <w:left w:val="nil"/>
              <w:bottom w:val="nil"/>
              <w:right w:val="nil"/>
            </w:tcBorders>
            <w:shd w:val="clear" w:color="auto" w:fill="auto"/>
            <w:noWrap/>
            <w:vAlign w:val="center"/>
            <w:hideMark/>
          </w:tcPr>
          <w:p w14:paraId="521B8DF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0A5F2B48" w14:textId="77777777" w:rsidTr="003A2D10">
        <w:trPr>
          <w:trHeight w:val="290"/>
        </w:trPr>
        <w:tc>
          <w:tcPr>
            <w:tcW w:w="6111" w:type="dxa"/>
            <w:tcBorders>
              <w:top w:val="nil"/>
              <w:left w:val="nil"/>
              <w:bottom w:val="nil"/>
              <w:right w:val="nil"/>
            </w:tcBorders>
            <w:shd w:val="clear" w:color="auto" w:fill="auto"/>
            <w:noWrap/>
            <w:vAlign w:val="center"/>
            <w:hideMark/>
          </w:tcPr>
          <w:p w14:paraId="03BACC4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Annual GEDSI Mainstreaming Report </w:t>
            </w:r>
          </w:p>
        </w:tc>
        <w:tc>
          <w:tcPr>
            <w:tcW w:w="3249" w:type="dxa"/>
            <w:tcBorders>
              <w:top w:val="nil"/>
              <w:left w:val="nil"/>
              <w:bottom w:val="nil"/>
              <w:right w:val="nil"/>
            </w:tcBorders>
            <w:shd w:val="clear" w:color="auto" w:fill="auto"/>
            <w:noWrap/>
            <w:vAlign w:val="center"/>
            <w:hideMark/>
          </w:tcPr>
          <w:p w14:paraId="303C0A2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4BC8631" w14:textId="77777777" w:rsidTr="003A2D10">
        <w:trPr>
          <w:trHeight w:val="290"/>
        </w:trPr>
        <w:tc>
          <w:tcPr>
            <w:tcW w:w="6111" w:type="dxa"/>
            <w:tcBorders>
              <w:top w:val="nil"/>
              <w:left w:val="nil"/>
              <w:bottom w:val="nil"/>
              <w:right w:val="nil"/>
            </w:tcBorders>
            <w:shd w:val="clear" w:color="auto" w:fill="auto"/>
            <w:noWrap/>
            <w:vAlign w:val="center"/>
            <w:hideMark/>
          </w:tcPr>
          <w:p w14:paraId="000C0ED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BP GEDSI Strategy </w:t>
            </w:r>
          </w:p>
        </w:tc>
        <w:tc>
          <w:tcPr>
            <w:tcW w:w="3249" w:type="dxa"/>
            <w:tcBorders>
              <w:top w:val="nil"/>
              <w:left w:val="nil"/>
              <w:bottom w:val="nil"/>
              <w:right w:val="nil"/>
            </w:tcBorders>
            <w:shd w:val="clear" w:color="auto" w:fill="auto"/>
            <w:noWrap/>
            <w:vAlign w:val="center"/>
            <w:hideMark/>
          </w:tcPr>
          <w:p w14:paraId="69A25C5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4244A04C" w14:textId="77777777" w:rsidTr="003A2D10">
        <w:trPr>
          <w:trHeight w:val="290"/>
        </w:trPr>
        <w:tc>
          <w:tcPr>
            <w:tcW w:w="6111" w:type="dxa"/>
            <w:tcBorders>
              <w:top w:val="nil"/>
              <w:left w:val="nil"/>
              <w:bottom w:val="nil"/>
              <w:right w:val="nil"/>
            </w:tcBorders>
            <w:shd w:val="clear" w:color="auto" w:fill="auto"/>
            <w:noWrap/>
            <w:vAlign w:val="center"/>
            <w:hideMark/>
          </w:tcPr>
          <w:p w14:paraId="1F74C31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BP GEDSI Summary and Scorecard </w:t>
            </w:r>
          </w:p>
        </w:tc>
        <w:tc>
          <w:tcPr>
            <w:tcW w:w="3249" w:type="dxa"/>
            <w:tcBorders>
              <w:top w:val="nil"/>
              <w:left w:val="nil"/>
              <w:bottom w:val="nil"/>
              <w:right w:val="nil"/>
            </w:tcBorders>
            <w:shd w:val="clear" w:color="auto" w:fill="auto"/>
            <w:noWrap/>
            <w:vAlign w:val="center"/>
            <w:hideMark/>
          </w:tcPr>
          <w:p w14:paraId="5D6D398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3611DC7B" w14:textId="77777777" w:rsidTr="003A2D10">
        <w:trPr>
          <w:trHeight w:val="290"/>
        </w:trPr>
        <w:tc>
          <w:tcPr>
            <w:tcW w:w="6111" w:type="dxa"/>
            <w:tcBorders>
              <w:top w:val="nil"/>
              <w:left w:val="nil"/>
              <w:bottom w:val="nil"/>
              <w:right w:val="nil"/>
            </w:tcBorders>
            <w:shd w:val="clear" w:color="auto" w:fill="auto"/>
            <w:noWrap/>
            <w:vAlign w:val="center"/>
            <w:hideMark/>
          </w:tcPr>
          <w:p w14:paraId="5DC65C8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DCP Annual Work Plan Accountability </w:t>
            </w:r>
          </w:p>
        </w:tc>
        <w:tc>
          <w:tcPr>
            <w:tcW w:w="3249" w:type="dxa"/>
            <w:tcBorders>
              <w:top w:val="nil"/>
              <w:left w:val="nil"/>
              <w:bottom w:val="nil"/>
              <w:right w:val="nil"/>
            </w:tcBorders>
            <w:shd w:val="clear" w:color="auto" w:fill="auto"/>
            <w:noWrap/>
            <w:vAlign w:val="center"/>
            <w:hideMark/>
          </w:tcPr>
          <w:p w14:paraId="1DD9580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2CFFC998" w14:textId="77777777" w:rsidTr="003A2D10">
        <w:trPr>
          <w:trHeight w:val="290"/>
        </w:trPr>
        <w:tc>
          <w:tcPr>
            <w:tcW w:w="6111" w:type="dxa"/>
            <w:tcBorders>
              <w:top w:val="nil"/>
              <w:left w:val="nil"/>
              <w:bottom w:val="nil"/>
              <w:right w:val="nil"/>
            </w:tcBorders>
            <w:shd w:val="clear" w:color="auto" w:fill="auto"/>
            <w:noWrap/>
            <w:vAlign w:val="center"/>
            <w:hideMark/>
          </w:tcPr>
          <w:p w14:paraId="6644246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DCP Annual Work Plan Local Solutions  </w:t>
            </w:r>
          </w:p>
        </w:tc>
        <w:tc>
          <w:tcPr>
            <w:tcW w:w="3249" w:type="dxa"/>
            <w:tcBorders>
              <w:top w:val="nil"/>
              <w:left w:val="nil"/>
              <w:bottom w:val="nil"/>
              <w:right w:val="nil"/>
            </w:tcBorders>
            <w:shd w:val="clear" w:color="auto" w:fill="auto"/>
            <w:noWrap/>
            <w:vAlign w:val="center"/>
            <w:hideMark/>
          </w:tcPr>
          <w:p w14:paraId="5F35C62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0C44CC2E" w14:textId="77777777" w:rsidTr="003A2D10">
        <w:trPr>
          <w:trHeight w:val="290"/>
        </w:trPr>
        <w:tc>
          <w:tcPr>
            <w:tcW w:w="6111" w:type="dxa"/>
            <w:tcBorders>
              <w:top w:val="nil"/>
              <w:left w:val="nil"/>
              <w:bottom w:val="nil"/>
              <w:right w:val="nil"/>
            </w:tcBorders>
            <w:shd w:val="clear" w:color="auto" w:fill="auto"/>
            <w:noWrap/>
            <w:vAlign w:val="center"/>
            <w:hideMark/>
          </w:tcPr>
          <w:p w14:paraId="6BE5969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DCP GEDSI Strategy  </w:t>
            </w:r>
          </w:p>
        </w:tc>
        <w:tc>
          <w:tcPr>
            <w:tcW w:w="3249" w:type="dxa"/>
            <w:tcBorders>
              <w:top w:val="nil"/>
              <w:left w:val="nil"/>
              <w:bottom w:val="nil"/>
              <w:right w:val="nil"/>
            </w:tcBorders>
            <w:shd w:val="clear" w:color="auto" w:fill="auto"/>
            <w:noWrap/>
            <w:vAlign w:val="center"/>
            <w:hideMark/>
          </w:tcPr>
          <w:p w14:paraId="61D039C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51D1DE2A" w14:textId="77777777" w:rsidTr="003A2D10">
        <w:trPr>
          <w:trHeight w:val="290"/>
        </w:trPr>
        <w:tc>
          <w:tcPr>
            <w:tcW w:w="6111" w:type="dxa"/>
            <w:tcBorders>
              <w:top w:val="nil"/>
              <w:left w:val="nil"/>
              <w:bottom w:val="nil"/>
              <w:right w:val="nil"/>
            </w:tcBorders>
            <w:shd w:val="clear" w:color="auto" w:fill="auto"/>
            <w:noWrap/>
            <w:vAlign w:val="center"/>
            <w:hideMark/>
          </w:tcPr>
          <w:p w14:paraId="4659A82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EGIG Nested GESI Strategy </w:t>
            </w:r>
          </w:p>
        </w:tc>
        <w:tc>
          <w:tcPr>
            <w:tcW w:w="3249" w:type="dxa"/>
            <w:tcBorders>
              <w:top w:val="nil"/>
              <w:left w:val="nil"/>
              <w:bottom w:val="nil"/>
              <w:right w:val="nil"/>
            </w:tcBorders>
            <w:shd w:val="clear" w:color="auto" w:fill="auto"/>
            <w:noWrap/>
            <w:vAlign w:val="center"/>
            <w:hideMark/>
          </w:tcPr>
          <w:p w14:paraId="78939BE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7F0AF1A7" w14:textId="77777777" w:rsidTr="003A2D10">
        <w:trPr>
          <w:trHeight w:val="290"/>
        </w:trPr>
        <w:tc>
          <w:tcPr>
            <w:tcW w:w="6111" w:type="dxa"/>
            <w:tcBorders>
              <w:top w:val="nil"/>
              <w:left w:val="nil"/>
              <w:bottom w:val="nil"/>
              <w:right w:val="nil"/>
            </w:tcBorders>
            <w:shd w:val="clear" w:color="auto" w:fill="auto"/>
            <w:noWrap/>
            <w:vAlign w:val="center"/>
            <w:hideMark/>
          </w:tcPr>
          <w:p w14:paraId="7B44CFE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Gender Review of Economic Partnership </w:t>
            </w:r>
          </w:p>
        </w:tc>
        <w:tc>
          <w:tcPr>
            <w:tcW w:w="3249" w:type="dxa"/>
            <w:tcBorders>
              <w:top w:val="nil"/>
              <w:left w:val="nil"/>
              <w:bottom w:val="nil"/>
              <w:right w:val="nil"/>
            </w:tcBorders>
            <w:shd w:val="clear" w:color="auto" w:fill="auto"/>
            <w:noWrap/>
            <w:vAlign w:val="center"/>
            <w:hideMark/>
          </w:tcPr>
          <w:p w14:paraId="19E8477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055F7150" w14:textId="77777777" w:rsidTr="003A2D10">
        <w:trPr>
          <w:trHeight w:val="290"/>
        </w:trPr>
        <w:tc>
          <w:tcPr>
            <w:tcW w:w="6111" w:type="dxa"/>
            <w:tcBorders>
              <w:top w:val="nil"/>
              <w:left w:val="nil"/>
              <w:bottom w:val="nil"/>
              <w:right w:val="nil"/>
            </w:tcBorders>
            <w:shd w:val="clear" w:color="auto" w:fill="auto"/>
            <w:noWrap/>
            <w:vAlign w:val="center"/>
            <w:hideMark/>
          </w:tcPr>
          <w:p w14:paraId="61E587C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IPP Gender Strategy</w:t>
            </w:r>
          </w:p>
        </w:tc>
        <w:tc>
          <w:tcPr>
            <w:tcW w:w="3249" w:type="dxa"/>
            <w:tcBorders>
              <w:top w:val="nil"/>
              <w:left w:val="nil"/>
              <w:bottom w:val="nil"/>
              <w:right w:val="nil"/>
            </w:tcBorders>
            <w:shd w:val="clear" w:color="auto" w:fill="auto"/>
            <w:noWrap/>
            <w:vAlign w:val="center"/>
            <w:hideMark/>
          </w:tcPr>
          <w:p w14:paraId="3D97D8A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3D013941" w14:textId="77777777" w:rsidTr="003A2D10">
        <w:trPr>
          <w:trHeight w:val="290"/>
        </w:trPr>
        <w:tc>
          <w:tcPr>
            <w:tcW w:w="6111" w:type="dxa"/>
            <w:tcBorders>
              <w:top w:val="nil"/>
              <w:left w:val="nil"/>
              <w:bottom w:val="nil"/>
              <w:right w:val="nil"/>
            </w:tcBorders>
            <w:shd w:val="clear" w:color="auto" w:fill="auto"/>
            <w:noWrap/>
            <w:vAlign w:val="center"/>
            <w:hideMark/>
          </w:tcPr>
          <w:p w14:paraId="398ABA1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Kokoda GEDSI SAP Update and Scorecard </w:t>
            </w:r>
          </w:p>
        </w:tc>
        <w:tc>
          <w:tcPr>
            <w:tcW w:w="3249" w:type="dxa"/>
            <w:tcBorders>
              <w:top w:val="nil"/>
              <w:left w:val="nil"/>
              <w:bottom w:val="nil"/>
              <w:right w:val="nil"/>
            </w:tcBorders>
            <w:shd w:val="clear" w:color="auto" w:fill="auto"/>
            <w:noWrap/>
            <w:vAlign w:val="center"/>
            <w:hideMark/>
          </w:tcPr>
          <w:p w14:paraId="1A11EEC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616AC024" w14:textId="77777777" w:rsidTr="003A2D10">
        <w:trPr>
          <w:trHeight w:val="290"/>
        </w:trPr>
        <w:tc>
          <w:tcPr>
            <w:tcW w:w="6111" w:type="dxa"/>
            <w:tcBorders>
              <w:top w:val="nil"/>
              <w:left w:val="nil"/>
              <w:bottom w:val="nil"/>
              <w:right w:val="nil"/>
            </w:tcBorders>
            <w:shd w:val="clear" w:color="auto" w:fill="auto"/>
            <w:noWrap/>
            <w:vAlign w:val="center"/>
            <w:hideMark/>
          </w:tcPr>
          <w:p w14:paraId="72FE55F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Kokoda GEDSI Strategy </w:t>
            </w:r>
          </w:p>
        </w:tc>
        <w:tc>
          <w:tcPr>
            <w:tcW w:w="3249" w:type="dxa"/>
            <w:tcBorders>
              <w:top w:val="nil"/>
              <w:left w:val="nil"/>
              <w:bottom w:val="nil"/>
              <w:right w:val="nil"/>
            </w:tcBorders>
            <w:shd w:val="clear" w:color="auto" w:fill="auto"/>
            <w:noWrap/>
            <w:vAlign w:val="center"/>
            <w:hideMark/>
          </w:tcPr>
          <w:p w14:paraId="2234DF6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6BCD6DB7" w14:textId="77777777" w:rsidTr="003A2D10">
        <w:trPr>
          <w:trHeight w:val="290"/>
        </w:trPr>
        <w:tc>
          <w:tcPr>
            <w:tcW w:w="6111" w:type="dxa"/>
            <w:tcBorders>
              <w:top w:val="nil"/>
              <w:left w:val="nil"/>
              <w:bottom w:val="nil"/>
              <w:right w:val="nil"/>
            </w:tcBorders>
            <w:shd w:val="clear" w:color="auto" w:fill="auto"/>
            <w:noWrap/>
            <w:vAlign w:val="center"/>
            <w:hideMark/>
          </w:tcPr>
          <w:p w14:paraId="575A037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PPF GEDSI Action Plan </w:t>
            </w:r>
          </w:p>
        </w:tc>
        <w:tc>
          <w:tcPr>
            <w:tcW w:w="3249" w:type="dxa"/>
            <w:tcBorders>
              <w:top w:val="nil"/>
              <w:left w:val="nil"/>
              <w:bottom w:val="nil"/>
              <w:right w:val="nil"/>
            </w:tcBorders>
            <w:shd w:val="clear" w:color="auto" w:fill="auto"/>
            <w:noWrap/>
            <w:vAlign w:val="center"/>
            <w:hideMark/>
          </w:tcPr>
          <w:p w14:paraId="3344A72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01FC59BB" w14:textId="77777777" w:rsidTr="003A2D10">
        <w:trPr>
          <w:trHeight w:val="290"/>
        </w:trPr>
        <w:tc>
          <w:tcPr>
            <w:tcW w:w="6111" w:type="dxa"/>
            <w:tcBorders>
              <w:top w:val="nil"/>
              <w:left w:val="nil"/>
              <w:bottom w:val="nil"/>
              <w:right w:val="nil"/>
            </w:tcBorders>
            <w:shd w:val="clear" w:color="auto" w:fill="auto"/>
            <w:noWrap/>
            <w:vAlign w:val="bottom"/>
            <w:hideMark/>
          </w:tcPr>
          <w:p w14:paraId="42F6EA8F"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15914B24"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36310E42" w14:textId="77777777" w:rsidTr="003A2D10">
        <w:trPr>
          <w:trHeight w:val="290"/>
        </w:trPr>
        <w:tc>
          <w:tcPr>
            <w:tcW w:w="6111" w:type="dxa"/>
            <w:tcBorders>
              <w:top w:val="nil"/>
              <w:left w:val="nil"/>
              <w:bottom w:val="nil"/>
              <w:right w:val="nil"/>
            </w:tcBorders>
            <w:shd w:val="clear" w:color="auto" w:fill="auto"/>
            <w:noWrap/>
            <w:vAlign w:val="center"/>
            <w:hideMark/>
          </w:tcPr>
          <w:p w14:paraId="490B1082"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IPP </w:t>
            </w:r>
          </w:p>
        </w:tc>
        <w:tc>
          <w:tcPr>
            <w:tcW w:w="3249" w:type="dxa"/>
            <w:tcBorders>
              <w:top w:val="nil"/>
              <w:left w:val="nil"/>
              <w:bottom w:val="nil"/>
              <w:right w:val="nil"/>
            </w:tcBorders>
            <w:shd w:val="clear" w:color="auto" w:fill="auto"/>
            <w:noWrap/>
            <w:vAlign w:val="bottom"/>
            <w:hideMark/>
          </w:tcPr>
          <w:p w14:paraId="48852033"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6F3EE7D7" w14:textId="77777777" w:rsidTr="003A2D10">
        <w:trPr>
          <w:trHeight w:val="290"/>
        </w:trPr>
        <w:tc>
          <w:tcPr>
            <w:tcW w:w="6111" w:type="dxa"/>
            <w:tcBorders>
              <w:top w:val="nil"/>
              <w:left w:val="nil"/>
              <w:bottom w:val="nil"/>
              <w:right w:val="nil"/>
            </w:tcBorders>
            <w:shd w:val="clear" w:color="auto" w:fill="auto"/>
            <w:noWrap/>
            <w:vAlign w:val="center"/>
            <w:hideMark/>
          </w:tcPr>
          <w:p w14:paraId="12FCC9A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AGD IPP six monthly report Jan - Jun</w:t>
            </w:r>
          </w:p>
        </w:tc>
        <w:tc>
          <w:tcPr>
            <w:tcW w:w="3249" w:type="dxa"/>
            <w:tcBorders>
              <w:top w:val="nil"/>
              <w:left w:val="nil"/>
              <w:bottom w:val="nil"/>
              <w:right w:val="nil"/>
            </w:tcBorders>
            <w:shd w:val="clear" w:color="auto" w:fill="auto"/>
            <w:noWrap/>
            <w:vAlign w:val="center"/>
            <w:hideMark/>
          </w:tcPr>
          <w:p w14:paraId="06CFDC3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2FB3FE38" w14:textId="77777777" w:rsidTr="003A2D10">
        <w:trPr>
          <w:trHeight w:val="290"/>
        </w:trPr>
        <w:tc>
          <w:tcPr>
            <w:tcW w:w="6111" w:type="dxa"/>
            <w:tcBorders>
              <w:top w:val="nil"/>
              <w:left w:val="nil"/>
              <w:bottom w:val="nil"/>
              <w:right w:val="nil"/>
            </w:tcBorders>
            <w:shd w:val="clear" w:color="auto" w:fill="auto"/>
            <w:noWrap/>
            <w:vAlign w:val="center"/>
            <w:hideMark/>
          </w:tcPr>
          <w:p w14:paraId="5B510B1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AGD IPP Six monthly report Jan - Jun </w:t>
            </w:r>
          </w:p>
        </w:tc>
        <w:tc>
          <w:tcPr>
            <w:tcW w:w="3249" w:type="dxa"/>
            <w:tcBorders>
              <w:top w:val="nil"/>
              <w:left w:val="nil"/>
              <w:bottom w:val="nil"/>
              <w:right w:val="nil"/>
            </w:tcBorders>
            <w:shd w:val="clear" w:color="auto" w:fill="auto"/>
            <w:noWrap/>
            <w:vAlign w:val="center"/>
            <w:hideMark/>
          </w:tcPr>
          <w:p w14:paraId="4F23E92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33133E5D" w14:textId="77777777" w:rsidTr="003A2D10">
        <w:trPr>
          <w:trHeight w:val="290"/>
        </w:trPr>
        <w:tc>
          <w:tcPr>
            <w:tcW w:w="6111" w:type="dxa"/>
            <w:tcBorders>
              <w:top w:val="nil"/>
              <w:left w:val="nil"/>
              <w:bottom w:val="nil"/>
              <w:right w:val="nil"/>
            </w:tcBorders>
            <w:shd w:val="clear" w:color="auto" w:fill="auto"/>
            <w:noWrap/>
            <w:vAlign w:val="center"/>
            <w:hideMark/>
          </w:tcPr>
          <w:p w14:paraId="272C72A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AGD IPP six monthly report Jul - Dec </w:t>
            </w:r>
          </w:p>
        </w:tc>
        <w:tc>
          <w:tcPr>
            <w:tcW w:w="3249" w:type="dxa"/>
            <w:tcBorders>
              <w:top w:val="nil"/>
              <w:left w:val="nil"/>
              <w:bottom w:val="nil"/>
              <w:right w:val="nil"/>
            </w:tcBorders>
            <w:shd w:val="clear" w:color="auto" w:fill="auto"/>
            <w:noWrap/>
            <w:vAlign w:val="center"/>
            <w:hideMark/>
          </w:tcPr>
          <w:p w14:paraId="6F372F0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5A641A4C" w14:textId="77777777" w:rsidTr="003A2D10">
        <w:trPr>
          <w:trHeight w:val="290"/>
        </w:trPr>
        <w:tc>
          <w:tcPr>
            <w:tcW w:w="6111" w:type="dxa"/>
            <w:tcBorders>
              <w:top w:val="nil"/>
              <w:left w:val="nil"/>
              <w:bottom w:val="nil"/>
              <w:right w:val="nil"/>
            </w:tcBorders>
            <w:shd w:val="clear" w:color="auto" w:fill="auto"/>
            <w:noWrap/>
            <w:vAlign w:val="center"/>
            <w:hideMark/>
          </w:tcPr>
          <w:p w14:paraId="044C392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IPP AQC</w:t>
            </w:r>
          </w:p>
        </w:tc>
        <w:tc>
          <w:tcPr>
            <w:tcW w:w="3249" w:type="dxa"/>
            <w:tcBorders>
              <w:top w:val="nil"/>
              <w:left w:val="nil"/>
              <w:bottom w:val="nil"/>
              <w:right w:val="nil"/>
            </w:tcBorders>
            <w:shd w:val="clear" w:color="auto" w:fill="auto"/>
            <w:noWrap/>
            <w:vAlign w:val="center"/>
            <w:hideMark/>
          </w:tcPr>
          <w:p w14:paraId="7B39259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37AB2E17" w14:textId="77777777" w:rsidTr="003A2D10">
        <w:trPr>
          <w:trHeight w:val="290"/>
        </w:trPr>
        <w:tc>
          <w:tcPr>
            <w:tcW w:w="6111" w:type="dxa"/>
            <w:tcBorders>
              <w:top w:val="nil"/>
              <w:left w:val="nil"/>
              <w:bottom w:val="nil"/>
              <w:right w:val="nil"/>
            </w:tcBorders>
            <w:shd w:val="clear" w:color="auto" w:fill="auto"/>
            <w:noWrap/>
            <w:vAlign w:val="center"/>
            <w:hideMark/>
          </w:tcPr>
          <w:p w14:paraId="4D51CCF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IPP AQC </w:t>
            </w:r>
          </w:p>
        </w:tc>
        <w:tc>
          <w:tcPr>
            <w:tcW w:w="3249" w:type="dxa"/>
            <w:tcBorders>
              <w:top w:val="nil"/>
              <w:left w:val="nil"/>
              <w:bottom w:val="nil"/>
              <w:right w:val="nil"/>
            </w:tcBorders>
            <w:shd w:val="clear" w:color="auto" w:fill="auto"/>
            <w:noWrap/>
            <w:vAlign w:val="center"/>
            <w:hideMark/>
          </w:tcPr>
          <w:p w14:paraId="56312D7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4F60CF9B" w14:textId="77777777" w:rsidTr="003A2D10">
        <w:trPr>
          <w:trHeight w:val="290"/>
        </w:trPr>
        <w:tc>
          <w:tcPr>
            <w:tcW w:w="6111" w:type="dxa"/>
            <w:tcBorders>
              <w:top w:val="nil"/>
              <w:left w:val="nil"/>
              <w:bottom w:val="nil"/>
              <w:right w:val="nil"/>
            </w:tcBorders>
            <w:shd w:val="clear" w:color="auto" w:fill="auto"/>
            <w:noWrap/>
            <w:vAlign w:val="center"/>
            <w:hideMark/>
          </w:tcPr>
          <w:p w14:paraId="3D13F0B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IPP Design Document </w:t>
            </w:r>
          </w:p>
        </w:tc>
        <w:tc>
          <w:tcPr>
            <w:tcW w:w="3249" w:type="dxa"/>
            <w:tcBorders>
              <w:top w:val="nil"/>
              <w:left w:val="nil"/>
              <w:bottom w:val="nil"/>
              <w:right w:val="nil"/>
            </w:tcBorders>
            <w:shd w:val="clear" w:color="auto" w:fill="auto"/>
            <w:noWrap/>
            <w:vAlign w:val="center"/>
            <w:hideMark/>
          </w:tcPr>
          <w:p w14:paraId="410747F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6567D017" w14:textId="77777777" w:rsidTr="003A2D10">
        <w:trPr>
          <w:trHeight w:val="290"/>
        </w:trPr>
        <w:tc>
          <w:tcPr>
            <w:tcW w:w="6111" w:type="dxa"/>
            <w:tcBorders>
              <w:top w:val="nil"/>
              <w:left w:val="nil"/>
              <w:bottom w:val="nil"/>
              <w:right w:val="nil"/>
            </w:tcBorders>
            <w:shd w:val="clear" w:color="auto" w:fill="auto"/>
            <w:noWrap/>
            <w:vAlign w:val="center"/>
            <w:hideMark/>
          </w:tcPr>
          <w:p w14:paraId="5009575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IPP DSS Six Monthly Report Jan - Jun </w:t>
            </w:r>
          </w:p>
        </w:tc>
        <w:tc>
          <w:tcPr>
            <w:tcW w:w="3249" w:type="dxa"/>
            <w:tcBorders>
              <w:top w:val="nil"/>
              <w:left w:val="nil"/>
              <w:bottom w:val="nil"/>
              <w:right w:val="nil"/>
            </w:tcBorders>
            <w:shd w:val="clear" w:color="auto" w:fill="auto"/>
            <w:noWrap/>
            <w:vAlign w:val="center"/>
            <w:hideMark/>
          </w:tcPr>
          <w:p w14:paraId="1168328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5E4F2EF9" w14:textId="77777777" w:rsidTr="003A2D10">
        <w:trPr>
          <w:trHeight w:val="290"/>
        </w:trPr>
        <w:tc>
          <w:tcPr>
            <w:tcW w:w="6111" w:type="dxa"/>
            <w:tcBorders>
              <w:top w:val="nil"/>
              <w:left w:val="nil"/>
              <w:bottom w:val="nil"/>
              <w:right w:val="nil"/>
            </w:tcBorders>
            <w:shd w:val="clear" w:color="auto" w:fill="auto"/>
            <w:noWrap/>
            <w:vAlign w:val="center"/>
            <w:hideMark/>
          </w:tcPr>
          <w:p w14:paraId="5AA6FB2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IPP DSS Twelve Monthly Report Jan - Dec </w:t>
            </w:r>
          </w:p>
        </w:tc>
        <w:tc>
          <w:tcPr>
            <w:tcW w:w="3249" w:type="dxa"/>
            <w:tcBorders>
              <w:top w:val="nil"/>
              <w:left w:val="nil"/>
              <w:bottom w:val="nil"/>
              <w:right w:val="nil"/>
            </w:tcBorders>
            <w:shd w:val="clear" w:color="auto" w:fill="auto"/>
            <w:noWrap/>
            <w:vAlign w:val="center"/>
            <w:hideMark/>
          </w:tcPr>
          <w:p w14:paraId="52FD666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7C8077A6" w14:textId="77777777" w:rsidTr="003A2D10">
        <w:trPr>
          <w:trHeight w:val="290"/>
        </w:trPr>
        <w:tc>
          <w:tcPr>
            <w:tcW w:w="6111" w:type="dxa"/>
            <w:tcBorders>
              <w:top w:val="nil"/>
              <w:left w:val="nil"/>
              <w:bottom w:val="nil"/>
              <w:right w:val="nil"/>
            </w:tcBorders>
            <w:shd w:val="clear" w:color="auto" w:fill="auto"/>
            <w:noWrap/>
            <w:vAlign w:val="center"/>
            <w:hideMark/>
          </w:tcPr>
          <w:p w14:paraId="1EC9FC5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IPP Rapid Review </w:t>
            </w:r>
          </w:p>
        </w:tc>
        <w:tc>
          <w:tcPr>
            <w:tcW w:w="3249" w:type="dxa"/>
            <w:tcBorders>
              <w:top w:val="nil"/>
              <w:left w:val="nil"/>
              <w:bottom w:val="nil"/>
              <w:right w:val="nil"/>
            </w:tcBorders>
            <w:shd w:val="clear" w:color="auto" w:fill="auto"/>
            <w:noWrap/>
            <w:vAlign w:val="center"/>
            <w:hideMark/>
          </w:tcPr>
          <w:p w14:paraId="45E1A4E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240BEA1E" w14:textId="77777777" w:rsidTr="003A2D10">
        <w:trPr>
          <w:trHeight w:val="290"/>
        </w:trPr>
        <w:tc>
          <w:tcPr>
            <w:tcW w:w="6111" w:type="dxa"/>
            <w:tcBorders>
              <w:top w:val="nil"/>
              <w:left w:val="nil"/>
              <w:bottom w:val="nil"/>
              <w:right w:val="nil"/>
            </w:tcBorders>
            <w:shd w:val="clear" w:color="auto" w:fill="auto"/>
            <w:noWrap/>
            <w:vAlign w:val="center"/>
            <w:hideMark/>
          </w:tcPr>
          <w:p w14:paraId="677B28E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IPP Six monthly report Jan - Jun </w:t>
            </w:r>
          </w:p>
        </w:tc>
        <w:tc>
          <w:tcPr>
            <w:tcW w:w="3249" w:type="dxa"/>
            <w:tcBorders>
              <w:top w:val="nil"/>
              <w:left w:val="nil"/>
              <w:bottom w:val="nil"/>
              <w:right w:val="nil"/>
            </w:tcBorders>
            <w:shd w:val="clear" w:color="auto" w:fill="auto"/>
            <w:noWrap/>
            <w:vAlign w:val="center"/>
            <w:hideMark/>
          </w:tcPr>
          <w:p w14:paraId="7ADDA4E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50332F47" w14:textId="77777777" w:rsidTr="003A2D10">
        <w:trPr>
          <w:trHeight w:val="290"/>
        </w:trPr>
        <w:tc>
          <w:tcPr>
            <w:tcW w:w="6111" w:type="dxa"/>
            <w:tcBorders>
              <w:top w:val="nil"/>
              <w:left w:val="nil"/>
              <w:bottom w:val="nil"/>
              <w:right w:val="nil"/>
            </w:tcBorders>
            <w:shd w:val="clear" w:color="auto" w:fill="auto"/>
            <w:noWrap/>
            <w:vAlign w:val="center"/>
            <w:hideMark/>
          </w:tcPr>
          <w:p w14:paraId="78213D5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IPP Six monthly report Jul - Dec</w:t>
            </w:r>
          </w:p>
        </w:tc>
        <w:tc>
          <w:tcPr>
            <w:tcW w:w="3249" w:type="dxa"/>
            <w:tcBorders>
              <w:top w:val="nil"/>
              <w:left w:val="nil"/>
              <w:bottom w:val="nil"/>
              <w:right w:val="nil"/>
            </w:tcBorders>
            <w:shd w:val="clear" w:color="auto" w:fill="auto"/>
            <w:noWrap/>
            <w:vAlign w:val="center"/>
            <w:hideMark/>
          </w:tcPr>
          <w:p w14:paraId="2E3C090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6657EF0E" w14:textId="77777777" w:rsidTr="003A2D10">
        <w:trPr>
          <w:trHeight w:val="290"/>
        </w:trPr>
        <w:tc>
          <w:tcPr>
            <w:tcW w:w="6111" w:type="dxa"/>
            <w:tcBorders>
              <w:top w:val="nil"/>
              <w:left w:val="nil"/>
              <w:bottom w:val="nil"/>
              <w:right w:val="nil"/>
            </w:tcBorders>
            <w:shd w:val="clear" w:color="auto" w:fill="auto"/>
            <w:noWrap/>
            <w:vAlign w:val="center"/>
            <w:hideMark/>
          </w:tcPr>
          <w:p w14:paraId="56A9998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PNG ICA IPP six monthly report Jan - Jun </w:t>
            </w:r>
          </w:p>
        </w:tc>
        <w:tc>
          <w:tcPr>
            <w:tcW w:w="3249" w:type="dxa"/>
            <w:tcBorders>
              <w:top w:val="nil"/>
              <w:left w:val="nil"/>
              <w:bottom w:val="nil"/>
              <w:right w:val="nil"/>
            </w:tcBorders>
            <w:shd w:val="clear" w:color="auto" w:fill="auto"/>
            <w:noWrap/>
            <w:vAlign w:val="center"/>
            <w:hideMark/>
          </w:tcPr>
          <w:p w14:paraId="4374792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3632ECD9" w14:textId="77777777" w:rsidTr="003A2D10">
        <w:trPr>
          <w:trHeight w:val="290"/>
        </w:trPr>
        <w:tc>
          <w:tcPr>
            <w:tcW w:w="6111" w:type="dxa"/>
            <w:tcBorders>
              <w:top w:val="nil"/>
              <w:left w:val="nil"/>
              <w:bottom w:val="nil"/>
              <w:right w:val="nil"/>
            </w:tcBorders>
            <w:shd w:val="clear" w:color="auto" w:fill="auto"/>
            <w:noWrap/>
            <w:vAlign w:val="center"/>
            <w:hideMark/>
          </w:tcPr>
          <w:p w14:paraId="567AE6E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QTAG IPP Review </w:t>
            </w:r>
          </w:p>
        </w:tc>
        <w:tc>
          <w:tcPr>
            <w:tcW w:w="3249" w:type="dxa"/>
            <w:tcBorders>
              <w:top w:val="nil"/>
              <w:left w:val="nil"/>
              <w:bottom w:val="nil"/>
              <w:right w:val="nil"/>
            </w:tcBorders>
            <w:shd w:val="clear" w:color="auto" w:fill="auto"/>
            <w:noWrap/>
            <w:vAlign w:val="center"/>
            <w:hideMark/>
          </w:tcPr>
          <w:p w14:paraId="43F8ADD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3A383C40" w14:textId="77777777" w:rsidTr="003A2D10">
        <w:trPr>
          <w:trHeight w:val="290"/>
        </w:trPr>
        <w:tc>
          <w:tcPr>
            <w:tcW w:w="6111" w:type="dxa"/>
            <w:tcBorders>
              <w:top w:val="nil"/>
              <w:left w:val="nil"/>
              <w:bottom w:val="nil"/>
              <w:right w:val="nil"/>
            </w:tcBorders>
            <w:shd w:val="clear" w:color="auto" w:fill="auto"/>
            <w:noWrap/>
            <w:vAlign w:val="bottom"/>
            <w:hideMark/>
          </w:tcPr>
          <w:p w14:paraId="5AB51A72"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70C46A8B"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26DE014E" w14:textId="77777777" w:rsidTr="003A2D10">
        <w:trPr>
          <w:trHeight w:val="290"/>
        </w:trPr>
        <w:tc>
          <w:tcPr>
            <w:tcW w:w="6111" w:type="dxa"/>
            <w:tcBorders>
              <w:top w:val="nil"/>
              <w:left w:val="nil"/>
              <w:bottom w:val="nil"/>
              <w:right w:val="nil"/>
            </w:tcBorders>
            <w:shd w:val="clear" w:color="auto" w:fill="auto"/>
            <w:noWrap/>
            <w:vAlign w:val="center"/>
            <w:hideMark/>
          </w:tcPr>
          <w:p w14:paraId="1A6C3081"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Kokoda </w:t>
            </w:r>
          </w:p>
        </w:tc>
        <w:tc>
          <w:tcPr>
            <w:tcW w:w="3249" w:type="dxa"/>
            <w:tcBorders>
              <w:top w:val="nil"/>
              <w:left w:val="nil"/>
              <w:bottom w:val="nil"/>
              <w:right w:val="nil"/>
            </w:tcBorders>
            <w:shd w:val="clear" w:color="auto" w:fill="auto"/>
            <w:noWrap/>
            <w:vAlign w:val="bottom"/>
            <w:hideMark/>
          </w:tcPr>
          <w:p w14:paraId="438D82C1"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29F37F04" w14:textId="77777777" w:rsidTr="003A2D10">
        <w:trPr>
          <w:trHeight w:val="290"/>
        </w:trPr>
        <w:tc>
          <w:tcPr>
            <w:tcW w:w="6111" w:type="dxa"/>
            <w:tcBorders>
              <w:top w:val="nil"/>
              <w:left w:val="nil"/>
              <w:bottom w:val="nil"/>
              <w:right w:val="nil"/>
            </w:tcBorders>
            <w:shd w:val="clear" w:color="auto" w:fill="auto"/>
            <w:noWrap/>
            <w:vAlign w:val="center"/>
            <w:hideMark/>
          </w:tcPr>
          <w:p w14:paraId="2DE4C2F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AQC </w:t>
            </w:r>
          </w:p>
        </w:tc>
        <w:tc>
          <w:tcPr>
            <w:tcW w:w="3249" w:type="dxa"/>
            <w:tcBorders>
              <w:top w:val="nil"/>
              <w:left w:val="nil"/>
              <w:bottom w:val="nil"/>
              <w:right w:val="nil"/>
            </w:tcBorders>
            <w:shd w:val="clear" w:color="auto" w:fill="auto"/>
            <w:noWrap/>
            <w:vAlign w:val="center"/>
            <w:hideMark/>
          </w:tcPr>
          <w:p w14:paraId="3C19197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68B0C9DA" w14:textId="77777777" w:rsidTr="003A2D10">
        <w:trPr>
          <w:trHeight w:val="290"/>
        </w:trPr>
        <w:tc>
          <w:tcPr>
            <w:tcW w:w="6111" w:type="dxa"/>
            <w:tcBorders>
              <w:top w:val="nil"/>
              <w:left w:val="nil"/>
              <w:bottom w:val="nil"/>
              <w:right w:val="nil"/>
            </w:tcBorders>
            <w:shd w:val="clear" w:color="auto" w:fill="auto"/>
            <w:noWrap/>
            <w:vAlign w:val="center"/>
            <w:hideMark/>
          </w:tcPr>
          <w:p w14:paraId="7D5C958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Handover Plans </w:t>
            </w:r>
          </w:p>
        </w:tc>
        <w:tc>
          <w:tcPr>
            <w:tcW w:w="3249" w:type="dxa"/>
            <w:tcBorders>
              <w:top w:val="nil"/>
              <w:left w:val="nil"/>
              <w:bottom w:val="nil"/>
              <w:right w:val="nil"/>
            </w:tcBorders>
            <w:shd w:val="clear" w:color="auto" w:fill="auto"/>
            <w:noWrap/>
            <w:vAlign w:val="center"/>
            <w:hideMark/>
          </w:tcPr>
          <w:p w14:paraId="63E1CE3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486D8F60" w14:textId="77777777" w:rsidTr="003A2D10">
        <w:trPr>
          <w:trHeight w:val="290"/>
        </w:trPr>
        <w:tc>
          <w:tcPr>
            <w:tcW w:w="6111" w:type="dxa"/>
            <w:tcBorders>
              <w:top w:val="nil"/>
              <w:left w:val="nil"/>
              <w:bottom w:val="nil"/>
              <w:right w:val="nil"/>
            </w:tcBorders>
            <w:shd w:val="clear" w:color="auto" w:fill="auto"/>
            <w:noWrap/>
            <w:vAlign w:val="center"/>
            <w:hideMark/>
          </w:tcPr>
          <w:p w14:paraId="613CA10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KIP IMR</w:t>
            </w:r>
          </w:p>
        </w:tc>
        <w:tc>
          <w:tcPr>
            <w:tcW w:w="3249" w:type="dxa"/>
            <w:tcBorders>
              <w:top w:val="nil"/>
              <w:left w:val="nil"/>
              <w:bottom w:val="nil"/>
              <w:right w:val="nil"/>
            </w:tcBorders>
            <w:shd w:val="clear" w:color="auto" w:fill="auto"/>
            <w:noWrap/>
            <w:vAlign w:val="center"/>
            <w:hideMark/>
          </w:tcPr>
          <w:p w14:paraId="6DFAC53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4586979D" w14:textId="77777777" w:rsidTr="003A2D10">
        <w:trPr>
          <w:trHeight w:val="290"/>
        </w:trPr>
        <w:tc>
          <w:tcPr>
            <w:tcW w:w="6111" w:type="dxa"/>
            <w:tcBorders>
              <w:top w:val="nil"/>
              <w:left w:val="nil"/>
              <w:bottom w:val="nil"/>
              <w:right w:val="nil"/>
            </w:tcBorders>
            <w:shd w:val="clear" w:color="auto" w:fill="auto"/>
            <w:noWrap/>
            <w:vAlign w:val="center"/>
            <w:hideMark/>
          </w:tcPr>
          <w:p w14:paraId="2E22240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Outcomes Report Jan - Dec </w:t>
            </w:r>
          </w:p>
        </w:tc>
        <w:tc>
          <w:tcPr>
            <w:tcW w:w="3249" w:type="dxa"/>
            <w:tcBorders>
              <w:top w:val="nil"/>
              <w:left w:val="nil"/>
              <w:bottom w:val="nil"/>
              <w:right w:val="nil"/>
            </w:tcBorders>
            <w:shd w:val="clear" w:color="auto" w:fill="auto"/>
            <w:noWrap/>
            <w:vAlign w:val="center"/>
            <w:hideMark/>
          </w:tcPr>
          <w:p w14:paraId="6ECCE55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636429E8" w14:textId="77777777" w:rsidTr="003A2D10">
        <w:trPr>
          <w:trHeight w:val="290"/>
        </w:trPr>
        <w:tc>
          <w:tcPr>
            <w:tcW w:w="6111" w:type="dxa"/>
            <w:tcBorders>
              <w:top w:val="nil"/>
              <w:left w:val="nil"/>
              <w:bottom w:val="nil"/>
              <w:right w:val="nil"/>
            </w:tcBorders>
            <w:shd w:val="clear" w:color="auto" w:fill="auto"/>
            <w:noWrap/>
            <w:vAlign w:val="center"/>
            <w:hideMark/>
          </w:tcPr>
          <w:p w14:paraId="5773429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Outcomes Report Jul - Dec </w:t>
            </w:r>
          </w:p>
        </w:tc>
        <w:tc>
          <w:tcPr>
            <w:tcW w:w="3249" w:type="dxa"/>
            <w:tcBorders>
              <w:top w:val="nil"/>
              <w:left w:val="nil"/>
              <w:bottom w:val="nil"/>
              <w:right w:val="nil"/>
            </w:tcBorders>
            <w:shd w:val="clear" w:color="auto" w:fill="auto"/>
            <w:noWrap/>
            <w:vAlign w:val="center"/>
            <w:hideMark/>
          </w:tcPr>
          <w:p w14:paraId="7BCF866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677CD2D9" w14:textId="77777777" w:rsidTr="003A2D10">
        <w:trPr>
          <w:trHeight w:val="290"/>
        </w:trPr>
        <w:tc>
          <w:tcPr>
            <w:tcW w:w="6111" w:type="dxa"/>
            <w:tcBorders>
              <w:top w:val="nil"/>
              <w:left w:val="nil"/>
              <w:bottom w:val="nil"/>
              <w:right w:val="nil"/>
            </w:tcBorders>
            <w:shd w:val="clear" w:color="auto" w:fill="auto"/>
            <w:noWrap/>
            <w:vAlign w:val="center"/>
            <w:hideMark/>
          </w:tcPr>
          <w:p w14:paraId="14A8994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lastRenderedPageBreak/>
              <w:t xml:space="preserve">KIP Results Framework - Design and MEF </w:t>
            </w:r>
          </w:p>
        </w:tc>
        <w:tc>
          <w:tcPr>
            <w:tcW w:w="3249" w:type="dxa"/>
            <w:tcBorders>
              <w:top w:val="nil"/>
              <w:left w:val="nil"/>
              <w:bottom w:val="nil"/>
              <w:right w:val="nil"/>
            </w:tcBorders>
            <w:shd w:val="clear" w:color="auto" w:fill="auto"/>
            <w:noWrap/>
            <w:vAlign w:val="center"/>
            <w:hideMark/>
          </w:tcPr>
          <w:p w14:paraId="230DE7A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71F77902" w14:textId="77777777" w:rsidTr="003A2D10">
        <w:trPr>
          <w:trHeight w:val="290"/>
        </w:trPr>
        <w:tc>
          <w:tcPr>
            <w:tcW w:w="6111" w:type="dxa"/>
            <w:tcBorders>
              <w:top w:val="nil"/>
              <w:left w:val="nil"/>
              <w:bottom w:val="nil"/>
              <w:right w:val="nil"/>
            </w:tcBorders>
            <w:shd w:val="clear" w:color="auto" w:fill="auto"/>
            <w:noWrap/>
            <w:vAlign w:val="center"/>
            <w:hideMark/>
          </w:tcPr>
          <w:p w14:paraId="3AB1BF3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Results Framework Scorecard </w:t>
            </w:r>
          </w:p>
        </w:tc>
        <w:tc>
          <w:tcPr>
            <w:tcW w:w="3249" w:type="dxa"/>
            <w:tcBorders>
              <w:top w:val="nil"/>
              <w:left w:val="nil"/>
              <w:bottom w:val="nil"/>
              <w:right w:val="nil"/>
            </w:tcBorders>
            <w:shd w:val="clear" w:color="auto" w:fill="auto"/>
            <w:noWrap/>
            <w:vAlign w:val="center"/>
            <w:hideMark/>
          </w:tcPr>
          <w:p w14:paraId="5001D93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CDAF6F3" w14:textId="77777777" w:rsidTr="003A2D10">
        <w:trPr>
          <w:trHeight w:val="290"/>
        </w:trPr>
        <w:tc>
          <w:tcPr>
            <w:tcW w:w="6111" w:type="dxa"/>
            <w:tcBorders>
              <w:top w:val="nil"/>
              <w:left w:val="nil"/>
              <w:bottom w:val="nil"/>
              <w:right w:val="nil"/>
            </w:tcBorders>
            <w:shd w:val="clear" w:color="auto" w:fill="auto"/>
            <w:noWrap/>
            <w:vAlign w:val="center"/>
            <w:hideMark/>
          </w:tcPr>
          <w:p w14:paraId="3DEA33F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Six Monthly Report Jan - Jun </w:t>
            </w:r>
          </w:p>
        </w:tc>
        <w:tc>
          <w:tcPr>
            <w:tcW w:w="3249" w:type="dxa"/>
            <w:tcBorders>
              <w:top w:val="nil"/>
              <w:left w:val="nil"/>
              <w:bottom w:val="nil"/>
              <w:right w:val="nil"/>
            </w:tcBorders>
            <w:shd w:val="clear" w:color="auto" w:fill="auto"/>
            <w:noWrap/>
            <w:vAlign w:val="center"/>
            <w:hideMark/>
          </w:tcPr>
          <w:p w14:paraId="5CD9714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61BE011C" w14:textId="77777777" w:rsidTr="003A2D10">
        <w:trPr>
          <w:trHeight w:val="290"/>
        </w:trPr>
        <w:tc>
          <w:tcPr>
            <w:tcW w:w="6111" w:type="dxa"/>
            <w:tcBorders>
              <w:top w:val="nil"/>
              <w:left w:val="nil"/>
              <w:bottom w:val="nil"/>
              <w:right w:val="nil"/>
            </w:tcBorders>
            <w:shd w:val="clear" w:color="auto" w:fill="auto"/>
            <w:noWrap/>
            <w:vAlign w:val="center"/>
            <w:hideMark/>
          </w:tcPr>
          <w:p w14:paraId="1740996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Six Monthly Report Jan - Jun </w:t>
            </w:r>
          </w:p>
        </w:tc>
        <w:tc>
          <w:tcPr>
            <w:tcW w:w="3249" w:type="dxa"/>
            <w:tcBorders>
              <w:top w:val="nil"/>
              <w:left w:val="nil"/>
              <w:bottom w:val="nil"/>
              <w:right w:val="nil"/>
            </w:tcBorders>
            <w:shd w:val="clear" w:color="auto" w:fill="auto"/>
            <w:noWrap/>
            <w:vAlign w:val="center"/>
            <w:hideMark/>
          </w:tcPr>
          <w:p w14:paraId="244AB99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5B4DC1A1" w14:textId="77777777" w:rsidTr="003A2D10">
        <w:trPr>
          <w:trHeight w:val="290"/>
        </w:trPr>
        <w:tc>
          <w:tcPr>
            <w:tcW w:w="6111" w:type="dxa"/>
            <w:tcBorders>
              <w:top w:val="nil"/>
              <w:left w:val="nil"/>
              <w:bottom w:val="nil"/>
              <w:right w:val="nil"/>
            </w:tcBorders>
            <w:shd w:val="clear" w:color="auto" w:fill="auto"/>
            <w:noWrap/>
            <w:vAlign w:val="center"/>
            <w:hideMark/>
          </w:tcPr>
          <w:p w14:paraId="513D7EA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KIP Six Monthly Report Jan - Jun </w:t>
            </w:r>
          </w:p>
        </w:tc>
        <w:tc>
          <w:tcPr>
            <w:tcW w:w="3249" w:type="dxa"/>
            <w:tcBorders>
              <w:top w:val="nil"/>
              <w:left w:val="nil"/>
              <w:bottom w:val="nil"/>
              <w:right w:val="nil"/>
            </w:tcBorders>
            <w:shd w:val="clear" w:color="auto" w:fill="auto"/>
            <w:noWrap/>
            <w:vAlign w:val="center"/>
            <w:hideMark/>
          </w:tcPr>
          <w:p w14:paraId="3F31246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0ACFE8BF" w14:textId="77777777" w:rsidTr="003A2D10">
        <w:trPr>
          <w:trHeight w:val="290"/>
        </w:trPr>
        <w:tc>
          <w:tcPr>
            <w:tcW w:w="6111" w:type="dxa"/>
            <w:tcBorders>
              <w:top w:val="nil"/>
              <w:left w:val="nil"/>
              <w:bottom w:val="nil"/>
              <w:right w:val="nil"/>
            </w:tcBorders>
            <w:shd w:val="clear" w:color="auto" w:fill="auto"/>
            <w:noWrap/>
            <w:vAlign w:val="center"/>
            <w:hideMark/>
          </w:tcPr>
          <w:p w14:paraId="510A2B4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Kokoda Initiative Review </w:t>
            </w:r>
          </w:p>
        </w:tc>
        <w:tc>
          <w:tcPr>
            <w:tcW w:w="3249" w:type="dxa"/>
            <w:tcBorders>
              <w:top w:val="nil"/>
              <w:left w:val="nil"/>
              <w:bottom w:val="nil"/>
              <w:right w:val="nil"/>
            </w:tcBorders>
            <w:shd w:val="clear" w:color="auto" w:fill="auto"/>
            <w:noWrap/>
            <w:vAlign w:val="center"/>
            <w:hideMark/>
          </w:tcPr>
          <w:p w14:paraId="0E2A60C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362EC2E2" w14:textId="77777777" w:rsidTr="003A2D10">
        <w:trPr>
          <w:trHeight w:val="290"/>
        </w:trPr>
        <w:tc>
          <w:tcPr>
            <w:tcW w:w="6111" w:type="dxa"/>
            <w:tcBorders>
              <w:top w:val="nil"/>
              <w:left w:val="nil"/>
              <w:bottom w:val="nil"/>
              <w:right w:val="nil"/>
            </w:tcBorders>
            <w:shd w:val="clear" w:color="auto" w:fill="auto"/>
            <w:noWrap/>
            <w:vAlign w:val="center"/>
            <w:hideMark/>
          </w:tcPr>
          <w:p w14:paraId="6520A62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QTAG KIP Outcomes Assessment </w:t>
            </w:r>
          </w:p>
        </w:tc>
        <w:tc>
          <w:tcPr>
            <w:tcW w:w="3249" w:type="dxa"/>
            <w:tcBorders>
              <w:top w:val="nil"/>
              <w:left w:val="nil"/>
              <w:bottom w:val="nil"/>
              <w:right w:val="nil"/>
            </w:tcBorders>
            <w:shd w:val="clear" w:color="auto" w:fill="auto"/>
            <w:noWrap/>
            <w:vAlign w:val="center"/>
            <w:hideMark/>
          </w:tcPr>
          <w:p w14:paraId="3093EE6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01CD167B" w14:textId="77777777" w:rsidTr="003A2D10">
        <w:trPr>
          <w:trHeight w:val="290"/>
        </w:trPr>
        <w:tc>
          <w:tcPr>
            <w:tcW w:w="6111" w:type="dxa"/>
            <w:tcBorders>
              <w:top w:val="nil"/>
              <w:left w:val="nil"/>
              <w:bottom w:val="nil"/>
              <w:right w:val="nil"/>
            </w:tcBorders>
            <w:shd w:val="clear" w:color="auto" w:fill="auto"/>
            <w:noWrap/>
            <w:vAlign w:val="bottom"/>
            <w:hideMark/>
          </w:tcPr>
          <w:p w14:paraId="3AF73889"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3940B0D8"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02D743E4" w14:textId="77777777" w:rsidTr="003A2D10">
        <w:trPr>
          <w:trHeight w:val="290"/>
        </w:trPr>
        <w:tc>
          <w:tcPr>
            <w:tcW w:w="6111" w:type="dxa"/>
            <w:tcBorders>
              <w:top w:val="nil"/>
              <w:left w:val="nil"/>
              <w:bottom w:val="nil"/>
              <w:right w:val="nil"/>
            </w:tcBorders>
            <w:shd w:val="clear" w:color="auto" w:fill="auto"/>
            <w:noWrap/>
            <w:vAlign w:val="center"/>
            <w:hideMark/>
          </w:tcPr>
          <w:p w14:paraId="33E40F27"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Miscellaneous </w:t>
            </w:r>
          </w:p>
        </w:tc>
        <w:tc>
          <w:tcPr>
            <w:tcW w:w="3249" w:type="dxa"/>
            <w:tcBorders>
              <w:top w:val="nil"/>
              <w:left w:val="nil"/>
              <w:bottom w:val="nil"/>
              <w:right w:val="nil"/>
            </w:tcBorders>
            <w:shd w:val="clear" w:color="auto" w:fill="auto"/>
            <w:noWrap/>
            <w:vAlign w:val="bottom"/>
            <w:hideMark/>
          </w:tcPr>
          <w:p w14:paraId="4F2613ED"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75E0C873" w14:textId="77777777" w:rsidTr="003A2D10">
        <w:trPr>
          <w:trHeight w:val="290"/>
        </w:trPr>
        <w:tc>
          <w:tcPr>
            <w:tcW w:w="6111" w:type="dxa"/>
            <w:tcBorders>
              <w:top w:val="nil"/>
              <w:left w:val="nil"/>
              <w:bottom w:val="nil"/>
              <w:right w:val="nil"/>
            </w:tcBorders>
            <w:shd w:val="clear" w:color="auto" w:fill="auto"/>
            <w:noWrap/>
            <w:vAlign w:val="center"/>
            <w:hideMark/>
          </w:tcPr>
          <w:p w14:paraId="17543EA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CSEP and draft Action Plan </w:t>
            </w:r>
          </w:p>
        </w:tc>
        <w:tc>
          <w:tcPr>
            <w:tcW w:w="3249" w:type="dxa"/>
            <w:tcBorders>
              <w:top w:val="nil"/>
              <w:left w:val="nil"/>
              <w:bottom w:val="nil"/>
              <w:right w:val="nil"/>
            </w:tcBorders>
            <w:shd w:val="clear" w:color="auto" w:fill="auto"/>
            <w:noWrap/>
            <w:vAlign w:val="center"/>
            <w:hideMark/>
          </w:tcPr>
          <w:p w14:paraId="15F512D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24ED6FC6" w14:textId="77777777" w:rsidTr="003A2D10">
        <w:trPr>
          <w:trHeight w:val="290"/>
        </w:trPr>
        <w:tc>
          <w:tcPr>
            <w:tcW w:w="6111" w:type="dxa"/>
            <w:tcBorders>
              <w:top w:val="nil"/>
              <w:left w:val="nil"/>
              <w:bottom w:val="nil"/>
              <w:right w:val="nil"/>
            </w:tcBorders>
            <w:shd w:val="clear" w:color="auto" w:fill="auto"/>
            <w:noWrap/>
            <w:vAlign w:val="center"/>
            <w:hideMark/>
          </w:tcPr>
          <w:p w14:paraId="4B76D7C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DFAT Monitoring and Evaluation Standards </w:t>
            </w:r>
          </w:p>
        </w:tc>
        <w:tc>
          <w:tcPr>
            <w:tcW w:w="3249" w:type="dxa"/>
            <w:tcBorders>
              <w:top w:val="nil"/>
              <w:left w:val="nil"/>
              <w:bottom w:val="nil"/>
              <w:right w:val="nil"/>
            </w:tcBorders>
            <w:shd w:val="clear" w:color="auto" w:fill="auto"/>
            <w:noWrap/>
            <w:vAlign w:val="center"/>
            <w:hideMark/>
          </w:tcPr>
          <w:p w14:paraId="29405AF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2017</w:t>
            </w:r>
          </w:p>
        </w:tc>
      </w:tr>
      <w:tr w:rsidR="003A2D10" w:rsidRPr="003A2D10" w14:paraId="2056BEA1" w14:textId="77777777" w:rsidTr="003A2D10">
        <w:trPr>
          <w:trHeight w:val="290"/>
        </w:trPr>
        <w:tc>
          <w:tcPr>
            <w:tcW w:w="6111" w:type="dxa"/>
            <w:tcBorders>
              <w:top w:val="nil"/>
              <w:left w:val="nil"/>
              <w:bottom w:val="nil"/>
              <w:right w:val="nil"/>
            </w:tcBorders>
            <w:shd w:val="clear" w:color="auto" w:fill="auto"/>
            <w:noWrap/>
            <w:vAlign w:val="center"/>
            <w:hideMark/>
          </w:tcPr>
          <w:p w14:paraId="43E5B67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DFAT PAF Guidance for Facilities </w:t>
            </w:r>
          </w:p>
        </w:tc>
        <w:tc>
          <w:tcPr>
            <w:tcW w:w="3249" w:type="dxa"/>
            <w:tcBorders>
              <w:top w:val="nil"/>
              <w:left w:val="nil"/>
              <w:bottom w:val="nil"/>
              <w:right w:val="nil"/>
            </w:tcBorders>
            <w:shd w:val="clear" w:color="auto" w:fill="auto"/>
            <w:noWrap/>
            <w:vAlign w:val="center"/>
            <w:hideMark/>
          </w:tcPr>
          <w:p w14:paraId="5E954A7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58489C3C" w14:textId="77777777" w:rsidTr="003A2D10">
        <w:trPr>
          <w:trHeight w:val="290"/>
        </w:trPr>
        <w:tc>
          <w:tcPr>
            <w:tcW w:w="6111" w:type="dxa"/>
            <w:tcBorders>
              <w:top w:val="nil"/>
              <w:left w:val="nil"/>
              <w:bottom w:val="nil"/>
              <w:right w:val="nil"/>
            </w:tcBorders>
            <w:shd w:val="clear" w:color="auto" w:fill="auto"/>
            <w:noWrap/>
            <w:vAlign w:val="center"/>
            <w:hideMark/>
          </w:tcPr>
          <w:p w14:paraId="3ADBE29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DFAT PAF Industry Consultation </w:t>
            </w:r>
          </w:p>
        </w:tc>
        <w:tc>
          <w:tcPr>
            <w:tcW w:w="3249" w:type="dxa"/>
            <w:tcBorders>
              <w:top w:val="nil"/>
              <w:left w:val="nil"/>
              <w:bottom w:val="nil"/>
              <w:right w:val="nil"/>
            </w:tcBorders>
            <w:shd w:val="clear" w:color="auto" w:fill="auto"/>
            <w:noWrap/>
            <w:vAlign w:val="center"/>
            <w:hideMark/>
          </w:tcPr>
          <w:p w14:paraId="20903B8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31C83110" w14:textId="77777777" w:rsidTr="003A2D10">
        <w:trPr>
          <w:trHeight w:val="290"/>
        </w:trPr>
        <w:tc>
          <w:tcPr>
            <w:tcW w:w="6111" w:type="dxa"/>
            <w:tcBorders>
              <w:top w:val="nil"/>
              <w:left w:val="nil"/>
              <w:bottom w:val="nil"/>
              <w:right w:val="nil"/>
            </w:tcBorders>
            <w:shd w:val="clear" w:color="auto" w:fill="auto"/>
            <w:noWrap/>
            <w:vAlign w:val="center"/>
            <w:hideMark/>
          </w:tcPr>
          <w:p w14:paraId="749E7CB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Investment Concept - Deconstructing the PNG Governance Partnership </w:t>
            </w:r>
          </w:p>
        </w:tc>
        <w:tc>
          <w:tcPr>
            <w:tcW w:w="3249" w:type="dxa"/>
            <w:tcBorders>
              <w:top w:val="nil"/>
              <w:left w:val="nil"/>
              <w:bottom w:val="nil"/>
              <w:right w:val="nil"/>
            </w:tcBorders>
            <w:shd w:val="clear" w:color="auto" w:fill="auto"/>
            <w:noWrap/>
            <w:vAlign w:val="center"/>
            <w:hideMark/>
          </w:tcPr>
          <w:p w14:paraId="7F2461C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08B085D0" w14:textId="77777777" w:rsidTr="003A2D10">
        <w:trPr>
          <w:trHeight w:val="290"/>
        </w:trPr>
        <w:tc>
          <w:tcPr>
            <w:tcW w:w="6111" w:type="dxa"/>
            <w:tcBorders>
              <w:top w:val="nil"/>
              <w:left w:val="nil"/>
              <w:bottom w:val="nil"/>
              <w:right w:val="nil"/>
            </w:tcBorders>
            <w:shd w:val="clear" w:color="auto" w:fill="auto"/>
            <w:noWrap/>
            <w:vAlign w:val="center"/>
            <w:hideMark/>
          </w:tcPr>
          <w:p w14:paraId="680F12F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Lessons from Effective Verification System </w:t>
            </w:r>
          </w:p>
        </w:tc>
        <w:tc>
          <w:tcPr>
            <w:tcW w:w="3249" w:type="dxa"/>
            <w:tcBorders>
              <w:top w:val="nil"/>
              <w:left w:val="nil"/>
              <w:bottom w:val="nil"/>
              <w:right w:val="nil"/>
            </w:tcBorders>
            <w:shd w:val="clear" w:color="auto" w:fill="auto"/>
            <w:noWrap/>
            <w:vAlign w:val="center"/>
            <w:hideMark/>
          </w:tcPr>
          <w:p w14:paraId="2556A97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02A543D5" w14:textId="77777777" w:rsidTr="003A2D10">
        <w:trPr>
          <w:trHeight w:val="290"/>
        </w:trPr>
        <w:tc>
          <w:tcPr>
            <w:tcW w:w="6111" w:type="dxa"/>
            <w:tcBorders>
              <w:top w:val="nil"/>
              <w:left w:val="nil"/>
              <w:bottom w:val="nil"/>
              <w:right w:val="nil"/>
            </w:tcBorders>
            <w:shd w:val="clear" w:color="auto" w:fill="auto"/>
            <w:noWrap/>
            <w:vAlign w:val="center"/>
            <w:hideMark/>
          </w:tcPr>
          <w:p w14:paraId="770A43E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Lynn Pieper Independent Facilities Review </w:t>
            </w:r>
          </w:p>
        </w:tc>
        <w:tc>
          <w:tcPr>
            <w:tcW w:w="3249" w:type="dxa"/>
            <w:tcBorders>
              <w:top w:val="nil"/>
              <w:left w:val="nil"/>
              <w:bottom w:val="nil"/>
              <w:right w:val="nil"/>
            </w:tcBorders>
            <w:shd w:val="clear" w:color="auto" w:fill="auto"/>
            <w:noWrap/>
            <w:vAlign w:val="center"/>
            <w:hideMark/>
          </w:tcPr>
          <w:p w14:paraId="5FDB7F0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33056FAD" w14:textId="77777777" w:rsidTr="003A2D10">
        <w:trPr>
          <w:trHeight w:val="290"/>
        </w:trPr>
        <w:tc>
          <w:tcPr>
            <w:tcW w:w="6111" w:type="dxa"/>
            <w:tcBorders>
              <w:top w:val="nil"/>
              <w:left w:val="nil"/>
              <w:bottom w:val="nil"/>
              <w:right w:val="nil"/>
            </w:tcBorders>
            <w:shd w:val="clear" w:color="auto" w:fill="auto"/>
            <w:noWrap/>
            <w:vAlign w:val="center"/>
            <w:hideMark/>
          </w:tcPr>
          <w:p w14:paraId="1927E16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Partnerships for Recovery - COVID19 Response </w:t>
            </w:r>
          </w:p>
        </w:tc>
        <w:tc>
          <w:tcPr>
            <w:tcW w:w="3249" w:type="dxa"/>
            <w:tcBorders>
              <w:top w:val="nil"/>
              <w:left w:val="nil"/>
              <w:bottom w:val="nil"/>
              <w:right w:val="nil"/>
            </w:tcBorders>
            <w:shd w:val="clear" w:color="auto" w:fill="auto"/>
            <w:noWrap/>
            <w:vAlign w:val="center"/>
            <w:hideMark/>
          </w:tcPr>
          <w:p w14:paraId="29FEE78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7538399D" w14:textId="77777777" w:rsidTr="003A2D10">
        <w:trPr>
          <w:trHeight w:val="290"/>
        </w:trPr>
        <w:tc>
          <w:tcPr>
            <w:tcW w:w="6111" w:type="dxa"/>
            <w:tcBorders>
              <w:top w:val="nil"/>
              <w:left w:val="nil"/>
              <w:bottom w:val="nil"/>
              <w:right w:val="nil"/>
            </w:tcBorders>
            <w:shd w:val="clear" w:color="auto" w:fill="auto"/>
            <w:noWrap/>
            <w:vAlign w:val="center"/>
            <w:hideMark/>
          </w:tcPr>
          <w:p w14:paraId="729A11D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QTAG PAGP Annual Review 2018</w:t>
            </w:r>
          </w:p>
        </w:tc>
        <w:tc>
          <w:tcPr>
            <w:tcW w:w="3249" w:type="dxa"/>
            <w:tcBorders>
              <w:top w:val="nil"/>
              <w:left w:val="nil"/>
              <w:bottom w:val="nil"/>
              <w:right w:val="nil"/>
            </w:tcBorders>
            <w:shd w:val="clear" w:color="auto" w:fill="auto"/>
            <w:noWrap/>
            <w:vAlign w:val="center"/>
            <w:hideMark/>
          </w:tcPr>
          <w:p w14:paraId="1BAA743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17DDDBF9" w14:textId="77777777" w:rsidTr="003A2D10">
        <w:trPr>
          <w:trHeight w:val="290"/>
        </w:trPr>
        <w:tc>
          <w:tcPr>
            <w:tcW w:w="6111" w:type="dxa"/>
            <w:tcBorders>
              <w:top w:val="nil"/>
              <w:left w:val="nil"/>
              <w:bottom w:val="nil"/>
              <w:right w:val="nil"/>
            </w:tcBorders>
            <w:shd w:val="clear" w:color="auto" w:fill="auto"/>
            <w:noWrap/>
            <w:vAlign w:val="center"/>
            <w:hideMark/>
          </w:tcPr>
          <w:p w14:paraId="0907369F"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QTAG PAGP Annual Review 2019</w:t>
            </w:r>
          </w:p>
        </w:tc>
        <w:tc>
          <w:tcPr>
            <w:tcW w:w="3249" w:type="dxa"/>
            <w:tcBorders>
              <w:top w:val="nil"/>
              <w:left w:val="nil"/>
              <w:bottom w:val="nil"/>
              <w:right w:val="nil"/>
            </w:tcBorders>
            <w:shd w:val="clear" w:color="auto" w:fill="auto"/>
            <w:noWrap/>
            <w:vAlign w:val="center"/>
            <w:hideMark/>
          </w:tcPr>
          <w:p w14:paraId="74C72B8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1E58BF47" w14:textId="77777777" w:rsidTr="003A2D10">
        <w:trPr>
          <w:trHeight w:val="290"/>
        </w:trPr>
        <w:tc>
          <w:tcPr>
            <w:tcW w:w="6111" w:type="dxa"/>
            <w:tcBorders>
              <w:top w:val="nil"/>
              <w:left w:val="nil"/>
              <w:bottom w:val="nil"/>
              <w:right w:val="nil"/>
            </w:tcBorders>
            <w:shd w:val="clear" w:color="auto" w:fill="auto"/>
            <w:noWrap/>
            <w:vAlign w:val="center"/>
            <w:hideMark/>
          </w:tcPr>
          <w:p w14:paraId="354C91B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Shaping PNG Institutions Strategic Framework </w:t>
            </w:r>
          </w:p>
        </w:tc>
        <w:tc>
          <w:tcPr>
            <w:tcW w:w="3249" w:type="dxa"/>
            <w:tcBorders>
              <w:top w:val="nil"/>
              <w:left w:val="nil"/>
              <w:bottom w:val="nil"/>
              <w:right w:val="nil"/>
            </w:tcBorders>
            <w:shd w:val="clear" w:color="auto" w:fill="auto"/>
            <w:noWrap/>
            <w:vAlign w:val="center"/>
            <w:hideMark/>
          </w:tcPr>
          <w:p w14:paraId="557FAE9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783551C3" w14:textId="77777777" w:rsidTr="003A2D10">
        <w:trPr>
          <w:trHeight w:val="290"/>
        </w:trPr>
        <w:tc>
          <w:tcPr>
            <w:tcW w:w="6111" w:type="dxa"/>
            <w:tcBorders>
              <w:top w:val="nil"/>
              <w:left w:val="nil"/>
              <w:bottom w:val="nil"/>
              <w:right w:val="nil"/>
            </w:tcBorders>
            <w:shd w:val="clear" w:color="auto" w:fill="auto"/>
            <w:noWrap/>
            <w:vAlign w:val="center"/>
            <w:hideMark/>
          </w:tcPr>
          <w:p w14:paraId="4DAECF0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Subnational Strategic Design Framework </w:t>
            </w:r>
          </w:p>
        </w:tc>
        <w:tc>
          <w:tcPr>
            <w:tcW w:w="3249" w:type="dxa"/>
            <w:tcBorders>
              <w:top w:val="nil"/>
              <w:left w:val="nil"/>
              <w:bottom w:val="nil"/>
              <w:right w:val="nil"/>
            </w:tcBorders>
            <w:shd w:val="clear" w:color="auto" w:fill="auto"/>
            <w:noWrap/>
            <w:vAlign w:val="center"/>
            <w:hideMark/>
          </w:tcPr>
          <w:p w14:paraId="4648F6E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0F7857D7" w14:textId="77777777" w:rsidTr="003A2D10">
        <w:trPr>
          <w:trHeight w:val="290"/>
        </w:trPr>
        <w:tc>
          <w:tcPr>
            <w:tcW w:w="6111" w:type="dxa"/>
            <w:tcBorders>
              <w:top w:val="nil"/>
              <w:left w:val="nil"/>
              <w:bottom w:val="nil"/>
              <w:right w:val="nil"/>
            </w:tcBorders>
            <w:shd w:val="clear" w:color="auto" w:fill="auto"/>
            <w:noWrap/>
            <w:vAlign w:val="bottom"/>
            <w:hideMark/>
          </w:tcPr>
          <w:p w14:paraId="308E8F1E"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68152D51"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363A9F30" w14:textId="77777777" w:rsidTr="003A2D10">
        <w:trPr>
          <w:trHeight w:val="290"/>
        </w:trPr>
        <w:tc>
          <w:tcPr>
            <w:tcW w:w="6111" w:type="dxa"/>
            <w:tcBorders>
              <w:top w:val="nil"/>
              <w:left w:val="nil"/>
              <w:bottom w:val="nil"/>
              <w:right w:val="nil"/>
            </w:tcBorders>
            <w:shd w:val="clear" w:color="auto" w:fill="auto"/>
            <w:noWrap/>
            <w:vAlign w:val="center"/>
            <w:hideMark/>
          </w:tcPr>
          <w:p w14:paraId="16CE9DA9"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PATH </w:t>
            </w:r>
          </w:p>
        </w:tc>
        <w:tc>
          <w:tcPr>
            <w:tcW w:w="3249" w:type="dxa"/>
            <w:tcBorders>
              <w:top w:val="nil"/>
              <w:left w:val="nil"/>
              <w:bottom w:val="nil"/>
              <w:right w:val="nil"/>
            </w:tcBorders>
            <w:shd w:val="clear" w:color="auto" w:fill="auto"/>
            <w:noWrap/>
            <w:vAlign w:val="bottom"/>
            <w:hideMark/>
          </w:tcPr>
          <w:p w14:paraId="0F832BF9"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0EB27823" w14:textId="77777777" w:rsidTr="003A2D10">
        <w:trPr>
          <w:trHeight w:val="290"/>
        </w:trPr>
        <w:tc>
          <w:tcPr>
            <w:tcW w:w="6111" w:type="dxa"/>
            <w:tcBorders>
              <w:top w:val="nil"/>
              <w:left w:val="nil"/>
              <w:bottom w:val="nil"/>
              <w:right w:val="nil"/>
            </w:tcBorders>
            <w:shd w:val="clear" w:color="auto" w:fill="auto"/>
            <w:noWrap/>
            <w:vAlign w:val="center"/>
            <w:hideMark/>
          </w:tcPr>
          <w:p w14:paraId="01F9C2F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PATH Annual Report </w:t>
            </w:r>
          </w:p>
        </w:tc>
        <w:tc>
          <w:tcPr>
            <w:tcW w:w="3249" w:type="dxa"/>
            <w:tcBorders>
              <w:top w:val="nil"/>
              <w:left w:val="nil"/>
              <w:bottom w:val="nil"/>
              <w:right w:val="nil"/>
            </w:tcBorders>
            <w:shd w:val="clear" w:color="auto" w:fill="auto"/>
            <w:noWrap/>
            <w:vAlign w:val="center"/>
            <w:hideMark/>
          </w:tcPr>
          <w:p w14:paraId="65B93EF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6A7D965E" w14:textId="77777777" w:rsidTr="003A2D10">
        <w:trPr>
          <w:trHeight w:val="290"/>
        </w:trPr>
        <w:tc>
          <w:tcPr>
            <w:tcW w:w="6111" w:type="dxa"/>
            <w:tcBorders>
              <w:top w:val="nil"/>
              <w:left w:val="nil"/>
              <w:bottom w:val="nil"/>
              <w:right w:val="nil"/>
            </w:tcBorders>
            <w:shd w:val="clear" w:color="auto" w:fill="auto"/>
            <w:noWrap/>
            <w:vAlign w:val="bottom"/>
            <w:hideMark/>
          </w:tcPr>
          <w:p w14:paraId="6FB7835F"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6E37B73D"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2749D220" w14:textId="77777777" w:rsidTr="003A2D10">
        <w:trPr>
          <w:trHeight w:val="290"/>
        </w:trPr>
        <w:tc>
          <w:tcPr>
            <w:tcW w:w="6111" w:type="dxa"/>
            <w:tcBorders>
              <w:top w:val="nil"/>
              <w:left w:val="nil"/>
              <w:bottom w:val="nil"/>
              <w:right w:val="nil"/>
            </w:tcBorders>
            <w:shd w:val="clear" w:color="auto" w:fill="auto"/>
            <w:noWrap/>
            <w:vAlign w:val="center"/>
            <w:hideMark/>
          </w:tcPr>
          <w:p w14:paraId="6EFE940C"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Platform / Facility </w:t>
            </w:r>
          </w:p>
        </w:tc>
        <w:tc>
          <w:tcPr>
            <w:tcW w:w="3249" w:type="dxa"/>
            <w:tcBorders>
              <w:top w:val="nil"/>
              <w:left w:val="nil"/>
              <w:bottom w:val="nil"/>
              <w:right w:val="nil"/>
            </w:tcBorders>
            <w:shd w:val="clear" w:color="auto" w:fill="auto"/>
            <w:noWrap/>
            <w:vAlign w:val="bottom"/>
            <w:hideMark/>
          </w:tcPr>
          <w:p w14:paraId="378292E3"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2828F91B" w14:textId="77777777" w:rsidTr="003A2D10">
        <w:trPr>
          <w:trHeight w:val="290"/>
        </w:trPr>
        <w:tc>
          <w:tcPr>
            <w:tcW w:w="6111" w:type="dxa"/>
            <w:tcBorders>
              <w:top w:val="nil"/>
              <w:left w:val="nil"/>
              <w:bottom w:val="nil"/>
              <w:right w:val="nil"/>
            </w:tcBorders>
            <w:shd w:val="clear" w:color="auto" w:fill="auto"/>
            <w:noWrap/>
            <w:vAlign w:val="center"/>
            <w:hideMark/>
          </w:tcPr>
          <w:p w14:paraId="560EF04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 Annual Review Recommendations Status Update</w:t>
            </w:r>
          </w:p>
        </w:tc>
        <w:tc>
          <w:tcPr>
            <w:tcW w:w="3249" w:type="dxa"/>
            <w:tcBorders>
              <w:top w:val="nil"/>
              <w:left w:val="nil"/>
              <w:bottom w:val="nil"/>
              <w:right w:val="nil"/>
            </w:tcBorders>
            <w:shd w:val="clear" w:color="auto" w:fill="auto"/>
            <w:noWrap/>
            <w:vAlign w:val="center"/>
            <w:hideMark/>
          </w:tcPr>
          <w:p w14:paraId="1625187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751EA25" w14:textId="77777777" w:rsidTr="003A2D10">
        <w:trPr>
          <w:trHeight w:val="290"/>
        </w:trPr>
        <w:tc>
          <w:tcPr>
            <w:tcW w:w="6111" w:type="dxa"/>
            <w:tcBorders>
              <w:top w:val="nil"/>
              <w:left w:val="nil"/>
              <w:bottom w:val="nil"/>
              <w:right w:val="nil"/>
            </w:tcBorders>
            <w:shd w:val="clear" w:color="auto" w:fill="auto"/>
            <w:noWrap/>
            <w:vAlign w:val="center"/>
            <w:hideMark/>
          </w:tcPr>
          <w:p w14:paraId="46E9532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Abt QTAG PAGP Briefing </w:t>
            </w:r>
          </w:p>
        </w:tc>
        <w:tc>
          <w:tcPr>
            <w:tcW w:w="3249" w:type="dxa"/>
            <w:tcBorders>
              <w:top w:val="nil"/>
              <w:left w:val="nil"/>
              <w:bottom w:val="nil"/>
              <w:right w:val="nil"/>
            </w:tcBorders>
            <w:shd w:val="clear" w:color="auto" w:fill="auto"/>
            <w:noWrap/>
            <w:vAlign w:val="center"/>
            <w:hideMark/>
          </w:tcPr>
          <w:p w14:paraId="0027F0E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5EFFD542" w14:textId="77777777" w:rsidTr="003A2D10">
        <w:trPr>
          <w:trHeight w:val="290"/>
        </w:trPr>
        <w:tc>
          <w:tcPr>
            <w:tcW w:w="6111" w:type="dxa"/>
            <w:tcBorders>
              <w:top w:val="nil"/>
              <w:left w:val="nil"/>
              <w:bottom w:val="nil"/>
              <w:right w:val="nil"/>
            </w:tcBorders>
            <w:shd w:val="clear" w:color="auto" w:fill="auto"/>
            <w:noWrap/>
            <w:vAlign w:val="center"/>
            <w:hideMark/>
          </w:tcPr>
          <w:p w14:paraId="3C905C9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Annual Review Outcomes </w:t>
            </w:r>
          </w:p>
        </w:tc>
        <w:tc>
          <w:tcPr>
            <w:tcW w:w="3249" w:type="dxa"/>
            <w:tcBorders>
              <w:top w:val="nil"/>
              <w:left w:val="nil"/>
              <w:bottom w:val="nil"/>
              <w:right w:val="nil"/>
            </w:tcBorders>
            <w:shd w:val="clear" w:color="auto" w:fill="auto"/>
            <w:noWrap/>
            <w:vAlign w:val="center"/>
            <w:hideMark/>
          </w:tcPr>
          <w:p w14:paraId="093C07B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5C817818" w14:textId="77777777" w:rsidTr="003A2D10">
        <w:trPr>
          <w:trHeight w:val="290"/>
        </w:trPr>
        <w:tc>
          <w:tcPr>
            <w:tcW w:w="6111" w:type="dxa"/>
            <w:tcBorders>
              <w:top w:val="nil"/>
              <w:left w:val="nil"/>
              <w:bottom w:val="nil"/>
              <w:right w:val="nil"/>
            </w:tcBorders>
            <w:shd w:val="clear" w:color="auto" w:fill="auto"/>
            <w:noWrap/>
            <w:vAlign w:val="center"/>
            <w:hideMark/>
          </w:tcPr>
          <w:p w14:paraId="17A53B8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AQC </w:t>
            </w:r>
          </w:p>
        </w:tc>
        <w:tc>
          <w:tcPr>
            <w:tcW w:w="3249" w:type="dxa"/>
            <w:tcBorders>
              <w:top w:val="nil"/>
              <w:left w:val="nil"/>
              <w:bottom w:val="nil"/>
              <w:right w:val="nil"/>
            </w:tcBorders>
            <w:shd w:val="clear" w:color="auto" w:fill="auto"/>
            <w:noWrap/>
            <w:vAlign w:val="center"/>
            <w:hideMark/>
          </w:tcPr>
          <w:p w14:paraId="38E8F81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57E711CF" w14:textId="77777777" w:rsidTr="003A2D10">
        <w:trPr>
          <w:trHeight w:val="290"/>
        </w:trPr>
        <w:tc>
          <w:tcPr>
            <w:tcW w:w="6111" w:type="dxa"/>
            <w:tcBorders>
              <w:top w:val="nil"/>
              <w:left w:val="nil"/>
              <w:bottom w:val="nil"/>
              <w:right w:val="nil"/>
            </w:tcBorders>
            <w:shd w:val="clear" w:color="auto" w:fill="auto"/>
            <w:noWrap/>
            <w:vAlign w:val="center"/>
            <w:hideMark/>
          </w:tcPr>
          <w:p w14:paraId="6DE91B5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AQC </w:t>
            </w:r>
          </w:p>
        </w:tc>
        <w:tc>
          <w:tcPr>
            <w:tcW w:w="3249" w:type="dxa"/>
            <w:tcBorders>
              <w:top w:val="nil"/>
              <w:left w:val="nil"/>
              <w:bottom w:val="nil"/>
              <w:right w:val="nil"/>
            </w:tcBorders>
            <w:shd w:val="clear" w:color="auto" w:fill="auto"/>
            <w:noWrap/>
            <w:vAlign w:val="center"/>
            <w:hideMark/>
          </w:tcPr>
          <w:p w14:paraId="22CAC4A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1E20EAD8" w14:textId="77777777" w:rsidTr="003A2D10">
        <w:trPr>
          <w:trHeight w:val="290"/>
        </w:trPr>
        <w:tc>
          <w:tcPr>
            <w:tcW w:w="6111" w:type="dxa"/>
            <w:tcBorders>
              <w:top w:val="nil"/>
              <w:left w:val="nil"/>
              <w:bottom w:val="nil"/>
              <w:right w:val="nil"/>
            </w:tcBorders>
            <w:shd w:val="clear" w:color="auto" w:fill="auto"/>
            <w:noWrap/>
            <w:vAlign w:val="center"/>
            <w:hideMark/>
          </w:tcPr>
          <w:p w14:paraId="56A3158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IMR </w:t>
            </w:r>
          </w:p>
        </w:tc>
        <w:tc>
          <w:tcPr>
            <w:tcW w:w="3249" w:type="dxa"/>
            <w:tcBorders>
              <w:top w:val="nil"/>
              <w:left w:val="nil"/>
              <w:bottom w:val="nil"/>
              <w:right w:val="nil"/>
            </w:tcBorders>
            <w:shd w:val="clear" w:color="auto" w:fill="auto"/>
            <w:noWrap/>
            <w:vAlign w:val="center"/>
            <w:hideMark/>
          </w:tcPr>
          <w:p w14:paraId="497EBCE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72ACA387" w14:textId="77777777" w:rsidTr="003A2D10">
        <w:trPr>
          <w:trHeight w:val="290"/>
        </w:trPr>
        <w:tc>
          <w:tcPr>
            <w:tcW w:w="6111" w:type="dxa"/>
            <w:tcBorders>
              <w:top w:val="nil"/>
              <w:left w:val="nil"/>
              <w:bottom w:val="nil"/>
              <w:right w:val="nil"/>
            </w:tcBorders>
            <w:shd w:val="clear" w:color="auto" w:fill="auto"/>
            <w:noWrap/>
            <w:vAlign w:val="center"/>
            <w:hideMark/>
          </w:tcPr>
          <w:p w14:paraId="6FDE118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PAF </w:t>
            </w:r>
          </w:p>
        </w:tc>
        <w:tc>
          <w:tcPr>
            <w:tcW w:w="3249" w:type="dxa"/>
            <w:tcBorders>
              <w:top w:val="nil"/>
              <w:left w:val="nil"/>
              <w:bottom w:val="nil"/>
              <w:right w:val="nil"/>
            </w:tcBorders>
            <w:shd w:val="clear" w:color="auto" w:fill="auto"/>
            <w:noWrap/>
            <w:vAlign w:val="center"/>
            <w:hideMark/>
          </w:tcPr>
          <w:p w14:paraId="355400B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7EEC272E" w14:textId="77777777" w:rsidTr="003A2D10">
        <w:trPr>
          <w:trHeight w:val="290"/>
        </w:trPr>
        <w:tc>
          <w:tcPr>
            <w:tcW w:w="6111" w:type="dxa"/>
            <w:tcBorders>
              <w:top w:val="nil"/>
              <w:left w:val="nil"/>
              <w:bottom w:val="nil"/>
              <w:right w:val="nil"/>
            </w:tcBorders>
            <w:shd w:val="clear" w:color="auto" w:fill="auto"/>
            <w:noWrap/>
            <w:vAlign w:val="center"/>
            <w:hideMark/>
          </w:tcPr>
          <w:p w14:paraId="640A689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six monthly report Jan - Jun </w:t>
            </w:r>
          </w:p>
        </w:tc>
        <w:tc>
          <w:tcPr>
            <w:tcW w:w="3249" w:type="dxa"/>
            <w:tcBorders>
              <w:top w:val="nil"/>
              <w:left w:val="nil"/>
              <w:bottom w:val="nil"/>
              <w:right w:val="nil"/>
            </w:tcBorders>
            <w:shd w:val="clear" w:color="auto" w:fill="auto"/>
            <w:noWrap/>
            <w:vAlign w:val="center"/>
            <w:hideMark/>
          </w:tcPr>
          <w:p w14:paraId="7E5ADD6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3B09A8CA" w14:textId="77777777" w:rsidTr="003A2D10">
        <w:trPr>
          <w:trHeight w:val="290"/>
        </w:trPr>
        <w:tc>
          <w:tcPr>
            <w:tcW w:w="6111" w:type="dxa"/>
            <w:tcBorders>
              <w:top w:val="nil"/>
              <w:left w:val="nil"/>
              <w:bottom w:val="nil"/>
              <w:right w:val="nil"/>
            </w:tcBorders>
            <w:shd w:val="clear" w:color="auto" w:fill="auto"/>
            <w:noWrap/>
            <w:vAlign w:val="center"/>
            <w:hideMark/>
          </w:tcPr>
          <w:p w14:paraId="44A8189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six monthly report Jan - Jun </w:t>
            </w:r>
          </w:p>
        </w:tc>
        <w:tc>
          <w:tcPr>
            <w:tcW w:w="3249" w:type="dxa"/>
            <w:tcBorders>
              <w:top w:val="nil"/>
              <w:left w:val="nil"/>
              <w:bottom w:val="nil"/>
              <w:right w:val="nil"/>
            </w:tcBorders>
            <w:shd w:val="clear" w:color="auto" w:fill="auto"/>
            <w:noWrap/>
            <w:vAlign w:val="center"/>
            <w:hideMark/>
          </w:tcPr>
          <w:p w14:paraId="7FC4C6C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45328516" w14:textId="77777777" w:rsidTr="003A2D10">
        <w:trPr>
          <w:trHeight w:val="290"/>
        </w:trPr>
        <w:tc>
          <w:tcPr>
            <w:tcW w:w="6111" w:type="dxa"/>
            <w:tcBorders>
              <w:top w:val="nil"/>
              <w:left w:val="nil"/>
              <w:bottom w:val="nil"/>
              <w:right w:val="nil"/>
            </w:tcBorders>
            <w:shd w:val="clear" w:color="auto" w:fill="auto"/>
            <w:noWrap/>
            <w:vAlign w:val="center"/>
            <w:hideMark/>
          </w:tcPr>
          <w:p w14:paraId="7C9D1CB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six monthly report Jan - Jun </w:t>
            </w:r>
          </w:p>
        </w:tc>
        <w:tc>
          <w:tcPr>
            <w:tcW w:w="3249" w:type="dxa"/>
            <w:tcBorders>
              <w:top w:val="nil"/>
              <w:left w:val="nil"/>
              <w:bottom w:val="nil"/>
              <w:right w:val="nil"/>
            </w:tcBorders>
            <w:shd w:val="clear" w:color="auto" w:fill="auto"/>
            <w:noWrap/>
            <w:vAlign w:val="center"/>
            <w:hideMark/>
          </w:tcPr>
          <w:p w14:paraId="3264197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34112A47" w14:textId="77777777" w:rsidTr="003A2D10">
        <w:trPr>
          <w:trHeight w:val="290"/>
        </w:trPr>
        <w:tc>
          <w:tcPr>
            <w:tcW w:w="6111" w:type="dxa"/>
            <w:tcBorders>
              <w:top w:val="nil"/>
              <w:left w:val="nil"/>
              <w:bottom w:val="nil"/>
              <w:right w:val="nil"/>
            </w:tcBorders>
            <w:shd w:val="clear" w:color="auto" w:fill="auto"/>
            <w:noWrap/>
            <w:vAlign w:val="center"/>
            <w:hideMark/>
          </w:tcPr>
          <w:p w14:paraId="3E286B1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six monthly report Jul - Dec </w:t>
            </w:r>
          </w:p>
        </w:tc>
        <w:tc>
          <w:tcPr>
            <w:tcW w:w="3249" w:type="dxa"/>
            <w:tcBorders>
              <w:top w:val="nil"/>
              <w:left w:val="nil"/>
              <w:bottom w:val="nil"/>
              <w:right w:val="nil"/>
            </w:tcBorders>
            <w:shd w:val="clear" w:color="auto" w:fill="auto"/>
            <w:noWrap/>
            <w:vAlign w:val="center"/>
            <w:hideMark/>
          </w:tcPr>
          <w:p w14:paraId="2FA04F5B"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13255BE3" w14:textId="77777777" w:rsidTr="003A2D10">
        <w:trPr>
          <w:trHeight w:val="290"/>
        </w:trPr>
        <w:tc>
          <w:tcPr>
            <w:tcW w:w="6111" w:type="dxa"/>
            <w:tcBorders>
              <w:top w:val="nil"/>
              <w:left w:val="nil"/>
              <w:bottom w:val="nil"/>
              <w:right w:val="nil"/>
            </w:tcBorders>
            <w:shd w:val="clear" w:color="auto" w:fill="auto"/>
            <w:noWrap/>
            <w:vAlign w:val="center"/>
            <w:hideMark/>
          </w:tcPr>
          <w:p w14:paraId="118FC5E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six monthly report Jul - Dec </w:t>
            </w:r>
          </w:p>
        </w:tc>
        <w:tc>
          <w:tcPr>
            <w:tcW w:w="3249" w:type="dxa"/>
            <w:tcBorders>
              <w:top w:val="nil"/>
              <w:left w:val="nil"/>
              <w:bottom w:val="nil"/>
              <w:right w:val="nil"/>
            </w:tcBorders>
            <w:shd w:val="clear" w:color="auto" w:fill="auto"/>
            <w:noWrap/>
            <w:vAlign w:val="center"/>
            <w:hideMark/>
          </w:tcPr>
          <w:p w14:paraId="53A8F0A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53D54A1F" w14:textId="77777777" w:rsidTr="003A2D10">
        <w:trPr>
          <w:trHeight w:val="290"/>
        </w:trPr>
        <w:tc>
          <w:tcPr>
            <w:tcW w:w="6111" w:type="dxa"/>
            <w:tcBorders>
              <w:top w:val="nil"/>
              <w:left w:val="nil"/>
              <w:bottom w:val="nil"/>
              <w:right w:val="nil"/>
            </w:tcBorders>
            <w:shd w:val="clear" w:color="auto" w:fill="auto"/>
            <w:noWrap/>
            <w:vAlign w:val="center"/>
            <w:hideMark/>
          </w:tcPr>
          <w:p w14:paraId="1B42DAC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MTDP3 Contribution Report </w:t>
            </w:r>
          </w:p>
        </w:tc>
        <w:tc>
          <w:tcPr>
            <w:tcW w:w="3249" w:type="dxa"/>
            <w:tcBorders>
              <w:top w:val="nil"/>
              <w:left w:val="nil"/>
              <w:bottom w:val="nil"/>
              <w:right w:val="nil"/>
            </w:tcBorders>
            <w:shd w:val="clear" w:color="auto" w:fill="auto"/>
            <w:noWrap/>
            <w:vAlign w:val="center"/>
            <w:hideMark/>
          </w:tcPr>
          <w:p w14:paraId="6ED09AF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5B7D341B" w14:textId="77777777" w:rsidTr="003A2D10">
        <w:trPr>
          <w:trHeight w:val="290"/>
        </w:trPr>
        <w:tc>
          <w:tcPr>
            <w:tcW w:w="6111" w:type="dxa"/>
            <w:tcBorders>
              <w:top w:val="nil"/>
              <w:left w:val="nil"/>
              <w:bottom w:val="nil"/>
              <w:right w:val="nil"/>
            </w:tcBorders>
            <w:shd w:val="clear" w:color="auto" w:fill="auto"/>
            <w:noWrap/>
            <w:vAlign w:val="bottom"/>
            <w:hideMark/>
          </w:tcPr>
          <w:p w14:paraId="38896C31"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0B0860FB"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0CA4A04E" w14:textId="77777777" w:rsidTr="003A2D10">
        <w:trPr>
          <w:trHeight w:val="290"/>
        </w:trPr>
        <w:tc>
          <w:tcPr>
            <w:tcW w:w="6111" w:type="dxa"/>
            <w:tcBorders>
              <w:top w:val="nil"/>
              <w:left w:val="nil"/>
              <w:bottom w:val="nil"/>
              <w:right w:val="nil"/>
            </w:tcBorders>
            <w:shd w:val="clear" w:color="auto" w:fill="auto"/>
            <w:noWrap/>
            <w:vAlign w:val="center"/>
            <w:hideMark/>
          </w:tcPr>
          <w:p w14:paraId="6D44CF1D"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PPF </w:t>
            </w:r>
          </w:p>
        </w:tc>
        <w:tc>
          <w:tcPr>
            <w:tcW w:w="3249" w:type="dxa"/>
            <w:tcBorders>
              <w:top w:val="nil"/>
              <w:left w:val="nil"/>
              <w:bottom w:val="nil"/>
              <w:right w:val="nil"/>
            </w:tcBorders>
            <w:shd w:val="clear" w:color="auto" w:fill="auto"/>
            <w:noWrap/>
            <w:vAlign w:val="bottom"/>
            <w:hideMark/>
          </w:tcPr>
          <w:p w14:paraId="03CA8D8A"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6769F00E" w14:textId="77777777" w:rsidTr="003A2D10">
        <w:trPr>
          <w:trHeight w:val="290"/>
        </w:trPr>
        <w:tc>
          <w:tcPr>
            <w:tcW w:w="6111" w:type="dxa"/>
            <w:tcBorders>
              <w:top w:val="nil"/>
              <w:left w:val="nil"/>
              <w:bottom w:val="nil"/>
              <w:right w:val="nil"/>
            </w:tcBorders>
            <w:shd w:val="clear" w:color="auto" w:fill="auto"/>
            <w:noWrap/>
            <w:vAlign w:val="center"/>
            <w:hideMark/>
          </w:tcPr>
          <w:p w14:paraId="22A69A8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PPF Annual Report </w:t>
            </w:r>
          </w:p>
        </w:tc>
        <w:tc>
          <w:tcPr>
            <w:tcW w:w="3249" w:type="dxa"/>
            <w:tcBorders>
              <w:top w:val="nil"/>
              <w:left w:val="nil"/>
              <w:bottom w:val="nil"/>
              <w:right w:val="nil"/>
            </w:tcBorders>
            <w:shd w:val="clear" w:color="auto" w:fill="auto"/>
            <w:noWrap/>
            <w:vAlign w:val="center"/>
            <w:hideMark/>
          </w:tcPr>
          <w:p w14:paraId="6C828D0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52B9ED38" w14:textId="77777777" w:rsidTr="003A2D10">
        <w:trPr>
          <w:trHeight w:val="290"/>
        </w:trPr>
        <w:tc>
          <w:tcPr>
            <w:tcW w:w="6111" w:type="dxa"/>
            <w:tcBorders>
              <w:top w:val="nil"/>
              <w:left w:val="nil"/>
              <w:bottom w:val="nil"/>
              <w:right w:val="nil"/>
            </w:tcBorders>
            <w:shd w:val="clear" w:color="auto" w:fill="auto"/>
            <w:noWrap/>
            <w:vAlign w:val="center"/>
            <w:hideMark/>
          </w:tcPr>
          <w:p w14:paraId="662B3C1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PPF Education Handover Plans </w:t>
            </w:r>
          </w:p>
        </w:tc>
        <w:tc>
          <w:tcPr>
            <w:tcW w:w="3249" w:type="dxa"/>
            <w:tcBorders>
              <w:top w:val="nil"/>
              <w:left w:val="nil"/>
              <w:bottom w:val="nil"/>
              <w:right w:val="nil"/>
            </w:tcBorders>
            <w:shd w:val="clear" w:color="auto" w:fill="auto"/>
            <w:noWrap/>
            <w:vAlign w:val="center"/>
            <w:hideMark/>
          </w:tcPr>
          <w:p w14:paraId="23AD845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13F26FB" w14:textId="77777777" w:rsidTr="003A2D10">
        <w:trPr>
          <w:trHeight w:val="290"/>
        </w:trPr>
        <w:tc>
          <w:tcPr>
            <w:tcW w:w="6111" w:type="dxa"/>
            <w:tcBorders>
              <w:top w:val="nil"/>
              <w:left w:val="nil"/>
              <w:bottom w:val="nil"/>
              <w:right w:val="nil"/>
            </w:tcBorders>
            <w:shd w:val="clear" w:color="auto" w:fill="auto"/>
            <w:noWrap/>
            <w:vAlign w:val="center"/>
            <w:hideMark/>
          </w:tcPr>
          <w:p w14:paraId="41CE565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PPF IMR </w:t>
            </w:r>
          </w:p>
        </w:tc>
        <w:tc>
          <w:tcPr>
            <w:tcW w:w="3249" w:type="dxa"/>
            <w:tcBorders>
              <w:top w:val="nil"/>
              <w:left w:val="nil"/>
              <w:bottom w:val="nil"/>
              <w:right w:val="nil"/>
            </w:tcBorders>
            <w:shd w:val="clear" w:color="auto" w:fill="auto"/>
            <w:noWrap/>
            <w:vAlign w:val="center"/>
            <w:hideMark/>
          </w:tcPr>
          <w:p w14:paraId="23D3D92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65F64F8B" w14:textId="77777777" w:rsidTr="003A2D10">
        <w:trPr>
          <w:trHeight w:val="290"/>
        </w:trPr>
        <w:tc>
          <w:tcPr>
            <w:tcW w:w="6111" w:type="dxa"/>
            <w:tcBorders>
              <w:top w:val="nil"/>
              <w:left w:val="nil"/>
              <w:bottom w:val="nil"/>
              <w:right w:val="nil"/>
            </w:tcBorders>
            <w:shd w:val="clear" w:color="auto" w:fill="auto"/>
            <w:noWrap/>
            <w:vAlign w:val="center"/>
            <w:hideMark/>
          </w:tcPr>
          <w:p w14:paraId="3EC7354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PPF Independent Education Grands Mid Term Review</w:t>
            </w:r>
          </w:p>
        </w:tc>
        <w:tc>
          <w:tcPr>
            <w:tcW w:w="3249" w:type="dxa"/>
            <w:tcBorders>
              <w:top w:val="nil"/>
              <w:left w:val="nil"/>
              <w:bottom w:val="nil"/>
              <w:right w:val="nil"/>
            </w:tcBorders>
            <w:shd w:val="clear" w:color="auto" w:fill="auto"/>
            <w:noWrap/>
            <w:vAlign w:val="center"/>
            <w:hideMark/>
          </w:tcPr>
          <w:p w14:paraId="7B542402"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4CFECB19" w14:textId="77777777" w:rsidTr="003A2D10">
        <w:trPr>
          <w:trHeight w:val="290"/>
        </w:trPr>
        <w:tc>
          <w:tcPr>
            <w:tcW w:w="6111" w:type="dxa"/>
            <w:tcBorders>
              <w:top w:val="nil"/>
              <w:left w:val="nil"/>
              <w:bottom w:val="nil"/>
              <w:right w:val="nil"/>
            </w:tcBorders>
            <w:shd w:val="clear" w:color="auto" w:fill="auto"/>
            <w:noWrap/>
            <w:vAlign w:val="center"/>
            <w:hideMark/>
          </w:tcPr>
          <w:p w14:paraId="35567A3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PPF MEAL Plan </w:t>
            </w:r>
          </w:p>
        </w:tc>
        <w:tc>
          <w:tcPr>
            <w:tcW w:w="3249" w:type="dxa"/>
            <w:tcBorders>
              <w:top w:val="nil"/>
              <w:left w:val="nil"/>
              <w:bottom w:val="nil"/>
              <w:right w:val="nil"/>
            </w:tcBorders>
            <w:shd w:val="clear" w:color="auto" w:fill="auto"/>
            <w:noWrap/>
            <w:vAlign w:val="center"/>
            <w:hideMark/>
          </w:tcPr>
          <w:p w14:paraId="519B46F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10E1FE90" w14:textId="77777777" w:rsidTr="003A2D10">
        <w:trPr>
          <w:trHeight w:val="290"/>
        </w:trPr>
        <w:tc>
          <w:tcPr>
            <w:tcW w:w="6111" w:type="dxa"/>
            <w:tcBorders>
              <w:top w:val="nil"/>
              <w:left w:val="nil"/>
              <w:bottom w:val="nil"/>
              <w:right w:val="nil"/>
            </w:tcBorders>
            <w:shd w:val="clear" w:color="auto" w:fill="auto"/>
            <w:noWrap/>
            <w:vAlign w:val="center"/>
            <w:hideMark/>
          </w:tcPr>
          <w:p w14:paraId="65C2559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lastRenderedPageBreak/>
              <w:t xml:space="preserve">PPF PPA </w:t>
            </w:r>
          </w:p>
        </w:tc>
        <w:tc>
          <w:tcPr>
            <w:tcW w:w="3249" w:type="dxa"/>
            <w:tcBorders>
              <w:top w:val="nil"/>
              <w:left w:val="nil"/>
              <w:bottom w:val="nil"/>
              <w:right w:val="nil"/>
            </w:tcBorders>
            <w:shd w:val="clear" w:color="auto" w:fill="auto"/>
            <w:noWrap/>
            <w:vAlign w:val="center"/>
            <w:hideMark/>
          </w:tcPr>
          <w:p w14:paraId="6B5AAE6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116B642D" w14:textId="77777777" w:rsidTr="003A2D10">
        <w:trPr>
          <w:trHeight w:val="290"/>
        </w:trPr>
        <w:tc>
          <w:tcPr>
            <w:tcW w:w="6111" w:type="dxa"/>
            <w:tcBorders>
              <w:top w:val="nil"/>
              <w:left w:val="nil"/>
              <w:bottom w:val="nil"/>
              <w:right w:val="nil"/>
            </w:tcBorders>
            <w:shd w:val="clear" w:color="auto" w:fill="auto"/>
            <w:noWrap/>
            <w:vAlign w:val="center"/>
            <w:hideMark/>
          </w:tcPr>
          <w:p w14:paraId="48EF9D1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PPF Progress Report </w:t>
            </w:r>
          </w:p>
        </w:tc>
        <w:tc>
          <w:tcPr>
            <w:tcW w:w="3249" w:type="dxa"/>
            <w:tcBorders>
              <w:top w:val="nil"/>
              <w:left w:val="nil"/>
              <w:bottom w:val="nil"/>
              <w:right w:val="nil"/>
            </w:tcBorders>
            <w:shd w:val="clear" w:color="auto" w:fill="auto"/>
            <w:noWrap/>
            <w:vAlign w:val="center"/>
            <w:hideMark/>
          </w:tcPr>
          <w:p w14:paraId="2B69B5A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2A0BE1EE" w14:textId="77777777" w:rsidTr="003A2D10">
        <w:trPr>
          <w:trHeight w:val="290"/>
        </w:trPr>
        <w:tc>
          <w:tcPr>
            <w:tcW w:w="6111" w:type="dxa"/>
            <w:tcBorders>
              <w:top w:val="nil"/>
              <w:left w:val="nil"/>
              <w:bottom w:val="nil"/>
              <w:right w:val="nil"/>
            </w:tcBorders>
            <w:shd w:val="clear" w:color="auto" w:fill="auto"/>
            <w:noWrap/>
            <w:vAlign w:val="center"/>
            <w:hideMark/>
          </w:tcPr>
          <w:p w14:paraId="5FEEB9E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PPF Six Monthly Report Jan - Jun</w:t>
            </w:r>
          </w:p>
        </w:tc>
        <w:tc>
          <w:tcPr>
            <w:tcW w:w="3249" w:type="dxa"/>
            <w:tcBorders>
              <w:top w:val="nil"/>
              <w:left w:val="nil"/>
              <w:bottom w:val="nil"/>
              <w:right w:val="nil"/>
            </w:tcBorders>
            <w:shd w:val="clear" w:color="auto" w:fill="auto"/>
            <w:noWrap/>
            <w:vAlign w:val="center"/>
            <w:hideMark/>
          </w:tcPr>
          <w:p w14:paraId="645EF5E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17967F39" w14:textId="77777777" w:rsidTr="003A2D10">
        <w:trPr>
          <w:trHeight w:val="290"/>
        </w:trPr>
        <w:tc>
          <w:tcPr>
            <w:tcW w:w="6111" w:type="dxa"/>
            <w:tcBorders>
              <w:top w:val="nil"/>
              <w:left w:val="nil"/>
              <w:bottom w:val="nil"/>
              <w:right w:val="nil"/>
            </w:tcBorders>
            <w:shd w:val="clear" w:color="auto" w:fill="auto"/>
            <w:noWrap/>
            <w:vAlign w:val="center"/>
            <w:hideMark/>
          </w:tcPr>
          <w:p w14:paraId="24E7207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PPF Six Monthly Report Jan - Jun</w:t>
            </w:r>
          </w:p>
        </w:tc>
        <w:tc>
          <w:tcPr>
            <w:tcW w:w="3249" w:type="dxa"/>
            <w:tcBorders>
              <w:top w:val="nil"/>
              <w:left w:val="nil"/>
              <w:bottom w:val="nil"/>
              <w:right w:val="nil"/>
            </w:tcBorders>
            <w:shd w:val="clear" w:color="auto" w:fill="auto"/>
            <w:noWrap/>
            <w:vAlign w:val="center"/>
            <w:hideMark/>
          </w:tcPr>
          <w:p w14:paraId="51D5F14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6BC77C44" w14:textId="77777777" w:rsidTr="003A2D10">
        <w:trPr>
          <w:trHeight w:val="290"/>
        </w:trPr>
        <w:tc>
          <w:tcPr>
            <w:tcW w:w="6111" w:type="dxa"/>
            <w:tcBorders>
              <w:top w:val="nil"/>
              <w:left w:val="nil"/>
              <w:bottom w:val="nil"/>
              <w:right w:val="nil"/>
            </w:tcBorders>
            <w:shd w:val="clear" w:color="auto" w:fill="auto"/>
            <w:noWrap/>
            <w:vAlign w:val="center"/>
            <w:hideMark/>
          </w:tcPr>
          <w:p w14:paraId="039B714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PTS Detailed Findings Report </w:t>
            </w:r>
          </w:p>
        </w:tc>
        <w:tc>
          <w:tcPr>
            <w:tcW w:w="3249" w:type="dxa"/>
            <w:tcBorders>
              <w:top w:val="nil"/>
              <w:left w:val="nil"/>
              <w:bottom w:val="nil"/>
              <w:right w:val="nil"/>
            </w:tcBorders>
            <w:shd w:val="clear" w:color="auto" w:fill="auto"/>
            <w:noWrap/>
            <w:vAlign w:val="center"/>
            <w:hideMark/>
          </w:tcPr>
          <w:p w14:paraId="7D561DF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2018</w:t>
            </w:r>
          </w:p>
        </w:tc>
      </w:tr>
      <w:tr w:rsidR="003A2D10" w:rsidRPr="003A2D10" w14:paraId="1A6A8246" w14:textId="77777777" w:rsidTr="003A2D10">
        <w:trPr>
          <w:trHeight w:val="290"/>
        </w:trPr>
        <w:tc>
          <w:tcPr>
            <w:tcW w:w="6111" w:type="dxa"/>
            <w:tcBorders>
              <w:top w:val="nil"/>
              <w:left w:val="nil"/>
              <w:bottom w:val="nil"/>
              <w:right w:val="nil"/>
            </w:tcBorders>
            <w:shd w:val="clear" w:color="auto" w:fill="auto"/>
            <w:noWrap/>
            <w:vAlign w:val="bottom"/>
            <w:hideMark/>
          </w:tcPr>
          <w:p w14:paraId="5EF7351D"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4CBD6F7A"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43BF60E3" w14:textId="77777777" w:rsidTr="003A2D10">
        <w:trPr>
          <w:trHeight w:val="290"/>
        </w:trPr>
        <w:tc>
          <w:tcPr>
            <w:tcW w:w="6111" w:type="dxa"/>
            <w:tcBorders>
              <w:top w:val="nil"/>
              <w:left w:val="nil"/>
              <w:bottom w:val="nil"/>
              <w:right w:val="nil"/>
            </w:tcBorders>
            <w:shd w:val="clear" w:color="auto" w:fill="auto"/>
            <w:noWrap/>
            <w:vAlign w:val="center"/>
            <w:hideMark/>
          </w:tcPr>
          <w:p w14:paraId="031480F0"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PSLR </w:t>
            </w:r>
          </w:p>
        </w:tc>
        <w:tc>
          <w:tcPr>
            <w:tcW w:w="3249" w:type="dxa"/>
            <w:tcBorders>
              <w:top w:val="nil"/>
              <w:left w:val="nil"/>
              <w:bottom w:val="nil"/>
              <w:right w:val="nil"/>
            </w:tcBorders>
            <w:shd w:val="clear" w:color="auto" w:fill="auto"/>
            <w:noWrap/>
            <w:vAlign w:val="bottom"/>
            <w:hideMark/>
          </w:tcPr>
          <w:p w14:paraId="44A331EE"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2B5720B7" w14:textId="77777777" w:rsidTr="003A2D10">
        <w:trPr>
          <w:trHeight w:val="290"/>
        </w:trPr>
        <w:tc>
          <w:tcPr>
            <w:tcW w:w="6111" w:type="dxa"/>
            <w:tcBorders>
              <w:top w:val="nil"/>
              <w:left w:val="nil"/>
              <w:bottom w:val="nil"/>
              <w:right w:val="nil"/>
            </w:tcBorders>
            <w:shd w:val="clear" w:color="auto" w:fill="auto"/>
            <w:noWrap/>
            <w:vAlign w:val="center"/>
            <w:hideMark/>
          </w:tcPr>
          <w:p w14:paraId="1FF4C4C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PSLR AQC </w:t>
            </w:r>
          </w:p>
        </w:tc>
        <w:tc>
          <w:tcPr>
            <w:tcW w:w="3249" w:type="dxa"/>
            <w:tcBorders>
              <w:top w:val="nil"/>
              <w:left w:val="nil"/>
              <w:bottom w:val="nil"/>
              <w:right w:val="nil"/>
            </w:tcBorders>
            <w:shd w:val="clear" w:color="auto" w:fill="auto"/>
            <w:noWrap/>
            <w:vAlign w:val="center"/>
            <w:hideMark/>
          </w:tcPr>
          <w:p w14:paraId="0C2CBCE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280FE52C" w14:textId="77777777" w:rsidTr="003A2D10">
        <w:trPr>
          <w:trHeight w:val="290"/>
        </w:trPr>
        <w:tc>
          <w:tcPr>
            <w:tcW w:w="6111" w:type="dxa"/>
            <w:tcBorders>
              <w:top w:val="nil"/>
              <w:left w:val="nil"/>
              <w:bottom w:val="nil"/>
              <w:right w:val="nil"/>
            </w:tcBorders>
            <w:shd w:val="clear" w:color="auto" w:fill="auto"/>
            <w:noWrap/>
            <w:vAlign w:val="center"/>
            <w:hideMark/>
          </w:tcPr>
          <w:p w14:paraId="488ED490"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PSLR AQC </w:t>
            </w:r>
          </w:p>
        </w:tc>
        <w:tc>
          <w:tcPr>
            <w:tcW w:w="3249" w:type="dxa"/>
            <w:tcBorders>
              <w:top w:val="nil"/>
              <w:left w:val="nil"/>
              <w:bottom w:val="nil"/>
              <w:right w:val="nil"/>
            </w:tcBorders>
            <w:shd w:val="clear" w:color="auto" w:fill="auto"/>
            <w:noWrap/>
            <w:vAlign w:val="center"/>
            <w:hideMark/>
          </w:tcPr>
          <w:p w14:paraId="2A7D681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51DB7617" w14:textId="77777777" w:rsidTr="003A2D10">
        <w:trPr>
          <w:trHeight w:val="290"/>
        </w:trPr>
        <w:tc>
          <w:tcPr>
            <w:tcW w:w="6111" w:type="dxa"/>
            <w:tcBorders>
              <w:top w:val="nil"/>
              <w:left w:val="nil"/>
              <w:bottom w:val="nil"/>
              <w:right w:val="nil"/>
            </w:tcBorders>
            <w:shd w:val="clear" w:color="auto" w:fill="auto"/>
            <w:noWrap/>
            <w:vAlign w:val="center"/>
            <w:hideMark/>
          </w:tcPr>
          <w:p w14:paraId="04D78B26"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PSLR Investment Completion Report </w:t>
            </w:r>
          </w:p>
        </w:tc>
        <w:tc>
          <w:tcPr>
            <w:tcW w:w="3249" w:type="dxa"/>
            <w:tcBorders>
              <w:top w:val="nil"/>
              <w:left w:val="nil"/>
              <w:bottom w:val="nil"/>
              <w:right w:val="nil"/>
            </w:tcBorders>
            <w:shd w:val="clear" w:color="auto" w:fill="auto"/>
            <w:noWrap/>
            <w:vAlign w:val="center"/>
            <w:hideMark/>
          </w:tcPr>
          <w:p w14:paraId="5C01F331"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2021</w:t>
            </w:r>
          </w:p>
        </w:tc>
      </w:tr>
      <w:tr w:rsidR="003A2D10" w:rsidRPr="003A2D10" w14:paraId="14C00FFD" w14:textId="77777777" w:rsidTr="003A2D10">
        <w:trPr>
          <w:trHeight w:val="290"/>
        </w:trPr>
        <w:tc>
          <w:tcPr>
            <w:tcW w:w="6111" w:type="dxa"/>
            <w:tcBorders>
              <w:top w:val="nil"/>
              <w:left w:val="nil"/>
              <w:bottom w:val="nil"/>
              <w:right w:val="nil"/>
            </w:tcBorders>
            <w:shd w:val="clear" w:color="auto" w:fill="auto"/>
            <w:noWrap/>
            <w:vAlign w:val="center"/>
            <w:hideMark/>
          </w:tcPr>
          <w:p w14:paraId="6B4E41A5"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PSLR PAF </w:t>
            </w:r>
          </w:p>
        </w:tc>
        <w:tc>
          <w:tcPr>
            <w:tcW w:w="3249" w:type="dxa"/>
            <w:tcBorders>
              <w:top w:val="nil"/>
              <w:left w:val="nil"/>
              <w:bottom w:val="nil"/>
              <w:right w:val="nil"/>
            </w:tcBorders>
            <w:shd w:val="clear" w:color="auto" w:fill="auto"/>
            <w:noWrap/>
            <w:vAlign w:val="center"/>
            <w:hideMark/>
          </w:tcPr>
          <w:p w14:paraId="3439495C"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0405DB37" w14:textId="77777777" w:rsidTr="003A2D10">
        <w:trPr>
          <w:trHeight w:val="290"/>
        </w:trPr>
        <w:tc>
          <w:tcPr>
            <w:tcW w:w="6111" w:type="dxa"/>
            <w:tcBorders>
              <w:top w:val="nil"/>
              <w:left w:val="nil"/>
              <w:bottom w:val="nil"/>
              <w:right w:val="nil"/>
            </w:tcBorders>
            <w:shd w:val="clear" w:color="auto" w:fill="auto"/>
            <w:noWrap/>
            <w:vAlign w:val="center"/>
            <w:hideMark/>
          </w:tcPr>
          <w:p w14:paraId="27320DEA"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PSLR Six monthly report Jul - Dec</w:t>
            </w:r>
          </w:p>
        </w:tc>
        <w:tc>
          <w:tcPr>
            <w:tcW w:w="3249" w:type="dxa"/>
            <w:tcBorders>
              <w:top w:val="nil"/>
              <w:left w:val="nil"/>
              <w:bottom w:val="nil"/>
              <w:right w:val="nil"/>
            </w:tcBorders>
            <w:shd w:val="clear" w:color="auto" w:fill="auto"/>
            <w:noWrap/>
            <w:vAlign w:val="center"/>
            <w:hideMark/>
          </w:tcPr>
          <w:p w14:paraId="464C9BE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5BD934E5" w14:textId="77777777" w:rsidTr="003A2D10">
        <w:trPr>
          <w:trHeight w:val="290"/>
        </w:trPr>
        <w:tc>
          <w:tcPr>
            <w:tcW w:w="6111" w:type="dxa"/>
            <w:tcBorders>
              <w:top w:val="nil"/>
              <w:left w:val="nil"/>
              <w:bottom w:val="nil"/>
              <w:right w:val="nil"/>
            </w:tcBorders>
            <w:shd w:val="clear" w:color="auto" w:fill="auto"/>
            <w:noWrap/>
            <w:vAlign w:val="center"/>
            <w:hideMark/>
          </w:tcPr>
          <w:p w14:paraId="6FB78ED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PSLR Strategic Review </w:t>
            </w:r>
          </w:p>
        </w:tc>
        <w:tc>
          <w:tcPr>
            <w:tcW w:w="3249" w:type="dxa"/>
            <w:tcBorders>
              <w:top w:val="nil"/>
              <w:left w:val="nil"/>
              <w:bottom w:val="nil"/>
              <w:right w:val="nil"/>
            </w:tcBorders>
            <w:shd w:val="clear" w:color="auto" w:fill="auto"/>
            <w:noWrap/>
            <w:vAlign w:val="center"/>
            <w:hideMark/>
          </w:tcPr>
          <w:p w14:paraId="6FEFC158"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52AB05A7" w14:textId="77777777" w:rsidTr="003A2D10">
        <w:trPr>
          <w:trHeight w:val="290"/>
        </w:trPr>
        <w:tc>
          <w:tcPr>
            <w:tcW w:w="6111" w:type="dxa"/>
            <w:tcBorders>
              <w:top w:val="nil"/>
              <w:left w:val="nil"/>
              <w:bottom w:val="nil"/>
              <w:right w:val="nil"/>
            </w:tcBorders>
            <w:shd w:val="clear" w:color="auto" w:fill="auto"/>
            <w:noWrap/>
            <w:vAlign w:val="bottom"/>
            <w:hideMark/>
          </w:tcPr>
          <w:p w14:paraId="36CF0CA2" w14:textId="77777777" w:rsidR="003A2D10" w:rsidRPr="003A2D10" w:rsidRDefault="003A2D10" w:rsidP="003A2D10">
            <w:pPr>
              <w:spacing w:after="0" w:line="240" w:lineRule="auto"/>
              <w:jc w:val="left"/>
              <w:rPr>
                <w:rFonts w:ascii="Arial" w:eastAsia="Times New Roman" w:hAnsi="Arial" w:cs="Arial"/>
                <w:color w:val="000000"/>
                <w:lang w:val="en-AU" w:eastAsia="en-AU"/>
              </w:rPr>
            </w:pPr>
          </w:p>
        </w:tc>
        <w:tc>
          <w:tcPr>
            <w:tcW w:w="3249" w:type="dxa"/>
            <w:tcBorders>
              <w:top w:val="nil"/>
              <w:left w:val="nil"/>
              <w:bottom w:val="nil"/>
              <w:right w:val="nil"/>
            </w:tcBorders>
            <w:shd w:val="clear" w:color="auto" w:fill="auto"/>
            <w:noWrap/>
            <w:vAlign w:val="bottom"/>
            <w:hideMark/>
          </w:tcPr>
          <w:p w14:paraId="40247BB8" w14:textId="77777777" w:rsidR="003A2D10" w:rsidRPr="003A2D10" w:rsidRDefault="003A2D10" w:rsidP="003A2D10">
            <w:pPr>
              <w:spacing w:after="0" w:line="240" w:lineRule="auto"/>
              <w:jc w:val="left"/>
              <w:rPr>
                <w:rFonts w:ascii="Times New Roman" w:eastAsia="Times New Roman" w:hAnsi="Times New Roman" w:cs="Times New Roman"/>
                <w:sz w:val="20"/>
                <w:szCs w:val="20"/>
                <w:lang w:val="en-AU" w:eastAsia="en-AU"/>
              </w:rPr>
            </w:pPr>
          </w:p>
        </w:tc>
      </w:tr>
      <w:tr w:rsidR="003A2D10" w:rsidRPr="003A2D10" w14:paraId="5CBE6267" w14:textId="77777777" w:rsidTr="003A2D10">
        <w:trPr>
          <w:trHeight w:val="290"/>
        </w:trPr>
        <w:tc>
          <w:tcPr>
            <w:tcW w:w="6111" w:type="dxa"/>
            <w:tcBorders>
              <w:top w:val="nil"/>
              <w:left w:val="nil"/>
              <w:bottom w:val="nil"/>
              <w:right w:val="nil"/>
            </w:tcBorders>
            <w:shd w:val="clear" w:color="auto" w:fill="auto"/>
            <w:noWrap/>
            <w:vAlign w:val="center"/>
            <w:hideMark/>
          </w:tcPr>
          <w:p w14:paraId="0604C046"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r w:rsidRPr="003A2D10">
              <w:rPr>
                <w:rFonts w:ascii="Arial" w:eastAsia="Times New Roman" w:hAnsi="Arial" w:cs="Arial"/>
                <w:b/>
                <w:bCs/>
                <w:color w:val="000000"/>
                <w:lang w:val="en-AU" w:eastAsia="en-AU"/>
              </w:rPr>
              <w:t xml:space="preserve">VfM </w:t>
            </w:r>
          </w:p>
        </w:tc>
        <w:tc>
          <w:tcPr>
            <w:tcW w:w="3249" w:type="dxa"/>
            <w:tcBorders>
              <w:top w:val="nil"/>
              <w:left w:val="nil"/>
              <w:bottom w:val="nil"/>
              <w:right w:val="nil"/>
            </w:tcBorders>
            <w:shd w:val="clear" w:color="auto" w:fill="auto"/>
            <w:noWrap/>
            <w:vAlign w:val="bottom"/>
            <w:hideMark/>
          </w:tcPr>
          <w:p w14:paraId="7F50E06B" w14:textId="77777777" w:rsidR="003A2D10" w:rsidRPr="003A2D10" w:rsidRDefault="003A2D10" w:rsidP="003A2D10">
            <w:pPr>
              <w:spacing w:after="0" w:line="240" w:lineRule="auto"/>
              <w:jc w:val="left"/>
              <w:rPr>
                <w:rFonts w:ascii="Arial" w:eastAsia="Times New Roman" w:hAnsi="Arial" w:cs="Arial"/>
                <w:b/>
                <w:bCs/>
                <w:color w:val="000000"/>
                <w:lang w:val="en-AU" w:eastAsia="en-AU"/>
              </w:rPr>
            </w:pPr>
          </w:p>
        </w:tc>
      </w:tr>
      <w:tr w:rsidR="003A2D10" w:rsidRPr="003A2D10" w14:paraId="1DAA12B5" w14:textId="77777777" w:rsidTr="003A2D10">
        <w:trPr>
          <w:trHeight w:val="290"/>
        </w:trPr>
        <w:tc>
          <w:tcPr>
            <w:tcW w:w="6111" w:type="dxa"/>
            <w:tcBorders>
              <w:top w:val="nil"/>
              <w:left w:val="nil"/>
              <w:bottom w:val="nil"/>
              <w:right w:val="nil"/>
            </w:tcBorders>
            <w:shd w:val="clear" w:color="auto" w:fill="auto"/>
            <w:noWrap/>
            <w:vAlign w:val="center"/>
            <w:hideMark/>
          </w:tcPr>
          <w:p w14:paraId="0ED1FB3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Facility Partnerships with VfM Criteria Parameters </w:t>
            </w:r>
          </w:p>
        </w:tc>
        <w:tc>
          <w:tcPr>
            <w:tcW w:w="3249" w:type="dxa"/>
            <w:tcBorders>
              <w:top w:val="nil"/>
              <w:left w:val="nil"/>
              <w:bottom w:val="nil"/>
              <w:right w:val="nil"/>
            </w:tcBorders>
            <w:shd w:val="clear" w:color="auto" w:fill="auto"/>
            <w:noWrap/>
            <w:vAlign w:val="center"/>
            <w:hideMark/>
          </w:tcPr>
          <w:p w14:paraId="28A00344"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2019</w:t>
            </w:r>
          </w:p>
        </w:tc>
      </w:tr>
      <w:tr w:rsidR="003A2D10" w:rsidRPr="003A2D10" w14:paraId="713F732A" w14:textId="77777777" w:rsidTr="003A2D10">
        <w:trPr>
          <w:trHeight w:val="290"/>
        </w:trPr>
        <w:tc>
          <w:tcPr>
            <w:tcW w:w="6111" w:type="dxa"/>
            <w:tcBorders>
              <w:top w:val="nil"/>
              <w:left w:val="nil"/>
              <w:bottom w:val="nil"/>
              <w:right w:val="nil"/>
            </w:tcBorders>
            <w:shd w:val="clear" w:color="auto" w:fill="auto"/>
            <w:noWrap/>
            <w:vAlign w:val="center"/>
            <w:hideMark/>
          </w:tcPr>
          <w:p w14:paraId="209C7CC7"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Simplified Facility VfM Framework </w:t>
            </w:r>
          </w:p>
        </w:tc>
        <w:tc>
          <w:tcPr>
            <w:tcW w:w="3249" w:type="dxa"/>
            <w:tcBorders>
              <w:top w:val="nil"/>
              <w:left w:val="nil"/>
              <w:bottom w:val="nil"/>
              <w:right w:val="nil"/>
            </w:tcBorders>
            <w:shd w:val="clear" w:color="auto" w:fill="auto"/>
            <w:noWrap/>
            <w:vAlign w:val="center"/>
            <w:hideMark/>
          </w:tcPr>
          <w:p w14:paraId="2E6B9BA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No date</w:t>
            </w:r>
          </w:p>
        </w:tc>
      </w:tr>
      <w:tr w:rsidR="003A2D10" w:rsidRPr="003A2D10" w14:paraId="4BDE801C" w14:textId="77777777" w:rsidTr="003A2D10">
        <w:trPr>
          <w:trHeight w:val="290"/>
        </w:trPr>
        <w:tc>
          <w:tcPr>
            <w:tcW w:w="6111" w:type="dxa"/>
            <w:tcBorders>
              <w:top w:val="nil"/>
              <w:left w:val="nil"/>
              <w:bottom w:val="nil"/>
              <w:right w:val="nil"/>
            </w:tcBorders>
            <w:shd w:val="clear" w:color="auto" w:fill="auto"/>
            <w:noWrap/>
            <w:vAlign w:val="center"/>
            <w:hideMark/>
          </w:tcPr>
          <w:p w14:paraId="2A320B1E"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VfM Briefing Note </w:t>
            </w:r>
          </w:p>
        </w:tc>
        <w:tc>
          <w:tcPr>
            <w:tcW w:w="3249" w:type="dxa"/>
            <w:tcBorders>
              <w:top w:val="nil"/>
              <w:left w:val="nil"/>
              <w:bottom w:val="nil"/>
              <w:right w:val="nil"/>
            </w:tcBorders>
            <w:shd w:val="clear" w:color="auto" w:fill="auto"/>
            <w:noWrap/>
            <w:vAlign w:val="center"/>
            <w:hideMark/>
          </w:tcPr>
          <w:p w14:paraId="5CE15749"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r w:rsidR="003A2D10" w:rsidRPr="003A2D10" w14:paraId="04F4EECA" w14:textId="77777777" w:rsidTr="003A2D10">
        <w:trPr>
          <w:trHeight w:val="290"/>
        </w:trPr>
        <w:tc>
          <w:tcPr>
            <w:tcW w:w="6111" w:type="dxa"/>
            <w:tcBorders>
              <w:top w:val="nil"/>
              <w:left w:val="nil"/>
              <w:bottom w:val="nil"/>
              <w:right w:val="nil"/>
            </w:tcBorders>
            <w:shd w:val="clear" w:color="auto" w:fill="auto"/>
            <w:noWrap/>
            <w:vAlign w:val="center"/>
            <w:hideMark/>
          </w:tcPr>
          <w:p w14:paraId="31E57DED"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 xml:space="preserve">VfM Framework Booklet </w:t>
            </w:r>
          </w:p>
        </w:tc>
        <w:tc>
          <w:tcPr>
            <w:tcW w:w="3249" w:type="dxa"/>
            <w:tcBorders>
              <w:top w:val="nil"/>
              <w:left w:val="nil"/>
              <w:bottom w:val="nil"/>
              <w:right w:val="nil"/>
            </w:tcBorders>
            <w:shd w:val="clear" w:color="auto" w:fill="auto"/>
            <w:noWrap/>
            <w:vAlign w:val="center"/>
            <w:hideMark/>
          </w:tcPr>
          <w:p w14:paraId="4C1CB913" w14:textId="77777777" w:rsidR="003A2D10" w:rsidRPr="003A2D10" w:rsidRDefault="003A2D10" w:rsidP="003A2D10">
            <w:pPr>
              <w:spacing w:after="0" w:line="240" w:lineRule="auto"/>
              <w:jc w:val="left"/>
              <w:rPr>
                <w:rFonts w:ascii="Arial" w:eastAsia="Times New Roman" w:hAnsi="Arial" w:cs="Arial"/>
                <w:color w:val="000000"/>
                <w:lang w:val="en-AU" w:eastAsia="en-AU"/>
              </w:rPr>
            </w:pPr>
            <w:r w:rsidRPr="003A2D10">
              <w:rPr>
                <w:rFonts w:ascii="Arial" w:eastAsia="Times New Roman" w:hAnsi="Arial" w:cs="Arial"/>
                <w:color w:val="000000"/>
                <w:lang w:val="en-AU" w:eastAsia="en-AU"/>
              </w:rPr>
              <w:t>2020</w:t>
            </w:r>
          </w:p>
        </w:tc>
      </w:tr>
    </w:tbl>
    <w:p w14:paraId="2DE16459" w14:textId="77777777" w:rsidR="002B3249" w:rsidRPr="002B3249" w:rsidRDefault="002B3249" w:rsidP="001A568E">
      <w:pPr>
        <w:jc w:val="left"/>
      </w:pPr>
    </w:p>
    <w:p w14:paraId="241AA183" w14:textId="3D093D3B" w:rsidR="00AF6DBD" w:rsidRPr="00BC1D96" w:rsidRDefault="00F706EF" w:rsidP="001A568E">
      <w:pPr>
        <w:pStyle w:val="Heading1"/>
        <w:jc w:val="left"/>
      </w:pPr>
      <w:bookmarkStart w:id="27" w:name="_Toc104183791"/>
      <w:r>
        <w:lastRenderedPageBreak/>
        <w:t>Annex III – Individuals Consulted</w:t>
      </w:r>
      <w:bookmarkEnd w:id="27"/>
      <w:r>
        <w:t xml:space="preserve"> </w:t>
      </w:r>
    </w:p>
    <w:tbl>
      <w:tblPr>
        <w:tblStyle w:val="TableGrid"/>
        <w:tblW w:w="0" w:type="auto"/>
        <w:tblLook w:val="04A0" w:firstRow="1" w:lastRow="0" w:firstColumn="1" w:lastColumn="0" w:noHBand="0" w:noVBand="1"/>
      </w:tblPr>
      <w:tblGrid>
        <w:gridCol w:w="728"/>
        <w:gridCol w:w="2015"/>
        <w:gridCol w:w="4268"/>
        <w:gridCol w:w="1999"/>
      </w:tblGrid>
      <w:tr w:rsidR="00AF6DBD" w:rsidRPr="00E53BBC" w14:paraId="4A5CFA32" w14:textId="77777777" w:rsidTr="00265BB9">
        <w:trPr>
          <w:trHeight w:val="377"/>
          <w:tblHeader/>
        </w:trPr>
        <w:tc>
          <w:tcPr>
            <w:tcW w:w="705" w:type="dxa"/>
            <w:vAlign w:val="center"/>
          </w:tcPr>
          <w:p w14:paraId="2CB2F476"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S/No.</w:t>
            </w:r>
          </w:p>
        </w:tc>
        <w:tc>
          <w:tcPr>
            <w:tcW w:w="2834" w:type="dxa"/>
            <w:vAlign w:val="center"/>
          </w:tcPr>
          <w:p w14:paraId="6859237D"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Name</w:t>
            </w:r>
          </w:p>
        </w:tc>
        <w:tc>
          <w:tcPr>
            <w:tcW w:w="6662" w:type="dxa"/>
            <w:vAlign w:val="center"/>
          </w:tcPr>
          <w:p w14:paraId="3EB35D55"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Role</w:t>
            </w:r>
          </w:p>
        </w:tc>
        <w:tc>
          <w:tcPr>
            <w:tcW w:w="2552" w:type="dxa"/>
            <w:vAlign w:val="center"/>
          </w:tcPr>
          <w:p w14:paraId="02106771"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Organization</w:t>
            </w:r>
          </w:p>
        </w:tc>
      </w:tr>
      <w:tr w:rsidR="00AF6DBD" w:rsidRPr="00E53BBC" w14:paraId="5E343327" w14:textId="77777777" w:rsidTr="00265BB9">
        <w:trPr>
          <w:trHeight w:val="377"/>
        </w:trPr>
        <w:tc>
          <w:tcPr>
            <w:tcW w:w="705" w:type="dxa"/>
            <w:vAlign w:val="center"/>
          </w:tcPr>
          <w:p w14:paraId="6BF7271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p>
        </w:tc>
        <w:tc>
          <w:tcPr>
            <w:tcW w:w="2834" w:type="dxa"/>
            <w:vAlign w:val="center"/>
          </w:tcPr>
          <w:p w14:paraId="03A3361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Joe Manteit</w:t>
            </w:r>
          </w:p>
        </w:tc>
        <w:tc>
          <w:tcPr>
            <w:tcW w:w="6662" w:type="dxa"/>
            <w:vAlign w:val="center"/>
          </w:tcPr>
          <w:p w14:paraId="275E9B5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Second Secretary, Justice, Accountability and Subnational Development (PAGP Contract/Platform)</w:t>
            </w:r>
          </w:p>
        </w:tc>
        <w:tc>
          <w:tcPr>
            <w:tcW w:w="2552" w:type="dxa"/>
            <w:vAlign w:val="center"/>
          </w:tcPr>
          <w:p w14:paraId="737B59E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0C350DC6" w14:textId="77777777" w:rsidTr="00265BB9">
        <w:trPr>
          <w:trHeight w:val="377"/>
        </w:trPr>
        <w:tc>
          <w:tcPr>
            <w:tcW w:w="705" w:type="dxa"/>
            <w:vAlign w:val="center"/>
          </w:tcPr>
          <w:p w14:paraId="139B495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w:t>
            </w:r>
          </w:p>
        </w:tc>
        <w:tc>
          <w:tcPr>
            <w:tcW w:w="2834" w:type="dxa"/>
            <w:vAlign w:val="center"/>
          </w:tcPr>
          <w:p w14:paraId="4759773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Casey Senome</w:t>
            </w:r>
          </w:p>
        </w:tc>
        <w:tc>
          <w:tcPr>
            <w:tcW w:w="6662" w:type="dxa"/>
            <w:vAlign w:val="center"/>
          </w:tcPr>
          <w:p w14:paraId="4E3EF59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Atg / Counsellor, Justice, Accountability and Subnational Development (PAGP Contract/Platform)</w:t>
            </w:r>
          </w:p>
        </w:tc>
        <w:tc>
          <w:tcPr>
            <w:tcW w:w="2552" w:type="dxa"/>
            <w:vAlign w:val="center"/>
          </w:tcPr>
          <w:p w14:paraId="606134D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1A847A4B" w14:textId="77777777" w:rsidTr="00265BB9">
        <w:trPr>
          <w:trHeight w:val="377"/>
        </w:trPr>
        <w:tc>
          <w:tcPr>
            <w:tcW w:w="705" w:type="dxa"/>
            <w:vAlign w:val="center"/>
          </w:tcPr>
          <w:p w14:paraId="6A5E2D7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w:t>
            </w:r>
          </w:p>
        </w:tc>
        <w:tc>
          <w:tcPr>
            <w:tcW w:w="2834" w:type="dxa"/>
            <w:vAlign w:val="center"/>
          </w:tcPr>
          <w:p w14:paraId="3A02DB1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Philomena Emilio</w:t>
            </w:r>
          </w:p>
        </w:tc>
        <w:tc>
          <w:tcPr>
            <w:tcW w:w="6662" w:type="dxa"/>
            <w:vAlign w:val="center"/>
          </w:tcPr>
          <w:p w14:paraId="1A9CB9C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Program Manager, Justice, Accountability and Subnational Development (PAGP Contract/Platform)</w:t>
            </w:r>
          </w:p>
        </w:tc>
        <w:tc>
          <w:tcPr>
            <w:tcW w:w="2552" w:type="dxa"/>
            <w:vAlign w:val="center"/>
          </w:tcPr>
          <w:p w14:paraId="0990FE9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5B49710C" w14:textId="77777777" w:rsidTr="00265BB9">
        <w:trPr>
          <w:trHeight w:val="377"/>
        </w:trPr>
        <w:tc>
          <w:tcPr>
            <w:tcW w:w="705" w:type="dxa"/>
            <w:vAlign w:val="center"/>
          </w:tcPr>
          <w:p w14:paraId="67545DF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w:t>
            </w:r>
          </w:p>
        </w:tc>
        <w:tc>
          <w:tcPr>
            <w:tcW w:w="2834" w:type="dxa"/>
            <w:vAlign w:val="center"/>
          </w:tcPr>
          <w:p w14:paraId="2AA6D5C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Susan Wilson</w:t>
            </w:r>
          </w:p>
        </w:tc>
        <w:tc>
          <w:tcPr>
            <w:tcW w:w="6662" w:type="dxa"/>
            <w:vAlign w:val="center"/>
          </w:tcPr>
          <w:p w14:paraId="5D65155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Counsellor, Education (PPF Grants)</w:t>
            </w:r>
          </w:p>
        </w:tc>
        <w:tc>
          <w:tcPr>
            <w:tcW w:w="2552" w:type="dxa"/>
            <w:vAlign w:val="center"/>
          </w:tcPr>
          <w:p w14:paraId="09F01B0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401A7E0F" w14:textId="77777777" w:rsidTr="00265BB9">
        <w:trPr>
          <w:trHeight w:val="377"/>
        </w:trPr>
        <w:tc>
          <w:tcPr>
            <w:tcW w:w="705" w:type="dxa"/>
            <w:vAlign w:val="center"/>
          </w:tcPr>
          <w:p w14:paraId="2B82B83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5</w:t>
            </w:r>
          </w:p>
        </w:tc>
        <w:tc>
          <w:tcPr>
            <w:tcW w:w="2834" w:type="dxa"/>
            <w:vAlign w:val="center"/>
          </w:tcPr>
          <w:p w14:paraId="50E2148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Edwina Sinclair</w:t>
            </w:r>
          </w:p>
        </w:tc>
        <w:tc>
          <w:tcPr>
            <w:tcW w:w="6662" w:type="dxa"/>
            <w:vAlign w:val="center"/>
          </w:tcPr>
          <w:p w14:paraId="0C3A9D9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Secretary, IPP DSS</w:t>
            </w:r>
          </w:p>
        </w:tc>
        <w:tc>
          <w:tcPr>
            <w:tcW w:w="2552" w:type="dxa"/>
            <w:vAlign w:val="center"/>
          </w:tcPr>
          <w:p w14:paraId="3FBC912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5E4DA06E" w14:textId="77777777" w:rsidTr="00265BB9">
        <w:trPr>
          <w:trHeight w:val="377"/>
        </w:trPr>
        <w:tc>
          <w:tcPr>
            <w:tcW w:w="705" w:type="dxa"/>
            <w:vAlign w:val="center"/>
          </w:tcPr>
          <w:p w14:paraId="5362D1F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6</w:t>
            </w:r>
          </w:p>
        </w:tc>
        <w:tc>
          <w:tcPr>
            <w:tcW w:w="2834" w:type="dxa"/>
            <w:vAlign w:val="center"/>
          </w:tcPr>
          <w:p w14:paraId="111D429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Clayton Harrington</w:t>
            </w:r>
          </w:p>
        </w:tc>
        <w:tc>
          <w:tcPr>
            <w:tcW w:w="6662" w:type="dxa"/>
            <w:vAlign w:val="center"/>
          </w:tcPr>
          <w:p w14:paraId="2A8FDF7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Counsellor, Bougainville and Kokoda</w:t>
            </w:r>
          </w:p>
        </w:tc>
        <w:tc>
          <w:tcPr>
            <w:tcW w:w="2552" w:type="dxa"/>
            <w:vAlign w:val="center"/>
          </w:tcPr>
          <w:p w14:paraId="6C7BA3F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3B73F6B4" w14:textId="77777777" w:rsidTr="00265BB9">
        <w:trPr>
          <w:trHeight w:val="377"/>
        </w:trPr>
        <w:tc>
          <w:tcPr>
            <w:tcW w:w="705" w:type="dxa"/>
            <w:vAlign w:val="center"/>
          </w:tcPr>
          <w:p w14:paraId="63107F3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7</w:t>
            </w:r>
          </w:p>
        </w:tc>
        <w:tc>
          <w:tcPr>
            <w:tcW w:w="2834" w:type="dxa"/>
            <w:vAlign w:val="center"/>
          </w:tcPr>
          <w:p w14:paraId="0AEE3AD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Anthony Mason </w:t>
            </w:r>
          </w:p>
        </w:tc>
        <w:tc>
          <w:tcPr>
            <w:tcW w:w="6662" w:type="dxa"/>
            <w:vAlign w:val="center"/>
          </w:tcPr>
          <w:p w14:paraId="7054820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Secretary, Bougainville and Kokoda</w:t>
            </w:r>
          </w:p>
        </w:tc>
        <w:tc>
          <w:tcPr>
            <w:tcW w:w="2552" w:type="dxa"/>
            <w:vAlign w:val="center"/>
          </w:tcPr>
          <w:p w14:paraId="750E2A2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7BD166A3" w14:textId="77777777" w:rsidTr="00265BB9">
        <w:trPr>
          <w:trHeight w:val="377"/>
        </w:trPr>
        <w:tc>
          <w:tcPr>
            <w:tcW w:w="705" w:type="dxa"/>
            <w:vAlign w:val="center"/>
          </w:tcPr>
          <w:p w14:paraId="6ACC3DD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8</w:t>
            </w:r>
          </w:p>
        </w:tc>
        <w:tc>
          <w:tcPr>
            <w:tcW w:w="2834" w:type="dxa"/>
            <w:vAlign w:val="center"/>
          </w:tcPr>
          <w:p w14:paraId="386C606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Patrick Williams </w:t>
            </w:r>
          </w:p>
        </w:tc>
        <w:tc>
          <w:tcPr>
            <w:tcW w:w="6662" w:type="dxa"/>
            <w:vAlign w:val="center"/>
          </w:tcPr>
          <w:p w14:paraId="30BA40F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Second Secretary, Bougainville and Kokoda</w:t>
            </w:r>
          </w:p>
        </w:tc>
        <w:tc>
          <w:tcPr>
            <w:tcW w:w="2552" w:type="dxa"/>
            <w:vAlign w:val="center"/>
          </w:tcPr>
          <w:p w14:paraId="745BAB8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662117D8" w14:textId="77777777" w:rsidTr="00265BB9">
        <w:trPr>
          <w:trHeight w:val="377"/>
        </w:trPr>
        <w:tc>
          <w:tcPr>
            <w:tcW w:w="705" w:type="dxa"/>
            <w:vAlign w:val="center"/>
          </w:tcPr>
          <w:p w14:paraId="2B5B656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9</w:t>
            </w:r>
          </w:p>
        </w:tc>
        <w:tc>
          <w:tcPr>
            <w:tcW w:w="2834" w:type="dxa"/>
            <w:vAlign w:val="center"/>
          </w:tcPr>
          <w:p w14:paraId="6C4D6FA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Amanda Young</w:t>
            </w:r>
          </w:p>
        </w:tc>
        <w:tc>
          <w:tcPr>
            <w:tcW w:w="6662" w:type="dxa"/>
            <w:vAlign w:val="center"/>
          </w:tcPr>
          <w:p w14:paraId="71C0B6E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Secretary, Justice, Accountability and Subnational Development DCP</w:t>
            </w:r>
          </w:p>
        </w:tc>
        <w:tc>
          <w:tcPr>
            <w:tcW w:w="2552" w:type="dxa"/>
            <w:vAlign w:val="center"/>
          </w:tcPr>
          <w:p w14:paraId="09358AF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0E4074DC" w14:textId="77777777" w:rsidTr="00265BB9">
        <w:trPr>
          <w:trHeight w:val="377"/>
        </w:trPr>
        <w:tc>
          <w:tcPr>
            <w:tcW w:w="705" w:type="dxa"/>
            <w:vAlign w:val="center"/>
          </w:tcPr>
          <w:p w14:paraId="1E9CABD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10</w:t>
            </w:r>
          </w:p>
        </w:tc>
        <w:tc>
          <w:tcPr>
            <w:tcW w:w="2834" w:type="dxa"/>
            <w:vAlign w:val="center"/>
          </w:tcPr>
          <w:p w14:paraId="7B78051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Steve Burns</w:t>
            </w:r>
          </w:p>
        </w:tc>
        <w:tc>
          <w:tcPr>
            <w:tcW w:w="6662" w:type="dxa"/>
            <w:vAlign w:val="center"/>
          </w:tcPr>
          <w:p w14:paraId="4667CB2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Secretary, Justice, Accountability and Subnational Development DCP</w:t>
            </w:r>
          </w:p>
        </w:tc>
        <w:tc>
          <w:tcPr>
            <w:tcW w:w="2552" w:type="dxa"/>
            <w:vAlign w:val="center"/>
          </w:tcPr>
          <w:p w14:paraId="16E9467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4C7059B5" w14:textId="77777777" w:rsidTr="00265BB9">
        <w:trPr>
          <w:trHeight w:val="377"/>
        </w:trPr>
        <w:tc>
          <w:tcPr>
            <w:tcW w:w="705" w:type="dxa"/>
            <w:vAlign w:val="center"/>
          </w:tcPr>
          <w:p w14:paraId="59CFCF8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11</w:t>
            </w:r>
          </w:p>
        </w:tc>
        <w:tc>
          <w:tcPr>
            <w:tcW w:w="2834" w:type="dxa"/>
            <w:vAlign w:val="center"/>
          </w:tcPr>
          <w:p w14:paraId="145A0D7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Kim Northwood</w:t>
            </w:r>
          </w:p>
        </w:tc>
        <w:tc>
          <w:tcPr>
            <w:tcW w:w="6662" w:type="dxa"/>
            <w:vAlign w:val="center"/>
          </w:tcPr>
          <w:p w14:paraId="5DC385B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Secretary, Economic, EGIG</w:t>
            </w:r>
          </w:p>
        </w:tc>
        <w:tc>
          <w:tcPr>
            <w:tcW w:w="2552" w:type="dxa"/>
            <w:vAlign w:val="center"/>
          </w:tcPr>
          <w:p w14:paraId="30EE990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5F54C281" w14:textId="77777777" w:rsidTr="00265BB9">
        <w:trPr>
          <w:trHeight w:val="377"/>
        </w:trPr>
        <w:tc>
          <w:tcPr>
            <w:tcW w:w="705" w:type="dxa"/>
            <w:vAlign w:val="center"/>
          </w:tcPr>
          <w:p w14:paraId="0D2E644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12</w:t>
            </w:r>
          </w:p>
        </w:tc>
        <w:tc>
          <w:tcPr>
            <w:tcW w:w="2834" w:type="dxa"/>
            <w:vAlign w:val="center"/>
          </w:tcPr>
          <w:p w14:paraId="47C8A98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Nina Eliseo</w:t>
            </w:r>
          </w:p>
        </w:tc>
        <w:tc>
          <w:tcPr>
            <w:tcW w:w="6662" w:type="dxa"/>
            <w:vAlign w:val="center"/>
          </w:tcPr>
          <w:p w14:paraId="781C049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Second Secretary, Economic, EGIG</w:t>
            </w:r>
          </w:p>
        </w:tc>
        <w:tc>
          <w:tcPr>
            <w:tcW w:w="2552" w:type="dxa"/>
            <w:vAlign w:val="center"/>
          </w:tcPr>
          <w:p w14:paraId="65EA0F2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0A7ACCF1" w14:textId="77777777" w:rsidTr="00265BB9">
        <w:trPr>
          <w:trHeight w:val="377"/>
        </w:trPr>
        <w:tc>
          <w:tcPr>
            <w:tcW w:w="705" w:type="dxa"/>
            <w:vAlign w:val="center"/>
          </w:tcPr>
          <w:p w14:paraId="51B6BF8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13</w:t>
            </w:r>
          </w:p>
        </w:tc>
        <w:tc>
          <w:tcPr>
            <w:tcW w:w="2834" w:type="dxa"/>
            <w:vAlign w:val="center"/>
          </w:tcPr>
          <w:p w14:paraId="6ADF8B9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Julienne Leka-Maliaki</w:t>
            </w:r>
          </w:p>
        </w:tc>
        <w:tc>
          <w:tcPr>
            <w:tcW w:w="6662" w:type="dxa"/>
            <w:vAlign w:val="center"/>
          </w:tcPr>
          <w:p w14:paraId="1CFC0ED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Senior Program Manager, Economic, EGIG</w:t>
            </w:r>
          </w:p>
        </w:tc>
        <w:tc>
          <w:tcPr>
            <w:tcW w:w="2552" w:type="dxa"/>
            <w:vAlign w:val="center"/>
          </w:tcPr>
          <w:p w14:paraId="0CD2B51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123DB1E1" w14:textId="77777777" w:rsidTr="00265BB9">
        <w:trPr>
          <w:trHeight w:val="377"/>
        </w:trPr>
        <w:tc>
          <w:tcPr>
            <w:tcW w:w="705" w:type="dxa"/>
            <w:vAlign w:val="center"/>
          </w:tcPr>
          <w:p w14:paraId="2414DDE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14</w:t>
            </w:r>
          </w:p>
        </w:tc>
        <w:tc>
          <w:tcPr>
            <w:tcW w:w="2834" w:type="dxa"/>
            <w:vAlign w:val="center"/>
          </w:tcPr>
          <w:p w14:paraId="4F91515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Harry Aurere</w:t>
            </w:r>
          </w:p>
        </w:tc>
        <w:tc>
          <w:tcPr>
            <w:tcW w:w="6662" w:type="dxa"/>
            <w:vAlign w:val="center"/>
          </w:tcPr>
          <w:p w14:paraId="14EA447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Program Manager, Economic, EGIG</w:t>
            </w:r>
          </w:p>
        </w:tc>
        <w:tc>
          <w:tcPr>
            <w:tcW w:w="2552" w:type="dxa"/>
            <w:vAlign w:val="center"/>
          </w:tcPr>
          <w:p w14:paraId="7A510BC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77D0B86D" w14:textId="77777777" w:rsidTr="00265BB9">
        <w:trPr>
          <w:trHeight w:val="377"/>
        </w:trPr>
        <w:tc>
          <w:tcPr>
            <w:tcW w:w="705" w:type="dxa"/>
            <w:vAlign w:val="center"/>
          </w:tcPr>
          <w:p w14:paraId="63DDBD7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15</w:t>
            </w:r>
          </w:p>
        </w:tc>
        <w:tc>
          <w:tcPr>
            <w:tcW w:w="2834" w:type="dxa"/>
            <w:vAlign w:val="center"/>
          </w:tcPr>
          <w:p w14:paraId="4CBA1E9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Rachel Ingwerson</w:t>
            </w:r>
          </w:p>
        </w:tc>
        <w:tc>
          <w:tcPr>
            <w:tcW w:w="6662" w:type="dxa"/>
            <w:vAlign w:val="center"/>
          </w:tcPr>
          <w:p w14:paraId="1B34BF6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Development Evaluation Unit</w:t>
            </w:r>
          </w:p>
        </w:tc>
        <w:tc>
          <w:tcPr>
            <w:tcW w:w="2552" w:type="dxa"/>
            <w:vAlign w:val="center"/>
          </w:tcPr>
          <w:p w14:paraId="519FBAD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3778D8D0" w14:textId="77777777" w:rsidTr="00265BB9">
        <w:trPr>
          <w:trHeight w:val="377"/>
        </w:trPr>
        <w:tc>
          <w:tcPr>
            <w:tcW w:w="705" w:type="dxa"/>
            <w:vAlign w:val="center"/>
          </w:tcPr>
          <w:p w14:paraId="1D402F6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16</w:t>
            </w:r>
          </w:p>
        </w:tc>
        <w:tc>
          <w:tcPr>
            <w:tcW w:w="2834" w:type="dxa"/>
            <w:vAlign w:val="center"/>
          </w:tcPr>
          <w:p w14:paraId="4266406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Christine Evans</w:t>
            </w:r>
          </w:p>
        </w:tc>
        <w:tc>
          <w:tcPr>
            <w:tcW w:w="6662" w:type="dxa"/>
            <w:vAlign w:val="center"/>
          </w:tcPr>
          <w:p w14:paraId="67C28B8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Program Manager, IPP </w:t>
            </w:r>
          </w:p>
        </w:tc>
        <w:tc>
          <w:tcPr>
            <w:tcW w:w="2552" w:type="dxa"/>
            <w:vAlign w:val="center"/>
          </w:tcPr>
          <w:p w14:paraId="2D6FDCD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79400FB3" w14:textId="77777777" w:rsidTr="00265BB9">
        <w:trPr>
          <w:trHeight w:val="377"/>
        </w:trPr>
        <w:tc>
          <w:tcPr>
            <w:tcW w:w="705" w:type="dxa"/>
            <w:vAlign w:val="center"/>
          </w:tcPr>
          <w:p w14:paraId="322264D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17</w:t>
            </w:r>
          </w:p>
        </w:tc>
        <w:tc>
          <w:tcPr>
            <w:tcW w:w="2834" w:type="dxa"/>
            <w:vAlign w:val="center"/>
          </w:tcPr>
          <w:p w14:paraId="6C82D48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Sharon McIvor</w:t>
            </w:r>
          </w:p>
        </w:tc>
        <w:tc>
          <w:tcPr>
            <w:tcW w:w="6662" w:type="dxa"/>
            <w:vAlign w:val="center"/>
          </w:tcPr>
          <w:p w14:paraId="721F619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Second Secretary, Education</w:t>
            </w:r>
          </w:p>
        </w:tc>
        <w:tc>
          <w:tcPr>
            <w:tcW w:w="2552" w:type="dxa"/>
            <w:vAlign w:val="center"/>
          </w:tcPr>
          <w:p w14:paraId="38F0642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54F4BF18" w14:textId="77777777" w:rsidTr="00265BB9">
        <w:trPr>
          <w:trHeight w:val="377"/>
        </w:trPr>
        <w:tc>
          <w:tcPr>
            <w:tcW w:w="705" w:type="dxa"/>
            <w:vAlign w:val="center"/>
          </w:tcPr>
          <w:p w14:paraId="29A741D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18</w:t>
            </w:r>
          </w:p>
        </w:tc>
        <w:tc>
          <w:tcPr>
            <w:tcW w:w="2834" w:type="dxa"/>
            <w:vAlign w:val="center"/>
          </w:tcPr>
          <w:p w14:paraId="10947EB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Delilah Kabilo</w:t>
            </w:r>
          </w:p>
        </w:tc>
        <w:tc>
          <w:tcPr>
            <w:tcW w:w="6662" w:type="dxa"/>
            <w:vAlign w:val="center"/>
          </w:tcPr>
          <w:p w14:paraId="2BCED8A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Program Manager, Education</w:t>
            </w:r>
          </w:p>
        </w:tc>
        <w:tc>
          <w:tcPr>
            <w:tcW w:w="2552" w:type="dxa"/>
            <w:vAlign w:val="center"/>
          </w:tcPr>
          <w:p w14:paraId="395A36C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Australian High Commission</w:t>
            </w:r>
          </w:p>
        </w:tc>
      </w:tr>
      <w:tr w:rsidR="00AF6DBD" w:rsidRPr="00E53BBC" w14:paraId="669F876F" w14:textId="77777777" w:rsidTr="00265BB9">
        <w:trPr>
          <w:trHeight w:val="377"/>
        </w:trPr>
        <w:tc>
          <w:tcPr>
            <w:tcW w:w="705" w:type="dxa"/>
            <w:vAlign w:val="center"/>
          </w:tcPr>
          <w:p w14:paraId="4C53E22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19</w:t>
            </w:r>
          </w:p>
        </w:tc>
        <w:tc>
          <w:tcPr>
            <w:tcW w:w="2834" w:type="dxa"/>
            <w:vAlign w:val="center"/>
          </w:tcPr>
          <w:p w14:paraId="49178AE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Phillippe Allen</w:t>
            </w:r>
          </w:p>
        </w:tc>
        <w:tc>
          <w:tcPr>
            <w:tcW w:w="6662" w:type="dxa"/>
            <w:vAlign w:val="center"/>
          </w:tcPr>
          <w:p w14:paraId="27384AC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Executive Director, PAGP</w:t>
            </w:r>
          </w:p>
        </w:tc>
        <w:tc>
          <w:tcPr>
            <w:tcW w:w="2552" w:type="dxa"/>
            <w:vAlign w:val="center"/>
          </w:tcPr>
          <w:p w14:paraId="3599C17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717DB371" w14:textId="77777777" w:rsidTr="00265BB9">
        <w:trPr>
          <w:trHeight w:val="377"/>
        </w:trPr>
        <w:tc>
          <w:tcPr>
            <w:tcW w:w="705" w:type="dxa"/>
            <w:vAlign w:val="center"/>
          </w:tcPr>
          <w:p w14:paraId="111B96A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20</w:t>
            </w:r>
          </w:p>
        </w:tc>
        <w:tc>
          <w:tcPr>
            <w:tcW w:w="2834" w:type="dxa"/>
            <w:vAlign w:val="center"/>
          </w:tcPr>
          <w:p w14:paraId="6A702D2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Sarah O’Connor</w:t>
            </w:r>
          </w:p>
        </w:tc>
        <w:tc>
          <w:tcPr>
            <w:tcW w:w="6662" w:type="dxa"/>
            <w:vAlign w:val="center"/>
          </w:tcPr>
          <w:p w14:paraId="6C814E3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Director, People, Culture and Diversity, PAGP</w:t>
            </w:r>
          </w:p>
        </w:tc>
        <w:tc>
          <w:tcPr>
            <w:tcW w:w="2552" w:type="dxa"/>
            <w:vAlign w:val="center"/>
          </w:tcPr>
          <w:p w14:paraId="37A2896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251DE7CC" w14:textId="77777777" w:rsidTr="00265BB9">
        <w:trPr>
          <w:trHeight w:val="377"/>
        </w:trPr>
        <w:tc>
          <w:tcPr>
            <w:tcW w:w="705" w:type="dxa"/>
            <w:vAlign w:val="center"/>
          </w:tcPr>
          <w:p w14:paraId="7E59E86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21</w:t>
            </w:r>
          </w:p>
        </w:tc>
        <w:tc>
          <w:tcPr>
            <w:tcW w:w="2834" w:type="dxa"/>
            <w:vAlign w:val="center"/>
          </w:tcPr>
          <w:p w14:paraId="5A35255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Gibson Wekina</w:t>
            </w:r>
          </w:p>
        </w:tc>
        <w:tc>
          <w:tcPr>
            <w:tcW w:w="6662" w:type="dxa"/>
            <w:vAlign w:val="center"/>
          </w:tcPr>
          <w:p w14:paraId="43E71CF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Senior Program Manager, Special Projects</w:t>
            </w:r>
          </w:p>
        </w:tc>
        <w:tc>
          <w:tcPr>
            <w:tcW w:w="2552" w:type="dxa"/>
            <w:vAlign w:val="center"/>
          </w:tcPr>
          <w:p w14:paraId="144E910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1AC59EBA" w14:textId="77777777" w:rsidTr="00265BB9">
        <w:trPr>
          <w:trHeight w:val="377"/>
        </w:trPr>
        <w:tc>
          <w:tcPr>
            <w:tcW w:w="705" w:type="dxa"/>
            <w:vAlign w:val="center"/>
          </w:tcPr>
          <w:p w14:paraId="0752506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22</w:t>
            </w:r>
          </w:p>
        </w:tc>
        <w:tc>
          <w:tcPr>
            <w:tcW w:w="2834" w:type="dxa"/>
            <w:vAlign w:val="center"/>
          </w:tcPr>
          <w:p w14:paraId="7BE4653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Esther McIntosh</w:t>
            </w:r>
          </w:p>
        </w:tc>
        <w:tc>
          <w:tcPr>
            <w:tcW w:w="6662" w:type="dxa"/>
            <w:vAlign w:val="center"/>
          </w:tcPr>
          <w:p w14:paraId="040B3C2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Director, DCP</w:t>
            </w:r>
          </w:p>
        </w:tc>
        <w:tc>
          <w:tcPr>
            <w:tcW w:w="2552" w:type="dxa"/>
            <w:vAlign w:val="center"/>
          </w:tcPr>
          <w:p w14:paraId="3E1084D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791B1446" w14:textId="77777777" w:rsidTr="00265BB9">
        <w:trPr>
          <w:trHeight w:val="377"/>
        </w:trPr>
        <w:tc>
          <w:tcPr>
            <w:tcW w:w="705" w:type="dxa"/>
            <w:vAlign w:val="center"/>
          </w:tcPr>
          <w:p w14:paraId="2A66FEE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lastRenderedPageBreak/>
              <w:t>23</w:t>
            </w:r>
          </w:p>
        </w:tc>
        <w:tc>
          <w:tcPr>
            <w:tcW w:w="2834" w:type="dxa"/>
            <w:vAlign w:val="center"/>
          </w:tcPr>
          <w:p w14:paraId="4C4D48F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Lucy Moore</w:t>
            </w:r>
          </w:p>
        </w:tc>
        <w:tc>
          <w:tcPr>
            <w:tcW w:w="6662" w:type="dxa"/>
            <w:vAlign w:val="center"/>
          </w:tcPr>
          <w:p w14:paraId="4BF436C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Senior Program Manager, Knowledge Learning and Gender, DCP</w:t>
            </w:r>
          </w:p>
        </w:tc>
        <w:tc>
          <w:tcPr>
            <w:tcW w:w="2552" w:type="dxa"/>
            <w:vAlign w:val="center"/>
          </w:tcPr>
          <w:p w14:paraId="72E5E8A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25AE8431" w14:textId="77777777" w:rsidTr="00265BB9">
        <w:trPr>
          <w:trHeight w:val="377"/>
        </w:trPr>
        <w:tc>
          <w:tcPr>
            <w:tcW w:w="705" w:type="dxa"/>
            <w:vAlign w:val="center"/>
          </w:tcPr>
          <w:p w14:paraId="1EE5B7E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24</w:t>
            </w:r>
          </w:p>
        </w:tc>
        <w:tc>
          <w:tcPr>
            <w:tcW w:w="2834" w:type="dxa"/>
            <w:vAlign w:val="center"/>
          </w:tcPr>
          <w:p w14:paraId="6DCC866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Alan McCagh</w:t>
            </w:r>
          </w:p>
        </w:tc>
        <w:tc>
          <w:tcPr>
            <w:tcW w:w="6662" w:type="dxa"/>
            <w:vAlign w:val="center"/>
          </w:tcPr>
          <w:p w14:paraId="5A4D492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Director, Bougainville and Kokoda</w:t>
            </w:r>
          </w:p>
        </w:tc>
        <w:tc>
          <w:tcPr>
            <w:tcW w:w="2552" w:type="dxa"/>
            <w:vAlign w:val="center"/>
          </w:tcPr>
          <w:p w14:paraId="61FC434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2F7B20C6" w14:textId="77777777" w:rsidTr="00265BB9">
        <w:trPr>
          <w:trHeight w:val="377"/>
        </w:trPr>
        <w:tc>
          <w:tcPr>
            <w:tcW w:w="705" w:type="dxa"/>
            <w:vAlign w:val="center"/>
          </w:tcPr>
          <w:p w14:paraId="33120D8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25</w:t>
            </w:r>
          </w:p>
        </w:tc>
        <w:tc>
          <w:tcPr>
            <w:tcW w:w="2834" w:type="dxa"/>
            <w:vAlign w:val="center"/>
          </w:tcPr>
          <w:p w14:paraId="569D3FE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Patrick Mccloskey</w:t>
            </w:r>
          </w:p>
        </w:tc>
        <w:tc>
          <w:tcPr>
            <w:tcW w:w="6662" w:type="dxa"/>
            <w:vAlign w:val="center"/>
          </w:tcPr>
          <w:p w14:paraId="69A8FDD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Senior Program Manager, Bougainville and Kokoda</w:t>
            </w:r>
          </w:p>
        </w:tc>
        <w:tc>
          <w:tcPr>
            <w:tcW w:w="2552" w:type="dxa"/>
            <w:vAlign w:val="center"/>
          </w:tcPr>
          <w:p w14:paraId="131F368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26E8E4AC" w14:textId="77777777" w:rsidTr="00265BB9">
        <w:trPr>
          <w:trHeight w:val="377"/>
        </w:trPr>
        <w:tc>
          <w:tcPr>
            <w:tcW w:w="705" w:type="dxa"/>
            <w:vAlign w:val="center"/>
          </w:tcPr>
          <w:p w14:paraId="21A515F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26</w:t>
            </w:r>
          </w:p>
        </w:tc>
        <w:tc>
          <w:tcPr>
            <w:tcW w:w="2834" w:type="dxa"/>
            <w:vAlign w:val="center"/>
          </w:tcPr>
          <w:p w14:paraId="5548438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David Holder</w:t>
            </w:r>
          </w:p>
        </w:tc>
        <w:tc>
          <w:tcPr>
            <w:tcW w:w="6662" w:type="dxa"/>
            <w:vAlign w:val="center"/>
          </w:tcPr>
          <w:p w14:paraId="50535E9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Senior Program Manager, IPP DSS</w:t>
            </w:r>
          </w:p>
        </w:tc>
        <w:tc>
          <w:tcPr>
            <w:tcW w:w="2552" w:type="dxa"/>
            <w:vAlign w:val="center"/>
          </w:tcPr>
          <w:p w14:paraId="2961C5A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6C3C358E" w14:textId="77777777" w:rsidTr="00265BB9">
        <w:trPr>
          <w:trHeight w:val="377"/>
        </w:trPr>
        <w:tc>
          <w:tcPr>
            <w:tcW w:w="705" w:type="dxa"/>
            <w:vAlign w:val="center"/>
          </w:tcPr>
          <w:p w14:paraId="4F99732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27</w:t>
            </w:r>
          </w:p>
        </w:tc>
        <w:tc>
          <w:tcPr>
            <w:tcW w:w="2834" w:type="dxa"/>
            <w:vAlign w:val="center"/>
          </w:tcPr>
          <w:p w14:paraId="4CE267E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Lyndene Wan</w:t>
            </w:r>
          </w:p>
        </w:tc>
        <w:tc>
          <w:tcPr>
            <w:tcW w:w="6662" w:type="dxa"/>
            <w:vAlign w:val="center"/>
          </w:tcPr>
          <w:p w14:paraId="24B88AC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Gender Equality and Social Inclusion Adviser, PAGP</w:t>
            </w:r>
          </w:p>
        </w:tc>
        <w:tc>
          <w:tcPr>
            <w:tcW w:w="2552" w:type="dxa"/>
            <w:vAlign w:val="center"/>
          </w:tcPr>
          <w:p w14:paraId="56B155F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2ACA5902" w14:textId="77777777" w:rsidTr="00265BB9">
        <w:trPr>
          <w:trHeight w:val="377"/>
        </w:trPr>
        <w:tc>
          <w:tcPr>
            <w:tcW w:w="705" w:type="dxa"/>
            <w:vAlign w:val="center"/>
          </w:tcPr>
          <w:p w14:paraId="5CDF6B5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28</w:t>
            </w:r>
          </w:p>
        </w:tc>
        <w:tc>
          <w:tcPr>
            <w:tcW w:w="2834" w:type="dxa"/>
            <w:vAlign w:val="center"/>
          </w:tcPr>
          <w:p w14:paraId="0225D20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Tim Robinson</w:t>
            </w:r>
          </w:p>
        </w:tc>
        <w:tc>
          <w:tcPr>
            <w:tcW w:w="6662" w:type="dxa"/>
            <w:vAlign w:val="center"/>
          </w:tcPr>
          <w:p w14:paraId="7FF7462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Director, EGIG</w:t>
            </w:r>
          </w:p>
        </w:tc>
        <w:tc>
          <w:tcPr>
            <w:tcW w:w="2552" w:type="dxa"/>
            <w:vAlign w:val="center"/>
          </w:tcPr>
          <w:p w14:paraId="4C4C6BA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29993059" w14:textId="77777777" w:rsidTr="00265BB9">
        <w:trPr>
          <w:trHeight w:val="377"/>
        </w:trPr>
        <w:tc>
          <w:tcPr>
            <w:tcW w:w="705" w:type="dxa"/>
            <w:vAlign w:val="center"/>
          </w:tcPr>
          <w:p w14:paraId="2FC560D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29</w:t>
            </w:r>
          </w:p>
        </w:tc>
        <w:tc>
          <w:tcPr>
            <w:tcW w:w="2834" w:type="dxa"/>
            <w:vAlign w:val="center"/>
          </w:tcPr>
          <w:p w14:paraId="4220098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Ian Smith</w:t>
            </w:r>
          </w:p>
        </w:tc>
        <w:tc>
          <w:tcPr>
            <w:tcW w:w="6662" w:type="dxa"/>
            <w:vAlign w:val="center"/>
          </w:tcPr>
          <w:p w14:paraId="6219F3C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Economic Governance Adviser</w:t>
            </w:r>
          </w:p>
        </w:tc>
        <w:tc>
          <w:tcPr>
            <w:tcW w:w="2552" w:type="dxa"/>
            <w:vAlign w:val="center"/>
          </w:tcPr>
          <w:p w14:paraId="18A9150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06609CC2" w14:textId="77777777" w:rsidTr="00265BB9">
        <w:trPr>
          <w:trHeight w:val="377"/>
        </w:trPr>
        <w:tc>
          <w:tcPr>
            <w:tcW w:w="705" w:type="dxa"/>
            <w:vAlign w:val="center"/>
          </w:tcPr>
          <w:p w14:paraId="74E088A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30</w:t>
            </w:r>
          </w:p>
        </w:tc>
        <w:tc>
          <w:tcPr>
            <w:tcW w:w="2834" w:type="dxa"/>
            <w:vAlign w:val="center"/>
          </w:tcPr>
          <w:p w14:paraId="64E6F24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Kyran Curry</w:t>
            </w:r>
          </w:p>
        </w:tc>
        <w:tc>
          <w:tcPr>
            <w:tcW w:w="6662" w:type="dxa"/>
            <w:vAlign w:val="center"/>
          </w:tcPr>
          <w:p w14:paraId="0AE8E9C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Economic Governance Adviser</w:t>
            </w:r>
          </w:p>
        </w:tc>
        <w:tc>
          <w:tcPr>
            <w:tcW w:w="2552" w:type="dxa"/>
            <w:vAlign w:val="center"/>
          </w:tcPr>
          <w:p w14:paraId="245C5CC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7231DCE1" w14:textId="77777777" w:rsidTr="00265BB9">
        <w:trPr>
          <w:trHeight w:val="377"/>
        </w:trPr>
        <w:tc>
          <w:tcPr>
            <w:tcW w:w="705" w:type="dxa"/>
            <w:vAlign w:val="center"/>
          </w:tcPr>
          <w:p w14:paraId="436A7D1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31</w:t>
            </w:r>
          </w:p>
        </w:tc>
        <w:tc>
          <w:tcPr>
            <w:tcW w:w="2834" w:type="dxa"/>
            <w:vAlign w:val="center"/>
          </w:tcPr>
          <w:p w14:paraId="674EBC0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Paula Fore</w:t>
            </w:r>
          </w:p>
        </w:tc>
        <w:tc>
          <w:tcPr>
            <w:tcW w:w="6662" w:type="dxa"/>
            <w:vAlign w:val="center"/>
          </w:tcPr>
          <w:p w14:paraId="5290CB2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Corporate Support, PAGP Management Platform</w:t>
            </w:r>
          </w:p>
        </w:tc>
        <w:tc>
          <w:tcPr>
            <w:tcW w:w="2552" w:type="dxa"/>
            <w:vAlign w:val="center"/>
          </w:tcPr>
          <w:p w14:paraId="17CEC39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4DBD95E5" w14:textId="77777777" w:rsidTr="00265BB9">
        <w:trPr>
          <w:trHeight w:val="377"/>
        </w:trPr>
        <w:tc>
          <w:tcPr>
            <w:tcW w:w="705" w:type="dxa"/>
            <w:vAlign w:val="center"/>
          </w:tcPr>
          <w:p w14:paraId="7DF394F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32</w:t>
            </w:r>
          </w:p>
        </w:tc>
        <w:tc>
          <w:tcPr>
            <w:tcW w:w="2834" w:type="dxa"/>
            <w:vAlign w:val="center"/>
          </w:tcPr>
          <w:p w14:paraId="04A6402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Gary Simpson</w:t>
            </w:r>
          </w:p>
        </w:tc>
        <w:tc>
          <w:tcPr>
            <w:tcW w:w="6662" w:type="dxa"/>
            <w:vAlign w:val="center"/>
          </w:tcPr>
          <w:p w14:paraId="78F857E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Ex-MERL Adviser Bougainville</w:t>
            </w:r>
          </w:p>
        </w:tc>
        <w:tc>
          <w:tcPr>
            <w:tcW w:w="2552" w:type="dxa"/>
            <w:vAlign w:val="center"/>
          </w:tcPr>
          <w:p w14:paraId="6A51588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5F4F3CB1" w14:textId="77777777" w:rsidTr="00265BB9">
        <w:trPr>
          <w:trHeight w:val="377"/>
        </w:trPr>
        <w:tc>
          <w:tcPr>
            <w:tcW w:w="705" w:type="dxa"/>
            <w:vAlign w:val="center"/>
          </w:tcPr>
          <w:p w14:paraId="7D2C592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33</w:t>
            </w:r>
          </w:p>
        </w:tc>
        <w:tc>
          <w:tcPr>
            <w:tcW w:w="2834" w:type="dxa"/>
            <w:vAlign w:val="center"/>
          </w:tcPr>
          <w:p w14:paraId="2964A9F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Graham Rady </w:t>
            </w:r>
          </w:p>
        </w:tc>
        <w:tc>
          <w:tcPr>
            <w:tcW w:w="6662" w:type="dxa"/>
            <w:vAlign w:val="center"/>
          </w:tcPr>
          <w:p w14:paraId="15D88A1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MERL Adviser</w:t>
            </w:r>
          </w:p>
        </w:tc>
        <w:tc>
          <w:tcPr>
            <w:tcW w:w="2552" w:type="dxa"/>
            <w:vAlign w:val="center"/>
          </w:tcPr>
          <w:p w14:paraId="2F36AB1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68D5F276" w14:textId="77777777" w:rsidTr="00265BB9">
        <w:trPr>
          <w:trHeight w:val="377"/>
        </w:trPr>
        <w:tc>
          <w:tcPr>
            <w:tcW w:w="705" w:type="dxa"/>
            <w:vAlign w:val="center"/>
          </w:tcPr>
          <w:p w14:paraId="7DD8453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34</w:t>
            </w:r>
          </w:p>
        </w:tc>
        <w:tc>
          <w:tcPr>
            <w:tcW w:w="2834" w:type="dxa"/>
            <w:vAlign w:val="center"/>
          </w:tcPr>
          <w:p w14:paraId="6CE5276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Jane Ravusiro</w:t>
            </w:r>
          </w:p>
        </w:tc>
        <w:tc>
          <w:tcPr>
            <w:tcW w:w="6662" w:type="dxa"/>
            <w:vAlign w:val="center"/>
          </w:tcPr>
          <w:p w14:paraId="2E265A9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Deputy Director - EGIG</w:t>
            </w:r>
          </w:p>
        </w:tc>
        <w:tc>
          <w:tcPr>
            <w:tcW w:w="2552" w:type="dxa"/>
            <w:vAlign w:val="center"/>
          </w:tcPr>
          <w:p w14:paraId="106E0C2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0EBF1661" w14:textId="77777777" w:rsidTr="00265BB9">
        <w:trPr>
          <w:trHeight w:val="377"/>
        </w:trPr>
        <w:tc>
          <w:tcPr>
            <w:tcW w:w="705" w:type="dxa"/>
            <w:vAlign w:val="center"/>
          </w:tcPr>
          <w:p w14:paraId="72C38A1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35</w:t>
            </w:r>
          </w:p>
        </w:tc>
        <w:tc>
          <w:tcPr>
            <w:tcW w:w="2834" w:type="dxa"/>
            <w:vAlign w:val="center"/>
          </w:tcPr>
          <w:p w14:paraId="5295331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Catherine Johnston</w:t>
            </w:r>
          </w:p>
        </w:tc>
        <w:tc>
          <w:tcPr>
            <w:tcW w:w="6662" w:type="dxa"/>
            <w:vAlign w:val="center"/>
          </w:tcPr>
          <w:p w14:paraId="40D54C0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Education Specialist</w:t>
            </w:r>
          </w:p>
        </w:tc>
        <w:tc>
          <w:tcPr>
            <w:tcW w:w="2552" w:type="dxa"/>
            <w:vAlign w:val="center"/>
          </w:tcPr>
          <w:p w14:paraId="51D2602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50305D4E" w14:textId="77777777" w:rsidTr="00265BB9">
        <w:trPr>
          <w:trHeight w:val="377"/>
        </w:trPr>
        <w:tc>
          <w:tcPr>
            <w:tcW w:w="705" w:type="dxa"/>
            <w:vAlign w:val="center"/>
          </w:tcPr>
          <w:p w14:paraId="53CA3DC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36</w:t>
            </w:r>
          </w:p>
        </w:tc>
        <w:tc>
          <w:tcPr>
            <w:tcW w:w="2834" w:type="dxa"/>
            <w:vAlign w:val="center"/>
          </w:tcPr>
          <w:p w14:paraId="10B12AD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Joy-Marie Waffi</w:t>
            </w:r>
          </w:p>
        </w:tc>
        <w:tc>
          <w:tcPr>
            <w:tcW w:w="6662" w:type="dxa"/>
            <w:vAlign w:val="center"/>
          </w:tcPr>
          <w:p w14:paraId="77C5B71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MEL Manager</w:t>
            </w:r>
          </w:p>
        </w:tc>
        <w:tc>
          <w:tcPr>
            <w:tcW w:w="2552" w:type="dxa"/>
            <w:vAlign w:val="center"/>
          </w:tcPr>
          <w:p w14:paraId="770D317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061181CD" w14:textId="77777777" w:rsidTr="00265BB9">
        <w:trPr>
          <w:trHeight w:val="377"/>
        </w:trPr>
        <w:tc>
          <w:tcPr>
            <w:tcW w:w="705" w:type="dxa"/>
            <w:vAlign w:val="center"/>
          </w:tcPr>
          <w:p w14:paraId="6A784B8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37</w:t>
            </w:r>
          </w:p>
        </w:tc>
        <w:tc>
          <w:tcPr>
            <w:tcW w:w="2834" w:type="dxa"/>
            <w:vAlign w:val="center"/>
          </w:tcPr>
          <w:p w14:paraId="23F6843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Nicola Frame Denniston</w:t>
            </w:r>
          </w:p>
        </w:tc>
        <w:tc>
          <w:tcPr>
            <w:tcW w:w="6662" w:type="dxa"/>
            <w:vAlign w:val="center"/>
          </w:tcPr>
          <w:p w14:paraId="433AE35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Operations Manager</w:t>
            </w:r>
          </w:p>
        </w:tc>
        <w:tc>
          <w:tcPr>
            <w:tcW w:w="2552" w:type="dxa"/>
            <w:vAlign w:val="center"/>
          </w:tcPr>
          <w:p w14:paraId="45310EC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4C5D3128" w14:textId="77777777" w:rsidTr="00265BB9">
        <w:trPr>
          <w:trHeight w:val="377"/>
        </w:trPr>
        <w:tc>
          <w:tcPr>
            <w:tcW w:w="705" w:type="dxa"/>
            <w:vAlign w:val="center"/>
          </w:tcPr>
          <w:p w14:paraId="68AD593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38</w:t>
            </w:r>
          </w:p>
        </w:tc>
        <w:tc>
          <w:tcPr>
            <w:tcW w:w="2834" w:type="dxa"/>
            <w:vAlign w:val="center"/>
          </w:tcPr>
          <w:p w14:paraId="5D4427E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Graham Teskey</w:t>
            </w:r>
          </w:p>
        </w:tc>
        <w:tc>
          <w:tcPr>
            <w:tcW w:w="6662" w:type="dxa"/>
            <w:vAlign w:val="center"/>
          </w:tcPr>
          <w:p w14:paraId="1ABAFCF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Principal Technical Lead - Governance</w:t>
            </w:r>
          </w:p>
        </w:tc>
        <w:tc>
          <w:tcPr>
            <w:tcW w:w="2552" w:type="dxa"/>
            <w:vAlign w:val="center"/>
          </w:tcPr>
          <w:p w14:paraId="12867C5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070C8E7F" w14:textId="77777777" w:rsidTr="00265BB9">
        <w:trPr>
          <w:trHeight w:val="377"/>
        </w:trPr>
        <w:tc>
          <w:tcPr>
            <w:tcW w:w="705" w:type="dxa"/>
            <w:vAlign w:val="center"/>
          </w:tcPr>
          <w:p w14:paraId="2E33A8A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39</w:t>
            </w:r>
          </w:p>
        </w:tc>
        <w:tc>
          <w:tcPr>
            <w:tcW w:w="2834" w:type="dxa"/>
            <w:vAlign w:val="center"/>
          </w:tcPr>
          <w:p w14:paraId="0EDA797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Kate Butcher</w:t>
            </w:r>
          </w:p>
        </w:tc>
        <w:tc>
          <w:tcPr>
            <w:tcW w:w="6662" w:type="dxa"/>
            <w:vAlign w:val="center"/>
          </w:tcPr>
          <w:p w14:paraId="6E73BAA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Gender Adviser</w:t>
            </w:r>
          </w:p>
        </w:tc>
        <w:tc>
          <w:tcPr>
            <w:tcW w:w="2552" w:type="dxa"/>
            <w:vAlign w:val="center"/>
          </w:tcPr>
          <w:p w14:paraId="68CC776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5AA2A0FB" w14:textId="77777777" w:rsidTr="00265BB9">
        <w:trPr>
          <w:trHeight w:val="377"/>
        </w:trPr>
        <w:tc>
          <w:tcPr>
            <w:tcW w:w="705" w:type="dxa"/>
            <w:vAlign w:val="center"/>
          </w:tcPr>
          <w:p w14:paraId="07C351D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40</w:t>
            </w:r>
          </w:p>
        </w:tc>
        <w:tc>
          <w:tcPr>
            <w:tcW w:w="2834" w:type="dxa"/>
            <w:vAlign w:val="center"/>
          </w:tcPr>
          <w:p w14:paraId="6B27655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Lyndene Wan</w:t>
            </w:r>
          </w:p>
        </w:tc>
        <w:tc>
          <w:tcPr>
            <w:tcW w:w="6662" w:type="dxa"/>
            <w:vAlign w:val="center"/>
          </w:tcPr>
          <w:p w14:paraId="6166C7D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GESI Advisor</w:t>
            </w:r>
          </w:p>
        </w:tc>
        <w:tc>
          <w:tcPr>
            <w:tcW w:w="2552" w:type="dxa"/>
            <w:vAlign w:val="center"/>
          </w:tcPr>
          <w:p w14:paraId="3F0C6C4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0904CBC4" w14:textId="77777777" w:rsidTr="000F7707">
        <w:trPr>
          <w:trHeight w:val="377"/>
        </w:trPr>
        <w:tc>
          <w:tcPr>
            <w:tcW w:w="705" w:type="dxa"/>
            <w:shd w:val="clear" w:color="auto" w:fill="auto"/>
            <w:vAlign w:val="center"/>
          </w:tcPr>
          <w:p w14:paraId="2C06981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41</w:t>
            </w:r>
          </w:p>
        </w:tc>
        <w:tc>
          <w:tcPr>
            <w:tcW w:w="2834" w:type="dxa"/>
            <w:shd w:val="clear" w:color="auto" w:fill="auto"/>
            <w:vAlign w:val="center"/>
          </w:tcPr>
          <w:p w14:paraId="1404D10B" w14:textId="023B0248" w:rsidR="00AF6DBD" w:rsidRPr="00BC1D96" w:rsidRDefault="000F7707" w:rsidP="001A568E">
            <w:pPr>
              <w:spacing w:before="40" w:after="40" w:line="240" w:lineRule="auto"/>
              <w:jc w:val="left"/>
              <w:rPr>
                <w:rFonts w:ascii="Arial" w:hAnsi="Arial" w:cs="Arial"/>
                <w:sz w:val="20"/>
                <w:szCs w:val="20"/>
              </w:rPr>
            </w:pPr>
            <w:r w:rsidRPr="00BC1D96">
              <w:rPr>
                <w:rFonts w:ascii="Arial" w:hAnsi="Arial" w:cs="Arial"/>
                <w:sz w:val="20"/>
                <w:szCs w:val="20"/>
              </w:rPr>
              <w:t>Hakaua Susan Harry</w:t>
            </w:r>
          </w:p>
        </w:tc>
        <w:tc>
          <w:tcPr>
            <w:tcW w:w="6662" w:type="dxa"/>
          </w:tcPr>
          <w:p w14:paraId="17D4590F" w14:textId="78315886" w:rsidR="00AF6DBD" w:rsidRPr="00BC1D96" w:rsidRDefault="000F7707" w:rsidP="001A568E">
            <w:pPr>
              <w:spacing w:before="40" w:after="40" w:line="240" w:lineRule="auto"/>
              <w:jc w:val="left"/>
              <w:rPr>
                <w:rFonts w:ascii="Arial" w:hAnsi="Arial" w:cs="Arial"/>
                <w:sz w:val="20"/>
                <w:szCs w:val="20"/>
              </w:rPr>
            </w:pPr>
            <w:r w:rsidRPr="00BC1D96">
              <w:rPr>
                <w:rFonts w:ascii="Arial" w:hAnsi="Arial" w:cs="Arial"/>
                <w:sz w:val="20"/>
                <w:szCs w:val="20"/>
              </w:rPr>
              <w:t>Special Policy Advisor - Treasury Ministry</w:t>
            </w:r>
          </w:p>
        </w:tc>
        <w:tc>
          <w:tcPr>
            <w:tcW w:w="2552" w:type="dxa"/>
            <w:vAlign w:val="center"/>
          </w:tcPr>
          <w:p w14:paraId="4869418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24C8D143" w14:textId="77777777" w:rsidTr="00265BB9">
        <w:trPr>
          <w:trHeight w:val="377"/>
        </w:trPr>
        <w:tc>
          <w:tcPr>
            <w:tcW w:w="705" w:type="dxa"/>
            <w:vAlign w:val="center"/>
          </w:tcPr>
          <w:p w14:paraId="1809D64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42</w:t>
            </w:r>
          </w:p>
        </w:tc>
        <w:tc>
          <w:tcPr>
            <w:tcW w:w="2834" w:type="dxa"/>
            <w:vAlign w:val="center"/>
          </w:tcPr>
          <w:p w14:paraId="4C6D29FE" w14:textId="77777777" w:rsidR="00AF6DBD" w:rsidRPr="00BC1D96" w:rsidRDefault="00AF6DBD" w:rsidP="001A568E">
            <w:pPr>
              <w:spacing w:before="40" w:after="40" w:line="240" w:lineRule="auto"/>
              <w:jc w:val="left"/>
              <w:rPr>
                <w:rFonts w:ascii="Arial" w:hAnsi="Arial" w:cs="Arial"/>
                <w:sz w:val="20"/>
                <w:szCs w:val="20"/>
                <w:highlight w:val="yellow"/>
              </w:rPr>
            </w:pPr>
            <w:r w:rsidRPr="00BC1D96">
              <w:rPr>
                <w:rFonts w:ascii="Arial" w:hAnsi="Arial" w:cs="Arial"/>
                <w:sz w:val="20"/>
                <w:szCs w:val="20"/>
              </w:rPr>
              <w:t>Ayesha Lutschini</w:t>
            </w:r>
          </w:p>
        </w:tc>
        <w:tc>
          <w:tcPr>
            <w:tcW w:w="6662" w:type="dxa"/>
            <w:vAlign w:val="center"/>
          </w:tcPr>
          <w:p w14:paraId="12F0DFD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Gender specialist </w:t>
            </w:r>
          </w:p>
        </w:tc>
        <w:tc>
          <w:tcPr>
            <w:tcW w:w="2552" w:type="dxa"/>
            <w:vAlign w:val="center"/>
          </w:tcPr>
          <w:p w14:paraId="3DC7605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E53BBC" w14:paraId="4DC2BFA3" w14:textId="77777777" w:rsidTr="00265BB9">
        <w:trPr>
          <w:trHeight w:val="377"/>
        </w:trPr>
        <w:tc>
          <w:tcPr>
            <w:tcW w:w="705" w:type="dxa"/>
            <w:vAlign w:val="center"/>
          </w:tcPr>
          <w:p w14:paraId="4710CC6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43</w:t>
            </w:r>
          </w:p>
        </w:tc>
        <w:tc>
          <w:tcPr>
            <w:tcW w:w="2834" w:type="dxa"/>
            <w:vAlign w:val="center"/>
          </w:tcPr>
          <w:p w14:paraId="6A7DABA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John Mooney</w:t>
            </w:r>
          </w:p>
        </w:tc>
        <w:tc>
          <w:tcPr>
            <w:tcW w:w="6662" w:type="dxa"/>
            <w:vAlign w:val="center"/>
          </w:tcPr>
          <w:p w14:paraId="722F46F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Previous QTAG Team Leader</w:t>
            </w:r>
          </w:p>
        </w:tc>
        <w:tc>
          <w:tcPr>
            <w:tcW w:w="2552" w:type="dxa"/>
            <w:vAlign w:val="center"/>
          </w:tcPr>
          <w:p w14:paraId="1AC3348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External </w:t>
            </w:r>
          </w:p>
        </w:tc>
      </w:tr>
      <w:tr w:rsidR="00AF6DBD" w:rsidRPr="00E53BBC" w14:paraId="040EA9B7" w14:textId="77777777" w:rsidTr="00265BB9">
        <w:trPr>
          <w:trHeight w:val="377"/>
        </w:trPr>
        <w:tc>
          <w:tcPr>
            <w:tcW w:w="705" w:type="dxa"/>
            <w:vAlign w:val="center"/>
          </w:tcPr>
          <w:p w14:paraId="433EAA9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46</w:t>
            </w:r>
          </w:p>
        </w:tc>
        <w:tc>
          <w:tcPr>
            <w:tcW w:w="2834" w:type="dxa"/>
            <w:vAlign w:val="center"/>
          </w:tcPr>
          <w:p w14:paraId="5622CBD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Ireire Olewale</w:t>
            </w:r>
          </w:p>
        </w:tc>
        <w:tc>
          <w:tcPr>
            <w:tcW w:w="6662" w:type="dxa"/>
            <w:vAlign w:val="center"/>
          </w:tcPr>
          <w:p w14:paraId="0FF34D1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Sub National Advisor</w:t>
            </w:r>
          </w:p>
        </w:tc>
        <w:tc>
          <w:tcPr>
            <w:tcW w:w="2552" w:type="dxa"/>
            <w:vAlign w:val="center"/>
          </w:tcPr>
          <w:p w14:paraId="03E1AF4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bl>
    <w:p w14:paraId="41918050" w14:textId="77777777" w:rsidR="00AF6DBD" w:rsidRPr="00911EBF" w:rsidRDefault="00AF6DBD" w:rsidP="001A568E">
      <w:pPr>
        <w:pStyle w:val="BodyText"/>
        <w:spacing w:after="0"/>
      </w:pPr>
    </w:p>
    <w:p w14:paraId="05F444B3" w14:textId="77777777" w:rsidR="00AF6DBD" w:rsidRPr="0001314F" w:rsidRDefault="00AF6DBD" w:rsidP="001A568E">
      <w:pPr>
        <w:jc w:val="left"/>
        <w:rPr>
          <w:b/>
          <w:bCs/>
        </w:rPr>
      </w:pPr>
      <w:r w:rsidRPr="0001314F">
        <w:rPr>
          <w:b/>
          <w:bCs/>
        </w:rPr>
        <w:t>EGIG</w:t>
      </w:r>
    </w:p>
    <w:tbl>
      <w:tblPr>
        <w:tblStyle w:val="TableGrid"/>
        <w:tblW w:w="0" w:type="auto"/>
        <w:tblLook w:val="04A0" w:firstRow="1" w:lastRow="0" w:firstColumn="1" w:lastColumn="0" w:noHBand="0" w:noVBand="1"/>
      </w:tblPr>
      <w:tblGrid>
        <w:gridCol w:w="729"/>
        <w:gridCol w:w="2050"/>
        <w:gridCol w:w="4208"/>
        <w:gridCol w:w="2023"/>
      </w:tblGrid>
      <w:tr w:rsidR="00AF6DBD" w:rsidRPr="00BC1D96" w14:paraId="4F528A98" w14:textId="77777777" w:rsidTr="00013F08">
        <w:trPr>
          <w:trHeight w:val="377"/>
          <w:tblHeader/>
        </w:trPr>
        <w:tc>
          <w:tcPr>
            <w:tcW w:w="729" w:type="dxa"/>
            <w:vAlign w:val="center"/>
          </w:tcPr>
          <w:p w14:paraId="06FC2D05"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S/No.</w:t>
            </w:r>
          </w:p>
        </w:tc>
        <w:tc>
          <w:tcPr>
            <w:tcW w:w="2050" w:type="dxa"/>
            <w:vAlign w:val="center"/>
          </w:tcPr>
          <w:p w14:paraId="1357CFD1"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Name</w:t>
            </w:r>
          </w:p>
        </w:tc>
        <w:tc>
          <w:tcPr>
            <w:tcW w:w="4208" w:type="dxa"/>
            <w:vAlign w:val="center"/>
          </w:tcPr>
          <w:p w14:paraId="2ACC44D7"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Role</w:t>
            </w:r>
          </w:p>
        </w:tc>
        <w:tc>
          <w:tcPr>
            <w:tcW w:w="2023" w:type="dxa"/>
            <w:vAlign w:val="center"/>
          </w:tcPr>
          <w:p w14:paraId="7979C39E"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Organization</w:t>
            </w:r>
          </w:p>
        </w:tc>
      </w:tr>
      <w:tr w:rsidR="00AF6DBD" w:rsidRPr="00BC1D96" w14:paraId="47666F54" w14:textId="77777777" w:rsidTr="00013F08">
        <w:trPr>
          <w:trHeight w:val="377"/>
        </w:trPr>
        <w:tc>
          <w:tcPr>
            <w:tcW w:w="729" w:type="dxa"/>
            <w:vAlign w:val="center"/>
          </w:tcPr>
          <w:p w14:paraId="2C9BCF5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p>
        </w:tc>
        <w:tc>
          <w:tcPr>
            <w:tcW w:w="2050" w:type="dxa"/>
            <w:vAlign w:val="center"/>
          </w:tcPr>
          <w:p w14:paraId="706E52E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Kim Northwood</w:t>
            </w:r>
          </w:p>
        </w:tc>
        <w:tc>
          <w:tcPr>
            <w:tcW w:w="4208" w:type="dxa"/>
            <w:vAlign w:val="center"/>
          </w:tcPr>
          <w:p w14:paraId="536F9CB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Secretary, Economic, EGIG</w:t>
            </w:r>
          </w:p>
        </w:tc>
        <w:tc>
          <w:tcPr>
            <w:tcW w:w="2023" w:type="dxa"/>
            <w:vAlign w:val="center"/>
          </w:tcPr>
          <w:p w14:paraId="7BDC243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DFAT</w:t>
            </w:r>
          </w:p>
        </w:tc>
      </w:tr>
      <w:tr w:rsidR="00AF6DBD" w:rsidRPr="00BC1D96" w14:paraId="69C6391F" w14:textId="77777777" w:rsidTr="00013F08">
        <w:trPr>
          <w:trHeight w:val="377"/>
        </w:trPr>
        <w:tc>
          <w:tcPr>
            <w:tcW w:w="729" w:type="dxa"/>
            <w:vAlign w:val="center"/>
          </w:tcPr>
          <w:p w14:paraId="3FC9D47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w:t>
            </w:r>
          </w:p>
        </w:tc>
        <w:tc>
          <w:tcPr>
            <w:tcW w:w="2050" w:type="dxa"/>
            <w:vAlign w:val="center"/>
          </w:tcPr>
          <w:p w14:paraId="3CE7AE3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Nina Eliseo</w:t>
            </w:r>
          </w:p>
        </w:tc>
        <w:tc>
          <w:tcPr>
            <w:tcW w:w="4208" w:type="dxa"/>
            <w:vAlign w:val="center"/>
          </w:tcPr>
          <w:p w14:paraId="1F146D6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Second Secretary, Economic, EGIG</w:t>
            </w:r>
          </w:p>
        </w:tc>
        <w:tc>
          <w:tcPr>
            <w:tcW w:w="2023" w:type="dxa"/>
            <w:vAlign w:val="center"/>
          </w:tcPr>
          <w:p w14:paraId="6DB5929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DFAT</w:t>
            </w:r>
          </w:p>
        </w:tc>
      </w:tr>
      <w:tr w:rsidR="00AF6DBD" w:rsidRPr="00BC1D96" w14:paraId="1EBC6787" w14:textId="77777777" w:rsidTr="00013F08">
        <w:trPr>
          <w:trHeight w:val="377"/>
        </w:trPr>
        <w:tc>
          <w:tcPr>
            <w:tcW w:w="729" w:type="dxa"/>
            <w:vAlign w:val="center"/>
          </w:tcPr>
          <w:p w14:paraId="748A3AF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w:t>
            </w:r>
          </w:p>
        </w:tc>
        <w:tc>
          <w:tcPr>
            <w:tcW w:w="2050" w:type="dxa"/>
            <w:vAlign w:val="center"/>
          </w:tcPr>
          <w:p w14:paraId="76060F3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Harry Aurere</w:t>
            </w:r>
          </w:p>
        </w:tc>
        <w:tc>
          <w:tcPr>
            <w:tcW w:w="4208" w:type="dxa"/>
            <w:vAlign w:val="center"/>
          </w:tcPr>
          <w:p w14:paraId="6182B56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Program Manager, Economic, EGIG</w:t>
            </w:r>
          </w:p>
        </w:tc>
        <w:tc>
          <w:tcPr>
            <w:tcW w:w="2023" w:type="dxa"/>
            <w:vAlign w:val="center"/>
          </w:tcPr>
          <w:p w14:paraId="6E75229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DFAT</w:t>
            </w:r>
          </w:p>
        </w:tc>
      </w:tr>
      <w:tr w:rsidR="00AF6DBD" w:rsidRPr="00BC1D96" w14:paraId="409D59B8" w14:textId="77777777" w:rsidTr="00013F08">
        <w:trPr>
          <w:trHeight w:val="377"/>
        </w:trPr>
        <w:tc>
          <w:tcPr>
            <w:tcW w:w="729" w:type="dxa"/>
            <w:vAlign w:val="center"/>
          </w:tcPr>
          <w:p w14:paraId="3CDC5EE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w:t>
            </w:r>
          </w:p>
        </w:tc>
        <w:tc>
          <w:tcPr>
            <w:tcW w:w="2050" w:type="dxa"/>
            <w:vAlign w:val="center"/>
          </w:tcPr>
          <w:p w14:paraId="6D320BAD" w14:textId="48828EC4"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Ia</w:t>
            </w:r>
            <w:r w:rsidR="00066F6D" w:rsidRPr="00BC1D96">
              <w:rPr>
                <w:rFonts w:ascii="Arial" w:hAnsi="Arial" w:cs="Arial"/>
                <w:sz w:val="20"/>
                <w:szCs w:val="20"/>
              </w:rPr>
              <w:t>i</w:t>
            </w:r>
            <w:r w:rsidRPr="00BC1D96">
              <w:rPr>
                <w:rFonts w:ascii="Arial" w:hAnsi="Arial" w:cs="Arial"/>
                <w:sz w:val="20"/>
                <w:szCs w:val="20"/>
              </w:rPr>
              <w:t>n Smith</w:t>
            </w:r>
          </w:p>
        </w:tc>
        <w:tc>
          <w:tcPr>
            <w:tcW w:w="4208" w:type="dxa"/>
            <w:vAlign w:val="center"/>
          </w:tcPr>
          <w:p w14:paraId="33F6CF6E" w14:textId="0D72CC0A" w:rsidR="00AF6DBD" w:rsidRPr="00BC1D96" w:rsidRDefault="00066F6D" w:rsidP="001A568E">
            <w:pPr>
              <w:spacing w:before="40" w:after="40" w:line="240" w:lineRule="auto"/>
              <w:jc w:val="left"/>
              <w:rPr>
                <w:rFonts w:ascii="Arial" w:hAnsi="Arial" w:cs="Arial"/>
                <w:sz w:val="20"/>
                <w:szCs w:val="20"/>
              </w:rPr>
            </w:pPr>
            <w:r w:rsidRPr="00BC1D96">
              <w:rPr>
                <w:rFonts w:ascii="Arial" w:hAnsi="Arial" w:cs="Arial"/>
                <w:sz w:val="20"/>
                <w:szCs w:val="20"/>
              </w:rPr>
              <w:t>Former Director, EGIG</w:t>
            </w:r>
          </w:p>
        </w:tc>
        <w:tc>
          <w:tcPr>
            <w:tcW w:w="2023" w:type="dxa"/>
            <w:vAlign w:val="center"/>
          </w:tcPr>
          <w:p w14:paraId="1E8071E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BC1D96" w14:paraId="41C718C8" w14:textId="77777777" w:rsidTr="00013F08">
        <w:trPr>
          <w:trHeight w:val="377"/>
        </w:trPr>
        <w:tc>
          <w:tcPr>
            <w:tcW w:w="729" w:type="dxa"/>
            <w:vAlign w:val="center"/>
          </w:tcPr>
          <w:p w14:paraId="6F87BC4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5</w:t>
            </w:r>
          </w:p>
        </w:tc>
        <w:tc>
          <w:tcPr>
            <w:tcW w:w="2050" w:type="dxa"/>
            <w:vAlign w:val="center"/>
          </w:tcPr>
          <w:p w14:paraId="454F318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Jane Ravusiro</w:t>
            </w:r>
          </w:p>
        </w:tc>
        <w:tc>
          <w:tcPr>
            <w:tcW w:w="4208" w:type="dxa"/>
            <w:vAlign w:val="center"/>
          </w:tcPr>
          <w:p w14:paraId="0A2D0A4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Deputy Director - EGIG</w:t>
            </w:r>
          </w:p>
        </w:tc>
        <w:tc>
          <w:tcPr>
            <w:tcW w:w="2023" w:type="dxa"/>
            <w:vAlign w:val="center"/>
          </w:tcPr>
          <w:p w14:paraId="7CF0ED2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BC1D96" w14:paraId="521B7E1C" w14:textId="77777777" w:rsidTr="00013F08">
        <w:trPr>
          <w:trHeight w:val="377"/>
        </w:trPr>
        <w:tc>
          <w:tcPr>
            <w:tcW w:w="729" w:type="dxa"/>
            <w:vAlign w:val="center"/>
          </w:tcPr>
          <w:p w14:paraId="0E0E973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6</w:t>
            </w:r>
          </w:p>
        </w:tc>
        <w:tc>
          <w:tcPr>
            <w:tcW w:w="2050" w:type="dxa"/>
            <w:vAlign w:val="center"/>
          </w:tcPr>
          <w:p w14:paraId="60CCA5D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Tim Robinson </w:t>
            </w:r>
          </w:p>
        </w:tc>
        <w:tc>
          <w:tcPr>
            <w:tcW w:w="4208" w:type="dxa"/>
            <w:vAlign w:val="center"/>
          </w:tcPr>
          <w:p w14:paraId="26025F01" w14:textId="36351B3E" w:rsidR="00AF6DBD" w:rsidRPr="00BC1D96" w:rsidRDefault="00013F08" w:rsidP="001A568E">
            <w:pPr>
              <w:spacing w:before="40" w:after="40" w:line="240" w:lineRule="auto"/>
              <w:jc w:val="left"/>
              <w:rPr>
                <w:rFonts w:ascii="Arial" w:hAnsi="Arial" w:cs="Arial"/>
                <w:sz w:val="20"/>
                <w:szCs w:val="20"/>
              </w:rPr>
            </w:pPr>
            <w:r w:rsidRPr="00BC1D96">
              <w:rPr>
                <w:rFonts w:ascii="Arial" w:hAnsi="Arial" w:cs="Arial"/>
                <w:sz w:val="20"/>
                <w:szCs w:val="20"/>
              </w:rPr>
              <w:t>Director, EGIG</w:t>
            </w:r>
          </w:p>
        </w:tc>
        <w:tc>
          <w:tcPr>
            <w:tcW w:w="2023" w:type="dxa"/>
            <w:vAlign w:val="center"/>
          </w:tcPr>
          <w:p w14:paraId="44036A8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BC1D96" w14:paraId="2E9B5149" w14:textId="77777777" w:rsidTr="00013F08">
        <w:trPr>
          <w:trHeight w:val="377"/>
        </w:trPr>
        <w:tc>
          <w:tcPr>
            <w:tcW w:w="729" w:type="dxa"/>
            <w:vAlign w:val="center"/>
          </w:tcPr>
          <w:p w14:paraId="7A94A0D6" w14:textId="6BDC91D0"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lastRenderedPageBreak/>
              <w:t>7</w:t>
            </w:r>
          </w:p>
        </w:tc>
        <w:tc>
          <w:tcPr>
            <w:tcW w:w="2050" w:type="dxa"/>
            <w:vAlign w:val="center"/>
          </w:tcPr>
          <w:p w14:paraId="32EB3E8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Charles Yalla</w:t>
            </w:r>
          </w:p>
        </w:tc>
        <w:tc>
          <w:tcPr>
            <w:tcW w:w="4208" w:type="dxa"/>
            <w:vAlign w:val="center"/>
          </w:tcPr>
          <w:p w14:paraId="05CACCF0" w14:textId="21F889CC"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 xml:space="preserve">Lands </w:t>
            </w:r>
            <w:r w:rsidR="00AF6DBD" w:rsidRPr="00BC1D96">
              <w:rPr>
                <w:rFonts w:ascii="Arial" w:hAnsi="Arial" w:cs="Arial"/>
                <w:sz w:val="20"/>
                <w:szCs w:val="20"/>
              </w:rPr>
              <w:t xml:space="preserve">Advisor </w:t>
            </w:r>
          </w:p>
        </w:tc>
        <w:tc>
          <w:tcPr>
            <w:tcW w:w="2023" w:type="dxa"/>
            <w:vAlign w:val="center"/>
          </w:tcPr>
          <w:p w14:paraId="5024CB62" w14:textId="73538310"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EGIG</w:t>
            </w:r>
          </w:p>
        </w:tc>
      </w:tr>
      <w:tr w:rsidR="00AF6DBD" w:rsidRPr="00BC1D96" w14:paraId="5941D894" w14:textId="77777777" w:rsidTr="00013F08">
        <w:trPr>
          <w:trHeight w:val="377"/>
        </w:trPr>
        <w:tc>
          <w:tcPr>
            <w:tcW w:w="729" w:type="dxa"/>
            <w:vAlign w:val="center"/>
          </w:tcPr>
          <w:p w14:paraId="178A1977" w14:textId="3A325E3C"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8</w:t>
            </w:r>
          </w:p>
        </w:tc>
        <w:tc>
          <w:tcPr>
            <w:tcW w:w="2050" w:type="dxa"/>
            <w:vAlign w:val="center"/>
          </w:tcPr>
          <w:p w14:paraId="27FFA9B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Tony Willenberg </w:t>
            </w:r>
          </w:p>
        </w:tc>
        <w:tc>
          <w:tcPr>
            <w:tcW w:w="4208" w:type="dxa"/>
            <w:vAlign w:val="center"/>
          </w:tcPr>
          <w:p w14:paraId="161DE5BD" w14:textId="6917F9AB"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Neocapita</w:t>
            </w:r>
            <w:r w:rsidR="009B44BC" w:rsidRPr="00BC1D96">
              <w:rPr>
                <w:rFonts w:ascii="Arial" w:hAnsi="Arial" w:cs="Arial"/>
                <w:sz w:val="20"/>
                <w:szCs w:val="20"/>
              </w:rPr>
              <w:t xml:space="preserve"> Advisor</w:t>
            </w:r>
            <w:r w:rsidRPr="00BC1D96">
              <w:rPr>
                <w:rFonts w:ascii="Arial" w:hAnsi="Arial" w:cs="Arial"/>
                <w:sz w:val="20"/>
                <w:szCs w:val="20"/>
              </w:rPr>
              <w:t xml:space="preserve">, supporting Yutru and DIBL </w:t>
            </w:r>
          </w:p>
        </w:tc>
        <w:tc>
          <w:tcPr>
            <w:tcW w:w="2023" w:type="dxa"/>
            <w:vAlign w:val="center"/>
          </w:tcPr>
          <w:p w14:paraId="14032F7F" w14:textId="1F51855F"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EGIG</w:t>
            </w:r>
          </w:p>
        </w:tc>
      </w:tr>
      <w:tr w:rsidR="00AF6DBD" w:rsidRPr="00BC1D96" w14:paraId="3BDA61EA" w14:textId="77777777" w:rsidTr="00013F08">
        <w:trPr>
          <w:trHeight w:val="377"/>
        </w:trPr>
        <w:tc>
          <w:tcPr>
            <w:tcW w:w="729" w:type="dxa"/>
            <w:vAlign w:val="center"/>
          </w:tcPr>
          <w:p w14:paraId="4E1E7D82" w14:textId="0B9FD6E5"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9</w:t>
            </w:r>
          </w:p>
        </w:tc>
        <w:tc>
          <w:tcPr>
            <w:tcW w:w="2050" w:type="dxa"/>
            <w:vAlign w:val="center"/>
          </w:tcPr>
          <w:p w14:paraId="02C1B29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Ruth Choulai </w:t>
            </w:r>
          </w:p>
        </w:tc>
        <w:tc>
          <w:tcPr>
            <w:tcW w:w="4208" w:type="dxa"/>
            <w:vAlign w:val="center"/>
          </w:tcPr>
          <w:p w14:paraId="5BED97A2" w14:textId="220EC632"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 xml:space="preserve">Creative and Cultural Industries </w:t>
            </w:r>
            <w:r w:rsidR="00AF6DBD" w:rsidRPr="00BC1D96">
              <w:rPr>
                <w:rFonts w:ascii="Arial" w:hAnsi="Arial" w:cs="Arial"/>
                <w:sz w:val="20"/>
                <w:szCs w:val="20"/>
              </w:rPr>
              <w:t xml:space="preserve">Advisor </w:t>
            </w:r>
          </w:p>
        </w:tc>
        <w:tc>
          <w:tcPr>
            <w:tcW w:w="2023" w:type="dxa"/>
            <w:vAlign w:val="center"/>
          </w:tcPr>
          <w:p w14:paraId="44DF0BF4" w14:textId="4D3F231B"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EGIG</w:t>
            </w:r>
          </w:p>
        </w:tc>
      </w:tr>
      <w:tr w:rsidR="00AF6DBD" w:rsidRPr="00BC1D96" w14:paraId="08478A54" w14:textId="77777777" w:rsidTr="00013F08">
        <w:trPr>
          <w:trHeight w:val="377"/>
        </w:trPr>
        <w:tc>
          <w:tcPr>
            <w:tcW w:w="729" w:type="dxa"/>
            <w:vAlign w:val="center"/>
          </w:tcPr>
          <w:p w14:paraId="43EB126B" w14:textId="405E76A8"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9B44BC" w:rsidRPr="00BC1D96">
              <w:rPr>
                <w:rFonts w:ascii="Arial" w:hAnsi="Arial" w:cs="Arial"/>
                <w:sz w:val="20"/>
                <w:szCs w:val="20"/>
              </w:rPr>
              <w:t>0</w:t>
            </w:r>
          </w:p>
        </w:tc>
        <w:tc>
          <w:tcPr>
            <w:tcW w:w="2050" w:type="dxa"/>
            <w:vAlign w:val="center"/>
          </w:tcPr>
          <w:p w14:paraId="2C2E667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Noah Talo</w:t>
            </w:r>
          </w:p>
        </w:tc>
        <w:tc>
          <w:tcPr>
            <w:tcW w:w="4208" w:type="dxa"/>
            <w:vAlign w:val="center"/>
          </w:tcPr>
          <w:p w14:paraId="0B1EBE8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General Manager, Yutru</w:t>
            </w:r>
          </w:p>
        </w:tc>
        <w:tc>
          <w:tcPr>
            <w:tcW w:w="2023" w:type="dxa"/>
            <w:vAlign w:val="center"/>
          </w:tcPr>
          <w:p w14:paraId="357FF0D9" w14:textId="034CF12C"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YuTru</w:t>
            </w:r>
          </w:p>
        </w:tc>
      </w:tr>
      <w:tr w:rsidR="00AF6DBD" w:rsidRPr="00BC1D96" w14:paraId="5223F168" w14:textId="77777777" w:rsidTr="00013F08">
        <w:trPr>
          <w:trHeight w:val="377"/>
        </w:trPr>
        <w:tc>
          <w:tcPr>
            <w:tcW w:w="729" w:type="dxa"/>
            <w:vAlign w:val="center"/>
          </w:tcPr>
          <w:p w14:paraId="3B9275A8" w14:textId="6E3C4FE8"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9B44BC" w:rsidRPr="00BC1D96">
              <w:rPr>
                <w:rFonts w:ascii="Arial" w:hAnsi="Arial" w:cs="Arial"/>
                <w:sz w:val="20"/>
                <w:szCs w:val="20"/>
              </w:rPr>
              <w:t>1</w:t>
            </w:r>
          </w:p>
        </w:tc>
        <w:tc>
          <w:tcPr>
            <w:tcW w:w="2050" w:type="dxa"/>
            <w:vAlign w:val="center"/>
          </w:tcPr>
          <w:p w14:paraId="7CB8904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Eli Webb</w:t>
            </w:r>
          </w:p>
        </w:tc>
        <w:tc>
          <w:tcPr>
            <w:tcW w:w="4208" w:type="dxa"/>
            <w:vAlign w:val="center"/>
          </w:tcPr>
          <w:p w14:paraId="4F83393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PNG Country Director, Women's Business Resource Centre </w:t>
            </w:r>
          </w:p>
        </w:tc>
        <w:tc>
          <w:tcPr>
            <w:tcW w:w="2023" w:type="dxa"/>
            <w:vAlign w:val="center"/>
          </w:tcPr>
          <w:p w14:paraId="783631DD" w14:textId="45CB58DE" w:rsidR="00AF6DBD" w:rsidRPr="00BC1D96" w:rsidRDefault="00066F6D" w:rsidP="001A568E">
            <w:pPr>
              <w:spacing w:before="40" w:after="40" w:line="240" w:lineRule="auto"/>
              <w:jc w:val="left"/>
              <w:rPr>
                <w:rFonts w:ascii="Arial" w:hAnsi="Arial" w:cs="Arial"/>
                <w:sz w:val="20"/>
                <w:szCs w:val="20"/>
              </w:rPr>
            </w:pPr>
            <w:r w:rsidRPr="00BC1D96">
              <w:rPr>
                <w:rFonts w:ascii="Arial" w:hAnsi="Arial" w:cs="Arial"/>
                <w:sz w:val="20"/>
                <w:szCs w:val="20"/>
              </w:rPr>
              <w:t>NGO</w:t>
            </w:r>
          </w:p>
        </w:tc>
      </w:tr>
      <w:tr w:rsidR="00AF6DBD" w:rsidRPr="00BC1D96" w14:paraId="7A531812" w14:textId="77777777" w:rsidTr="00013F08">
        <w:trPr>
          <w:trHeight w:val="377"/>
        </w:trPr>
        <w:tc>
          <w:tcPr>
            <w:tcW w:w="729" w:type="dxa"/>
            <w:vAlign w:val="center"/>
          </w:tcPr>
          <w:p w14:paraId="47F10204" w14:textId="1378E42E"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9B44BC" w:rsidRPr="00BC1D96">
              <w:rPr>
                <w:rFonts w:ascii="Arial" w:hAnsi="Arial" w:cs="Arial"/>
                <w:sz w:val="20"/>
                <w:szCs w:val="20"/>
              </w:rPr>
              <w:t>2</w:t>
            </w:r>
          </w:p>
        </w:tc>
        <w:tc>
          <w:tcPr>
            <w:tcW w:w="2050" w:type="dxa"/>
            <w:vAlign w:val="center"/>
          </w:tcPr>
          <w:p w14:paraId="03E7282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Glen Hurley </w:t>
            </w:r>
          </w:p>
        </w:tc>
        <w:tc>
          <w:tcPr>
            <w:tcW w:w="4208" w:type="dxa"/>
            <w:vAlign w:val="center"/>
          </w:tcPr>
          <w:p w14:paraId="55FB10D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Advisor to the Department of Finance </w:t>
            </w:r>
          </w:p>
        </w:tc>
        <w:tc>
          <w:tcPr>
            <w:tcW w:w="2023" w:type="dxa"/>
            <w:vAlign w:val="center"/>
          </w:tcPr>
          <w:p w14:paraId="1BC1F14F" w14:textId="7D3C1036"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EGIG</w:t>
            </w:r>
          </w:p>
        </w:tc>
      </w:tr>
      <w:tr w:rsidR="00AF6DBD" w:rsidRPr="00BC1D96" w14:paraId="3A4738F3" w14:textId="77777777" w:rsidTr="00013F08">
        <w:trPr>
          <w:trHeight w:val="377"/>
        </w:trPr>
        <w:tc>
          <w:tcPr>
            <w:tcW w:w="729" w:type="dxa"/>
            <w:vAlign w:val="center"/>
          </w:tcPr>
          <w:p w14:paraId="60CF6977" w14:textId="7F1E2953"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9B44BC" w:rsidRPr="00BC1D96">
              <w:rPr>
                <w:rFonts w:ascii="Arial" w:hAnsi="Arial" w:cs="Arial"/>
                <w:sz w:val="20"/>
                <w:szCs w:val="20"/>
              </w:rPr>
              <w:t>3</w:t>
            </w:r>
          </w:p>
        </w:tc>
        <w:tc>
          <w:tcPr>
            <w:tcW w:w="2050" w:type="dxa"/>
            <w:vAlign w:val="center"/>
          </w:tcPr>
          <w:p w14:paraId="100DEF0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Douveri Henao </w:t>
            </w:r>
          </w:p>
        </w:tc>
        <w:tc>
          <w:tcPr>
            <w:tcW w:w="4208" w:type="dxa"/>
            <w:vAlign w:val="center"/>
          </w:tcPr>
          <w:p w14:paraId="019859A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Executive Director Business Council of PNG </w:t>
            </w:r>
          </w:p>
        </w:tc>
        <w:tc>
          <w:tcPr>
            <w:tcW w:w="2023" w:type="dxa"/>
            <w:vAlign w:val="center"/>
          </w:tcPr>
          <w:p w14:paraId="4CB441A5" w14:textId="39A7ED21" w:rsidR="00AF6DBD" w:rsidRPr="00BC1D96" w:rsidRDefault="00066F6D" w:rsidP="001A568E">
            <w:pPr>
              <w:spacing w:before="40" w:after="40" w:line="240" w:lineRule="auto"/>
              <w:jc w:val="left"/>
              <w:rPr>
                <w:rFonts w:ascii="Arial" w:hAnsi="Arial" w:cs="Arial"/>
                <w:sz w:val="20"/>
                <w:szCs w:val="20"/>
              </w:rPr>
            </w:pPr>
            <w:r w:rsidRPr="00BC1D96">
              <w:rPr>
                <w:rFonts w:ascii="Arial" w:hAnsi="Arial" w:cs="Arial"/>
                <w:sz w:val="20"/>
                <w:szCs w:val="20"/>
              </w:rPr>
              <w:t>NGO</w:t>
            </w:r>
          </w:p>
        </w:tc>
      </w:tr>
      <w:tr w:rsidR="00AF6DBD" w:rsidRPr="00BC1D96" w14:paraId="52B2327E" w14:textId="77777777" w:rsidTr="00013F08">
        <w:trPr>
          <w:trHeight w:val="377"/>
        </w:trPr>
        <w:tc>
          <w:tcPr>
            <w:tcW w:w="729" w:type="dxa"/>
            <w:vAlign w:val="center"/>
          </w:tcPr>
          <w:p w14:paraId="596097B2" w14:textId="60E618AB"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9B44BC" w:rsidRPr="00BC1D96">
              <w:rPr>
                <w:rFonts w:ascii="Arial" w:hAnsi="Arial" w:cs="Arial"/>
                <w:sz w:val="20"/>
                <w:szCs w:val="20"/>
              </w:rPr>
              <w:t>4</w:t>
            </w:r>
          </w:p>
        </w:tc>
        <w:tc>
          <w:tcPr>
            <w:tcW w:w="2050" w:type="dxa"/>
            <w:vAlign w:val="center"/>
          </w:tcPr>
          <w:p w14:paraId="69A8643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Porshe Herbert-Funk </w:t>
            </w:r>
          </w:p>
        </w:tc>
        <w:tc>
          <w:tcPr>
            <w:tcW w:w="4208" w:type="dxa"/>
            <w:vAlign w:val="center"/>
          </w:tcPr>
          <w:p w14:paraId="7C18DEE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Australian Rep of Treasury, AHC </w:t>
            </w:r>
          </w:p>
        </w:tc>
        <w:tc>
          <w:tcPr>
            <w:tcW w:w="2023" w:type="dxa"/>
            <w:vAlign w:val="center"/>
          </w:tcPr>
          <w:p w14:paraId="612B3C39" w14:textId="6E01E97B" w:rsidR="00AF6DBD" w:rsidRPr="00BC1D96" w:rsidRDefault="00066F6D" w:rsidP="001A568E">
            <w:pPr>
              <w:spacing w:before="40" w:after="40" w:line="240" w:lineRule="auto"/>
              <w:jc w:val="left"/>
              <w:rPr>
                <w:rFonts w:ascii="Arial" w:hAnsi="Arial" w:cs="Arial"/>
                <w:sz w:val="20"/>
                <w:szCs w:val="20"/>
              </w:rPr>
            </w:pPr>
            <w:r w:rsidRPr="00BC1D96">
              <w:rPr>
                <w:rFonts w:ascii="Arial" w:hAnsi="Arial" w:cs="Arial"/>
                <w:sz w:val="20"/>
                <w:szCs w:val="20"/>
              </w:rPr>
              <w:t>AHC</w:t>
            </w:r>
          </w:p>
        </w:tc>
      </w:tr>
      <w:tr w:rsidR="00AF6DBD" w:rsidRPr="00BC1D96" w14:paraId="2D8A41ED" w14:textId="77777777" w:rsidTr="00013F08">
        <w:trPr>
          <w:trHeight w:val="377"/>
        </w:trPr>
        <w:tc>
          <w:tcPr>
            <w:tcW w:w="729" w:type="dxa"/>
            <w:vAlign w:val="center"/>
          </w:tcPr>
          <w:p w14:paraId="1947F92C" w14:textId="0BEF8B9E"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9B44BC" w:rsidRPr="00BC1D96">
              <w:rPr>
                <w:rFonts w:ascii="Arial" w:hAnsi="Arial" w:cs="Arial"/>
                <w:sz w:val="20"/>
                <w:szCs w:val="20"/>
              </w:rPr>
              <w:t>5</w:t>
            </w:r>
          </w:p>
        </w:tc>
        <w:tc>
          <w:tcPr>
            <w:tcW w:w="2050" w:type="dxa"/>
            <w:vAlign w:val="center"/>
          </w:tcPr>
          <w:p w14:paraId="792EC7F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Winfred Giyopo</w:t>
            </w:r>
          </w:p>
        </w:tc>
        <w:tc>
          <w:tcPr>
            <w:tcW w:w="4208" w:type="dxa"/>
            <w:vAlign w:val="center"/>
          </w:tcPr>
          <w:p w14:paraId="12B9B39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Assistant Secretary, Budget, Secretary, Department of Treasury</w:t>
            </w:r>
          </w:p>
        </w:tc>
        <w:tc>
          <w:tcPr>
            <w:tcW w:w="2023" w:type="dxa"/>
            <w:vAlign w:val="center"/>
          </w:tcPr>
          <w:p w14:paraId="792C24B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14B8330B" w14:textId="77777777" w:rsidTr="00013F08">
        <w:trPr>
          <w:trHeight w:val="377"/>
        </w:trPr>
        <w:tc>
          <w:tcPr>
            <w:tcW w:w="729" w:type="dxa"/>
            <w:vAlign w:val="center"/>
          </w:tcPr>
          <w:p w14:paraId="08171E1C" w14:textId="753BCAB1"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4948BC" w:rsidRPr="00BC1D96">
              <w:rPr>
                <w:rFonts w:ascii="Arial" w:hAnsi="Arial" w:cs="Arial"/>
                <w:sz w:val="20"/>
                <w:szCs w:val="20"/>
              </w:rPr>
              <w:t>6</w:t>
            </w:r>
          </w:p>
        </w:tc>
        <w:tc>
          <w:tcPr>
            <w:tcW w:w="2050" w:type="dxa"/>
            <w:vAlign w:val="center"/>
          </w:tcPr>
          <w:p w14:paraId="79EABED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Peter Mondoro</w:t>
            </w:r>
          </w:p>
        </w:tc>
        <w:tc>
          <w:tcPr>
            <w:tcW w:w="4208" w:type="dxa"/>
            <w:vAlign w:val="center"/>
          </w:tcPr>
          <w:p w14:paraId="3DA7E717"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Acting FAS for Macro, Treasury </w:t>
            </w:r>
          </w:p>
        </w:tc>
        <w:tc>
          <w:tcPr>
            <w:tcW w:w="2023" w:type="dxa"/>
            <w:vAlign w:val="center"/>
          </w:tcPr>
          <w:p w14:paraId="6D5944F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3C14AB12" w14:textId="77777777" w:rsidTr="00013F08">
        <w:trPr>
          <w:trHeight w:val="377"/>
        </w:trPr>
        <w:tc>
          <w:tcPr>
            <w:tcW w:w="729" w:type="dxa"/>
            <w:vAlign w:val="center"/>
          </w:tcPr>
          <w:p w14:paraId="798AE929" w14:textId="3CAA0C3A"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4948BC" w:rsidRPr="00BC1D96">
              <w:rPr>
                <w:rFonts w:ascii="Arial" w:hAnsi="Arial" w:cs="Arial"/>
                <w:sz w:val="20"/>
                <w:szCs w:val="20"/>
              </w:rPr>
              <w:t>7</w:t>
            </w:r>
          </w:p>
        </w:tc>
        <w:tc>
          <w:tcPr>
            <w:tcW w:w="2050" w:type="dxa"/>
            <w:vAlign w:val="center"/>
          </w:tcPr>
          <w:p w14:paraId="611FC4A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Damien Horiambe</w:t>
            </w:r>
          </w:p>
        </w:tc>
        <w:tc>
          <w:tcPr>
            <w:tcW w:w="4208" w:type="dxa"/>
            <w:vAlign w:val="center"/>
          </w:tcPr>
          <w:p w14:paraId="1AC71C5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First Assistant Secretary, Loans, Department of Treasury</w:t>
            </w:r>
          </w:p>
        </w:tc>
        <w:tc>
          <w:tcPr>
            <w:tcW w:w="2023" w:type="dxa"/>
            <w:vAlign w:val="center"/>
          </w:tcPr>
          <w:p w14:paraId="63973D3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9B44BC" w:rsidRPr="00BC1D96" w14:paraId="00A0C81F" w14:textId="77777777" w:rsidTr="00013F08">
        <w:trPr>
          <w:trHeight w:val="377"/>
        </w:trPr>
        <w:tc>
          <w:tcPr>
            <w:tcW w:w="729" w:type="dxa"/>
            <w:vAlign w:val="center"/>
          </w:tcPr>
          <w:p w14:paraId="21E19CE0" w14:textId="46A755C1" w:rsidR="009B44BC"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1</w:t>
            </w:r>
            <w:r w:rsidR="004948BC" w:rsidRPr="00BC1D96">
              <w:rPr>
                <w:rFonts w:ascii="Arial" w:hAnsi="Arial" w:cs="Arial"/>
                <w:sz w:val="20"/>
                <w:szCs w:val="20"/>
              </w:rPr>
              <w:t>8</w:t>
            </w:r>
          </w:p>
        </w:tc>
        <w:tc>
          <w:tcPr>
            <w:tcW w:w="2050" w:type="dxa"/>
            <w:vAlign w:val="center"/>
          </w:tcPr>
          <w:p w14:paraId="674C0B86" w14:textId="5004E8BC" w:rsidR="009B44BC"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Lazarus Malesa</w:t>
            </w:r>
          </w:p>
        </w:tc>
        <w:tc>
          <w:tcPr>
            <w:tcW w:w="4208" w:type="dxa"/>
            <w:vAlign w:val="center"/>
          </w:tcPr>
          <w:p w14:paraId="6B62FED3" w14:textId="5A105015" w:rsidR="009B44BC" w:rsidRPr="00BC1D96" w:rsidRDefault="0026362D" w:rsidP="001A568E">
            <w:pPr>
              <w:spacing w:before="40" w:after="40" w:line="240" w:lineRule="auto"/>
              <w:jc w:val="left"/>
              <w:rPr>
                <w:rFonts w:ascii="Arial" w:hAnsi="Arial" w:cs="Arial"/>
                <w:sz w:val="20"/>
                <w:szCs w:val="20"/>
              </w:rPr>
            </w:pPr>
            <w:r w:rsidRPr="00BC1D96">
              <w:rPr>
                <w:rFonts w:ascii="Arial" w:hAnsi="Arial" w:cs="Arial"/>
                <w:sz w:val="20"/>
                <w:szCs w:val="20"/>
              </w:rPr>
              <w:t>Deputy Secretary, Customary Land, Department of Lands and Physical Planning</w:t>
            </w:r>
          </w:p>
        </w:tc>
        <w:tc>
          <w:tcPr>
            <w:tcW w:w="2023" w:type="dxa"/>
            <w:vAlign w:val="center"/>
          </w:tcPr>
          <w:p w14:paraId="4FD6DB1D" w14:textId="2AA491B9" w:rsidR="009B44BC" w:rsidRPr="00BC1D96" w:rsidRDefault="0026362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312732A5" w14:textId="77777777" w:rsidTr="00013F08">
        <w:trPr>
          <w:trHeight w:val="377"/>
        </w:trPr>
        <w:tc>
          <w:tcPr>
            <w:tcW w:w="729" w:type="dxa"/>
            <w:vAlign w:val="center"/>
          </w:tcPr>
          <w:p w14:paraId="7FF39293" w14:textId="1F8D64D7" w:rsidR="00AF6DBD" w:rsidRPr="00BC1D96" w:rsidRDefault="004948BC" w:rsidP="001A568E">
            <w:pPr>
              <w:spacing w:before="40" w:after="40" w:line="240" w:lineRule="auto"/>
              <w:jc w:val="left"/>
              <w:rPr>
                <w:rFonts w:ascii="Arial" w:hAnsi="Arial" w:cs="Arial"/>
                <w:sz w:val="20"/>
                <w:szCs w:val="20"/>
              </w:rPr>
            </w:pPr>
            <w:r w:rsidRPr="00BC1D96">
              <w:rPr>
                <w:rFonts w:ascii="Arial" w:hAnsi="Arial" w:cs="Arial"/>
                <w:sz w:val="20"/>
                <w:szCs w:val="20"/>
              </w:rPr>
              <w:t>19</w:t>
            </w:r>
          </w:p>
        </w:tc>
        <w:tc>
          <w:tcPr>
            <w:tcW w:w="2050" w:type="dxa"/>
            <w:vAlign w:val="center"/>
          </w:tcPr>
          <w:p w14:paraId="3E4B04B8" w14:textId="077E0681" w:rsidR="00AF6DBD" w:rsidRPr="00BC1D96" w:rsidRDefault="00066F6D" w:rsidP="001A568E">
            <w:pPr>
              <w:spacing w:before="40" w:after="40" w:line="240" w:lineRule="auto"/>
              <w:jc w:val="left"/>
              <w:rPr>
                <w:rFonts w:ascii="Arial" w:hAnsi="Arial" w:cs="Arial"/>
                <w:sz w:val="20"/>
                <w:szCs w:val="20"/>
              </w:rPr>
            </w:pPr>
            <w:r w:rsidRPr="00BC1D96">
              <w:rPr>
                <w:rFonts w:ascii="Arial" w:hAnsi="Arial" w:cs="Arial"/>
                <w:sz w:val="20"/>
                <w:szCs w:val="20"/>
              </w:rPr>
              <w:t>Tom Leute</w:t>
            </w:r>
          </w:p>
        </w:tc>
        <w:tc>
          <w:tcPr>
            <w:tcW w:w="4208" w:type="dxa"/>
            <w:vAlign w:val="center"/>
          </w:tcPr>
          <w:p w14:paraId="5F00CF4C" w14:textId="1DD7C83A" w:rsidR="00AF6DBD" w:rsidRPr="00BC1D96" w:rsidRDefault="00066F6D" w:rsidP="001A568E">
            <w:pPr>
              <w:spacing w:before="40" w:after="40" w:line="240" w:lineRule="auto"/>
              <w:jc w:val="left"/>
              <w:rPr>
                <w:rFonts w:ascii="Arial" w:hAnsi="Arial" w:cs="Arial"/>
                <w:sz w:val="20"/>
                <w:szCs w:val="20"/>
              </w:rPr>
            </w:pPr>
            <w:r w:rsidRPr="00BC1D96">
              <w:rPr>
                <w:rFonts w:ascii="Arial" w:hAnsi="Arial" w:cs="Arial"/>
                <w:sz w:val="20"/>
                <w:szCs w:val="20"/>
              </w:rPr>
              <w:t>Advisor to the Department of Finance</w:t>
            </w:r>
          </w:p>
        </w:tc>
        <w:tc>
          <w:tcPr>
            <w:tcW w:w="2023" w:type="dxa"/>
            <w:vAlign w:val="center"/>
          </w:tcPr>
          <w:p w14:paraId="3D1D8940" w14:textId="29C611D4" w:rsidR="00AF6DBD" w:rsidRPr="00BC1D96" w:rsidRDefault="009B44BC" w:rsidP="001A568E">
            <w:pPr>
              <w:spacing w:before="40" w:after="40" w:line="240" w:lineRule="auto"/>
              <w:jc w:val="left"/>
              <w:rPr>
                <w:rFonts w:ascii="Arial" w:hAnsi="Arial" w:cs="Arial"/>
                <w:sz w:val="20"/>
                <w:szCs w:val="20"/>
              </w:rPr>
            </w:pPr>
            <w:r w:rsidRPr="00BC1D96">
              <w:rPr>
                <w:rFonts w:ascii="Arial" w:hAnsi="Arial" w:cs="Arial"/>
                <w:sz w:val="20"/>
                <w:szCs w:val="20"/>
              </w:rPr>
              <w:t>EGIG</w:t>
            </w:r>
          </w:p>
        </w:tc>
      </w:tr>
    </w:tbl>
    <w:p w14:paraId="24D55942" w14:textId="77777777" w:rsidR="00AF6DBD" w:rsidRPr="00911EBF" w:rsidRDefault="00AF6DBD" w:rsidP="001A568E">
      <w:pPr>
        <w:pStyle w:val="BodyText"/>
        <w:spacing w:after="0"/>
      </w:pPr>
    </w:p>
    <w:p w14:paraId="27CE0DB9" w14:textId="77777777" w:rsidR="00AF6DBD" w:rsidRPr="0001314F" w:rsidRDefault="00AF6DBD" w:rsidP="001A568E">
      <w:pPr>
        <w:jc w:val="left"/>
        <w:rPr>
          <w:b/>
          <w:bCs/>
        </w:rPr>
      </w:pPr>
      <w:r w:rsidRPr="0001314F">
        <w:rPr>
          <w:b/>
          <w:bCs/>
        </w:rPr>
        <w:t>DCP</w:t>
      </w:r>
    </w:p>
    <w:tbl>
      <w:tblPr>
        <w:tblStyle w:val="TableGrid"/>
        <w:tblW w:w="0" w:type="auto"/>
        <w:tblLook w:val="04A0" w:firstRow="1" w:lastRow="0" w:firstColumn="1" w:lastColumn="0" w:noHBand="0" w:noVBand="1"/>
      </w:tblPr>
      <w:tblGrid>
        <w:gridCol w:w="728"/>
        <w:gridCol w:w="2075"/>
        <w:gridCol w:w="4184"/>
        <w:gridCol w:w="2023"/>
      </w:tblGrid>
      <w:tr w:rsidR="00AF6DBD" w:rsidRPr="00BC1D96" w14:paraId="2CD916DB" w14:textId="77777777" w:rsidTr="00265BB9">
        <w:trPr>
          <w:trHeight w:val="377"/>
          <w:tblHeader/>
        </w:trPr>
        <w:tc>
          <w:tcPr>
            <w:tcW w:w="705" w:type="dxa"/>
            <w:vAlign w:val="center"/>
          </w:tcPr>
          <w:p w14:paraId="26F13665"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S/No.</w:t>
            </w:r>
          </w:p>
        </w:tc>
        <w:tc>
          <w:tcPr>
            <w:tcW w:w="2834" w:type="dxa"/>
            <w:vAlign w:val="center"/>
          </w:tcPr>
          <w:p w14:paraId="0EC07F69"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Name</w:t>
            </w:r>
          </w:p>
        </w:tc>
        <w:tc>
          <w:tcPr>
            <w:tcW w:w="6662" w:type="dxa"/>
            <w:vAlign w:val="center"/>
          </w:tcPr>
          <w:p w14:paraId="09E493E6"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Role</w:t>
            </w:r>
          </w:p>
        </w:tc>
        <w:tc>
          <w:tcPr>
            <w:tcW w:w="2552" w:type="dxa"/>
            <w:vAlign w:val="center"/>
          </w:tcPr>
          <w:p w14:paraId="210A8D3D" w14:textId="77777777" w:rsidR="00AF6DBD" w:rsidRPr="00BC1D96" w:rsidRDefault="00AF6DBD" w:rsidP="001A568E">
            <w:pPr>
              <w:spacing w:before="40" w:after="40" w:line="240" w:lineRule="auto"/>
              <w:jc w:val="left"/>
              <w:rPr>
                <w:rFonts w:ascii="Arial" w:hAnsi="Arial" w:cs="Arial"/>
                <w:b/>
                <w:bCs/>
                <w:sz w:val="20"/>
                <w:szCs w:val="20"/>
              </w:rPr>
            </w:pPr>
            <w:r w:rsidRPr="00BC1D96">
              <w:rPr>
                <w:rFonts w:ascii="Arial" w:hAnsi="Arial" w:cs="Arial"/>
                <w:b/>
                <w:bCs/>
                <w:sz w:val="20"/>
                <w:szCs w:val="20"/>
              </w:rPr>
              <w:t>Organization</w:t>
            </w:r>
          </w:p>
        </w:tc>
      </w:tr>
      <w:tr w:rsidR="00AF6DBD" w:rsidRPr="00BC1D96" w14:paraId="7579C123" w14:textId="77777777" w:rsidTr="00265BB9">
        <w:trPr>
          <w:trHeight w:val="377"/>
        </w:trPr>
        <w:tc>
          <w:tcPr>
            <w:tcW w:w="705" w:type="dxa"/>
            <w:vAlign w:val="center"/>
          </w:tcPr>
          <w:p w14:paraId="1F4EA42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w:t>
            </w:r>
          </w:p>
        </w:tc>
        <w:tc>
          <w:tcPr>
            <w:tcW w:w="2834" w:type="dxa"/>
            <w:vAlign w:val="center"/>
          </w:tcPr>
          <w:p w14:paraId="26FC48C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Steve Burns</w:t>
            </w:r>
          </w:p>
        </w:tc>
        <w:tc>
          <w:tcPr>
            <w:tcW w:w="6662" w:type="dxa"/>
            <w:vAlign w:val="center"/>
          </w:tcPr>
          <w:p w14:paraId="3780E79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Second Secretary, Justice, Accountability and Subnational Development DCP</w:t>
            </w:r>
          </w:p>
        </w:tc>
        <w:tc>
          <w:tcPr>
            <w:tcW w:w="2552" w:type="dxa"/>
            <w:vAlign w:val="center"/>
          </w:tcPr>
          <w:p w14:paraId="67424C6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DFAT</w:t>
            </w:r>
          </w:p>
        </w:tc>
      </w:tr>
      <w:tr w:rsidR="00AF6DBD" w:rsidRPr="00BC1D96" w14:paraId="67E3B233" w14:textId="77777777" w:rsidTr="00265BB9">
        <w:trPr>
          <w:trHeight w:val="377"/>
        </w:trPr>
        <w:tc>
          <w:tcPr>
            <w:tcW w:w="705" w:type="dxa"/>
            <w:vAlign w:val="center"/>
          </w:tcPr>
          <w:p w14:paraId="5AF364F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2</w:t>
            </w:r>
          </w:p>
        </w:tc>
        <w:tc>
          <w:tcPr>
            <w:tcW w:w="2834" w:type="dxa"/>
            <w:vAlign w:val="center"/>
          </w:tcPr>
          <w:p w14:paraId="4675E86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Esther McIntosh</w:t>
            </w:r>
          </w:p>
        </w:tc>
        <w:tc>
          <w:tcPr>
            <w:tcW w:w="6662" w:type="dxa"/>
            <w:vAlign w:val="center"/>
          </w:tcPr>
          <w:p w14:paraId="3461442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Director, DCP</w:t>
            </w:r>
          </w:p>
        </w:tc>
        <w:tc>
          <w:tcPr>
            <w:tcW w:w="2552" w:type="dxa"/>
            <w:vAlign w:val="center"/>
          </w:tcPr>
          <w:p w14:paraId="128087B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BC1D96" w14:paraId="3EC543E4" w14:textId="77777777" w:rsidTr="00265BB9">
        <w:trPr>
          <w:trHeight w:val="377"/>
        </w:trPr>
        <w:tc>
          <w:tcPr>
            <w:tcW w:w="705" w:type="dxa"/>
            <w:vAlign w:val="center"/>
          </w:tcPr>
          <w:p w14:paraId="2538413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3</w:t>
            </w:r>
          </w:p>
        </w:tc>
        <w:tc>
          <w:tcPr>
            <w:tcW w:w="2834" w:type="dxa"/>
            <w:vAlign w:val="center"/>
          </w:tcPr>
          <w:p w14:paraId="7A2BC4E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Lucy Moore</w:t>
            </w:r>
          </w:p>
        </w:tc>
        <w:tc>
          <w:tcPr>
            <w:tcW w:w="6662" w:type="dxa"/>
            <w:vAlign w:val="center"/>
          </w:tcPr>
          <w:p w14:paraId="7C2CF86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Senior Program Manager, Knowledge Learning and Gender, DCP</w:t>
            </w:r>
          </w:p>
        </w:tc>
        <w:tc>
          <w:tcPr>
            <w:tcW w:w="2552" w:type="dxa"/>
            <w:vAlign w:val="center"/>
          </w:tcPr>
          <w:p w14:paraId="644178D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BC1D96" w14:paraId="67940B78" w14:textId="77777777" w:rsidTr="00265BB9">
        <w:trPr>
          <w:trHeight w:val="377"/>
        </w:trPr>
        <w:tc>
          <w:tcPr>
            <w:tcW w:w="705" w:type="dxa"/>
            <w:vAlign w:val="center"/>
          </w:tcPr>
          <w:p w14:paraId="30CA6AB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4</w:t>
            </w:r>
          </w:p>
        </w:tc>
        <w:tc>
          <w:tcPr>
            <w:tcW w:w="2834" w:type="dxa"/>
            <w:vAlign w:val="center"/>
          </w:tcPr>
          <w:p w14:paraId="606D46C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Kate Butcher</w:t>
            </w:r>
          </w:p>
        </w:tc>
        <w:tc>
          <w:tcPr>
            <w:tcW w:w="6662" w:type="dxa"/>
            <w:vAlign w:val="center"/>
          </w:tcPr>
          <w:p w14:paraId="5B41E92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Gender Adviser</w:t>
            </w:r>
          </w:p>
        </w:tc>
        <w:tc>
          <w:tcPr>
            <w:tcW w:w="2552" w:type="dxa"/>
            <w:vAlign w:val="center"/>
          </w:tcPr>
          <w:p w14:paraId="0A9A96B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PAGP</w:t>
            </w:r>
          </w:p>
        </w:tc>
      </w:tr>
      <w:tr w:rsidR="00AF6DBD" w:rsidRPr="00BC1D96" w14:paraId="12872ABC" w14:textId="77777777" w:rsidTr="00265BB9">
        <w:trPr>
          <w:trHeight w:val="377"/>
        </w:trPr>
        <w:tc>
          <w:tcPr>
            <w:tcW w:w="705" w:type="dxa"/>
            <w:vAlign w:val="center"/>
          </w:tcPr>
          <w:p w14:paraId="3588EE8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5</w:t>
            </w:r>
          </w:p>
        </w:tc>
        <w:tc>
          <w:tcPr>
            <w:tcW w:w="2834" w:type="dxa"/>
            <w:vAlign w:val="center"/>
          </w:tcPr>
          <w:p w14:paraId="6132CAF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Joe Warus (acting Secretary)</w:t>
            </w:r>
          </w:p>
        </w:tc>
        <w:tc>
          <w:tcPr>
            <w:tcW w:w="6662" w:type="dxa"/>
            <w:vAlign w:val="center"/>
          </w:tcPr>
          <w:p w14:paraId="74A23CF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DPLGA </w:t>
            </w:r>
          </w:p>
        </w:tc>
        <w:tc>
          <w:tcPr>
            <w:tcW w:w="2552" w:type="dxa"/>
            <w:vAlign w:val="center"/>
          </w:tcPr>
          <w:p w14:paraId="0F0A205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79DEEC64" w14:textId="77777777" w:rsidTr="00265BB9">
        <w:trPr>
          <w:trHeight w:val="377"/>
        </w:trPr>
        <w:tc>
          <w:tcPr>
            <w:tcW w:w="705" w:type="dxa"/>
            <w:vAlign w:val="center"/>
          </w:tcPr>
          <w:p w14:paraId="667F173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6</w:t>
            </w:r>
          </w:p>
        </w:tc>
        <w:tc>
          <w:tcPr>
            <w:tcW w:w="2834" w:type="dxa"/>
            <w:vAlign w:val="center"/>
          </w:tcPr>
          <w:p w14:paraId="34AA2CD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Delilah Koja (act Dep Sec) </w:t>
            </w:r>
          </w:p>
        </w:tc>
        <w:tc>
          <w:tcPr>
            <w:tcW w:w="6662" w:type="dxa"/>
            <w:vAlign w:val="center"/>
          </w:tcPr>
          <w:p w14:paraId="7F86ECB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DPLGA </w:t>
            </w:r>
          </w:p>
        </w:tc>
        <w:tc>
          <w:tcPr>
            <w:tcW w:w="2552" w:type="dxa"/>
            <w:vAlign w:val="center"/>
          </w:tcPr>
          <w:p w14:paraId="763567E0"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14CE7791" w14:textId="77777777" w:rsidTr="00265BB9">
        <w:trPr>
          <w:trHeight w:val="377"/>
        </w:trPr>
        <w:tc>
          <w:tcPr>
            <w:tcW w:w="705" w:type="dxa"/>
            <w:vAlign w:val="center"/>
          </w:tcPr>
          <w:p w14:paraId="781FA77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7</w:t>
            </w:r>
          </w:p>
        </w:tc>
        <w:tc>
          <w:tcPr>
            <w:tcW w:w="2834" w:type="dxa"/>
            <w:vAlign w:val="center"/>
          </w:tcPr>
          <w:p w14:paraId="7167A8A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Aihi Vaki (Secretary) </w:t>
            </w:r>
          </w:p>
        </w:tc>
        <w:tc>
          <w:tcPr>
            <w:tcW w:w="6662" w:type="dxa"/>
            <w:vAlign w:val="center"/>
          </w:tcPr>
          <w:p w14:paraId="30BD688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DIRD </w:t>
            </w:r>
          </w:p>
        </w:tc>
        <w:tc>
          <w:tcPr>
            <w:tcW w:w="2552" w:type="dxa"/>
            <w:vAlign w:val="center"/>
          </w:tcPr>
          <w:p w14:paraId="6D5FF1D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4305144D" w14:textId="77777777" w:rsidTr="00265BB9">
        <w:trPr>
          <w:trHeight w:val="377"/>
        </w:trPr>
        <w:tc>
          <w:tcPr>
            <w:tcW w:w="705" w:type="dxa"/>
            <w:vAlign w:val="center"/>
          </w:tcPr>
          <w:p w14:paraId="4FCDA5D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8</w:t>
            </w:r>
          </w:p>
        </w:tc>
        <w:tc>
          <w:tcPr>
            <w:tcW w:w="2834" w:type="dxa"/>
            <w:vAlign w:val="center"/>
          </w:tcPr>
          <w:p w14:paraId="1F60948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Gordon Wafimbi (Dep Sec) </w:t>
            </w:r>
          </w:p>
        </w:tc>
        <w:tc>
          <w:tcPr>
            <w:tcW w:w="6662" w:type="dxa"/>
            <w:vAlign w:val="center"/>
          </w:tcPr>
          <w:p w14:paraId="572EF44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DIRD</w:t>
            </w:r>
          </w:p>
        </w:tc>
        <w:tc>
          <w:tcPr>
            <w:tcW w:w="2552" w:type="dxa"/>
            <w:vAlign w:val="center"/>
          </w:tcPr>
          <w:p w14:paraId="3F5F387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691EEFCC" w14:textId="77777777" w:rsidTr="00265BB9">
        <w:trPr>
          <w:trHeight w:val="377"/>
        </w:trPr>
        <w:tc>
          <w:tcPr>
            <w:tcW w:w="705" w:type="dxa"/>
            <w:vAlign w:val="center"/>
          </w:tcPr>
          <w:p w14:paraId="34E8B23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9</w:t>
            </w:r>
          </w:p>
        </w:tc>
        <w:tc>
          <w:tcPr>
            <w:tcW w:w="2834" w:type="dxa"/>
            <w:vAlign w:val="center"/>
          </w:tcPr>
          <w:p w14:paraId="5E0A364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Ireire Olewale</w:t>
            </w:r>
          </w:p>
        </w:tc>
        <w:tc>
          <w:tcPr>
            <w:tcW w:w="6662" w:type="dxa"/>
            <w:vAlign w:val="center"/>
          </w:tcPr>
          <w:p w14:paraId="48D05DF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Sub National Advisor</w:t>
            </w:r>
          </w:p>
        </w:tc>
        <w:tc>
          <w:tcPr>
            <w:tcW w:w="2552" w:type="dxa"/>
            <w:vAlign w:val="center"/>
          </w:tcPr>
          <w:p w14:paraId="7CB28ED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0EE57A10" w14:textId="77777777" w:rsidTr="00265BB9">
        <w:trPr>
          <w:trHeight w:val="377"/>
        </w:trPr>
        <w:tc>
          <w:tcPr>
            <w:tcW w:w="705" w:type="dxa"/>
            <w:vAlign w:val="center"/>
          </w:tcPr>
          <w:p w14:paraId="62E264B6"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10</w:t>
            </w:r>
          </w:p>
        </w:tc>
        <w:tc>
          <w:tcPr>
            <w:tcW w:w="2834" w:type="dxa"/>
            <w:vAlign w:val="center"/>
          </w:tcPr>
          <w:p w14:paraId="223E80C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David Kavanamur </w:t>
            </w:r>
          </w:p>
        </w:tc>
        <w:tc>
          <w:tcPr>
            <w:tcW w:w="6662" w:type="dxa"/>
            <w:vAlign w:val="center"/>
          </w:tcPr>
          <w:p w14:paraId="52DED98F"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Acting Managing Director, Kumul Consolidated Holdings</w:t>
            </w:r>
          </w:p>
        </w:tc>
        <w:tc>
          <w:tcPr>
            <w:tcW w:w="2552" w:type="dxa"/>
            <w:vAlign w:val="center"/>
          </w:tcPr>
          <w:p w14:paraId="4A4D348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6A62E902" w14:textId="77777777" w:rsidTr="00265BB9">
        <w:trPr>
          <w:trHeight w:val="377"/>
        </w:trPr>
        <w:tc>
          <w:tcPr>
            <w:tcW w:w="705" w:type="dxa"/>
            <w:vAlign w:val="center"/>
          </w:tcPr>
          <w:p w14:paraId="148868D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11</w:t>
            </w:r>
          </w:p>
        </w:tc>
        <w:tc>
          <w:tcPr>
            <w:tcW w:w="2834" w:type="dxa"/>
            <w:vAlign w:val="center"/>
          </w:tcPr>
          <w:p w14:paraId="5029EBD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Damien Ferguson </w:t>
            </w:r>
          </w:p>
        </w:tc>
        <w:tc>
          <w:tcPr>
            <w:tcW w:w="6662" w:type="dxa"/>
            <w:vAlign w:val="center"/>
          </w:tcPr>
          <w:p w14:paraId="7348C59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Managing Director, Planpac </w:t>
            </w:r>
          </w:p>
        </w:tc>
        <w:tc>
          <w:tcPr>
            <w:tcW w:w="2552" w:type="dxa"/>
            <w:vAlign w:val="center"/>
          </w:tcPr>
          <w:p w14:paraId="49D0CD5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5973F8EA" w14:textId="77777777" w:rsidTr="00265BB9">
        <w:trPr>
          <w:trHeight w:val="377"/>
        </w:trPr>
        <w:tc>
          <w:tcPr>
            <w:tcW w:w="705" w:type="dxa"/>
            <w:vAlign w:val="center"/>
          </w:tcPr>
          <w:p w14:paraId="6F91E07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12</w:t>
            </w:r>
          </w:p>
        </w:tc>
        <w:tc>
          <w:tcPr>
            <w:tcW w:w="2834" w:type="dxa"/>
            <w:vAlign w:val="center"/>
          </w:tcPr>
          <w:p w14:paraId="4A5D474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Brenda Andrias </w:t>
            </w:r>
          </w:p>
        </w:tc>
        <w:tc>
          <w:tcPr>
            <w:tcW w:w="6662" w:type="dxa"/>
            <w:vAlign w:val="center"/>
          </w:tcPr>
          <w:p w14:paraId="7783D64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Program Specialist, UN Women </w:t>
            </w:r>
          </w:p>
        </w:tc>
        <w:tc>
          <w:tcPr>
            <w:tcW w:w="2552" w:type="dxa"/>
            <w:vAlign w:val="center"/>
          </w:tcPr>
          <w:p w14:paraId="17C0C5E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4DC3580A" w14:textId="77777777" w:rsidTr="00265BB9">
        <w:trPr>
          <w:trHeight w:val="377"/>
        </w:trPr>
        <w:tc>
          <w:tcPr>
            <w:tcW w:w="705" w:type="dxa"/>
            <w:vAlign w:val="center"/>
          </w:tcPr>
          <w:p w14:paraId="5121215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lastRenderedPageBreak/>
              <w:t>13</w:t>
            </w:r>
          </w:p>
        </w:tc>
        <w:tc>
          <w:tcPr>
            <w:tcW w:w="2834" w:type="dxa"/>
            <w:vAlign w:val="center"/>
          </w:tcPr>
          <w:p w14:paraId="7F08FBD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Jerry Ubase a/Secretary </w:t>
            </w:r>
          </w:p>
        </w:tc>
        <w:tc>
          <w:tcPr>
            <w:tcW w:w="6662" w:type="dxa"/>
            <w:vAlign w:val="center"/>
          </w:tcPr>
          <w:p w14:paraId="16B357C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DfCDR</w:t>
            </w:r>
          </w:p>
        </w:tc>
        <w:tc>
          <w:tcPr>
            <w:tcW w:w="2552" w:type="dxa"/>
            <w:vAlign w:val="center"/>
          </w:tcPr>
          <w:p w14:paraId="793A545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07B734BD" w14:textId="77777777" w:rsidTr="00265BB9">
        <w:trPr>
          <w:trHeight w:val="377"/>
        </w:trPr>
        <w:tc>
          <w:tcPr>
            <w:tcW w:w="705" w:type="dxa"/>
            <w:vAlign w:val="center"/>
          </w:tcPr>
          <w:p w14:paraId="5A1552F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14</w:t>
            </w:r>
          </w:p>
        </w:tc>
        <w:tc>
          <w:tcPr>
            <w:tcW w:w="2834" w:type="dxa"/>
            <w:vAlign w:val="center"/>
          </w:tcPr>
          <w:p w14:paraId="7F1CDE0A"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Waren Marape a/ Deputy Secretary </w:t>
            </w:r>
          </w:p>
        </w:tc>
        <w:tc>
          <w:tcPr>
            <w:tcW w:w="6662" w:type="dxa"/>
            <w:vAlign w:val="center"/>
          </w:tcPr>
          <w:p w14:paraId="117F1FB2"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DfCDR</w:t>
            </w:r>
          </w:p>
        </w:tc>
        <w:tc>
          <w:tcPr>
            <w:tcW w:w="2552" w:type="dxa"/>
            <w:vAlign w:val="center"/>
          </w:tcPr>
          <w:p w14:paraId="54EF9F1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271AAE6C" w14:textId="77777777" w:rsidTr="00265BB9">
        <w:trPr>
          <w:trHeight w:val="377"/>
        </w:trPr>
        <w:tc>
          <w:tcPr>
            <w:tcW w:w="705" w:type="dxa"/>
            <w:vAlign w:val="center"/>
          </w:tcPr>
          <w:p w14:paraId="1A6EE20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15</w:t>
            </w:r>
          </w:p>
        </w:tc>
        <w:tc>
          <w:tcPr>
            <w:tcW w:w="2834" w:type="dxa"/>
            <w:vAlign w:val="center"/>
          </w:tcPr>
          <w:p w14:paraId="2AE2A05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Patrick Painap, Chairman </w:t>
            </w:r>
          </w:p>
        </w:tc>
        <w:tc>
          <w:tcPr>
            <w:tcW w:w="6662" w:type="dxa"/>
            <w:vAlign w:val="center"/>
          </w:tcPr>
          <w:p w14:paraId="532E8D29"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NEFC </w:t>
            </w:r>
          </w:p>
        </w:tc>
        <w:tc>
          <w:tcPr>
            <w:tcW w:w="2552" w:type="dxa"/>
            <w:vAlign w:val="center"/>
          </w:tcPr>
          <w:p w14:paraId="3BEA506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45522C6C" w14:textId="77777777" w:rsidTr="00265BB9">
        <w:trPr>
          <w:trHeight w:val="377"/>
        </w:trPr>
        <w:tc>
          <w:tcPr>
            <w:tcW w:w="705" w:type="dxa"/>
            <w:vAlign w:val="center"/>
          </w:tcPr>
          <w:p w14:paraId="45A2318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16</w:t>
            </w:r>
          </w:p>
        </w:tc>
        <w:tc>
          <w:tcPr>
            <w:tcW w:w="2834" w:type="dxa"/>
            <w:vAlign w:val="center"/>
          </w:tcPr>
          <w:p w14:paraId="7A5244FB"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Jimmy Morona </w:t>
            </w:r>
          </w:p>
        </w:tc>
        <w:tc>
          <w:tcPr>
            <w:tcW w:w="6662" w:type="dxa"/>
            <w:vAlign w:val="center"/>
          </w:tcPr>
          <w:p w14:paraId="412D3B95"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Principal Sub-national Advisor </w:t>
            </w:r>
          </w:p>
        </w:tc>
        <w:tc>
          <w:tcPr>
            <w:tcW w:w="2552" w:type="dxa"/>
            <w:vAlign w:val="center"/>
          </w:tcPr>
          <w:p w14:paraId="7F539A4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5242596C" w14:textId="77777777" w:rsidTr="00265BB9">
        <w:trPr>
          <w:trHeight w:val="377"/>
        </w:trPr>
        <w:tc>
          <w:tcPr>
            <w:tcW w:w="705" w:type="dxa"/>
            <w:vAlign w:val="center"/>
          </w:tcPr>
          <w:p w14:paraId="7C7EFFA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17</w:t>
            </w:r>
          </w:p>
        </w:tc>
        <w:tc>
          <w:tcPr>
            <w:tcW w:w="2834" w:type="dxa"/>
            <w:vAlign w:val="center"/>
          </w:tcPr>
          <w:p w14:paraId="2F2384E3"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John Simango </w:t>
            </w:r>
          </w:p>
        </w:tc>
        <w:tc>
          <w:tcPr>
            <w:tcW w:w="6662" w:type="dxa"/>
            <w:vAlign w:val="center"/>
          </w:tcPr>
          <w:p w14:paraId="00ADC7D1"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GROW PNG </w:t>
            </w:r>
          </w:p>
        </w:tc>
        <w:tc>
          <w:tcPr>
            <w:tcW w:w="2552" w:type="dxa"/>
            <w:vAlign w:val="center"/>
          </w:tcPr>
          <w:p w14:paraId="25D75E1E"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r w:rsidR="00AF6DBD" w:rsidRPr="00BC1D96" w14:paraId="5C50E99C" w14:textId="77777777" w:rsidTr="00265BB9">
        <w:trPr>
          <w:trHeight w:val="377"/>
        </w:trPr>
        <w:tc>
          <w:tcPr>
            <w:tcW w:w="705" w:type="dxa"/>
            <w:vAlign w:val="center"/>
          </w:tcPr>
          <w:p w14:paraId="566D763D"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18</w:t>
            </w:r>
          </w:p>
        </w:tc>
        <w:tc>
          <w:tcPr>
            <w:tcW w:w="2834" w:type="dxa"/>
            <w:vAlign w:val="center"/>
          </w:tcPr>
          <w:p w14:paraId="405DD6D4"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Lady T </w:t>
            </w:r>
          </w:p>
        </w:tc>
        <w:tc>
          <w:tcPr>
            <w:tcW w:w="6662" w:type="dxa"/>
            <w:vAlign w:val="center"/>
          </w:tcPr>
          <w:p w14:paraId="6B076698"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 xml:space="preserve">Senior Trade and Business Advisor </w:t>
            </w:r>
          </w:p>
        </w:tc>
        <w:tc>
          <w:tcPr>
            <w:tcW w:w="2552" w:type="dxa"/>
            <w:vAlign w:val="center"/>
          </w:tcPr>
          <w:p w14:paraId="15F7BE6C" w14:textId="77777777" w:rsidR="00AF6DBD" w:rsidRPr="00BC1D96" w:rsidRDefault="00AF6DBD" w:rsidP="001A568E">
            <w:pPr>
              <w:spacing w:before="40" w:after="40" w:line="240" w:lineRule="auto"/>
              <w:jc w:val="left"/>
              <w:rPr>
                <w:rFonts w:ascii="Arial" w:hAnsi="Arial" w:cs="Arial"/>
                <w:sz w:val="20"/>
                <w:szCs w:val="20"/>
              </w:rPr>
            </w:pPr>
            <w:r w:rsidRPr="00BC1D96">
              <w:rPr>
                <w:rFonts w:ascii="Arial" w:hAnsi="Arial" w:cs="Arial"/>
                <w:sz w:val="20"/>
                <w:szCs w:val="20"/>
              </w:rPr>
              <w:t>GoPNG</w:t>
            </w:r>
          </w:p>
        </w:tc>
      </w:tr>
    </w:tbl>
    <w:p w14:paraId="271EDE3D" w14:textId="77777777" w:rsidR="00AF6DBD" w:rsidRPr="00911EBF" w:rsidRDefault="00AF6DBD" w:rsidP="001A568E">
      <w:pPr>
        <w:pStyle w:val="BodyText"/>
        <w:spacing w:after="0"/>
      </w:pPr>
    </w:p>
    <w:p w14:paraId="66409875" w14:textId="77777777" w:rsidR="00AF6DBD" w:rsidRPr="00D57D5D" w:rsidRDefault="00AF6DBD" w:rsidP="001A568E">
      <w:pPr>
        <w:jc w:val="left"/>
        <w:rPr>
          <w:b/>
          <w:bCs/>
        </w:rPr>
      </w:pPr>
      <w:r w:rsidRPr="00D57D5D">
        <w:rPr>
          <w:b/>
          <w:bCs/>
        </w:rPr>
        <w:t>BP</w:t>
      </w:r>
    </w:p>
    <w:tbl>
      <w:tblPr>
        <w:tblStyle w:val="TableGrid"/>
        <w:tblW w:w="0" w:type="auto"/>
        <w:tblLook w:val="04A0" w:firstRow="1" w:lastRow="0" w:firstColumn="1" w:lastColumn="0" w:noHBand="0" w:noVBand="1"/>
      </w:tblPr>
      <w:tblGrid>
        <w:gridCol w:w="728"/>
        <w:gridCol w:w="2057"/>
        <w:gridCol w:w="4186"/>
        <w:gridCol w:w="2039"/>
      </w:tblGrid>
      <w:tr w:rsidR="00AF6DBD" w:rsidRPr="00E53BBC" w14:paraId="6A1F8969" w14:textId="77777777" w:rsidTr="00265BB9">
        <w:trPr>
          <w:trHeight w:val="377"/>
          <w:tblHeader/>
        </w:trPr>
        <w:tc>
          <w:tcPr>
            <w:tcW w:w="705" w:type="dxa"/>
            <w:vAlign w:val="center"/>
          </w:tcPr>
          <w:p w14:paraId="5725B996" w14:textId="77777777" w:rsidR="00AF6DBD" w:rsidRPr="00E53BBC" w:rsidRDefault="00AF6DBD" w:rsidP="001A568E">
            <w:pPr>
              <w:spacing w:before="40" w:after="40" w:line="240" w:lineRule="auto"/>
              <w:jc w:val="left"/>
              <w:rPr>
                <w:b/>
                <w:bCs/>
                <w:sz w:val="20"/>
                <w:szCs w:val="20"/>
              </w:rPr>
            </w:pPr>
            <w:r w:rsidRPr="00E53BBC">
              <w:rPr>
                <w:b/>
                <w:bCs/>
                <w:sz w:val="20"/>
                <w:szCs w:val="20"/>
              </w:rPr>
              <w:t>S/No.</w:t>
            </w:r>
          </w:p>
        </w:tc>
        <w:tc>
          <w:tcPr>
            <w:tcW w:w="2834" w:type="dxa"/>
            <w:vAlign w:val="center"/>
          </w:tcPr>
          <w:p w14:paraId="5D4D9DB6" w14:textId="77777777" w:rsidR="00AF6DBD" w:rsidRPr="00E53BBC" w:rsidRDefault="00AF6DBD" w:rsidP="001A568E">
            <w:pPr>
              <w:spacing w:before="40" w:after="40" w:line="240" w:lineRule="auto"/>
              <w:jc w:val="left"/>
              <w:rPr>
                <w:b/>
                <w:bCs/>
                <w:sz w:val="20"/>
                <w:szCs w:val="20"/>
              </w:rPr>
            </w:pPr>
            <w:r w:rsidRPr="00E53BBC">
              <w:rPr>
                <w:b/>
                <w:bCs/>
                <w:sz w:val="20"/>
                <w:szCs w:val="20"/>
              </w:rPr>
              <w:t>Name</w:t>
            </w:r>
          </w:p>
        </w:tc>
        <w:tc>
          <w:tcPr>
            <w:tcW w:w="6662" w:type="dxa"/>
            <w:vAlign w:val="center"/>
          </w:tcPr>
          <w:p w14:paraId="05A83061" w14:textId="77777777" w:rsidR="00AF6DBD" w:rsidRPr="00E53BBC" w:rsidRDefault="00AF6DBD" w:rsidP="001A568E">
            <w:pPr>
              <w:spacing w:before="40" w:after="40" w:line="240" w:lineRule="auto"/>
              <w:jc w:val="left"/>
              <w:rPr>
                <w:b/>
                <w:bCs/>
                <w:sz w:val="20"/>
                <w:szCs w:val="20"/>
              </w:rPr>
            </w:pPr>
            <w:r w:rsidRPr="00E53BBC">
              <w:rPr>
                <w:b/>
                <w:bCs/>
                <w:sz w:val="20"/>
                <w:szCs w:val="20"/>
              </w:rPr>
              <w:t>Role</w:t>
            </w:r>
          </w:p>
        </w:tc>
        <w:tc>
          <w:tcPr>
            <w:tcW w:w="2552" w:type="dxa"/>
            <w:vAlign w:val="center"/>
          </w:tcPr>
          <w:p w14:paraId="2054A3E0" w14:textId="77777777" w:rsidR="00AF6DBD" w:rsidRPr="00E53BBC" w:rsidRDefault="00AF6DBD" w:rsidP="001A568E">
            <w:pPr>
              <w:spacing w:before="40" w:after="40" w:line="240" w:lineRule="auto"/>
              <w:jc w:val="left"/>
              <w:rPr>
                <w:b/>
                <w:bCs/>
                <w:sz w:val="20"/>
                <w:szCs w:val="20"/>
              </w:rPr>
            </w:pPr>
            <w:r w:rsidRPr="00E53BBC">
              <w:rPr>
                <w:b/>
                <w:bCs/>
                <w:sz w:val="20"/>
                <w:szCs w:val="20"/>
              </w:rPr>
              <w:t>Organization</w:t>
            </w:r>
          </w:p>
        </w:tc>
      </w:tr>
      <w:tr w:rsidR="00AF6DBD" w:rsidRPr="00E53BBC" w14:paraId="73EF03E3" w14:textId="77777777" w:rsidTr="00265BB9">
        <w:trPr>
          <w:trHeight w:val="377"/>
        </w:trPr>
        <w:tc>
          <w:tcPr>
            <w:tcW w:w="705" w:type="dxa"/>
            <w:vAlign w:val="center"/>
          </w:tcPr>
          <w:p w14:paraId="56E77475" w14:textId="77777777" w:rsidR="00AF6DBD" w:rsidRPr="00E53BBC" w:rsidRDefault="00AF6DBD" w:rsidP="001A568E">
            <w:pPr>
              <w:spacing w:before="40" w:after="40" w:line="240" w:lineRule="auto"/>
              <w:jc w:val="left"/>
              <w:rPr>
                <w:sz w:val="20"/>
                <w:szCs w:val="20"/>
              </w:rPr>
            </w:pPr>
            <w:r w:rsidRPr="00E53BBC">
              <w:rPr>
                <w:sz w:val="20"/>
                <w:szCs w:val="20"/>
              </w:rPr>
              <w:t>1</w:t>
            </w:r>
          </w:p>
        </w:tc>
        <w:tc>
          <w:tcPr>
            <w:tcW w:w="2834" w:type="dxa"/>
            <w:vAlign w:val="center"/>
          </w:tcPr>
          <w:p w14:paraId="086B9B40" w14:textId="77777777" w:rsidR="00AF6DBD" w:rsidRPr="00E53BBC" w:rsidRDefault="00AF6DBD" w:rsidP="001A568E">
            <w:pPr>
              <w:spacing w:before="40" w:after="40" w:line="240" w:lineRule="auto"/>
              <w:jc w:val="left"/>
              <w:rPr>
                <w:sz w:val="20"/>
                <w:szCs w:val="20"/>
              </w:rPr>
            </w:pPr>
            <w:r w:rsidRPr="00E53BBC">
              <w:rPr>
                <w:sz w:val="20"/>
                <w:szCs w:val="20"/>
              </w:rPr>
              <w:t>Clayton Harrington</w:t>
            </w:r>
          </w:p>
        </w:tc>
        <w:tc>
          <w:tcPr>
            <w:tcW w:w="6662" w:type="dxa"/>
            <w:vAlign w:val="center"/>
          </w:tcPr>
          <w:p w14:paraId="232FAB90" w14:textId="77777777" w:rsidR="00AF6DBD" w:rsidRPr="00E53BBC" w:rsidRDefault="00AF6DBD" w:rsidP="001A568E">
            <w:pPr>
              <w:spacing w:before="40" w:after="40" w:line="240" w:lineRule="auto"/>
              <w:jc w:val="left"/>
              <w:rPr>
                <w:sz w:val="20"/>
                <w:szCs w:val="20"/>
              </w:rPr>
            </w:pPr>
            <w:r w:rsidRPr="00E53BBC">
              <w:rPr>
                <w:sz w:val="20"/>
                <w:szCs w:val="20"/>
              </w:rPr>
              <w:t>Counsellor, Bougainville and Kokoda</w:t>
            </w:r>
          </w:p>
        </w:tc>
        <w:tc>
          <w:tcPr>
            <w:tcW w:w="2552" w:type="dxa"/>
            <w:vAlign w:val="center"/>
          </w:tcPr>
          <w:p w14:paraId="76D56776" w14:textId="77777777" w:rsidR="00AF6DBD" w:rsidRPr="00E53BBC" w:rsidRDefault="00AF6DBD" w:rsidP="001A568E">
            <w:pPr>
              <w:spacing w:before="40" w:after="40" w:line="240" w:lineRule="auto"/>
              <w:jc w:val="left"/>
              <w:rPr>
                <w:sz w:val="20"/>
                <w:szCs w:val="20"/>
              </w:rPr>
            </w:pPr>
            <w:r w:rsidRPr="00E53BBC">
              <w:rPr>
                <w:sz w:val="20"/>
                <w:szCs w:val="20"/>
              </w:rPr>
              <w:t>DFAT</w:t>
            </w:r>
          </w:p>
        </w:tc>
      </w:tr>
      <w:tr w:rsidR="00AF6DBD" w:rsidRPr="00E53BBC" w14:paraId="66C81AEF" w14:textId="77777777" w:rsidTr="00265BB9">
        <w:trPr>
          <w:trHeight w:val="377"/>
        </w:trPr>
        <w:tc>
          <w:tcPr>
            <w:tcW w:w="705" w:type="dxa"/>
            <w:vAlign w:val="center"/>
          </w:tcPr>
          <w:p w14:paraId="33751C91" w14:textId="77777777" w:rsidR="00AF6DBD" w:rsidRPr="00E53BBC" w:rsidRDefault="00AF6DBD" w:rsidP="001A568E">
            <w:pPr>
              <w:spacing w:before="40" w:after="40" w:line="240" w:lineRule="auto"/>
              <w:jc w:val="left"/>
              <w:rPr>
                <w:sz w:val="20"/>
                <w:szCs w:val="20"/>
              </w:rPr>
            </w:pPr>
            <w:r w:rsidRPr="00E53BBC">
              <w:rPr>
                <w:sz w:val="20"/>
                <w:szCs w:val="20"/>
              </w:rPr>
              <w:t>2</w:t>
            </w:r>
          </w:p>
        </w:tc>
        <w:tc>
          <w:tcPr>
            <w:tcW w:w="2834" w:type="dxa"/>
            <w:vAlign w:val="center"/>
          </w:tcPr>
          <w:p w14:paraId="2ED5BF51" w14:textId="77777777" w:rsidR="00AF6DBD" w:rsidRPr="00E53BBC" w:rsidRDefault="00AF6DBD" w:rsidP="001A568E">
            <w:pPr>
              <w:spacing w:before="40" w:after="40" w:line="240" w:lineRule="auto"/>
              <w:jc w:val="left"/>
              <w:rPr>
                <w:sz w:val="20"/>
                <w:szCs w:val="20"/>
              </w:rPr>
            </w:pPr>
            <w:r w:rsidRPr="00E53BBC">
              <w:rPr>
                <w:sz w:val="20"/>
                <w:szCs w:val="20"/>
              </w:rPr>
              <w:t xml:space="preserve">Anthony Mason </w:t>
            </w:r>
          </w:p>
        </w:tc>
        <w:tc>
          <w:tcPr>
            <w:tcW w:w="6662" w:type="dxa"/>
            <w:vAlign w:val="center"/>
          </w:tcPr>
          <w:p w14:paraId="59195BB1" w14:textId="77777777" w:rsidR="00AF6DBD" w:rsidRPr="00E53BBC" w:rsidRDefault="00AF6DBD" w:rsidP="001A568E">
            <w:pPr>
              <w:spacing w:before="40" w:after="40" w:line="240" w:lineRule="auto"/>
              <w:jc w:val="left"/>
              <w:rPr>
                <w:sz w:val="20"/>
                <w:szCs w:val="20"/>
              </w:rPr>
            </w:pPr>
            <w:r w:rsidRPr="00E53BBC">
              <w:rPr>
                <w:sz w:val="20"/>
                <w:szCs w:val="20"/>
              </w:rPr>
              <w:t>First Secretary, Bougainville and Kokoda</w:t>
            </w:r>
          </w:p>
        </w:tc>
        <w:tc>
          <w:tcPr>
            <w:tcW w:w="2552" w:type="dxa"/>
            <w:vAlign w:val="center"/>
          </w:tcPr>
          <w:p w14:paraId="3CDF8A44" w14:textId="77777777" w:rsidR="00AF6DBD" w:rsidRPr="00E53BBC" w:rsidRDefault="00AF6DBD" w:rsidP="001A568E">
            <w:pPr>
              <w:spacing w:before="40" w:after="40" w:line="240" w:lineRule="auto"/>
              <w:jc w:val="left"/>
              <w:rPr>
                <w:sz w:val="20"/>
                <w:szCs w:val="20"/>
              </w:rPr>
            </w:pPr>
            <w:r w:rsidRPr="00E53BBC">
              <w:rPr>
                <w:sz w:val="20"/>
                <w:szCs w:val="20"/>
              </w:rPr>
              <w:t>DFAT</w:t>
            </w:r>
          </w:p>
        </w:tc>
      </w:tr>
      <w:tr w:rsidR="00AF6DBD" w:rsidRPr="00E53BBC" w14:paraId="20FDDAAD" w14:textId="77777777" w:rsidTr="00265BB9">
        <w:trPr>
          <w:trHeight w:val="377"/>
        </w:trPr>
        <w:tc>
          <w:tcPr>
            <w:tcW w:w="705" w:type="dxa"/>
            <w:vAlign w:val="center"/>
          </w:tcPr>
          <w:p w14:paraId="25BE2090" w14:textId="77777777" w:rsidR="00AF6DBD" w:rsidRPr="00E53BBC" w:rsidRDefault="00AF6DBD" w:rsidP="001A568E">
            <w:pPr>
              <w:spacing w:before="40" w:after="40" w:line="240" w:lineRule="auto"/>
              <w:jc w:val="left"/>
              <w:rPr>
                <w:sz w:val="20"/>
                <w:szCs w:val="20"/>
              </w:rPr>
            </w:pPr>
            <w:r w:rsidRPr="00E53BBC">
              <w:rPr>
                <w:sz w:val="20"/>
                <w:szCs w:val="20"/>
              </w:rPr>
              <w:t>3</w:t>
            </w:r>
          </w:p>
        </w:tc>
        <w:tc>
          <w:tcPr>
            <w:tcW w:w="2834" w:type="dxa"/>
            <w:vAlign w:val="center"/>
          </w:tcPr>
          <w:p w14:paraId="09F3F0B5" w14:textId="77777777" w:rsidR="00AF6DBD" w:rsidRPr="00E53BBC" w:rsidRDefault="00AF6DBD" w:rsidP="001A568E">
            <w:pPr>
              <w:spacing w:before="40" w:after="40" w:line="240" w:lineRule="auto"/>
              <w:jc w:val="left"/>
              <w:rPr>
                <w:sz w:val="20"/>
                <w:szCs w:val="20"/>
              </w:rPr>
            </w:pPr>
            <w:r w:rsidRPr="00E53BBC">
              <w:rPr>
                <w:sz w:val="20"/>
                <w:szCs w:val="20"/>
              </w:rPr>
              <w:t xml:space="preserve">Patrick Williams </w:t>
            </w:r>
          </w:p>
        </w:tc>
        <w:tc>
          <w:tcPr>
            <w:tcW w:w="6662" w:type="dxa"/>
            <w:vAlign w:val="center"/>
          </w:tcPr>
          <w:p w14:paraId="6E6612AA" w14:textId="77777777" w:rsidR="00AF6DBD" w:rsidRPr="00E53BBC" w:rsidRDefault="00AF6DBD" w:rsidP="001A568E">
            <w:pPr>
              <w:spacing w:before="40" w:after="40" w:line="240" w:lineRule="auto"/>
              <w:jc w:val="left"/>
              <w:rPr>
                <w:sz w:val="20"/>
                <w:szCs w:val="20"/>
              </w:rPr>
            </w:pPr>
            <w:r w:rsidRPr="00E53BBC">
              <w:rPr>
                <w:sz w:val="20"/>
                <w:szCs w:val="20"/>
              </w:rPr>
              <w:t>Second Secretary, Bougainville and Kokoda</w:t>
            </w:r>
          </w:p>
        </w:tc>
        <w:tc>
          <w:tcPr>
            <w:tcW w:w="2552" w:type="dxa"/>
            <w:vAlign w:val="center"/>
          </w:tcPr>
          <w:p w14:paraId="5CE6E576" w14:textId="77777777" w:rsidR="00AF6DBD" w:rsidRPr="00E53BBC" w:rsidRDefault="00AF6DBD" w:rsidP="001A568E">
            <w:pPr>
              <w:spacing w:before="40" w:after="40" w:line="240" w:lineRule="auto"/>
              <w:jc w:val="left"/>
              <w:rPr>
                <w:sz w:val="20"/>
                <w:szCs w:val="20"/>
              </w:rPr>
            </w:pPr>
            <w:r w:rsidRPr="00E53BBC">
              <w:rPr>
                <w:sz w:val="20"/>
                <w:szCs w:val="20"/>
              </w:rPr>
              <w:t>DFAT</w:t>
            </w:r>
          </w:p>
        </w:tc>
      </w:tr>
      <w:tr w:rsidR="00AF6DBD" w:rsidRPr="00E53BBC" w14:paraId="5A6ACC7B" w14:textId="77777777" w:rsidTr="00265BB9">
        <w:trPr>
          <w:trHeight w:val="377"/>
        </w:trPr>
        <w:tc>
          <w:tcPr>
            <w:tcW w:w="705" w:type="dxa"/>
            <w:vAlign w:val="center"/>
          </w:tcPr>
          <w:p w14:paraId="45BAED86" w14:textId="77777777" w:rsidR="00AF6DBD" w:rsidRPr="00E53BBC" w:rsidRDefault="00AF6DBD" w:rsidP="001A568E">
            <w:pPr>
              <w:spacing w:before="40" w:after="40" w:line="240" w:lineRule="auto"/>
              <w:jc w:val="left"/>
              <w:rPr>
                <w:sz w:val="20"/>
                <w:szCs w:val="20"/>
              </w:rPr>
            </w:pPr>
            <w:r w:rsidRPr="00E53BBC">
              <w:rPr>
                <w:sz w:val="20"/>
                <w:szCs w:val="20"/>
              </w:rPr>
              <w:t>4</w:t>
            </w:r>
          </w:p>
        </w:tc>
        <w:tc>
          <w:tcPr>
            <w:tcW w:w="2834" w:type="dxa"/>
            <w:vAlign w:val="center"/>
          </w:tcPr>
          <w:p w14:paraId="2F36FCE1" w14:textId="77777777" w:rsidR="00AF6DBD" w:rsidRPr="00E53BBC" w:rsidRDefault="00AF6DBD" w:rsidP="001A568E">
            <w:pPr>
              <w:spacing w:before="40" w:after="40" w:line="240" w:lineRule="auto"/>
              <w:jc w:val="left"/>
              <w:rPr>
                <w:sz w:val="20"/>
                <w:szCs w:val="20"/>
              </w:rPr>
            </w:pPr>
            <w:r w:rsidRPr="00E53BBC">
              <w:rPr>
                <w:sz w:val="20"/>
                <w:szCs w:val="20"/>
              </w:rPr>
              <w:t>Alan McCagh</w:t>
            </w:r>
          </w:p>
        </w:tc>
        <w:tc>
          <w:tcPr>
            <w:tcW w:w="6662" w:type="dxa"/>
            <w:vAlign w:val="center"/>
          </w:tcPr>
          <w:p w14:paraId="6B901D5A" w14:textId="77777777" w:rsidR="00AF6DBD" w:rsidRPr="00E53BBC" w:rsidRDefault="00AF6DBD" w:rsidP="001A568E">
            <w:pPr>
              <w:spacing w:before="40" w:after="40" w:line="240" w:lineRule="auto"/>
              <w:jc w:val="left"/>
              <w:rPr>
                <w:sz w:val="20"/>
                <w:szCs w:val="20"/>
              </w:rPr>
            </w:pPr>
            <w:r w:rsidRPr="00E53BBC">
              <w:rPr>
                <w:sz w:val="20"/>
                <w:szCs w:val="20"/>
              </w:rPr>
              <w:t>Director, Bougainville and Kokoda</w:t>
            </w:r>
          </w:p>
        </w:tc>
        <w:tc>
          <w:tcPr>
            <w:tcW w:w="2552" w:type="dxa"/>
            <w:vAlign w:val="center"/>
          </w:tcPr>
          <w:p w14:paraId="12C2E8D4" w14:textId="77777777" w:rsidR="00AF6DBD" w:rsidRPr="00E53BBC" w:rsidRDefault="00AF6DBD" w:rsidP="001A568E">
            <w:pPr>
              <w:spacing w:before="40" w:after="40" w:line="240" w:lineRule="auto"/>
              <w:jc w:val="left"/>
              <w:rPr>
                <w:sz w:val="20"/>
                <w:szCs w:val="20"/>
              </w:rPr>
            </w:pPr>
            <w:r w:rsidRPr="00E53BBC">
              <w:rPr>
                <w:sz w:val="20"/>
                <w:szCs w:val="20"/>
              </w:rPr>
              <w:t>PAGP</w:t>
            </w:r>
          </w:p>
        </w:tc>
      </w:tr>
      <w:tr w:rsidR="00AF6DBD" w:rsidRPr="00E53BBC" w14:paraId="0B1A82B0" w14:textId="77777777" w:rsidTr="00265BB9">
        <w:trPr>
          <w:trHeight w:val="377"/>
        </w:trPr>
        <w:tc>
          <w:tcPr>
            <w:tcW w:w="705" w:type="dxa"/>
            <w:vAlign w:val="center"/>
          </w:tcPr>
          <w:p w14:paraId="4E335EC1" w14:textId="77777777" w:rsidR="00AF6DBD" w:rsidRPr="00E53BBC" w:rsidRDefault="00AF6DBD" w:rsidP="001A568E">
            <w:pPr>
              <w:spacing w:before="40" w:after="40" w:line="240" w:lineRule="auto"/>
              <w:jc w:val="left"/>
              <w:rPr>
                <w:sz w:val="20"/>
                <w:szCs w:val="20"/>
              </w:rPr>
            </w:pPr>
            <w:r w:rsidRPr="00E53BBC">
              <w:rPr>
                <w:sz w:val="20"/>
                <w:szCs w:val="20"/>
              </w:rPr>
              <w:t>5</w:t>
            </w:r>
          </w:p>
        </w:tc>
        <w:tc>
          <w:tcPr>
            <w:tcW w:w="2834" w:type="dxa"/>
            <w:vAlign w:val="center"/>
          </w:tcPr>
          <w:p w14:paraId="23C6E450" w14:textId="77777777" w:rsidR="00AF6DBD" w:rsidRPr="00E53BBC" w:rsidRDefault="00AF6DBD" w:rsidP="001A568E">
            <w:pPr>
              <w:spacing w:before="40" w:after="40" w:line="240" w:lineRule="auto"/>
              <w:jc w:val="left"/>
              <w:rPr>
                <w:sz w:val="20"/>
                <w:szCs w:val="20"/>
              </w:rPr>
            </w:pPr>
            <w:r w:rsidRPr="00E53BBC">
              <w:rPr>
                <w:sz w:val="20"/>
                <w:szCs w:val="20"/>
              </w:rPr>
              <w:t>Patrick Mccloskey</w:t>
            </w:r>
          </w:p>
        </w:tc>
        <w:tc>
          <w:tcPr>
            <w:tcW w:w="6662" w:type="dxa"/>
            <w:vAlign w:val="center"/>
          </w:tcPr>
          <w:p w14:paraId="20318E82" w14:textId="77777777" w:rsidR="00AF6DBD" w:rsidRPr="00E53BBC" w:rsidRDefault="00AF6DBD" w:rsidP="001A568E">
            <w:pPr>
              <w:spacing w:before="40" w:after="40" w:line="240" w:lineRule="auto"/>
              <w:jc w:val="left"/>
              <w:rPr>
                <w:sz w:val="20"/>
                <w:szCs w:val="20"/>
              </w:rPr>
            </w:pPr>
            <w:r w:rsidRPr="00E53BBC">
              <w:rPr>
                <w:sz w:val="20"/>
                <w:szCs w:val="20"/>
              </w:rPr>
              <w:t>Senior Program Manager, Bougainville and Kokoda</w:t>
            </w:r>
          </w:p>
        </w:tc>
        <w:tc>
          <w:tcPr>
            <w:tcW w:w="2552" w:type="dxa"/>
            <w:vAlign w:val="center"/>
          </w:tcPr>
          <w:p w14:paraId="2834C29B" w14:textId="77777777" w:rsidR="00AF6DBD" w:rsidRPr="00E53BBC" w:rsidRDefault="00AF6DBD" w:rsidP="001A568E">
            <w:pPr>
              <w:spacing w:before="40" w:after="40" w:line="240" w:lineRule="auto"/>
              <w:jc w:val="left"/>
              <w:rPr>
                <w:sz w:val="20"/>
                <w:szCs w:val="20"/>
              </w:rPr>
            </w:pPr>
            <w:r w:rsidRPr="00E53BBC">
              <w:rPr>
                <w:sz w:val="20"/>
                <w:szCs w:val="20"/>
              </w:rPr>
              <w:t>PAGP</w:t>
            </w:r>
          </w:p>
        </w:tc>
      </w:tr>
    </w:tbl>
    <w:p w14:paraId="0CE4ED71" w14:textId="77777777" w:rsidR="00AF6DBD" w:rsidRPr="00911EBF" w:rsidRDefault="00AF6DBD" w:rsidP="001A568E">
      <w:pPr>
        <w:pStyle w:val="BodyText"/>
        <w:spacing w:after="0"/>
      </w:pPr>
    </w:p>
    <w:p w14:paraId="4575C352" w14:textId="77777777" w:rsidR="00AF6DBD" w:rsidRPr="00D57D5D" w:rsidRDefault="00AF6DBD" w:rsidP="001A568E">
      <w:pPr>
        <w:jc w:val="left"/>
        <w:rPr>
          <w:b/>
          <w:bCs/>
        </w:rPr>
      </w:pPr>
      <w:r w:rsidRPr="00D57D5D">
        <w:rPr>
          <w:b/>
          <w:bCs/>
        </w:rPr>
        <w:t>KIP</w:t>
      </w:r>
    </w:p>
    <w:tbl>
      <w:tblPr>
        <w:tblStyle w:val="TableGrid"/>
        <w:tblW w:w="0" w:type="auto"/>
        <w:tblLook w:val="04A0" w:firstRow="1" w:lastRow="0" w:firstColumn="1" w:lastColumn="0" w:noHBand="0" w:noVBand="1"/>
      </w:tblPr>
      <w:tblGrid>
        <w:gridCol w:w="728"/>
        <w:gridCol w:w="2057"/>
        <w:gridCol w:w="4186"/>
        <w:gridCol w:w="2039"/>
      </w:tblGrid>
      <w:tr w:rsidR="00AF6DBD" w:rsidRPr="00E53BBC" w14:paraId="475EE341" w14:textId="77777777" w:rsidTr="00265BB9">
        <w:trPr>
          <w:trHeight w:val="377"/>
          <w:tblHeader/>
        </w:trPr>
        <w:tc>
          <w:tcPr>
            <w:tcW w:w="705" w:type="dxa"/>
            <w:vAlign w:val="center"/>
          </w:tcPr>
          <w:p w14:paraId="51D2EE44" w14:textId="77777777" w:rsidR="00AF6DBD" w:rsidRPr="00E53BBC" w:rsidRDefault="00AF6DBD" w:rsidP="001A568E">
            <w:pPr>
              <w:spacing w:before="40" w:after="40" w:line="240" w:lineRule="auto"/>
              <w:jc w:val="left"/>
              <w:rPr>
                <w:b/>
                <w:bCs/>
                <w:sz w:val="20"/>
                <w:szCs w:val="20"/>
              </w:rPr>
            </w:pPr>
            <w:r w:rsidRPr="00E53BBC">
              <w:rPr>
                <w:b/>
                <w:bCs/>
                <w:sz w:val="20"/>
                <w:szCs w:val="20"/>
              </w:rPr>
              <w:t>S/No.</w:t>
            </w:r>
          </w:p>
        </w:tc>
        <w:tc>
          <w:tcPr>
            <w:tcW w:w="2834" w:type="dxa"/>
            <w:vAlign w:val="center"/>
          </w:tcPr>
          <w:p w14:paraId="240B7980" w14:textId="77777777" w:rsidR="00AF6DBD" w:rsidRPr="00E53BBC" w:rsidRDefault="00AF6DBD" w:rsidP="001A568E">
            <w:pPr>
              <w:spacing w:before="40" w:after="40" w:line="240" w:lineRule="auto"/>
              <w:jc w:val="left"/>
              <w:rPr>
                <w:b/>
                <w:bCs/>
                <w:sz w:val="20"/>
                <w:szCs w:val="20"/>
              </w:rPr>
            </w:pPr>
            <w:r w:rsidRPr="00E53BBC">
              <w:rPr>
                <w:b/>
                <w:bCs/>
                <w:sz w:val="20"/>
                <w:szCs w:val="20"/>
              </w:rPr>
              <w:t>Name</w:t>
            </w:r>
          </w:p>
        </w:tc>
        <w:tc>
          <w:tcPr>
            <w:tcW w:w="6662" w:type="dxa"/>
            <w:vAlign w:val="center"/>
          </w:tcPr>
          <w:p w14:paraId="6740F253" w14:textId="77777777" w:rsidR="00AF6DBD" w:rsidRPr="00E53BBC" w:rsidRDefault="00AF6DBD" w:rsidP="001A568E">
            <w:pPr>
              <w:spacing w:before="40" w:after="40" w:line="240" w:lineRule="auto"/>
              <w:jc w:val="left"/>
              <w:rPr>
                <w:b/>
                <w:bCs/>
                <w:sz w:val="20"/>
                <w:szCs w:val="20"/>
              </w:rPr>
            </w:pPr>
            <w:r w:rsidRPr="00E53BBC">
              <w:rPr>
                <w:b/>
                <w:bCs/>
                <w:sz w:val="20"/>
                <w:szCs w:val="20"/>
              </w:rPr>
              <w:t>Role</w:t>
            </w:r>
          </w:p>
        </w:tc>
        <w:tc>
          <w:tcPr>
            <w:tcW w:w="2552" w:type="dxa"/>
            <w:vAlign w:val="center"/>
          </w:tcPr>
          <w:p w14:paraId="419D374A" w14:textId="77777777" w:rsidR="00AF6DBD" w:rsidRPr="00E53BBC" w:rsidRDefault="00AF6DBD" w:rsidP="001A568E">
            <w:pPr>
              <w:spacing w:before="40" w:after="40" w:line="240" w:lineRule="auto"/>
              <w:jc w:val="left"/>
              <w:rPr>
                <w:b/>
                <w:bCs/>
                <w:sz w:val="20"/>
                <w:szCs w:val="20"/>
              </w:rPr>
            </w:pPr>
            <w:r w:rsidRPr="00E53BBC">
              <w:rPr>
                <w:b/>
                <w:bCs/>
                <w:sz w:val="20"/>
                <w:szCs w:val="20"/>
              </w:rPr>
              <w:t>Organization</w:t>
            </w:r>
          </w:p>
        </w:tc>
      </w:tr>
      <w:tr w:rsidR="00AF6DBD" w:rsidRPr="00E53BBC" w14:paraId="60F282D8" w14:textId="77777777" w:rsidTr="00265BB9">
        <w:trPr>
          <w:trHeight w:val="377"/>
        </w:trPr>
        <w:tc>
          <w:tcPr>
            <w:tcW w:w="705" w:type="dxa"/>
            <w:vAlign w:val="center"/>
          </w:tcPr>
          <w:p w14:paraId="1E41187F" w14:textId="77777777" w:rsidR="00AF6DBD" w:rsidRPr="00E53BBC" w:rsidRDefault="00AF6DBD" w:rsidP="001A568E">
            <w:pPr>
              <w:spacing w:before="40" w:after="40" w:line="240" w:lineRule="auto"/>
              <w:jc w:val="left"/>
              <w:rPr>
                <w:sz w:val="20"/>
                <w:szCs w:val="20"/>
              </w:rPr>
            </w:pPr>
            <w:r w:rsidRPr="00E53BBC">
              <w:rPr>
                <w:sz w:val="20"/>
                <w:szCs w:val="20"/>
              </w:rPr>
              <w:t>1</w:t>
            </w:r>
          </w:p>
        </w:tc>
        <w:tc>
          <w:tcPr>
            <w:tcW w:w="2834" w:type="dxa"/>
            <w:vAlign w:val="center"/>
          </w:tcPr>
          <w:p w14:paraId="4255787C" w14:textId="77777777" w:rsidR="00AF6DBD" w:rsidRPr="00E53BBC" w:rsidRDefault="00AF6DBD" w:rsidP="001A568E">
            <w:pPr>
              <w:spacing w:before="40" w:after="40" w:line="240" w:lineRule="auto"/>
              <w:jc w:val="left"/>
              <w:rPr>
                <w:sz w:val="20"/>
                <w:szCs w:val="20"/>
              </w:rPr>
            </w:pPr>
            <w:r w:rsidRPr="00E53BBC">
              <w:rPr>
                <w:sz w:val="20"/>
                <w:szCs w:val="20"/>
              </w:rPr>
              <w:t>Alan McCagh</w:t>
            </w:r>
          </w:p>
        </w:tc>
        <w:tc>
          <w:tcPr>
            <w:tcW w:w="6662" w:type="dxa"/>
            <w:vAlign w:val="center"/>
          </w:tcPr>
          <w:p w14:paraId="63FBF74D" w14:textId="77777777" w:rsidR="00AF6DBD" w:rsidRPr="00E53BBC" w:rsidRDefault="00AF6DBD" w:rsidP="001A568E">
            <w:pPr>
              <w:spacing w:before="40" w:after="40" w:line="240" w:lineRule="auto"/>
              <w:jc w:val="left"/>
              <w:rPr>
                <w:sz w:val="20"/>
                <w:szCs w:val="20"/>
              </w:rPr>
            </w:pPr>
            <w:r w:rsidRPr="00E53BBC">
              <w:rPr>
                <w:sz w:val="20"/>
                <w:szCs w:val="20"/>
              </w:rPr>
              <w:t>Director, Bougainville and Kokoda</w:t>
            </w:r>
          </w:p>
        </w:tc>
        <w:tc>
          <w:tcPr>
            <w:tcW w:w="2552" w:type="dxa"/>
            <w:vAlign w:val="center"/>
          </w:tcPr>
          <w:p w14:paraId="544B1F09" w14:textId="77777777" w:rsidR="00AF6DBD" w:rsidRPr="00E53BBC" w:rsidRDefault="00AF6DBD" w:rsidP="001A568E">
            <w:pPr>
              <w:spacing w:before="40" w:after="40" w:line="240" w:lineRule="auto"/>
              <w:jc w:val="left"/>
              <w:rPr>
                <w:sz w:val="20"/>
                <w:szCs w:val="20"/>
              </w:rPr>
            </w:pPr>
            <w:r w:rsidRPr="00E53BBC">
              <w:rPr>
                <w:sz w:val="20"/>
                <w:szCs w:val="20"/>
              </w:rPr>
              <w:t>PAGP</w:t>
            </w:r>
          </w:p>
        </w:tc>
      </w:tr>
      <w:tr w:rsidR="00AF6DBD" w:rsidRPr="00E53BBC" w14:paraId="23804B06" w14:textId="77777777" w:rsidTr="00265BB9">
        <w:trPr>
          <w:trHeight w:val="377"/>
        </w:trPr>
        <w:tc>
          <w:tcPr>
            <w:tcW w:w="705" w:type="dxa"/>
            <w:vAlign w:val="center"/>
          </w:tcPr>
          <w:p w14:paraId="52928BDC" w14:textId="77777777" w:rsidR="00AF6DBD" w:rsidRPr="00E53BBC" w:rsidRDefault="00AF6DBD" w:rsidP="001A568E">
            <w:pPr>
              <w:spacing w:before="40" w:after="40" w:line="240" w:lineRule="auto"/>
              <w:jc w:val="left"/>
              <w:rPr>
                <w:sz w:val="20"/>
                <w:szCs w:val="20"/>
              </w:rPr>
            </w:pPr>
            <w:r w:rsidRPr="00E53BBC">
              <w:rPr>
                <w:sz w:val="20"/>
                <w:szCs w:val="20"/>
              </w:rPr>
              <w:t>2</w:t>
            </w:r>
          </w:p>
        </w:tc>
        <w:tc>
          <w:tcPr>
            <w:tcW w:w="2834" w:type="dxa"/>
            <w:vAlign w:val="center"/>
          </w:tcPr>
          <w:p w14:paraId="5B0C4645" w14:textId="77777777" w:rsidR="00AF6DBD" w:rsidRPr="00E53BBC" w:rsidRDefault="00AF6DBD" w:rsidP="001A568E">
            <w:pPr>
              <w:spacing w:before="40" w:after="40" w:line="240" w:lineRule="auto"/>
              <w:jc w:val="left"/>
              <w:rPr>
                <w:sz w:val="20"/>
                <w:szCs w:val="20"/>
              </w:rPr>
            </w:pPr>
            <w:r w:rsidRPr="00E53BBC">
              <w:rPr>
                <w:sz w:val="20"/>
                <w:szCs w:val="20"/>
              </w:rPr>
              <w:t>Patrick Mccloskey</w:t>
            </w:r>
          </w:p>
        </w:tc>
        <w:tc>
          <w:tcPr>
            <w:tcW w:w="6662" w:type="dxa"/>
            <w:vAlign w:val="center"/>
          </w:tcPr>
          <w:p w14:paraId="00F0AC9F" w14:textId="77777777" w:rsidR="00AF6DBD" w:rsidRPr="00E53BBC" w:rsidRDefault="00AF6DBD" w:rsidP="001A568E">
            <w:pPr>
              <w:spacing w:before="40" w:after="40" w:line="240" w:lineRule="auto"/>
              <w:jc w:val="left"/>
              <w:rPr>
                <w:sz w:val="20"/>
                <w:szCs w:val="20"/>
              </w:rPr>
            </w:pPr>
            <w:r w:rsidRPr="00E53BBC">
              <w:rPr>
                <w:sz w:val="20"/>
                <w:szCs w:val="20"/>
              </w:rPr>
              <w:t>Senior Program Manager, Bougainville and Kokoda</w:t>
            </w:r>
          </w:p>
        </w:tc>
        <w:tc>
          <w:tcPr>
            <w:tcW w:w="2552" w:type="dxa"/>
            <w:vAlign w:val="center"/>
          </w:tcPr>
          <w:p w14:paraId="2C1B044A" w14:textId="77777777" w:rsidR="00AF6DBD" w:rsidRPr="00E53BBC" w:rsidRDefault="00AF6DBD" w:rsidP="001A568E">
            <w:pPr>
              <w:spacing w:before="40" w:after="40" w:line="240" w:lineRule="auto"/>
              <w:jc w:val="left"/>
              <w:rPr>
                <w:sz w:val="20"/>
                <w:szCs w:val="20"/>
              </w:rPr>
            </w:pPr>
            <w:r w:rsidRPr="00E53BBC">
              <w:rPr>
                <w:sz w:val="20"/>
                <w:szCs w:val="20"/>
              </w:rPr>
              <w:t>PAGP</w:t>
            </w:r>
          </w:p>
        </w:tc>
      </w:tr>
      <w:tr w:rsidR="00AF6DBD" w:rsidRPr="00E53BBC" w14:paraId="6C5C8E77" w14:textId="77777777" w:rsidTr="00265BB9">
        <w:trPr>
          <w:trHeight w:val="377"/>
        </w:trPr>
        <w:tc>
          <w:tcPr>
            <w:tcW w:w="705" w:type="dxa"/>
            <w:vAlign w:val="center"/>
          </w:tcPr>
          <w:p w14:paraId="0BCAF6BE" w14:textId="77777777" w:rsidR="00AF6DBD" w:rsidRPr="00E53BBC" w:rsidRDefault="00AF6DBD" w:rsidP="001A568E">
            <w:pPr>
              <w:spacing w:before="40" w:after="40" w:line="240" w:lineRule="auto"/>
              <w:jc w:val="left"/>
              <w:rPr>
                <w:sz w:val="20"/>
                <w:szCs w:val="20"/>
              </w:rPr>
            </w:pPr>
            <w:r w:rsidRPr="00E53BBC">
              <w:rPr>
                <w:sz w:val="20"/>
                <w:szCs w:val="20"/>
              </w:rPr>
              <w:t>3</w:t>
            </w:r>
          </w:p>
        </w:tc>
        <w:tc>
          <w:tcPr>
            <w:tcW w:w="2834" w:type="dxa"/>
            <w:vAlign w:val="center"/>
          </w:tcPr>
          <w:p w14:paraId="046892C8" w14:textId="77777777" w:rsidR="00AF6DBD" w:rsidRPr="00E53BBC" w:rsidRDefault="00AF6DBD" w:rsidP="001A568E">
            <w:pPr>
              <w:spacing w:before="40" w:after="40" w:line="240" w:lineRule="auto"/>
              <w:jc w:val="left"/>
              <w:rPr>
                <w:sz w:val="20"/>
                <w:szCs w:val="20"/>
              </w:rPr>
            </w:pPr>
            <w:r w:rsidRPr="00E53BBC">
              <w:rPr>
                <w:sz w:val="20"/>
                <w:szCs w:val="20"/>
              </w:rPr>
              <w:t>Clayton Harrington</w:t>
            </w:r>
          </w:p>
        </w:tc>
        <w:tc>
          <w:tcPr>
            <w:tcW w:w="6662" w:type="dxa"/>
            <w:vAlign w:val="center"/>
          </w:tcPr>
          <w:p w14:paraId="3AD3C3E2" w14:textId="77777777" w:rsidR="00AF6DBD" w:rsidRPr="00E53BBC" w:rsidRDefault="00AF6DBD" w:rsidP="001A568E">
            <w:pPr>
              <w:spacing w:before="40" w:after="40" w:line="240" w:lineRule="auto"/>
              <w:jc w:val="left"/>
              <w:rPr>
                <w:sz w:val="20"/>
                <w:szCs w:val="20"/>
              </w:rPr>
            </w:pPr>
            <w:r w:rsidRPr="00E53BBC">
              <w:rPr>
                <w:sz w:val="20"/>
                <w:szCs w:val="20"/>
              </w:rPr>
              <w:t>Counsellor, Bougainville and Kokoda</w:t>
            </w:r>
          </w:p>
        </w:tc>
        <w:tc>
          <w:tcPr>
            <w:tcW w:w="2552" w:type="dxa"/>
            <w:vAlign w:val="center"/>
          </w:tcPr>
          <w:p w14:paraId="690E804A" w14:textId="77777777" w:rsidR="00AF6DBD" w:rsidRPr="00E53BBC" w:rsidRDefault="00AF6DBD" w:rsidP="001A568E">
            <w:pPr>
              <w:spacing w:before="40" w:after="40" w:line="240" w:lineRule="auto"/>
              <w:jc w:val="left"/>
              <w:rPr>
                <w:sz w:val="20"/>
                <w:szCs w:val="20"/>
              </w:rPr>
            </w:pPr>
            <w:r w:rsidRPr="00E53BBC">
              <w:rPr>
                <w:sz w:val="20"/>
                <w:szCs w:val="20"/>
              </w:rPr>
              <w:t>GoPNG</w:t>
            </w:r>
          </w:p>
        </w:tc>
      </w:tr>
      <w:tr w:rsidR="00AF6DBD" w:rsidRPr="00E53BBC" w14:paraId="72583E55" w14:textId="77777777" w:rsidTr="00265BB9">
        <w:trPr>
          <w:trHeight w:val="377"/>
        </w:trPr>
        <w:tc>
          <w:tcPr>
            <w:tcW w:w="705" w:type="dxa"/>
            <w:vAlign w:val="center"/>
          </w:tcPr>
          <w:p w14:paraId="35D2678A" w14:textId="77777777" w:rsidR="00AF6DBD" w:rsidRPr="00E53BBC" w:rsidRDefault="00AF6DBD" w:rsidP="001A568E">
            <w:pPr>
              <w:spacing w:before="40" w:after="40" w:line="240" w:lineRule="auto"/>
              <w:jc w:val="left"/>
              <w:rPr>
                <w:sz w:val="20"/>
                <w:szCs w:val="20"/>
              </w:rPr>
            </w:pPr>
            <w:r w:rsidRPr="00E53BBC">
              <w:rPr>
                <w:sz w:val="20"/>
                <w:szCs w:val="20"/>
              </w:rPr>
              <w:t>4</w:t>
            </w:r>
          </w:p>
        </w:tc>
        <w:tc>
          <w:tcPr>
            <w:tcW w:w="2834" w:type="dxa"/>
            <w:vAlign w:val="center"/>
          </w:tcPr>
          <w:p w14:paraId="63DAD9CB" w14:textId="77777777" w:rsidR="00AF6DBD" w:rsidRPr="00E53BBC" w:rsidRDefault="00AF6DBD" w:rsidP="001A568E">
            <w:pPr>
              <w:spacing w:before="40" w:after="40" w:line="240" w:lineRule="auto"/>
              <w:jc w:val="left"/>
              <w:rPr>
                <w:sz w:val="20"/>
                <w:szCs w:val="20"/>
              </w:rPr>
            </w:pPr>
            <w:r w:rsidRPr="00E53BBC">
              <w:rPr>
                <w:sz w:val="20"/>
                <w:szCs w:val="20"/>
              </w:rPr>
              <w:t xml:space="preserve">Anthony Mason </w:t>
            </w:r>
          </w:p>
        </w:tc>
        <w:tc>
          <w:tcPr>
            <w:tcW w:w="6662" w:type="dxa"/>
            <w:vAlign w:val="center"/>
          </w:tcPr>
          <w:p w14:paraId="5DE23795" w14:textId="77777777" w:rsidR="00AF6DBD" w:rsidRPr="00E53BBC" w:rsidRDefault="00AF6DBD" w:rsidP="001A568E">
            <w:pPr>
              <w:spacing w:before="40" w:after="40" w:line="240" w:lineRule="auto"/>
              <w:jc w:val="left"/>
              <w:rPr>
                <w:sz w:val="20"/>
                <w:szCs w:val="20"/>
              </w:rPr>
            </w:pPr>
            <w:r w:rsidRPr="00E53BBC">
              <w:rPr>
                <w:sz w:val="20"/>
                <w:szCs w:val="20"/>
              </w:rPr>
              <w:t>First Secretary, Bougainville and Kokoda</w:t>
            </w:r>
          </w:p>
        </w:tc>
        <w:tc>
          <w:tcPr>
            <w:tcW w:w="2552" w:type="dxa"/>
            <w:vAlign w:val="center"/>
          </w:tcPr>
          <w:p w14:paraId="4A7B2C1D" w14:textId="77777777" w:rsidR="00AF6DBD" w:rsidRPr="00E53BBC" w:rsidRDefault="00AF6DBD" w:rsidP="001A568E">
            <w:pPr>
              <w:spacing w:before="40" w:after="40" w:line="240" w:lineRule="auto"/>
              <w:jc w:val="left"/>
              <w:rPr>
                <w:sz w:val="20"/>
                <w:szCs w:val="20"/>
              </w:rPr>
            </w:pPr>
            <w:r w:rsidRPr="00E53BBC">
              <w:rPr>
                <w:sz w:val="20"/>
                <w:szCs w:val="20"/>
              </w:rPr>
              <w:t>GoPNG</w:t>
            </w:r>
          </w:p>
        </w:tc>
      </w:tr>
      <w:tr w:rsidR="00AF6DBD" w:rsidRPr="00E53BBC" w14:paraId="20B51EF9" w14:textId="77777777" w:rsidTr="00265BB9">
        <w:trPr>
          <w:trHeight w:val="377"/>
        </w:trPr>
        <w:tc>
          <w:tcPr>
            <w:tcW w:w="705" w:type="dxa"/>
            <w:vAlign w:val="center"/>
          </w:tcPr>
          <w:p w14:paraId="3E5C2F00" w14:textId="77777777" w:rsidR="00AF6DBD" w:rsidRPr="00E53BBC" w:rsidRDefault="00AF6DBD" w:rsidP="001A568E">
            <w:pPr>
              <w:spacing w:before="40" w:after="40" w:line="240" w:lineRule="auto"/>
              <w:jc w:val="left"/>
              <w:rPr>
                <w:sz w:val="20"/>
                <w:szCs w:val="20"/>
              </w:rPr>
            </w:pPr>
            <w:r w:rsidRPr="00E53BBC">
              <w:rPr>
                <w:sz w:val="20"/>
                <w:szCs w:val="20"/>
              </w:rPr>
              <w:t>5</w:t>
            </w:r>
          </w:p>
        </w:tc>
        <w:tc>
          <w:tcPr>
            <w:tcW w:w="2834" w:type="dxa"/>
            <w:vAlign w:val="center"/>
          </w:tcPr>
          <w:p w14:paraId="7183F108" w14:textId="77777777" w:rsidR="00AF6DBD" w:rsidRPr="00E53BBC" w:rsidRDefault="00AF6DBD" w:rsidP="001A568E">
            <w:pPr>
              <w:spacing w:before="40" w:after="40" w:line="240" w:lineRule="auto"/>
              <w:jc w:val="left"/>
              <w:rPr>
                <w:sz w:val="20"/>
                <w:szCs w:val="20"/>
              </w:rPr>
            </w:pPr>
            <w:r w:rsidRPr="00E53BBC">
              <w:rPr>
                <w:sz w:val="20"/>
                <w:szCs w:val="20"/>
              </w:rPr>
              <w:t xml:space="preserve">Patrick Williams </w:t>
            </w:r>
          </w:p>
        </w:tc>
        <w:tc>
          <w:tcPr>
            <w:tcW w:w="6662" w:type="dxa"/>
            <w:vAlign w:val="center"/>
          </w:tcPr>
          <w:p w14:paraId="6DC2BE88" w14:textId="77777777" w:rsidR="00AF6DBD" w:rsidRPr="00E53BBC" w:rsidRDefault="00AF6DBD" w:rsidP="001A568E">
            <w:pPr>
              <w:spacing w:before="40" w:after="40" w:line="240" w:lineRule="auto"/>
              <w:jc w:val="left"/>
              <w:rPr>
                <w:sz w:val="20"/>
                <w:szCs w:val="20"/>
              </w:rPr>
            </w:pPr>
            <w:r w:rsidRPr="00E53BBC">
              <w:rPr>
                <w:sz w:val="20"/>
                <w:szCs w:val="20"/>
              </w:rPr>
              <w:t>Second Secretary, Bougainville and Kokoda</w:t>
            </w:r>
          </w:p>
        </w:tc>
        <w:tc>
          <w:tcPr>
            <w:tcW w:w="2552" w:type="dxa"/>
            <w:vAlign w:val="center"/>
          </w:tcPr>
          <w:p w14:paraId="631466B5" w14:textId="77777777" w:rsidR="00AF6DBD" w:rsidRPr="00E53BBC" w:rsidRDefault="00AF6DBD" w:rsidP="001A568E">
            <w:pPr>
              <w:spacing w:before="40" w:after="40" w:line="240" w:lineRule="auto"/>
              <w:jc w:val="left"/>
              <w:rPr>
                <w:sz w:val="20"/>
                <w:szCs w:val="20"/>
              </w:rPr>
            </w:pPr>
            <w:r w:rsidRPr="00E53BBC">
              <w:rPr>
                <w:sz w:val="20"/>
                <w:szCs w:val="20"/>
              </w:rPr>
              <w:t>GoPNG</w:t>
            </w:r>
          </w:p>
        </w:tc>
      </w:tr>
      <w:tr w:rsidR="00AF6DBD" w:rsidRPr="00E53BBC" w14:paraId="14792789" w14:textId="77777777" w:rsidTr="00265BB9">
        <w:trPr>
          <w:trHeight w:val="377"/>
        </w:trPr>
        <w:tc>
          <w:tcPr>
            <w:tcW w:w="705" w:type="dxa"/>
            <w:vAlign w:val="center"/>
          </w:tcPr>
          <w:p w14:paraId="5F71FB8A" w14:textId="77777777" w:rsidR="00AF6DBD" w:rsidRPr="00E53BBC" w:rsidRDefault="00AF6DBD" w:rsidP="001A568E">
            <w:pPr>
              <w:spacing w:before="40" w:after="40" w:line="240" w:lineRule="auto"/>
              <w:jc w:val="left"/>
              <w:rPr>
                <w:sz w:val="20"/>
                <w:szCs w:val="20"/>
              </w:rPr>
            </w:pPr>
            <w:r>
              <w:rPr>
                <w:sz w:val="20"/>
                <w:szCs w:val="20"/>
              </w:rPr>
              <w:t>6</w:t>
            </w:r>
          </w:p>
        </w:tc>
        <w:tc>
          <w:tcPr>
            <w:tcW w:w="2834" w:type="dxa"/>
            <w:vAlign w:val="center"/>
          </w:tcPr>
          <w:p w14:paraId="32CBC91B" w14:textId="77777777" w:rsidR="00AF6DBD" w:rsidRPr="00E53BBC" w:rsidRDefault="00AF6DBD" w:rsidP="001A568E">
            <w:pPr>
              <w:spacing w:before="40" w:after="40" w:line="240" w:lineRule="auto"/>
              <w:jc w:val="left"/>
              <w:rPr>
                <w:sz w:val="20"/>
                <w:szCs w:val="20"/>
              </w:rPr>
            </w:pPr>
            <w:r w:rsidRPr="00E53BBC">
              <w:rPr>
                <w:sz w:val="20"/>
                <w:szCs w:val="20"/>
              </w:rPr>
              <w:t>Hallum Drury</w:t>
            </w:r>
          </w:p>
        </w:tc>
        <w:tc>
          <w:tcPr>
            <w:tcW w:w="6662" w:type="dxa"/>
            <w:vAlign w:val="center"/>
          </w:tcPr>
          <w:p w14:paraId="4EEEE0D5" w14:textId="77777777" w:rsidR="00AF6DBD" w:rsidRPr="00E53BBC" w:rsidRDefault="00AF6DBD" w:rsidP="001A568E">
            <w:pPr>
              <w:spacing w:before="40" w:after="40" w:line="240" w:lineRule="auto"/>
              <w:jc w:val="left"/>
              <w:rPr>
                <w:sz w:val="20"/>
                <w:szCs w:val="20"/>
              </w:rPr>
            </w:pPr>
          </w:p>
        </w:tc>
        <w:tc>
          <w:tcPr>
            <w:tcW w:w="2552" w:type="dxa"/>
            <w:vAlign w:val="center"/>
          </w:tcPr>
          <w:p w14:paraId="3D3424EB" w14:textId="77777777" w:rsidR="00AF6DBD" w:rsidRPr="00E53BBC" w:rsidRDefault="00AF6DBD" w:rsidP="001A568E">
            <w:pPr>
              <w:spacing w:before="40" w:after="40" w:line="240" w:lineRule="auto"/>
              <w:jc w:val="left"/>
              <w:rPr>
                <w:sz w:val="20"/>
                <w:szCs w:val="20"/>
              </w:rPr>
            </w:pPr>
            <w:r w:rsidRPr="00E53BBC">
              <w:rPr>
                <w:sz w:val="20"/>
                <w:szCs w:val="20"/>
              </w:rPr>
              <w:t>Department of Agriculture, Water and the Environment</w:t>
            </w:r>
          </w:p>
        </w:tc>
      </w:tr>
    </w:tbl>
    <w:p w14:paraId="06EE7649" w14:textId="77777777" w:rsidR="00AF6DBD" w:rsidRPr="00911EBF" w:rsidRDefault="00AF6DBD" w:rsidP="001A568E">
      <w:pPr>
        <w:pStyle w:val="BodyText"/>
        <w:spacing w:after="0"/>
      </w:pPr>
    </w:p>
    <w:p w14:paraId="053C74E3" w14:textId="77777777" w:rsidR="00AF6DBD" w:rsidRPr="00E86719" w:rsidRDefault="00AF6DBD" w:rsidP="001A568E">
      <w:pPr>
        <w:jc w:val="left"/>
        <w:rPr>
          <w:b/>
          <w:bCs/>
        </w:rPr>
      </w:pPr>
      <w:r w:rsidRPr="00E86719">
        <w:rPr>
          <w:b/>
          <w:bCs/>
        </w:rPr>
        <w:t>PP</w:t>
      </w:r>
      <w:r>
        <w:rPr>
          <w:b/>
          <w:bCs/>
        </w:rPr>
        <w:t>F</w:t>
      </w:r>
    </w:p>
    <w:tbl>
      <w:tblPr>
        <w:tblStyle w:val="TableGrid"/>
        <w:tblW w:w="0" w:type="auto"/>
        <w:tblLook w:val="04A0" w:firstRow="1" w:lastRow="0" w:firstColumn="1" w:lastColumn="0" w:noHBand="0" w:noVBand="1"/>
      </w:tblPr>
      <w:tblGrid>
        <w:gridCol w:w="728"/>
        <w:gridCol w:w="2035"/>
        <w:gridCol w:w="4206"/>
        <w:gridCol w:w="2041"/>
      </w:tblGrid>
      <w:tr w:rsidR="00AF6DBD" w:rsidRPr="00E53BBC" w14:paraId="1ECEA93C" w14:textId="77777777" w:rsidTr="00265BB9">
        <w:trPr>
          <w:trHeight w:val="377"/>
          <w:tblHeader/>
        </w:trPr>
        <w:tc>
          <w:tcPr>
            <w:tcW w:w="705" w:type="dxa"/>
            <w:vAlign w:val="center"/>
          </w:tcPr>
          <w:p w14:paraId="7B5CDBF0" w14:textId="77777777" w:rsidR="00AF6DBD" w:rsidRPr="00E53BBC" w:rsidRDefault="00AF6DBD" w:rsidP="001A568E">
            <w:pPr>
              <w:spacing w:before="40" w:after="40" w:line="240" w:lineRule="auto"/>
              <w:jc w:val="left"/>
              <w:rPr>
                <w:b/>
                <w:bCs/>
                <w:sz w:val="20"/>
                <w:szCs w:val="20"/>
              </w:rPr>
            </w:pPr>
            <w:r w:rsidRPr="00E53BBC">
              <w:rPr>
                <w:b/>
                <w:bCs/>
                <w:sz w:val="20"/>
                <w:szCs w:val="20"/>
              </w:rPr>
              <w:t>S/No.</w:t>
            </w:r>
          </w:p>
        </w:tc>
        <w:tc>
          <w:tcPr>
            <w:tcW w:w="2834" w:type="dxa"/>
            <w:vAlign w:val="center"/>
          </w:tcPr>
          <w:p w14:paraId="346E7E39" w14:textId="77777777" w:rsidR="00AF6DBD" w:rsidRPr="00E53BBC" w:rsidRDefault="00AF6DBD" w:rsidP="001A568E">
            <w:pPr>
              <w:spacing w:before="40" w:after="40" w:line="240" w:lineRule="auto"/>
              <w:jc w:val="left"/>
              <w:rPr>
                <w:b/>
                <w:bCs/>
                <w:sz w:val="20"/>
                <w:szCs w:val="20"/>
              </w:rPr>
            </w:pPr>
            <w:r w:rsidRPr="00E53BBC">
              <w:rPr>
                <w:b/>
                <w:bCs/>
                <w:sz w:val="20"/>
                <w:szCs w:val="20"/>
              </w:rPr>
              <w:t>Name</w:t>
            </w:r>
          </w:p>
        </w:tc>
        <w:tc>
          <w:tcPr>
            <w:tcW w:w="6662" w:type="dxa"/>
            <w:vAlign w:val="center"/>
          </w:tcPr>
          <w:p w14:paraId="0DED2A40" w14:textId="77777777" w:rsidR="00AF6DBD" w:rsidRPr="00E53BBC" w:rsidRDefault="00AF6DBD" w:rsidP="001A568E">
            <w:pPr>
              <w:spacing w:before="40" w:after="40" w:line="240" w:lineRule="auto"/>
              <w:jc w:val="left"/>
              <w:rPr>
                <w:b/>
                <w:bCs/>
                <w:sz w:val="20"/>
                <w:szCs w:val="20"/>
              </w:rPr>
            </w:pPr>
            <w:r w:rsidRPr="00E53BBC">
              <w:rPr>
                <w:b/>
                <w:bCs/>
                <w:sz w:val="20"/>
                <w:szCs w:val="20"/>
              </w:rPr>
              <w:t>Role</w:t>
            </w:r>
          </w:p>
        </w:tc>
        <w:tc>
          <w:tcPr>
            <w:tcW w:w="2552" w:type="dxa"/>
            <w:vAlign w:val="center"/>
          </w:tcPr>
          <w:p w14:paraId="5E7A8F0C" w14:textId="77777777" w:rsidR="00AF6DBD" w:rsidRPr="00E53BBC" w:rsidRDefault="00AF6DBD" w:rsidP="001A568E">
            <w:pPr>
              <w:spacing w:before="40" w:after="40" w:line="240" w:lineRule="auto"/>
              <w:jc w:val="left"/>
              <w:rPr>
                <w:b/>
                <w:bCs/>
                <w:sz w:val="20"/>
                <w:szCs w:val="20"/>
              </w:rPr>
            </w:pPr>
            <w:r w:rsidRPr="00E53BBC">
              <w:rPr>
                <w:b/>
                <w:bCs/>
                <w:sz w:val="20"/>
                <w:szCs w:val="20"/>
              </w:rPr>
              <w:t>Organization</w:t>
            </w:r>
          </w:p>
        </w:tc>
      </w:tr>
      <w:tr w:rsidR="00AF6DBD" w:rsidRPr="00E53BBC" w14:paraId="228D9517" w14:textId="77777777" w:rsidTr="00265BB9">
        <w:trPr>
          <w:trHeight w:val="377"/>
        </w:trPr>
        <w:tc>
          <w:tcPr>
            <w:tcW w:w="705" w:type="dxa"/>
            <w:vAlign w:val="center"/>
          </w:tcPr>
          <w:p w14:paraId="793F2F85" w14:textId="77777777" w:rsidR="00AF6DBD" w:rsidRPr="00E53BBC" w:rsidRDefault="00AF6DBD" w:rsidP="001A568E">
            <w:pPr>
              <w:spacing w:before="40" w:after="40" w:line="240" w:lineRule="auto"/>
              <w:jc w:val="left"/>
              <w:rPr>
                <w:sz w:val="20"/>
                <w:szCs w:val="20"/>
              </w:rPr>
            </w:pPr>
            <w:r w:rsidRPr="00E53BBC">
              <w:rPr>
                <w:sz w:val="20"/>
                <w:szCs w:val="20"/>
              </w:rPr>
              <w:t>1</w:t>
            </w:r>
          </w:p>
        </w:tc>
        <w:tc>
          <w:tcPr>
            <w:tcW w:w="2834" w:type="dxa"/>
            <w:vAlign w:val="center"/>
          </w:tcPr>
          <w:p w14:paraId="080F0186" w14:textId="77777777" w:rsidR="00AF6DBD" w:rsidRPr="00E53BBC" w:rsidRDefault="00AF6DBD" w:rsidP="001A568E">
            <w:pPr>
              <w:spacing w:before="40" w:after="40" w:line="240" w:lineRule="auto"/>
              <w:jc w:val="left"/>
              <w:rPr>
                <w:sz w:val="20"/>
                <w:szCs w:val="20"/>
              </w:rPr>
            </w:pPr>
            <w:r w:rsidRPr="00E53BBC">
              <w:rPr>
                <w:sz w:val="20"/>
                <w:szCs w:val="20"/>
              </w:rPr>
              <w:t>Joy Wong</w:t>
            </w:r>
          </w:p>
        </w:tc>
        <w:tc>
          <w:tcPr>
            <w:tcW w:w="6662" w:type="dxa"/>
            <w:vAlign w:val="center"/>
          </w:tcPr>
          <w:p w14:paraId="42BA1D10" w14:textId="77777777" w:rsidR="00AF6DBD" w:rsidRPr="00E53BBC" w:rsidRDefault="00AF6DBD" w:rsidP="001A568E">
            <w:pPr>
              <w:spacing w:before="40" w:after="40" w:line="240" w:lineRule="auto"/>
              <w:jc w:val="left"/>
              <w:rPr>
                <w:sz w:val="20"/>
                <w:szCs w:val="20"/>
              </w:rPr>
            </w:pPr>
            <w:r w:rsidRPr="00E53BBC">
              <w:rPr>
                <w:sz w:val="20"/>
                <w:szCs w:val="20"/>
              </w:rPr>
              <w:t xml:space="preserve">Operations Director, Save the Children </w:t>
            </w:r>
          </w:p>
        </w:tc>
        <w:tc>
          <w:tcPr>
            <w:tcW w:w="2552" w:type="dxa"/>
            <w:vAlign w:val="center"/>
          </w:tcPr>
          <w:p w14:paraId="78F9CF2B" w14:textId="77777777" w:rsidR="00AF6DBD" w:rsidRPr="00E53BBC" w:rsidRDefault="00AF6DBD" w:rsidP="001A568E">
            <w:pPr>
              <w:spacing w:before="40" w:after="40" w:line="240" w:lineRule="auto"/>
              <w:jc w:val="left"/>
              <w:rPr>
                <w:sz w:val="20"/>
                <w:szCs w:val="20"/>
              </w:rPr>
            </w:pPr>
            <w:r w:rsidRPr="00E53BBC">
              <w:rPr>
                <w:sz w:val="20"/>
                <w:szCs w:val="20"/>
              </w:rPr>
              <w:t>Save The Children</w:t>
            </w:r>
          </w:p>
        </w:tc>
      </w:tr>
      <w:tr w:rsidR="00AF6DBD" w:rsidRPr="00E53BBC" w14:paraId="1CB0755D" w14:textId="77777777" w:rsidTr="00265BB9">
        <w:trPr>
          <w:trHeight w:val="377"/>
        </w:trPr>
        <w:tc>
          <w:tcPr>
            <w:tcW w:w="705" w:type="dxa"/>
            <w:vAlign w:val="center"/>
          </w:tcPr>
          <w:p w14:paraId="2C9D5F8F" w14:textId="77777777" w:rsidR="00AF6DBD" w:rsidRPr="00E53BBC" w:rsidRDefault="00AF6DBD" w:rsidP="001A568E">
            <w:pPr>
              <w:spacing w:before="40" w:after="40" w:line="240" w:lineRule="auto"/>
              <w:jc w:val="left"/>
              <w:rPr>
                <w:sz w:val="20"/>
                <w:szCs w:val="20"/>
              </w:rPr>
            </w:pPr>
            <w:r w:rsidRPr="00E53BBC">
              <w:rPr>
                <w:sz w:val="20"/>
                <w:szCs w:val="20"/>
              </w:rPr>
              <w:t>2</w:t>
            </w:r>
          </w:p>
        </w:tc>
        <w:tc>
          <w:tcPr>
            <w:tcW w:w="2834" w:type="dxa"/>
            <w:vAlign w:val="center"/>
          </w:tcPr>
          <w:p w14:paraId="2C67C060" w14:textId="77777777" w:rsidR="00AF6DBD" w:rsidRPr="00E53BBC" w:rsidRDefault="00AF6DBD" w:rsidP="001A568E">
            <w:pPr>
              <w:spacing w:before="40" w:after="40" w:line="240" w:lineRule="auto"/>
              <w:jc w:val="left"/>
              <w:rPr>
                <w:sz w:val="20"/>
                <w:szCs w:val="20"/>
              </w:rPr>
            </w:pPr>
            <w:r w:rsidRPr="00E53BBC">
              <w:rPr>
                <w:sz w:val="20"/>
                <w:szCs w:val="20"/>
              </w:rPr>
              <w:t>Imelda Ochavillo</w:t>
            </w:r>
          </w:p>
        </w:tc>
        <w:tc>
          <w:tcPr>
            <w:tcW w:w="6662" w:type="dxa"/>
            <w:vAlign w:val="center"/>
          </w:tcPr>
          <w:p w14:paraId="234BEB08" w14:textId="77777777" w:rsidR="00AF6DBD" w:rsidRPr="00E53BBC" w:rsidRDefault="00AF6DBD" w:rsidP="001A568E">
            <w:pPr>
              <w:spacing w:before="40" w:after="40" w:line="240" w:lineRule="auto"/>
              <w:jc w:val="left"/>
              <w:rPr>
                <w:sz w:val="20"/>
                <w:szCs w:val="20"/>
              </w:rPr>
            </w:pPr>
            <w:r>
              <w:rPr>
                <w:sz w:val="20"/>
                <w:szCs w:val="20"/>
              </w:rPr>
              <w:t>C</w:t>
            </w:r>
            <w:r w:rsidRPr="00E53BBC">
              <w:rPr>
                <w:sz w:val="20"/>
                <w:szCs w:val="20"/>
              </w:rPr>
              <w:t>hief of Party-Together for Education project</w:t>
            </w:r>
          </w:p>
        </w:tc>
        <w:tc>
          <w:tcPr>
            <w:tcW w:w="2552" w:type="dxa"/>
            <w:vAlign w:val="center"/>
          </w:tcPr>
          <w:p w14:paraId="328468AD" w14:textId="77777777" w:rsidR="00AF6DBD" w:rsidRPr="00E53BBC" w:rsidRDefault="00AF6DBD" w:rsidP="001A568E">
            <w:pPr>
              <w:spacing w:before="40" w:after="40" w:line="240" w:lineRule="auto"/>
              <w:jc w:val="left"/>
              <w:rPr>
                <w:sz w:val="20"/>
                <w:szCs w:val="20"/>
              </w:rPr>
            </w:pPr>
            <w:r w:rsidRPr="00E53BBC">
              <w:rPr>
                <w:sz w:val="20"/>
                <w:szCs w:val="20"/>
              </w:rPr>
              <w:t>World Vision</w:t>
            </w:r>
          </w:p>
        </w:tc>
      </w:tr>
      <w:tr w:rsidR="00AF6DBD" w:rsidRPr="00E53BBC" w14:paraId="2A350E92" w14:textId="77777777" w:rsidTr="00265BB9">
        <w:trPr>
          <w:trHeight w:val="377"/>
        </w:trPr>
        <w:tc>
          <w:tcPr>
            <w:tcW w:w="705" w:type="dxa"/>
            <w:vAlign w:val="center"/>
          </w:tcPr>
          <w:p w14:paraId="38933352" w14:textId="77777777" w:rsidR="00AF6DBD" w:rsidRPr="00E53BBC" w:rsidRDefault="00AF6DBD" w:rsidP="001A568E">
            <w:pPr>
              <w:spacing w:before="40" w:after="40" w:line="240" w:lineRule="auto"/>
              <w:jc w:val="left"/>
              <w:rPr>
                <w:sz w:val="20"/>
                <w:szCs w:val="20"/>
              </w:rPr>
            </w:pPr>
            <w:r w:rsidRPr="00E53BBC">
              <w:rPr>
                <w:sz w:val="20"/>
                <w:szCs w:val="20"/>
              </w:rPr>
              <w:t>3</w:t>
            </w:r>
          </w:p>
        </w:tc>
        <w:tc>
          <w:tcPr>
            <w:tcW w:w="2834" w:type="dxa"/>
            <w:vAlign w:val="center"/>
          </w:tcPr>
          <w:p w14:paraId="0224B605" w14:textId="77777777" w:rsidR="00AF6DBD" w:rsidRPr="00E53BBC" w:rsidRDefault="00AF6DBD" w:rsidP="001A568E">
            <w:pPr>
              <w:spacing w:before="40" w:after="40" w:line="240" w:lineRule="auto"/>
              <w:jc w:val="left"/>
              <w:rPr>
                <w:sz w:val="20"/>
                <w:szCs w:val="20"/>
              </w:rPr>
            </w:pPr>
            <w:r w:rsidRPr="00E53BBC">
              <w:rPr>
                <w:sz w:val="20"/>
                <w:szCs w:val="20"/>
              </w:rPr>
              <w:t>Justine McMahon</w:t>
            </w:r>
          </w:p>
        </w:tc>
        <w:tc>
          <w:tcPr>
            <w:tcW w:w="6662" w:type="dxa"/>
            <w:vAlign w:val="center"/>
          </w:tcPr>
          <w:p w14:paraId="5567A080" w14:textId="77777777" w:rsidR="00AF6DBD" w:rsidRPr="00E53BBC" w:rsidRDefault="00AF6DBD" w:rsidP="001A568E">
            <w:pPr>
              <w:spacing w:before="40" w:after="40" w:line="240" w:lineRule="auto"/>
              <w:jc w:val="left"/>
              <w:rPr>
                <w:sz w:val="20"/>
                <w:szCs w:val="20"/>
              </w:rPr>
            </w:pPr>
            <w:r w:rsidRPr="00E53BBC">
              <w:rPr>
                <w:sz w:val="20"/>
                <w:szCs w:val="20"/>
              </w:rPr>
              <w:t xml:space="preserve">Country Director, CARE International </w:t>
            </w:r>
          </w:p>
        </w:tc>
        <w:tc>
          <w:tcPr>
            <w:tcW w:w="2552" w:type="dxa"/>
            <w:vAlign w:val="center"/>
          </w:tcPr>
          <w:p w14:paraId="038541AC" w14:textId="77777777" w:rsidR="00AF6DBD" w:rsidRPr="00E53BBC" w:rsidRDefault="00AF6DBD" w:rsidP="001A568E">
            <w:pPr>
              <w:spacing w:before="40" w:after="40" w:line="240" w:lineRule="auto"/>
              <w:jc w:val="left"/>
              <w:rPr>
                <w:sz w:val="20"/>
                <w:szCs w:val="20"/>
              </w:rPr>
            </w:pPr>
            <w:r w:rsidRPr="00E53BBC">
              <w:rPr>
                <w:sz w:val="20"/>
                <w:szCs w:val="20"/>
              </w:rPr>
              <w:t>CARE International</w:t>
            </w:r>
          </w:p>
        </w:tc>
      </w:tr>
      <w:tr w:rsidR="00AF6DBD" w:rsidRPr="00E53BBC" w14:paraId="51D5993A" w14:textId="77777777" w:rsidTr="00265BB9">
        <w:trPr>
          <w:trHeight w:val="377"/>
        </w:trPr>
        <w:tc>
          <w:tcPr>
            <w:tcW w:w="705" w:type="dxa"/>
            <w:vAlign w:val="center"/>
          </w:tcPr>
          <w:p w14:paraId="507CBB86" w14:textId="77777777" w:rsidR="00AF6DBD" w:rsidRPr="00E53BBC" w:rsidRDefault="00AF6DBD" w:rsidP="001A568E">
            <w:pPr>
              <w:spacing w:before="40" w:after="40" w:line="240" w:lineRule="auto"/>
              <w:jc w:val="left"/>
              <w:rPr>
                <w:sz w:val="20"/>
                <w:szCs w:val="20"/>
              </w:rPr>
            </w:pPr>
            <w:r w:rsidRPr="00E53BBC">
              <w:rPr>
                <w:sz w:val="20"/>
                <w:szCs w:val="20"/>
              </w:rPr>
              <w:lastRenderedPageBreak/>
              <w:t>4</w:t>
            </w:r>
          </w:p>
        </w:tc>
        <w:tc>
          <w:tcPr>
            <w:tcW w:w="2834" w:type="dxa"/>
            <w:vAlign w:val="center"/>
          </w:tcPr>
          <w:p w14:paraId="5C32DE44" w14:textId="77777777" w:rsidR="00AF6DBD" w:rsidRPr="00E53BBC" w:rsidRDefault="00AF6DBD" w:rsidP="001A568E">
            <w:pPr>
              <w:spacing w:before="40" w:after="40" w:line="240" w:lineRule="auto"/>
              <w:jc w:val="left"/>
              <w:rPr>
                <w:sz w:val="20"/>
                <w:szCs w:val="20"/>
              </w:rPr>
            </w:pPr>
            <w:r w:rsidRPr="00E53BBC">
              <w:rPr>
                <w:sz w:val="20"/>
                <w:szCs w:val="20"/>
              </w:rPr>
              <w:t>Susan Wilson</w:t>
            </w:r>
          </w:p>
        </w:tc>
        <w:tc>
          <w:tcPr>
            <w:tcW w:w="6662" w:type="dxa"/>
            <w:vAlign w:val="center"/>
          </w:tcPr>
          <w:p w14:paraId="2685C7B2" w14:textId="77777777" w:rsidR="00AF6DBD" w:rsidRPr="00E53BBC" w:rsidRDefault="00AF6DBD" w:rsidP="001A568E">
            <w:pPr>
              <w:spacing w:before="40" w:after="40" w:line="240" w:lineRule="auto"/>
              <w:jc w:val="left"/>
              <w:rPr>
                <w:sz w:val="20"/>
                <w:szCs w:val="20"/>
                <w:highlight w:val="yellow"/>
              </w:rPr>
            </w:pPr>
            <w:r w:rsidRPr="00E53BBC">
              <w:rPr>
                <w:sz w:val="20"/>
                <w:szCs w:val="20"/>
              </w:rPr>
              <w:t>Counsellor, Education (PPF Grants)</w:t>
            </w:r>
          </w:p>
        </w:tc>
        <w:tc>
          <w:tcPr>
            <w:tcW w:w="2552" w:type="dxa"/>
            <w:vAlign w:val="center"/>
          </w:tcPr>
          <w:p w14:paraId="754ACE34" w14:textId="77777777" w:rsidR="00AF6DBD" w:rsidRPr="00E53BBC" w:rsidRDefault="00AF6DBD" w:rsidP="001A568E">
            <w:pPr>
              <w:spacing w:before="40" w:after="40" w:line="240" w:lineRule="auto"/>
              <w:jc w:val="left"/>
              <w:rPr>
                <w:sz w:val="20"/>
                <w:szCs w:val="20"/>
                <w:highlight w:val="yellow"/>
              </w:rPr>
            </w:pPr>
            <w:r w:rsidRPr="00E53BBC">
              <w:rPr>
                <w:sz w:val="20"/>
                <w:szCs w:val="20"/>
              </w:rPr>
              <w:t>Australian High Commission</w:t>
            </w:r>
          </w:p>
        </w:tc>
      </w:tr>
      <w:tr w:rsidR="00AF6DBD" w:rsidRPr="00E53BBC" w14:paraId="740FF5C8" w14:textId="77777777" w:rsidTr="00265BB9">
        <w:trPr>
          <w:trHeight w:val="377"/>
        </w:trPr>
        <w:tc>
          <w:tcPr>
            <w:tcW w:w="705" w:type="dxa"/>
            <w:vAlign w:val="center"/>
          </w:tcPr>
          <w:p w14:paraId="0A641520" w14:textId="77777777" w:rsidR="00AF6DBD" w:rsidRPr="00E53BBC" w:rsidRDefault="00AF6DBD" w:rsidP="001A568E">
            <w:pPr>
              <w:spacing w:before="40" w:after="40" w:line="240" w:lineRule="auto"/>
              <w:jc w:val="left"/>
              <w:rPr>
                <w:sz w:val="20"/>
                <w:szCs w:val="20"/>
              </w:rPr>
            </w:pPr>
            <w:r w:rsidRPr="00E53BBC">
              <w:rPr>
                <w:sz w:val="20"/>
                <w:szCs w:val="20"/>
              </w:rPr>
              <w:t>5</w:t>
            </w:r>
          </w:p>
        </w:tc>
        <w:tc>
          <w:tcPr>
            <w:tcW w:w="2834" w:type="dxa"/>
            <w:vAlign w:val="center"/>
          </w:tcPr>
          <w:p w14:paraId="3C8B11F1" w14:textId="77777777" w:rsidR="00AF6DBD" w:rsidRPr="00E53BBC" w:rsidRDefault="00AF6DBD" w:rsidP="001A568E">
            <w:pPr>
              <w:spacing w:before="40" w:after="40" w:line="240" w:lineRule="auto"/>
              <w:jc w:val="left"/>
              <w:rPr>
                <w:sz w:val="20"/>
                <w:szCs w:val="20"/>
              </w:rPr>
            </w:pPr>
            <w:r w:rsidRPr="00E53BBC">
              <w:rPr>
                <w:sz w:val="20"/>
                <w:szCs w:val="20"/>
              </w:rPr>
              <w:t>Catherine Johnston</w:t>
            </w:r>
          </w:p>
        </w:tc>
        <w:tc>
          <w:tcPr>
            <w:tcW w:w="6662" w:type="dxa"/>
            <w:vAlign w:val="center"/>
          </w:tcPr>
          <w:p w14:paraId="3E3C0F8F" w14:textId="77777777" w:rsidR="00AF6DBD" w:rsidRPr="00E53BBC" w:rsidRDefault="00AF6DBD" w:rsidP="001A568E">
            <w:pPr>
              <w:spacing w:before="40" w:after="40" w:line="240" w:lineRule="auto"/>
              <w:jc w:val="left"/>
              <w:rPr>
                <w:sz w:val="20"/>
                <w:szCs w:val="20"/>
                <w:highlight w:val="yellow"/>
              </w:rPr>
            </w:pPr>
            <w:r w:rsidRPr="00E53BBC">
              <w:rPr>
                <w:sz w:val="20"/>
                <w:szCs w:val="20"/>
              </w:rPr>
              <w:t>Education Specialist</w:t>
            </w:r>
          </w:p>
        </w:tc>
        <w:tc>
          <w:tcPr>
            <w:tcW w:w="2552" w:type="dxa"/>
            <w:vAlign w:val="center"/>
          </w:tcPr>
          <w:p w14:paraId="212DC5F4" w14:textId="77777777" w:rsidR="00AF6DBD" w:rsidRPr="00E53BBC" w:rsidRDefault="00AF6DBD" w:rsidP="001A568E">
            <w:pPr>
              <w:spacing w:before="40" w:after="40" w:line="240" w:lineRule="auto"/>
              <w:jc w:val="left"/>
              <w:rPr>
                <w:sz w:val="20"/>
                <w:szCs w:val="20"/>
                <w:highlight w:val="yellow"/>
              </w:rPr>
            </w:pPr>
            <w:r w:rsidRPr="00E53BBC">
              <w:rPr>
                <w:sz w:val="20"/>
                <w:szCs w:val="20"/>
              </w:rPr>
              <w:t>PAGP</w:t>
            </w:r>
          </w:p>
        </w:tc>
      </w:tr>
    </w:tbl>
    <w:p w14:paraId="2354F930" w14:textId="77777777" w:rsidR="00AF6DBD" w:rsidRPr="00E53BBC" w:rsidRDefault="00AF6DBD" w:rsidP="001A568E">
      <w:pPr>
        <w:pStyle w:val="BodyText"/>
        <w:spacing w:after="0"/>
      </w:pPr>
    </w:p>
    <w:p w14:paraId="0DE85FE9" w14:textId="77777777" w:rsidR="00AF6DBD" w:rsidRPr="00E86719" w:rsidRDefault="00AF6DBD" w:rsidP="001A568E">
      <w:pPr>
        <w:jc w:val="left"/>
        <w:rPr>
          <w:b/>
          <w:bCs/>
        </w:rPr>
      </w:pPr>
      <w:r>
        <w:rPr>
          <w:b/>
          <w:bCs/>
        </w:rPr>
        <w:t>IPPDSS</w:t>
      </w:r>
    </w:p>
    <w:tbl>
      <w:tblPr>
        <w:tblStyle w:val="TableGrid"/>
        <w:tblW w:w="0" w:type="auto"/>
        <w:tblLook w:val="04A0" w:firstRow="1" w:lastRow="0" w:firstColumn="1" w:lastColumn="0" w:noHBand="0" w:noVBand="1"/>
      </w:tblPr>
      <w:tblGrid>
        <w:gridCol w:w="728"/>
        <w:gridCol w:w="2032"/>
        <w:gridCol w:w="4210"/>
        <w:gridCol w:w="2040"/>
      </w:tblGrid>
      <w:tr w:rsidR="00AF6DBD" w:rsidRPr="00145EB3" w14:paraId="067FF328" w14:textId="77777777" w:rsidTr="00265BB9">
        <w:trPr>
          <w:trHeight w:val="224"/>
          <w:tblHeader/>
        </w:trPr>
        <w:tc>
          <w:tcPr>
            <w:tcW w:w="702" w:type="dxa"/>
            <w:vAlign w:val="center"/>
          </w:tcPr>
          <w:p w14:paraId="26B42D56" w14:textId="77777777" w:rsidR="00AF6DBD" w:rsidRPr="00145EB3" w:rsidRDefault="00AF6DBD" w:rsidP="001A568E">
            <w:pPr>
              <w:spacing w:before="40" w:after="40" w:line="240" w:lineRule="auto"/>
              <w:jc w:val="left"/>
              <w:rPr>
                <w:b/>
                <w:bCs/>
                <w:sz w:val="20"/>
                <w:szCs w:val="20"/>
              </w:rPr>
            </w:pPr>
            <w:r w:rsidRPr="00145EB3">
              <w:rPr>
                <w:b/>
                <w:bCs/>
                <w:sz w:val="20"/>
                <w:szCs w:val="20"/>
              </w:rPr>
              <w:t>S/No.</w:t>
            </w:r>
          </w:p>
        </w:tc>
        <w:tc>
          <w:tcPr>
            <w:tcW w:w="2824" w:type="dxa"/>
            <w:vAlign w:val="center"/>
          </w:tcPr>
          <w:p w14:paraId="693BFEDA" w14:textId="77777777" w:rsidR="00AF6DBD" w:rsidRPr="00145EB3" w:rsidRDefault="00AF6DBD" w:rsidP="001A568E">
            <w:pPr>
              <w:spacing w:before="40" w:after="40" w:line="240" w:lineRule="auto"/>
              <w:jc w:val="left"/>
              <w:rPr>
                <w:b/>
                <w:bCs/>
                <w:sz w:val="20"/>
                <w:szCs w:val="20"/>
              </w:rPr>
            </w:pPr>
            <w:r w:rsidRPr="00145EB3">
              <w:rPr>
                <w:b/>
                <w:bCs/>
                <w:sz w:val="20"/>
                <w:szCs w:val="20"/>
              </w:rPr>
              <w:t>Name</w:t>
            </w:r>
          </w:p>
        </w:tc>
        <w:tc>
          <w:tcPr>
            <w:tcW w:w="6638" w:type="dxa"/>
            <w:vAlign w:val="center"/>
          </w:tcPr>
          <w:p w14:paraId="3DACDD64" w14:textId="77777777" w:rsidR="00AF6DBD" w:rsidRPr="00145EB3" w:rsidRDefault="00AF6DBD" w:rsidP="001A568E">
            <w:pPr>
              <w:spacing w:before="40" w:after="40" w:line="240" w:lineRule="auto"/>
              <w:jc w:val="left"/>
              <w:rPr>
                <w:b/>
                <w:bCs/>
                <w:sz w:val="20"/>
                <w:szCs w:val="20"/>
              </w:rPr>
            </w:pPr>
            <w:r w:rsidRPr="00145EB3">
              <w:rPr>
                <w:b/>
                <w:bCs/>
                <w:sz w:val="20"/>
                <w:szCs w:val="20"/>
              </w:rPr>
              <w:t>Role</w:t>
            </w:r>
          </w:p>
        </w:tc>
        <w:tc>
          <w:tcPr>
            <w:tcW w:w="2543" w:type="dxa"/>
            <w:vAlign w:val="center"/>
          </w:tcPr>
          <w:p w14:paraId="2BB62A42" w14:textId="77777777" w:rsidR="00AF6DBD" w:rsidRPr="00145EB3" w:rsidRDefault="00AF6DBD" w:rsidP="001A568E">
            <w:pPr>
              <w:spacing w:before="40" w:after="40" w:line="240" w:lineRule="auto"/>
              <w:jc w:val="left"/>
              <w:rPr>
                <w:b/>
                <w:bCs/>
                <w:sz w:val="20"/>
                <w:szCs w:val="20"/>
              </w:rPr>
            </w:pPr>
            <w:r w:rsidRPr="00145EB3">
              <w:rPr>
                <w:b/>
                <w:bCs/>
                <w:sz w:val="20"/>
                <w:szCs w:val="20"/>
              </w:rPr>
              <w:t>Organization</w:t>
            </w:r>
          </w:p>
        </w:tc>
      </w:tr>
      <w:tr w:rsidR="00AF6DBD" w:rsidRPr="00145EB3" w14:paraId="07451A75" w14:textId="77777777" w:rsidTr="00265BB9">
        <w:trPr>
          <w:trHeight w:val="224"/>
        </w:trPr>
        <w:tc>
          <w:tcPr>
            <w:tcW w:w="702" w:type="dxa"/>
            <w:vAlign w:val="center"/>
          </w:tcPr>
          <w:p w14:paraId="759FFC73" w14:textId="77777777" w:rsidR="00AF6DBD" w:rsidRPr="00145EB3" w:rsidRDefault="00AF6DBD" w:rsidP="001A568E">
            <w:pPr>
              <w:spacing w:before="40" w:after="40" w:line="240" w:lineRule="auto"/>
              <w:jc w:val="left"/>
              <w:rPr>
                <w:sz w:val="20"/>
                <w:szCs w:val="20"/>
              </w:rPr>
            </w:pPr>
            <w:r w:rsidRPr="00145EB3">
              <w:rPr>
                <w:sz w:val="20"/>
                <w:szCs w:val="20"/>
              </w:rPr>
              <w:t>1</w:t>
            </w:r>
          </w:p>
        </w:tc>
        <w:tc>
          <w:tcPr>
            <w:tcW w:w="2824" w:type="dxa"/>
            <w:vAlign w:val="center"/>
          </w:tcPr>
          <w:p w14:paraId="15A4CD74" w14:textId="77777777" w:rsidR="00AF6DBD" w:rsidRPr="00145EB3" w:rsidRDefault="00AF6DBD" w:rsidP="001A568E">
            <w:pPr>
              <w:spacing w:before="40" w:after="40" w:line="240" w:lineRule="auto"/>
              <w:jc w:val="left"/>
              <w:rPr>
                <w:sz w:val="20"/>
                <w:szCs w:val="20"/>
              </w:rPr>
            </w:pPr>
            <w:r w:rsidRPr="00145EB3">
              <w:rPr>
                <w:sz w:val="20"/>
                <w:szCs w:val="20"/>
              </w:rPr>
              <w:t>Lillian Ipu</w:t>
            </w:r>
          </w:p>
        </w:tc>
        <w:tc>
          <w:tcPr>
            <w:tcW w:w="6638" w:type="dxa"/>
            <w:vAlign w:val="center"/>
          </w:tcPr>
          <w:p w14:paraId="6E6A906A" w14:textId="77777777" w:rsidR="00AF6DBD" w:rsidRPr="00145EB3" w:rsidRDefault="00AF6DBD" w:rsidP="001A568E">
            <w:pPr>
              <w:spacing w:before="40" w:after="40" w:line="240" w:lineRule="auto"/>
              <w:jc w:val="left"/>
              <w:rPr>
                <w:sz w:val="20"/>
                <w:szCs w:val="20"/>
              </w:rPr>
            </w:pPr>
            <w:r w:rsidRPr="00145EB3">
              <w:rPr>
                <w:sz w:val="20"/>
                <w:szCs w:val="20"/>
              </w:rPr>
              <w:t>Director, Legal Policy &amp; Governance Branch</w:t>
            </w:r>
          </w:p>
        </w:tc>
        <w:tc>
          <w:tcPr>
            <w:tcW w:w="2543" w:type="dxa"/>
            <w:vAlign w:val="center"/>
          </w:tcPr>
          <w:p w14:paraId="093311F8" w14:textId="77777777" w:rsidR="00AF6DBD" w:rsidRPr="00145EB3" w:rsidRDefault="00AF6DBD" w:rsidP="001A568E">
            <w:pPr>
              <w:spacing w:before="40" w:after="40" w:line="240" w:lineRule="auto"/>
              <w:jc w:val="left"/>
              <w:rPr>
                <w:sz w:val="20"/>
                <w:szCs w:val="20"/>
              </w:rPr>
            </w:pPr>
            <w:r w:rsidRPr="00145EB3">
              <w:rPr>
                <w:sz w:val="20"/>
                <w:szCs w:val="20"/>
              </w:rPr>
              <w:t>DJAG</w:t>
            </w:r>
          </w:p>
        </w:tc>
      </w:tr>
      <w:tr w:rsidR="00AF6DBD" w:rsidRPr="00145EB3" w14:paraId="03AE9A7D" w14:textId="77777777" w:rsidTr="00265BB9">
        <w:trPr>
          <w:trHeight w:val="224"/>
        </w:trPr>
        <w:tc>
          <w:tcPr>
            <w:tcW w:w="702" w:type="dxa"/>
            <w:vAlign w:val="center"/>
          </w:tcPr>
          <w:p w14:paraId="0114B94C" w14:textId="77777777" w:rsidR="00AF6DBD" w:rsidRPr="00145EB3" w:rsidRDefault="00AF6DBD" w:rsidP="001A568E">
            <w:pPr>
              <w:spacing w:before="40" w:after="40" w:line="240" w:lineRule="auto"/>
              <w:jc w:val="left"/>
              <w:rPr>
                <w:sz w:val="20"/>
                <w:szCs w:val="20"/>
              </w:rPr>
            </w:pPr>
            <w:r w:rsidRPr="00145EB3">
              <w:rPr>
                <w:sz w:val="20"/>
                <w:szCs w:val="20"/>
              </w:rPr>
              <w:t>2</w:t>
            </w:r>
          </w:p>
        </w:tc>
        <w:tc>
          <w:tcPr>
            <w:tcW w:w="2824" w:type="dxa"/>
            <w:vAlign w:val="center"/>
          </w:tcPr>
          <w:p w14:paraId="13155455" w14:textId="77777777" w:rsidR="00AF6DBD" w:rsidRPr="00145EB3" w:rsidRDefault="00AF6DBD" w:rsidP="001A568E">
            <w:pPr>
              <w:spacing w:before="40" w:after="40" w:line="240" w:lineRule="auto"/>
              <w:jc w:val="left"/>
              <w:rPr>
                <w:sz w:val="20"/>
                <w:szCs w:val="20"/>
              </w:rPr>
            </w:pPr>
            <w:r>
              <w:rPr>
                <w:sz w:val="20"/>
                <w:szCs w:val="20"/>
              </w:rPr>
              <w:t>R</w:t>
            </w:r>
            <w:r w:rsidRPr="00145EB3">
              <w:rPr>
                <w:sz w:val="20"/>
                <w:szCs w:val="20"/>
              </w:rPr>
              <w:t>achael Vapuak</w:t>
            </w:r>
          </w:p>
        </w:tc>
        <w:tc>
          <w:tcPr>
            <w:tcW w:w="6638" w:type="dxa"/>
            <w:vAlign w:val="center"/>
          </w:tcPr>
          <w:p w14:paraId="3450EB71" w14:textId="77777777" w:rsidR="00AF6DBD" w:rsidRPr="00145EB3" w:rsidRDefault="00AF6DBD" w:rsidP="001A568E">
            <w:pPr>
              <w:spacing w:before="40" w:after="40" w:line="240" w:lineRule="auto"/>
              <w:jc w:val="left"/>
              <w:rPr>
                <w:sz w:val="20"/>
                <w:szCs w:val="20"/>
              </w:rPr>
            </w:pPr>
            <w:r w:rsidRPr="00145EB3">
              <w:rPr>
                <w:sz w:val="20"/>
                <w:szCs w:val="20"/>
              </w:rPr>
              <w:t>Legal Officer, Legal Policy &amp; Governance Branch</w:t>
            </w:r>
          </w:p>
        </w:tc>
        <w:tc>
          <w:tcPr>
            <w:tcW w:w="2543" w:type="dxa"/>
            <w:vAlign w:val="center"/>
          </w:tcPr>
          <w:p w14:paraId="1F6513A0" w14:textId="77777777" w:rsidR="00AF6DBD" w:rsidRPr="00145EB3" w:rsidRDefault="00AF6DBD" w:rsidP="001A568E">
            <w:pPr>
              <w:spacing w:before="40" w:after="40" w:line="240" w:lineRule="auto"/>
              <w:jc w:val="left"/>
              <w:rPr>
                <w:sz w:val="20"/>
                <w:szCs w:val="20"/>
              </w:rPr>
            </w:pPr>
            <w:r w:rsidRPr="00145EB3">
              <w:rPr>
                <w:sz w:val="20"/>
                <w:szCs w:val="20"/>
              </w:rPr>
              <w:t>DJAG</w:t>
            </w:r>
          </w:p>
        </w:tc>
      </w:tr>
      <w:tr w:rsidR="00AF6DBD" w:rsidRPr="00145EB3" w14:paraId="1200EECA" w14:textId="77777777" w:rsidTr="00265BB9">
        <w:trPr>
          <w:trHeight w:val="224"/>
        </w:trPr>
        <w:tc>
          <w:tcPr>
            <w:tcW w:w="702" w:type="dxa"/>
            <w:vAlign w:val="center"/>
          </w:tcPr>
          <w:p w14:paraId="5C694F77" w14:textId="77777777" w:rsidR="00AF6DBD" w:rsidRPr="00145EB3" w:rsidRDefault="00AF6DBD" w:rsidP="001A568E">
            <w:pPr>
              <w:spacing w:before="40" w:after="40" w:line="240" w:lineRule="auto"/>
              <w:jc w:val="left"/>
              <w:rPr>
                <w:sz w:val="20"/>
                <w:szCs w:val="20"/>
              </w:rPr>
            </w:pPr>
            <w:r w:rsidRPr="00145EB3">
              <w:rPr>
                <w:sz w:val="20"/>
                <w:szCs w:val="20"/>
              </w:rPr>
              <w:t>3</w:t>
            </w:r>
          </w:p>
        </w:tc>
        <w:tc>
          <w:tcPr>
            <w:tcW w:w="2824" w:type="dxa"/>
            <w:vAlign w:val="center"/>
          </w:tcPr>
          <w:p w14:paraId="4F1A6434" w14:textId="77777777" w:rsidR="00AF6DBD" w:rsidRPr="00145EB3" w:rsidRDefault="00AF6DBD" w:rsidP="001A568E">
            <w:pPr>
              <w:spacing w:before="40" w:after="40" w:line="240" w:lineRule="auto"/>
              <w:jc w:val="left"/>
              <w:rPr>
                <w:sz w:val="20"/>
                <w:szCs w:val="20"/>
              </w:rPr>
            </w:pPr>
            <w:r w:rsidRPr="00145EB3">
              <w:rPr>
                <w:sz w:val="20"/>
                <w:szCs w:val="20"/>
              </w:rPr>
              <w:t>Laurie Nitschke</w:t>
            </w:r>
          </w:p>
        </w:tc>
        <w:tc>
          <w:tcPr>
            <w:tcW w:w="6638" w:type="dxa"/>
            <w:vAlign w:val="center"/>
          </w:tcPr>
          <w:p w14:paraId="42830A7D" w14:textId="77777777" w:rsidR="00AF6DBD" w:rsidRPr="00145EB3" w:rsidRDefault="00AF6DBD" w:rsidP="001A568E">
            <w:pPr>
              <w:spacing w:before="40" w:after="40" w:line="240" w:lineRule="auto"/>
              <w:jc w:val="left"/>
              <w:rPr>
                <w:sz w:val="20"/>
                <w:szCs w:val="20"/>
              </w:rPr>
            </w:pPr>
            <w:r w:rsidRPr="00145EB3">
              <w:rPr>
                <w:sz w:val="20"/>
                <w:szCs w:val="20"/>
              </w:rPr>
              <w:t xml:space="preserve">Statistical Analyst </w:t>
            </w:r>
          </w:p>
        </w:tc>
        <w:tc>
          <w:tcPr>
            <w:tcW w:w="2543" w:type="dxa"/>
            <w:vAlign w:val="center"/>
          </w:tcPr>
          <w:p w14:paraId="383630F5" w14:textId="77777777" w:rsidR="00AF6DBD" w:rsidRPr="00145EB3" w:rsidRDefault="00AF6DBD" w:rsidP="001A568E">
            <w:pPr>
              <w:spacing w:before="40" w:after="40" w:line="240" w:lineRule="auto"/>
              <w:jc w:val="left"/>
              <w:rPr>
                <w:sz w:val="20"/>
                <w:szCs w:val="20"/>
              </w:rPr>
            </w:pPr>
            <w:r w:rsidRPr="00145EB3">
              <w:rPr>
                <w:sz w:val="20"/>
                <w:szCs w:val="20"/>
              </w:rPr>
              <w:t xml:space="preserve">Australian Bureau of Statistics </w:t>
            </w:r>
          </w:p>
        </w:tc>
      </w:tr>
      <w:tr w:rsidR="00AF6DBD" w:rsidRPr="00145EB3" w14:paraId="07736086" w14:textId="77777777" w:rsidTr="00265BB9">
        <w:trPr>
          <w:trHeight w:val="224"/>
        </w:trPr>
        <w:tc>
          <w:tcPr>
            <w:tcW w:w="702" w:type="dxa"/>
            <w:vAlign w:val="center"/>
          </w:tcPr>
          <w:p w14:paraId="48D56F4F" w14:textId="77777777" w:rsidR="00AF6DBD" w:rsidRPr="00145EB3" w:rsidRDefault="00AF6DBD" w:rsidP="001A568E">
            <w:pPr>
              <w:spacing w:before="40" w:after="40" w:line="240" w:lineRule="auto"/>
              <w:jc w:val="left"/>
              <w:rPr>
                <w:sz w:val="20"/>
                <w:szCs w:val="20"/>
              </w:rPr>
            </w:pPr>
            <w:r w:rsidRPr="00145EB3">
              <w:rPr>
                <w:sz w:val="20"/>
                <w:szCs w:val="20"/>
              </w:rPr>
              <w:t>4</w:t>
            </w:r>
          </w:p>
        </w:tc>
        <w:tc>
          <w:tcPr>
            <w:tcW w:w="2824" w:type="dxa"/>
            <w:vAlign w:val="center"/>
          </w:tcPr>
          <w:p w14:paraId="3F1BFED1" w14:textId="77777777" w:rsidR="00AF6DBD" w:rsidRPr="00145EB3" w:rsidRDefault="00AF6DBD" w:rsidP="001A568E">
            <w:pPr>
              <w:spacing w:before="40" w:after="40" w:line="240" w:lineRule="auto"/>
              <w:jc w:val="left"/>
              <w:rPr>
                <w:sz w:val="20"/>
                <w:szCs w:val="20"/>
              </w:rPr>
            </w:pPr>
            <w:r w:rsidRPr="00145EB3">
              <w:rPr>
                <w:sz w:val="20"/>
                <w:szCs w:val="20"/>
              </w:rPr>
              <w:t xml:space="preserve">Meegan Reinhard </w:t>
            </w:r>
          </w:p>
        </w:tc>
        <w:tc>
          <w:tcPr>
            <w:tcW w:w="6638" w:type="dxa"/>
            <w:vAlign w:val="center"/>
          </w:tcPr>
          <w:p w14:paraId="300B7EF4" w14:textId="77777777" w:rsidR="00AF6DBD" w:rsidRPr="00145EB3" w:rsidRDefault="00AF6DBD" w:rsidP="001A568E">
            <w:pPr>
              <w:spacing w:before="40" w:after="40" w:line="240" w:lineRule="auto"/>
              <w:jc w:val="left"/>
              <w:rPr>
                <w:sz w:val="20"/>
                <w:szCs w:val="20"/>
              </w:rPr>
            </w:pPr>
            <w:r w:rsidRPr="00145EB3">
              <w:rPr>
                <w:sz w:val="20"/>
                <w:szCs w:val="20"/>
              </w:rPr>
              <w:t>Deployee to PNG Auditor-General’s Office</w:t>
            </w:r>
          </w:p>
        </w:tc>
        <w:tc>
          <w:tcPr>
            <w:tcW w:w="2543" w:type="dxa"/>
            <w:vAlign w:val="center"/>
          </w:tcPr>
          <w:p w14:paraId="4412271D" w14:textId="77777777" w:rsidR="00AF6DBD" w:rsidRPr="00145EB3" w:rsidRDefault="00AF6DBD" w:rsidP="001A568E">
            <w:pPr>
              <w:spacing w:before="40" w:after="40" w:line="240" w:lineRule="auto"/>
              <w:jc w:val="left"/>
              <w:rPr>
                <w:sz w:val="20"/>
                <w:szCs w:val="20"/>
              </w:rPr>
            </w:pPr>
            <w:r w:rsidRPr="00145EB3">
              <w:rPr>
                <w:sz w:val="20"/>
                <w:szCs w:val="20"/>
              </w:rPr>
              <w:t xml:space="preserve">Australian National Audit Office </w:t>
            </w:r>
          </w:p>
        </w:tc>
      </w:tr>
      <w:tr w:rsidR="00AF6DBD" w:rsidRPr="00145EB3" w14:paraId="220C2AB7" w14:textId="77777777" w:rsidTr="00265BB9">
        <w:trPr>
          <w:trHeight w:val="224"/>
        </w:trPr>
        <w:tc>
          <w:tcPr>
            <w:tcW w:w="702" w:type="dxa"/>
            <w:vAlign w:val="center"/>
          </w:tcPr>
          <w:p w14:paraId="704AB81D" w14:textId="77777777" w:rsidR="00AF6DBD" w:rsidRPr="00145EB3" w:rsidRDefault="00AF6DBD" w:rsidP="001A568E">
            <w:pPr>
              <w:spacing w:before="40" w:after="40" w:line="240" w:lineRule="auto"/>
              <w:jc w:val="left"/>
              <w:rPr>
                <w:sz w:val="20"/>
                <w:szCs w:val="20"/>
              </w:rPr>
            </w:pPr>
            <w:r w:rsidRPr="00145EB3">
              <w:rPr>
                <w:sz w:val="20"/>
                <w:szCs w:val="20"/>
              </w:rPr>
              <w:t>5</w:t>
            </w:r>
          </w:p>
        </w:tc>
        <w:tc>
          <w:tcPr>
            <w:tcW w:w="2824" w:type="dxa"/>
            <w:vAlign w:val="center"/>
          </w:tcPr>
          <w:p w14:paraId="7D861CA7" w14:textId="77777777" w:rsidR="00AF6DBD" w:rsidRPr="00145EB3" w:rsidRDefault="00AF6DBD" w:rsidP="001A568E">
            <w:pPr>
              <w:spacing w:before="40" w:after="40" w:line="240" w:lineRule="auto"/>
              <w:jc w:val="left"/>
              <w:rPr>
                <w:sz w:val="20"/>
                <w:szCs w:val="20"/>
              </w:rPr>
            </w:pPr>
            <w:r w:rsidRPr="00145EB3">
              <w:rPr>
                <w:sz w:val="20"/>
                <w:szCs w:val="20"/>
              </w:rPr>
              <w:t>Catherine Boden</w:t>
            </w:r>
          </w:p>
        </w:tc>
        <w:tc>
          <w:tcPr>
            <w:tcW w:w="6638" w:type="dxa"/>
            <w:vAlign w:val="center"/>
          </w:tcPr>
          <w:p w14:paraId="1D063712" w14:textId="77777777" w:rsidR="00AF6DBD" w:rsidRPr="00145EB3" w:rsidRDefault="00AF6DBD" w:rsidP="001A568E">
            <w:pPr>
              <w:spacing w:before="40" w:after="40" w:line="240" w:lineRule="auto"/>
              <w:jc w:val="left"/>
              <w:rPr>
                <w:sz w:val="20"/>
                <w:szCs w:val="20"/>
              </w:rPr>
            </w:pPr>
            <w:r w:rsidRPr="00145EB3">
              <w:rPr>
                <w:sz w:val="20"/>
                <w:szCs w:val="20"/>
              </w:rPr>
              <w:t xml:space="preserve">Program Manager of IPP </w:t>
            </w:r>
          </w:p>
        </w:tc>
        <w:tc>
          <w:tcPr>
            <w:tcW w:w="2543" w:type="dxa"/>
            <w:vAlign w:val="center"/>
          </w:tcPr>
          <w:p w14:paraId="127B5F85" w14:textId="77777777" w:rsidR="00AF6DBD" w:rsidRPr="00145EB3" w:rsidRDefault="00AF6DBD" w:rsidP="001A568E">
            <w:pPr>
              <w:spacing w:before="40" w:after="40" w:line="240" w:lineRule="auto"/>
              <w:jc w:val="left"/>
              <w:rPr>
                <w:sz w:val="20"/>
                <w:szCs w:val="20"/>
              </w:rPr>
            </w:pPr>
            <w:r w:rsidRPr="00145EB3">
              <w:rPr>
                <w:sz w:val="20"/>
                <w:szCs w:val="20"/>
              </w:rPr>
              <w:t>Australian National Audit Office</w:t>
            </w:r>
          </w:p>
        </w:tc>
      </w:tr>
      <w:tr w:rsidR="00AF6DBD" w:rsidRPr="00145EB3" w14:paraId="322A9E6B" w14:textId="77777777" w:rsidTr="00265BB9">
        <w:trPr>
          <w:trHeight w:val="224"/>
        </w:trPr>
        <w:tc>
          <w:tcPr>
            <w:tcW w:w="702" w:type="dxa"/>
            <w:vAlign w:val="center"/>
          </w:tcPr>
          <w:p w14:paraId="47CF6733" w14:textId="77777777" w:rsidR="00AF6DBD" w:rsidRPr="00145EB3" w:rsidRDefault="00AF6DBD" w:rsidP="001A568E">
            <w:pPr>
              <w:spacing w:before="40" w:after="40" w:line="240" w:lineRule="auto"/>
              <w:jc w:val="left"/>
              <w:rPr>
                <w:sz w:val="20"/>
                <w:szCs w:val="20"/>
              </w:rPr>
            </w:pPr>
            <w:r w:rsidRPr="00145EB3">
              <w:rPr>
                <w:sz w:val="20"/>
                <w:szCs w:val="20"/>
              </w:rPr>
              <w:t>6</w:t>
            </w:r>
          </w:p>
        </w:tc>
        <w:tc>
          <w:tcPr>
            <w:tcW w:w="2824" w:type="dxa"/>
            <w:vAlign w:val="center"/>
          </w:tcPr>
          <w:p w14:paraId="7AB6FC9F" w14:textId="77777777" w:rsidR="00AF6DBD" w:rsidRPr="00145EB3" w:rsidRDefault="00AF6DBD" w:rsidP="001A568E">
            <w:pPr>
              <w:spacing w:before="40" w:after="40" w:line="240" w:lineRule="auto"/>
              <w:jc w:val="left"/>
              <w:rPr>
                <w:sz w:val="20"/>
                <w:szCs w:val="20"/>
              </w:rPr>
            </w:pPr>
            <w:r>
              <w:rPr>
                <w:sz w:val="20"/>
                <w:szCs w:val="20"/>
              </w:rPr>
              <w:t>S</w:t>
            </w:r>
            <w:r w:rsidRPr="00145EB3">
              <w:rPr>
                <w:sz w:val="20"/>
                <w:szCs w:val="20"/>
              </w:rPr>
              <w:t xml:space="preserve">hannon Luthy </w:t>
            </w:r>
          </w:p>
        </w:tc>
        <w:tc>
          <w:tcPr>
            <w:tcW w:w="6638" w:type="dxa"/>
            <w:vAlign w:val="center"/>
          </w:tcPr>
          <w:p w14:paraId="59064B95" w14:textId="77777777" w:rsidR="00AF6DBD" w:rsidRPr="00145EB3" w:rsidRDefault="00AF6DBD" w:rsidP="001A568E">
            <w:pPr>
              <w:spacing w:before="40" w:after="40" w:line="240" w:lineRule="auto"/>
              <w:jc w:val="left"/>
              <w:rPr>
                <w:sz w:val="20"/>
                <w:szCs w:val="20"/>
              </w:rPr>
            </w:pPr>
            <w:r w:rsidRPr="00145EB3">
              <w:rPr>
                <w:sz w:val="20"/>
                <w:szCs w:val="20"/>
              </w:rPr>
              <w:t xml:space="preserve">Policy Officer </w:t>
            </w:r>
          </w:p>
        </w:tc>
        <w:tc>
          <w:tcPr>
            <w:tcW w:w="2543" w:type="dxa"/>
            <w:vAlign w:val="center"/>
          </w:tcPr>
          <w:p w14:paraId="618E7BA7" w14:textId="77777777" w:rsidR="00AF6DBD" w:rsidRPr="00145EB3" w:rsidRDefault="00AF6DBD" w:rsidP="001A568E">
            <w:pPr>
              <w:spacing w:before="40" w:after="40" w:line="240" w:lineRule="auto"/>
              <w:jc w:val="left"/>
              <w:rPr>
                <w:sz w:val="20"/>
                <w:szCs w:val="20"/>
              </w:rPr>
            </w:pPr>
            <w:r w:rsidRPr="00145EB3">
              <w:rPr>
                <w:sz w:val="20"/>
                <w:szCs w:val="20"/>
              </w:rPr>
              <w:t xml:space="preserve">Home Affairs </w:t>
            </w:r>
          </w:p>
        </w:tc>
      </w:tr>
      <w:tr w:rsidR="00AF6DBD" w:rsidRPr="00145EB3" w14:paraId="64032A9C" w14:textId="77777777" w:rsidTr="00265BB9">
        <w:trPr>
          <w:trHeight w:val="32"/>
        </w:trPr>
        <w:tc>
          <w:tcPr>
            <w:tcW w:w="702" w:type="dxa"/>
            <w:vAlign w:val="center"/>
          </w:tcPr>
          <w:p w14:paraId="280C462A" w14:textId="77777777" w:rsidR="00AF6DBD" w:rsidRPr="00145EB3" w:rsidRDefault="00AF6DBD" w:rsidP="001A568E">
            <w:pPr>
              <w:spacing w:before="40" w:after="40" w:line="240" w:lineRule="auto"/>
              <w:jc w:val="left"/>
              <w:rPr>
                <w:sz w:val="20"/>
                <w:szCs w:val="20"/>
              </w:rPr>
            </w:pPr>
            <w:r w:rsidRPr="00145EB3">
              <w:rPr>
                <w:sz w:val="20"/>
                <w:szCs w:val="20"/>
              </w:rPr>
              <w:t>7</w:t>
            </w:r>
          </w:p>
        </w:tc>
        <w:tc>
          <w:tcPr>
            <w:tcW w:w="2824" w:type="dxa"/>
            <w:vAlign w:val="center"/>
          </w:tcPr>
          <w:p w14:paraId="79EC842F" w14:textId="77777777" w:rsidR="00AF6DBD" w:rsidRPr="00145EB3" w:rsidRDefault="00AF6DBD" w:rsidP="001A568E">
            <w:pPr>
              <w:spacing w:before="40" w:after="40" w:line="240" w:lineRule="auto"/>
              <w:jc w:val="left"/>
              <w:rPr>
                <w:sz w:val="20"/>
                <w:szCs w:val="20"/>
              </w:rPr>
            </w:pPr>
            <w:r w:rsidRPr="00145EB3">
              <w:rPr>
                <w:sz w:val="20"/>
                <w:szCs w:val="20"/>
              </w:rPr>
              <w:t xml:space="preserve">Gabrielle Jackson </w:t>
            </w:r>
          </w:p>
        </w:tc>
        <w:tc>
          <w:tcPr>
            <w:tcW w:w="6638" w:type="dxa"/>
            <w:vAlign w:val="center"/>
          </w:tcPr>
          <w:p w14:paraId="0197F17E" w14:textId="77777777" w:rsidR="00AF6DBD" w:rsidRPr="00145EB3" w:rsidRDefault="00AF6DBD" w:rsidP="001A568E">
            <w:pPr>
              <w:spacing w:before="40" w:after="40" w:line="240" w:lineRule="auto"/>
              <w:jc w:val="left"/>
              <w:rPr>
                <w:sz w:val="20"/>
                <w:szCs w:val="20"/>
              </w:rPr>
            </w:pPr>
            <w:r w:rsidRPr="00145EB3">
              <w:rPr>
                <w:sz w:val="20"/>
                <w:szCs w:val="20"/>
              </w:rPr>
              <w:t xml:space="preserve">Director </w:t>
            </w:r>
          </w:p>
        </w:tc>
        <w:tc>
          <w:tcPr>
            <w:tcW w:w="2543" w:type="dxa"/>
            <w:vAlign w:val="center"/>
          </w:tcPr>
          <w:p w14:paraId="3D183056" w14:textId="77777777" w:rsidR="00AF6DBD" w:rsidRPr="00145EB3" w:rsidRDefault="00AF6DBD" w:rsidP="001A568E">
            <w:pPr>
              <w:spacing w:before="40" w:after="40" w:line="240" w:lineRule="auto"/>
              <w:jc w:val="left"/>
              <w:rPr>
                <w:sz w:val="20"/>
                <w:szCs w:val="20"/>
              </w:rPr>
            </w:pPr>
            <w:r w:rsidRPr="00145EB3">
              <w:rPr>
                <w:sz w:val="20"/>
                <w:szCs w:val="20"/>
              </w:rPr>
              <w:t xml:space="preserve">Australian Taxation Office </w:t>
            </w:r>
          </w:p>
        </w:tc>
      </w:tr>
      <w:tr w:rsidR="00AF6DBD" w:rsidRPr="00145EB3" w14:paraId="63A034FD" w14:textId="77777777" w:rsidTr="00265BB9">
        <w:trPr>
          <w:trHeight w:val="32"/>
        </w:trPr>
        <w:tc>
          <w:tcPr>
            <w:tcW w:w="702" w:type="dxa"/>
            <w:vAlign w:val="center"/>
          </w:tcPr>
          <w:p w14:paraId="68868008" w14:textId="77777777" w:rsidR="00AF6DBD" w:rsidRPr="00145EB3" w:rsidRDefault="00AF6DBD" w:rsidP="001A568E">
            <w:pPr>
              <w:spacing w:before="40" w:after="40" w:line="240" w:lineRule="auto"/>
              <w:jc w:val="left"/>
              <w:rPr>
                <w:sz w:val="20"/>
                <w:szCs w:val="20"/>
              </w:rPr>
            </w:pPr>
            <w:r w:rsidRPr="00145EB3">
              <w:rPr>
                <w:sz w:val="20"/>
                <w:szCs w:val="20"/>
              </w:rPr>
              <w:t>8</w:t>
            </w:r>
          </w:p>
        </w:tc>
        <w:tc>
          <w:tcPr>
            <w:tcW w:w="2824" w:type="dxa"/>
            <w:vAlign w:val="center"/>
          </w:tcPr>
          <w:p w14:paraId="0AEA9930" w14:textId="77777777" w:rsidR="00AF6DBD" w:rsidRPr="00145EB3" w:rsidRDefault="00AF6DBD" w:rsidP="001A568E">
            <w:pPr>
              <w:spacing w:before="40" w:after="40" w:line="240" w:lineRule="auto"/>
              <w:jc w:val="left"/>
              <w:rPr>
                <w:sz w:val="20"/>
                <w:szCs w:val="20"/>
              </w:rPr>
            </w:pPr>
            <w:r w:rsidRPr="00145EB3">
              <w:rPr>
                <w:sz w:val="20"/>
                <w:szCs w:val="20"/>
              </w:rPr>
              <w:t>Patti Ruiz</w:t>
            </w:r>
          </w:p>
        </w:tc>
        <w:tc>
          <w:tcPr>
            <w:tcW w:w="6638" w:type="dxa"/>
            <w:vAlign w:val="center"/>
          </w:tcPr>
          <w:p w14:paraId="65037797" w14:textId="77777777" w:rsidR="00AF6DBD" w:rsidRPr="00145EB3" w:rsidRDefault="00AF6DBD" w:rsidP="001A568E">
            <w:pPr>
              <w:spacing w:before="40" w:after="40" w:line="240" w:lineRule="auto"/>
              <w:jc w:val="left"/>
              <w:rPr>
                <w:sz w:val="20"/>
                <w:szCs w:val="20"/>
              </w:rPr>
            </w:pPr>
            <w:r w:rsidRPr="00145EB3">
              <w:rPr>
                <w:sz w:val="20"/>
                <w:szCs w:val="20"/>
              </w:rPr>
              <w:t>Program Manager of IPP</w:t>
            </w:r>
          </w:p>
        </w:tc>
        <w:tc>
          <w:tcPr>
            <w:tcW w:w="2543" w:type="dxa"/>
            <w:vAlign w:val="center"/>
          </w:tcPr>
          <w:p w14:paraId="510FBBB0" w14:textId="77777777" w:rsidR="00AF6DBD" w:rsidRPr="00145EB3" w:rsidRDefault="00AF6DBD" w:rsidP="001A568E">
            <w:pPr>
              <w:spacing w:before="40" w:after="40" w:line="240" w:lineRule="auto"/>
              <w:jc w:val="left"/>
              <w:rPr>
                <w:sz w:val="20"/>
                <w:szCs w:val="20"/>
              </w:rPr>
            </w:pPr>
            <w:r w:rsidRPr="00145EB3">
              <w:rPr>
                <w:sz w:val="20"/>
                <w:szCs w:val="20"/>
              </w:rPr>
              <w:t xml:space="preserve">Australian Taxation Office </w:t>
            </w:r>
          </w:p>
        </w:tc>
      </w:tr>
    </w:tbl>
    <w:p w14:paraId="02E847E4" w14:textId="77777777" w:rsidR="00AF6DBD" w:rsidRPr="00AF6DBD" w:rsidRDefault="00AF6DBD" w:rsidP="001A568E">
      <w:pPr>
        <w:jc w:val="left"/>
      </w:pPr>
    </w:p>
    <w:p w14:paraId="010EB99E" w14:textId="41B5AD63" w:rsidR="00F706EF" w:rsidRDefault="00F706EF" w:rsidP="001A568E">
      <w:pPr>
        <w:pStyle w:val="Heading1"/>
        <w:jc w:val="left"/>
      </w:pPr>
      <w:bookmarkStart w:id="28" w:name="_Toc104183792"/>
      <w:r>
        <w:lastRenderedPageBreak/>
        <w:t>Annex IV – Performance Assessment Framework Outcomes</w:t>
      </w:r>
      <w:bookmarkEnd w:id="28"/>
      <w:r>
        <w:t xml:space="preserve"> </w:t>
      </w:r>
    </w:p>
    <w:tbl>
      <w:tblPr>
        <w:tblStyle w:val="TableGrid"/>
        <w:tblW w:w="0" w:type="auto"/>
        <w:tblLook w:val="04A0" w:firstRow="1" w:lastRow="0" w:firstColumn="1" w:lastColumn="0" w:noHBand="0" w:noVBand="1"/>
      </w:tblPr>
      <w:tblGrid>
        <w:gridCol w:w="9010"/>
      </w:tblGrid>
      <w:tr w:rsidR="000F7707" w:rsidRPr="00222B08" w14:paraId="477F5CEF" w14:textId="77777777" w:rsidTr="00265BB9">
        <w:tc>
          <w:tcPr>
            <w:tcW w:w="12950" w:type="dxa"/>
            <w:shd w:val="clear" w:color="auto" w:fill="D9D9D9" w:themeFill="background1" w:themeFillShade="D9"/>
          </w:tcPr>
          <w:p w14:paraId="5DCE1EC5" w14:textId="77777777" w:rsidR="000F7707" w:rsidRPr="00222B08" w:rsidRDefault="000F7707" w:rsidP="001A568E">
            <w:pPr>
              <w:spacing w:before="120" w:after="120" w:line="240" w:lineRule="auto"/>
              <w:jc w:val="left"/>
              <w:rPr>
                <w:b/>
                <w:bCs/>
                <w:sz w:val="20"/>
                <w:szCs w:val="20"/>
              </w:rPr>
            </w:pPr>
            <w:r w:rsidRPr="00222B08">
              <w:rPr>
                <w:b/>
                <w:bCs/>
                <w:sz w:val="20"/>
                <w:szCs w:val="20"/>
              </w:rPr>
              <w:t>PAGP</w:t>
            </w:r>
          </w:p>
        </w:tc>
      </w:tr>
      <w:tr w:rsidR="000F7707" w:rsidRPr="00222B08" w14:paraId="01F5B534" w14:textId="77777777" w:rsidTr="00265BB9">
        <w:tc>
          <w:tcPr>
            <w:tcW w:w="12950" w:type="dxa"/>
            <w:shd w:val="clear" w:color="auto" w:fill="D9D9D9" w:themeFill="background1" w:themeFillShade="D9"/>
          </w:tcPr>
          <w:p w14:paraId="7C1D0FD7" w14:textId="77777777" w:rsidR="000F7707" w:rsidRPr="00222B08" w:rsidRDefault="000F7707" w:rsidP="001A568E">
            <w:pPr>
              <w:spacing w:before="120" w:after="120" w:line="240" w:lineRule="auto"/>
              <w:jc w:val="left"/>
              <w:rPr>
                <w:b/>
                <w:bCs/>
                <w:sz w:val="20"/>
                <w:szCs w:val="20"/>
              </w:rPr>
            </w:pPr>
            <w:r w:rsidRPr="00222B08">
              <w:rPr>
                <w:b/>
                <w:bCs/>
                <w:sz w:val="20"/>
                <w:szCs w:val="20"/>
              </w:rPr>
              <w:t>The Facility’s Purpose is to contribute to improved efficiency and effectiveness of the PAGP partnerships, through the provision of common administrative services and other support services, by promoting strengthened collaboration across the partnerships on priority issues, enhanced VfM and MERL systems, and enhanced strategic relevance and responsiveness.</w:t>
            </w:r>
          </w:p>
        </w:tc>
      </w:tr>
      <w:tr w:rsidR="000F7707" w:rsidRPr="00222B08" w14:paraId="2B115C3A" w14:textId="77777777" w:rsidTr="00265BB9">
        <w:tc>
          <w:tcPr>
            <w:tcW w:w="12950" w:type="dxa"/>
          </w:tcPr>
          <w:p w14:paraId="4A353660" w14:textId="77777777" w:rsidR="000F7707" w:rsidRPr="00222B08" w:rsidRDefault="000F7707" w:rsidP="001A568E">
            <w:pPr>
              <w:spacing w:before="120" w:after="120" w:line="240" w:lineRule="auto"/>
              <w:jc w:val="left"/>
              <w:rPr>
                <w:b/>
                <w:bCs/>
                <w:sz w:val="20"/>
                <w:szCs w:val="20"/>
              </w:rPr>
            </w:pPr>
            <w:r w:rsidRPr="00222B08">
              <w:rPr>
                <w:b/>
                <w:bCs/>
                <w:sz w:val="20"/>
                <w:szCs w:val="20"/>
              </w:rPr>
              <w:t>Outcome 1: Enhanced effectiveness due to greater cohesion and collaboration between the partnerships and between the Platform and the partnerships (i.e., the development-results perspective)</w:t>
            </w:r>
          </w:p>
          <w:p w14:paraId="7673DA57"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 1.1 Strengthened collaboration to promote improved National and Sub-national Public Financial Management across the partnerships</w:t>
            </w:r>
          </w:p>
          <w:p w14:paraId="558C27CD"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 1.2 Strengthened collaboration to promote Gender Equality and Social Inclusion across partnerships</w:t>
            </w:r>
          </w:p>
          <w:p w14:paraId="7CDFC866"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 1.3 Strengthened collaboration and cohesion to support the health and economic response to the COVID-19 pandemic</w:t>
            </w:r>
          </w:p>
          <w:p w14:paraId="3017E498" w14:textId="77777777" w:rsidR="000F7707" w:rsidRPr="00222B08" w:rsidRDefault="000F7707" w:rsidP="001A568E">
            <w:pPr>
              <w:spacing w:before="120" w:after="120" w:line="240" w:lineRule="auto"/>
              <w:jc w:val="left"/>
              <w:rPr>
                <w:b/>
                <w:bCs/>
                <w:sz w:val="20"/>
                <w:szCs w:val="20"/>
              </w:rPr>
            </w:pPr>
            <w:r w:rsidRPr="00222B08">
              <w:rPr>
                <w:b/>
                <w:bCs/>
                <w:sz w:val="20"/>
                <w:szCs w:val="20"/>
              </w:rPr>
              <w:t>Outcome 2: Enhanced value for money (VfM) and MERL systems (i.e., the Operations, Stakeholder and Partnership, and Learning and Adaption Perspectives)</w:t>
            </w:r>
          </w:p>
          <w:p w14:paraId="1FA978A8"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 2.1 Improved ‘Value for Money’ (VfM) Framework is established and VfM demonstrated across the partnerships and through the Facility’s Platform</w:t>
            </w:r>
          </w:p>
          <w:p w14:paraId="43868BEA"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 2.2 Better ‘fit-for-purpose’ partnership-level MERL systems are contributing to documenting, reflecting on, learning from and improving partnership performance</w:t>
            </w:r>
          </w:p>
          <w:p w14:paraId="1BB26368" w14:textId="4E7B918C"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Intermediate outcome 2.3 Improved Facility-level MERL systems are documenting, reflecting on, learning </w:t>
            </w:r>
            <w:r w:rsidR="0044395B" w:rsidRPr="00222B08">
              <w:rPr>
                <w:sz w:val="20"/>
                <w:szCs w:val="20"/>
              </w:rPr>
              <w:t>from,</w:t>
            </w:r>
            <w:r w:rsidRPr="00222B08">
              <w:rPr>
                <w:sz w:val="20"/>
                <w:szCs w:val="20"/>
              </w:rPr>
              <w:t xml:space="preserve"> and improving Facility performance</w:t>
            </w:r>
          </w:p>
          <w:p w14:paraId="259C46A1"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outcomes 2.4 More coherent Facility performance narrative available through reporting that meets the needs of different stakeholders</w:t>
            </w:r>
          </w:p>
          <w:p w14:paraId="774E4AA7" w14:textId="0FA129F5"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Intermediate outcome 2.5 Enhanced gender equality, women’s </w:t>
            </w:r>
            <w:r w:rsidR="0044395B" w:rsidRPr="00222B08">
              <w:rPr>
                <w:sz w:val="20"/>
                <w:szCs w:val="20"/>
              </w:rPr>
              <w:t>empowerment,</w:t>
            </w:r>
            <w:r w:rsidRPr="00222B08">
              <w:rPr>
                <w:sz w:val="20"/>
                <w:szCs w:val="20"/>
              </w:rPr>
              <w:t xml:space="preserve"> and social inclusion outcomes, reporting and mainstreaming across the Facility</w:t>
            </w:r>
          </w:p>
          <w:p w14:paraId="1192E367"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 2.6 Embedded Facility-wide risk management approach that systematically identifies and acts on significant risks to improved performance</w:t>
            </w:r>
          </w:p>
          <w:p w14:paraId="4B2AAE46" w14:textId="14870112"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essential services which support national security, human </w:t>
            </w:r>
            <w:r w:rsidR="0044395B" w:rsidRPr="00222B08">
              <w:rPr>
                <w:sz w:val="20"/>
                <w:szCs w:val="20"/>
              </w:rPr>
              <w:t>development,</w:t>
            </w:r>
            <w:r w:rsidRPr="00222B08">
              <w:rPr>
                <w:sz w:val="20"/>
                <w:szCs w:val="20"/>
              </w:rPr>
              <w:t xml:space="preserve"> and inclusive growth.</w:t>
            </w:r>
          </w:p>
          <w:p w14:paraId="3F6C94B0" w14:textId="77777777" w:rsidR="000F7707" w:rsidRPr="00222B08" w:rsidRDefault="000F7707" w:rsidP="001A568E">
            <w:pPr>
              <w:spacing w:before="120" w:after="120" w:line="240" w:lineRule="auto"/>
              <w:jc w:val="left"/>
              <w:rPr>
                <w:b/>
                <w:bCs/>
                <w:sz w:val="20"/>
                <w:szCs w:val="20"/>
              </w:rPr>
            </w:pPr>
            <w:r w:rsidRPr="00222B08">
              <w:rPr>
                <w:b/>
                <w:bCs/>
                <w:sz w:val="20"/>
                <w:szCs w:val="20"/>
              </w:rPr>
              <w:t>Outcome 3: Enhanced strategic relevance and responsiveness to GoA and GoPNG and local partners (i.e., the Learning and Adaption Perspectives)</w:t>
            </w:r>
          </w:p>
          <w:p w14:paraId="4390F4EF"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Intermediate outcome 3.1 Improved Facility relevance and responsiveness to emergent strategic priorities, originating from GoA, GoPNG and local partners.</w:t>
            </w:r>
          </w:p>
        </w:tc>
      </w:tr>
    </w:tbl>
    <w:p w14:paraId="540BEA05" w14:textId="77777777" w:rsidR="000F7707" w:rsidRDefault="000F7707" w:rsidP="001A568E">
      <w:pPr>
        <w:pStyle w:val="BodyText"/>
      </w:pPr>
    </w:p>
    <w:p w14:paraId="681DB08F" w14:textId="77777777" w:rsidR="000F7707" w:rsidRDefault="000F7707" w:rsidP="001A568E">
      <w:pPr>
        <w:jc w:val="left"/>
        <w:rPr>
          <w:b/>
          <w:bCs/>
        </w:rPr>
      </w:pPr>
      <w:r>
        <w:rPr>
          <w:b/>
          <w:bCs/>
        </w:rPr>
        <w:br w:type="page"/>
      </w:r>
    </w:p>
    <w:tbl>
      <w:tblPr>
        <w:tblStyle w:val="TableGrid"/>
        <w:tblW w:w="0" w:type="auto"/>
        <w:tblLook w:val="04A0" w:firstRow="1" w:lastRow="0" w:firstColumn="1" w:lastColumn="0" w:noHBand="0" w:noVBand="1"/>
      </w:tblPr>
      <w:tblGrid>
        <w:gridCol w:w="9010"/>
      </w:tblGrid>
      <w:tr w:rsidR="000F7707" w:rsidRPr="00222B08" w14:paraId="0A143347" w14:textId="77777777" w:rsidTr="00265BB9">
        <w:tc>
          <w:tcPr>
            <w:tcW w:w="9350" w:type="dxa"/>
            <w:shd w:val="clear" w:color="auto" w:fill="D9D9D9" w:themeFill="background1" w:themeFillShade="D9"/>
          </w:tcPr>
          <w:p w14:paraId="560B499F" w14:textId="77777777" w:rsidR="000F7707" w:rsidRPr="00222B08" w:rsidRDefault="000F7707" w:rsidP="001A568E">
            <w:pPr>
              <w:spacing w:before="120" w:after="120" w:line="240" w:lineRule="auto"/>
              <w:ind w:left="2160" w:hanging="2160"/>
              <w:jc w:val="left"/>
              <w:rPr>
                <w:b/>
                <w:bCs/>
                <w:sz w:val="20"/>
                <w:szCs w:val="20"/>
              </w:rPr>
            </w:pPr>
            <w:r w:rsidRPr="00222B08">
              <w:rPr>
                <w:b/>
                <w:bCs/>
                <w:sz w:val="20"/>
                <w:szCs w:val="20"/>
              </w:rPr>
              <w:lastRenderedPageBreak/>
              <w:t>Partnership – EGIG</w:t>
            </w:r>
          </w:p>
        </w:tc>
      </w:tr>
      <w:tr w:rsidR="000F7707" w:rsidRPr="00222B08" w14:paraId="4C6BB2CE" w14:textId="77777777" w:rsidTr="00265BB9">
        <w:tc>
          <w:tcPr>
            <w:tcW w:w="9350" w:type="dxa"/>
            <w:shd w:val="clear" w:color="auto" w:fill="D9D9D9" w:themeFill="background1" w:themeFillShade="D9"/>
          </w:tcPr>
          <w:p w14:paraId="43FFEE74" w14:textId="77777777" w:rsidR="000F7707" w:rsidRPr="00222B08" w:rsidRDefault="000F7707" w:rsidP="001A568E">
            <w:pPr>
              <w:spacing w:before="120" w:after="120" w:line="240" w:lineRule="auto"/>
              <w:jc w:val="left"/>
              <w:rPr>
                <w:b/>
                <w:bCs/>
                <w:sz w:val="20"/>
                <w:szCs w:val="20"/>
              </w:rPr>
            </w:pPr>
            <w:r w:rsidRPr="00222B08">
              <w:rPr>
                <w:b/>
                <w:bCs/>
                <w:sz w:val="20"/>
                <w:szCs w:val="20"/>
              </w:rPr>
              <w:t>Partnership level outcome - Inclusive and sustainable economic growth through macroeconomic stability, strengthened fiscal management, and private sector development</w:t>
            </w:r>
          </w:p>
        </w:tc>
      </w:tr>
      <w:tr w:rsidR="000F7707" w:rsidRPr="00222B08" w14:paraId="7099CB02" w14:textId="77777777" w:rsidTr="00265BB9">
        <w:tc>
          <w:tcPr>
            <w:tcW w:w="9350" w:type="dxa"/>
          </w:tcPr>
          <w:p w14:paraId="5AB75A6E" w14:textId="77777777" w:rsidR="000F7707" w:rsidRPr="00222B08" w:rsidRDefault="000F7707" w:rsidP="001A568E">
            <w:pPr>
              <w:spacing w:before="120" w:after="120" w:line="240" w:lineRule="auto"/>
              <w:jc w:val="left"/>
              <w:rPr>
                <w:b/>
                <w:bCs/>
                <w:sz w:val="20"/>
                <w:szCs w:val="20"/>
              </w:rPr>
            </w:pPr>
            <w:r w:rsidRPr="00222B08">
              <w:rPr>
                <w:b/>
                <w:bCs/>
                <w:sz w:val="20"/>
                <w:szCs w:val="20"/>
              </w:rPr>
              <w:t>Program 1: Macroeconomic Stability outcomes</w:t>
            </w:r>
          </w:p>
          <w:p w14:paraId="471526BF"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Strengthened working relations between donors, governments, and private sector to address economic challenges and opportunities.</w:t>
            </w:r>
          </w:p>
          <w:p w14:paraId="117C3FBC"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Improved PNG government capacity to conduct policy and coordination and implementation of the complex policy reforms.</w:t>
            </w:r>
          </w:p>
          <w:p w14:paraId="66A5DAAC"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Policies that promote macroeconomic stability, human development and inclusive growth are prioritised.</w:t>
            </w:r>
          </w:p>
          <w:p w14:paraId="03C2EE5A"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Policies that support the PNG financial sector to promote financial inclusion and inclusive economic growth.</w:t>
            </w:r>
          </w:p>
          <w:p w14:paraId="683E9B74" w14:textId="77777777" w:rsidR="000F7707" w:rsidRPr="00222B08" w:rsidRDefault="000F7707" w:rsidP="001A568E">
            <w:pPr>
              <w:spacing w:before="120" w:after="120" w:line="240" w:lineRule="auto"/>
              <w:jc w:val="left"/>
              <w:rPr>
                <w:b/>
                <w:bCs/>
                <w:sz w:val="20"/>
                <w:szCs w:val="20"/>
              </w:rPr>
            </w:pPr>
            <w:r w:rsidRPr="00222B08">
              <w:rPr>
                <w:b/>
                <w:bCs/>
                <w:sz w:val="20"/>
                <w:szCs w:val="20"/>
              </w:rPr>
              <w:t>Program 2: Improved Fiscal Management outcomes</w:t>
            </w:r>
          </w:p>
          <w:p w14:paraId="44DEAA26" w14:textId="45092603"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Public expenditure management which improves operational efficiency, </w:t>
            </w:r>
            <w:r w:rsidR="0044395B" w:rsidRPr="00222B08">
              <w:rPr>
                <w:sz w:val="20"/>
                <w:szCs w:val="20"/>
              </w:rPr>
              <w:t>transparency,</w:t>
            </w:r>
            <w:r w:rsidRPr="00222B08">
              <w:rPr>
                <w:sz w:val="20"/>
                <w:szCs w:val="20"/>
              </w:rPr>
              <w:t xml:space="preserve"> and accountability of public finances.</w:t>
            </w:r>
          </w:p>
          <w:p w14:paraId="2D325B0F" w14:textId="4B66CAB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Sustained levels of revenue mobilisation to ensure GoPNG delivers public functions and essential services which support national security, human </w:t>
            </w:r>
            <w:r w:rsidR="004A6988" w:rsidRPr="00222B08">
              <w:rPr>
                <w:sz w:val="20"/>
                <w:szCs w:val="20"/>
              </w:rPr>
              <w:t>development,</w:t>
            </w:r>
            <w:r w:rsidRPr="00222B08">
              <w:rPr>
                <w:sz w:val="20"/>
                <w:szCs w:val="20"/>
              </w:rPr>
              <w:t xml:space="preserve"> and inclusive growth.</w:t>
            </w:r>
          </w:p>
          <w:p w14:paraId="7FDC0D76" w14:textId="77777777" w:rsidR="000F7707" w:rsidRPr="00222B08" w:rsidRDefault="000F7707" w:rsidP="001A568E">
            <w:pPr>
              <w:spacing w:before="120" w:after="120" w:line="240" w:lineRule="auto"/>
              <w:jc w:val="left"/>
              <w:rPr>
                <w:b/>
                <w:bCs/>
                <w:sz w:val="20"/>
                <w:szCs w:val="20"/>
              </w:rPr>
            </w:pPr>
            <w:r w:rsidRPr="00222B08">
              <w:rPr>
                <w:b/>
                <w:bCs/>
                <w:sz w:val="20"/>
                <w:szCs w:val="20"/>
              </w:rPr>
              <w:t>Program 3: Inclusive Economic Growth outcomes</w:t>
            </w:r>
          </w:p>
          <w:p w14:paraId="37FD5EDB"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A business enabling environment that is supportive of the private sector and is conducive to investment and growth of PNGs non-resource sectors.</w:t>
            </w:r>
          </w:p>
          <w:p w14:paraId="0E2CBC1F"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Development of PNGs entrepreneurial SME ecosystem contributes to the diversification of PNG’s economic base.</w:t>
            </w:r>
          </w:p>
          <w:p w14:paraId="6539AC74"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Increased economic participation and opportunities for women, marginalised groups, and rural populations.</w:t>
            </w:r>
          </w:p>
        </w:tc>
      </w:tr>
    </w:tbl>
    <w:p w14:paraId="570E0901" w14:textId="77777777" w:rsidR="000F7707" w:rsidRDefault="000F7707" w:rsidP="001A568E">
      <w:pPr>
        <w:pStyle w:val="BodyText"/>
      </w:pPr>
    </w:p>
    <w:tbl>
      <w:tblPr>
        <w:tblStyle w:val="TableGrid"/>
        <w:tblW w:w="0" w:type="auto"/>
        <w:tblLook w:val="04A0" w:firstRow="1" w:lastRow="0" w:firstColumn="1" w:lastColumn="0" w:noHBand="0" w:noVBand="1"/>
      </w:tblPr>
      <w:tblGrid>
        <w:gridCol w:w="9010"/>
      </w:tblGrid>
      <w:tr w:rsidR="000F7707" w:rsidRPr="00222B08" w14:paraId="4E827F01" w14:textId="77777777" w:rsidTr="00265BB9">
        <w:tc>
          <w:tcPr>
            <w:tcW w:w="9350" w:type="dxa"/>
            <w:shd w:val="clear" w:color="auto" w:fill="D9D9D9" w:themeFill="background1" w:themeFillShade="D9"/>
          </w:tcPr>
          <w:p w14:paraId="507C602D" w14:textId="77777777" w:rsidR="000F7707" w:rsidRPr="00222B08" w:rsidRDefault="000F7707" w:rsidP="001A568E">
            <w:pPr>
              <w:spacing w:before="120" w:after="120" w:line="240" w:lineRule="auto"/>
              <w:jc w:val="left"/>
              <w:rPr>
                <w:b/>
                <w:bCs/>
                <w:sz w:val="20"/>
                <w:szCs w:val="20"/>
              </w:rPr>
            </w:pPr>
            <w:r w:rsidRPr="00222B08">
              <w:rPr>
                <w:b/>
                <w:bCs/>
                <w:sz w:val="20"/>
                <w:szCs w:val="20"/>
              </w:rPr>
              <w:t>Partnership – DCP</w:t>
            </w:r>
          </w:p>
        </w:tc>
      </w:tr>
      <w:tr w:rsidR="000F7707" w:rsidRPr="00222B08" w14:paraId="484F96FD" w14:textId="77777777" w:rsidTr="00265BB9">
        <w:tc>
          <w:tcPr>
            <w:tcW w:w="9350" w:type="dxa"/>
            <w:shd w:val="clear" w:color="auto" w:fill="D9D9D9" w:themeFill="background1" w:themeFillShade="D9"/>
          </w:tcPr>
          <w:p w14:paraId="7F4F2F56" w14:textId="77777777" w:rsidR="000F7707" w:rsidRPr="00222B08" w:rsidRDefault="000F7707" w:rsidP="001A568E">
            <w:pPr>
              <w:spacing w:before="120" w:after="120" w:line="240" w:lineRule="auto"/>
              <w:jc w:val="left"/>
              <w:rPr>
                <w:b/>
                <w:bCs/>
                <w:sz w:val="20"/>
                <w:szCs w:val="20"/>
              </w:rPr>
            </w:pPr>
            <w:r w:rsidRPr="00222B08">
              <w:rPr>
                <w:b/>
                <w:bCs/>
                <w:sz w:val="20"/>
                <w:szCs w:val="20"/>
              </w:rPr>
              <w:t>DCP Partnership Level (Independent Impact)</w:t>
            </w:r>
          </w:p>
          <w:p w14:paraId="1BD7FE9D" w14:textId="77777777" w:rsidR="000F7707" w:rsidRPr="00222B08" w:rsidRDefault="000F7707" w:rsidP="001A568E">
            <w:pPr>
              <w:spacing w:before="120" w:after="120" w:line="240" w:lineRule="auto"/>
              <w:jc w:val="left"/>
              <w:rPr>
                <w:b/>
                <w:bCs/>
                <w:sz w:val="20"/>
                <w:szCs w:val="20"/>
              </w:rPr>
            </w:pPr>
            <w:r w:rsidRPr="00222B08">
              <w:rPr>
                <w:b/>
                <w:bCs/>
                <w:sz w:val="20"/>
                <w:szCs w:val="20"/>
              </w:rPr>
              <w:t>Impact: PNG’s national, sub-national and inter-governmental institutions are better able to provide quality services and development outcomes that respond to the needs of citizens.</w:t>
            </w:r>
          </w:p>
        </w:tc>
      </w:tr>
      <w:tr w:rsidR="000F7707" w:rsidRPr="00222B08" w14:paraId="49B27B43" w14:textId="77777777" w:rsidTr="00265BB9">
        <w:tc>
          <w:tcPr>
            <w:tcW w:w="9350" w:type="dxa"/>
          </w:tcPr>
          <w:p w14:paraId="30604C77" w14:textId="77777777" w:rsidR="000F7707" w:rsidRPr="00222B08" w:rsidRDefault="000F7707" w:rsidP="001A568E">
            <w:pPr>
              <w:spacing w:before="120" w:after="120" w:line="240" w:lineRule="auto"/>
              <w:jc w:val="left"/>
              <w:rPr>
                <w:b/>
                <w:bCs/>
                <w:sz w:val="20"/>
                <w:szCs w:val="20"/>
              </w:rPr>
            </w:pPr>
            <w:r w:rsidRPr="00222B08">
              <w:rPr>
                <w:b/>
                <w:bCs/>
                <w:sz w:val="20"/>
                <w:szCs w:val="20"/>
              </w:rPr>
              <w:t>Program 1: Policy Support outcomes</w:t>
            </w:r>
          </w:p>
          <w:p w14:paraId="796241ED"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Polices and systems will be in place and implemented that support service delivery and economic development at national and sub-national levels</w:t>
            </w:r>
          </w:p>
          <w:p w14:paraId="498812FD"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Polices and systems will be in place and implemented that support service delivery and economic development at national and sub-national levels</w:t>
            </w:r>
          </w:p>
          <w:p w14:paraId="044D515A" w14:textId="77777777" w:rsidR="000F7707" w:rsidRPr="00222B08" w:rsidRDefault="000F7707" w:rsidP="001A568E">
            <w:pPr>
              <w:spacing w:before="120" w:after="120" w:line="240" w:lineRule="auto"/>
              <w:jc w:val="left"/>
              <w:rPr>
                <w:b/>
                <w:bCs/>
                <w:sz w:val="20"/>
                <w:szCs w:val="20"/>
              </w:rPr>
            </w:pPr>
            <w:r w:rsidRPr="00222B08">
              <w:rPr>
                <w:b/>
                <w:bCs/>
                <w:sz w:val="20"/>
                <w:szCs w:val="20"/>
              </w:rPr>
              <w:t>Program 2: Local Solutions outcomes</w:t>
            </w:r>
          </w:p>
          <w:p w14:paraId="25368A37"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Provincial, district, and local authorities better equipped to respond to citizens and provide, or facilitate, better service delivery and economic opportunity.</w:t>
            </w:r>
          </w:p>
          <w:p w14:paraId="38613360" w14:textId="245C7415"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Districts, localities, </w:t>
            </w:r>
            <w:r w:rsidR="004A6988" w:rsidRPr="00222B08">
              <w:rPr>
                <w:sz w:val="20"/>
                <w:szCs w:val="20"/>
              </w:rPr>
              <w:t>provinces,</w:t>
            </w:r>
            <w:r w:rsidRPr="00222B08">
              <w:rPr>
                <w:sz w:val="20"/>
                <w:szCs w:val="20"/>
              </w:rPr>
              <w:t xml:space="preserve"> and regions will be better equipped to respond to citizens and provide, or facilitate, better service delivery and economic opportunity.</w:t>
            </w:r>
          </w:p>
          <w:p w14:paraId="03FCCA16" w14:textId="77777777" w:rsidR="000F7707" w:rsidRPr="00222B08" w:rsidRDefault="000F7707" w:rsidP="001A568E">
            <w:pPr>
              <w:spacing w:before="120" w:after="120" w:line="240" w:lineRule="auto"/>
              <w:jc w:val="left"/>
              <w:rPr>
                <w:b/>
                <w:bCs/>
                <w:sz w:val="20"/>
                <w:szCs w:val="20"/>
              </w:rPr>
            </w:pPr>
            <w:r w:rsidRPr="00222B08">
              <w:rPr>
                <w:b/>
                <w:bCs/>
                <w:sz w:val="20"/>
                <w:szCs w:val="20"/>
              </w:rPr>
              <w:t>Program 3: Citizen Participation outcomes</w:t>
            </w:r>
          </w:p>
          <w:p w14:paraId="13E16A2A"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Citizens better informed and able to influence their access to services and economic opportunity, and to hold their governments to account.</w:t>
            </w:r>
          </w:p>
        </w:tc>
      </w:tr>
    </w:tbl>
    <w:p w14:paraId="5F2FA768" w14:textId="77777777" w:rsidR="000F7707" w:rsidRDefault="000F7707" w:rsidP="001A568E">
      <w:pPr>
        <w:pStyle w:val="BodyText"/>
      </w:pPr>
    </w:p>
    <w:tbl>
      <w:tblPr>
        <w:tblStyle w:val="TableGrid"/>
        <w:tblW w:w="0" w:type="auto"/>
        <w:tblLook w:val="04A0" w:firstRow="1" w:lastRow="0" w:firstColumn="1" w:lastColumn="0" w:noHBand="0" w:noVBand="1"/>
      </w:tblPr>
      <w:tblGrid>
        <w:gridCol w:w="9010"/>
      </w:tblGrid>
      <w:tr w:rsidR="000F7707" w:rsidRPr="00222B08" w14:paraId="356DC079" w14:textId="77777777" w:rsidTr="00265BB9">
        <w:tc>
          <w:tcPr>
            <w:tcW w:w="9350" w:type="dxa"/>
            <w:shd w:val="clear" w:color="auto" w:fill="D9D9D9" w:themeFill="background1" w:themeFillShade="D9"/>
          </w:tcPr>
          <w:p w14:paraId="42363A77" w14:textId="6FBC6E4B" w:rsidR="000F7707" w:rsidRPr="00222B08" w:rsidRDefault="000F7707" w:rsidP="001A568E">
            <w:pPr>
              <w:spacing w:before="120" w:after="120" w:line="240" w:lineRule="auto"/>
              <w:jc w:val="left"/>
              <w:rPr>
                <w:b/>
                <w:bCs/>
                <w:sz w:val="20"/>
                <w:szCs w:val="20"/>
              </w:rPr>
            </w:pPr>
            <w:r w:rsidRPr="00222B08">
              <w:rPr>
                <w:b/>
                <w:bCs/>
                <w:sz w:val="20"/>
                <w:szCs w:val="20"/>
              </w:rPr>
              <w:lastRenderedPageBreak/>
              <w:t>Partnership – KIP (note KIP does not have partnership-level outcomes. Outcomes are broken down into pillars)</w:t>
            </w:r>
          </w:p>
        </w:tc>
      </w:tr>
      <w:tr w:rsidR="000F7707" w:rsidRPr="00222B08" w14:paraId="31A13BEE" w14:textId="77777777" w:rsidTr="00265BB9">
        <w:tc>
          <w:tcPr>
            <w:tcW w:w="9350" w:type="dxa"/>
          </w:tcPr>
          <w:p w14:paraId="4E7DA23F" w14:textId="77777777" w:rsidR="000F7707" w:rsidRPr="00222B08" w:rsidRDefault="000F7707" w:rsidP="001A568E">
            <w:pPr>
              <w:spacing w:before="120" w:after="120" w:line="240" w:lineRule="auto"/>
              <w:jc w:val="left"/>
              <w:rPr>
                <w:b/>
                <w:bCs/>
                <w:sz w:val="20"/>
                <w:szCs w:val="20"/>
              </w:rPr>
            </w:pPr>
            <w:r w:rsidRPr="00222B08">
              <w:rPr>
                <w:b/>
                <w:bCs/>
                <w:sz w:val="20"/>
                <w:szCs w:val="20"/>
              </w:rPr>
              <w:t>Pillar 1: The Track</w:t>
            </w:r>
          </w:p>
          <w:p w14:paraId="44C61EE2" w14:textId="77777777" w:rsidR="000F7707" w:rsidRPr="00222B08" w:rsidRDefault="000F7707" w:rsidP="001A568E">
            <w:pPr>
              <w:spacing w:before="120" w:after="120" w:line="240" w:lineRule="auto"/>
              <w:jc w:val="left"/>
              <w:rPr>
                <w:b/>
                <w:bCs/>
                <w:sz w:val="20"/>
                <w:szCs w:val="20"/>
              </w:rPr>
            </w:pPr>
            <w:r w:rsidRPr="00222B08">
              <w:rPr>
                <w:b/>
                <w:bCs/>
                <w:sz w:val="20"/>
                <w:szCs w:val="20"/>
              </w:rPr>
              <w:t>Objective: A safe and well-managed track where the special military values and historical integrity is protected</w:t>
            </w:r>
          </w:p>
          <w:p w14:paraId="7F9B8F53"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The Kokoda Track is accessible and properly maintained and safe</w:t>
            </w:r>
          </w:p>
          <w:p w14:paraId="0DD67172"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The Kokoda Track remains open to Australian trekkers</w:t>
            </w:r>
          </w:p>
          <w:p w14:paraId="76CAD37D"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An increased number and diversity of tourism products</w:t>
            </w:r>
          </w:p>
          <w:p w14:paraId="5E2061A3"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Military heritage artefacts and sites are protected</w:t>
            </w:r>
          </w:p>
          <w:p w14:paraId="1B4E948A" w14:textId="77777777" w:rsidR="000F7707" w:rsidRPr="00222B08" w:rsidRDefault="000F7707" w:rsidP="001A568E">
            <w:pPr>
              <w:spacing w:before="120" w:after="120" w:line="240" w:lineRule="auto"/>
              <w:jc w:val="left"/>
              <w:rPr>
                <w:b/>
                <w:bCs/>
                <w:sz w:val="20"/>
                <w:szCs w:val="20"/>
              </w:rPr>
            </w:pPr>
            <w:r w:rsidRPr="00222B08">
              <w:rPr>
                <w:b/>
                <w:bCs/>
                <w:sz w:val="20"/>
                <w:szCs w:val="20"/>
              </w:rPr>
              <w:t>Pillar 2: The People</w:t>
            </w:r>
          </w:p>
          <w:p w14:paraId="30A5424F" w14:textId="77777777" w:rsidR="000F7707" w:rsidRPr="00222B08" w:rsidRDefault="000F7707" w:rsidP="001A568E">
            <w:pPr>
              <w:spacing w:before="120" w:after="120" w:line="240" w:lineRule="auto"/>
              <w:jc w:val="left"/>
              <w:rPr>
                <w:b/>
                <w:bCs/>
                <w:sz w:val="20"/>
                <w:szCs w:val="20"/>
              </w:rPr>
            </w:pPr>
            <w:r w:rsidRPr="00222B08">
              <w:rPr>
                <w:b/>
                <w:bCs/>
                <w:sz w:val="20"/>
                <w:szCs w:val="20"/>
              </w:rPr>
              <w:t>Objective: Enhanced quality of life (health, education, and livelihood outcomes) and income for landowners and communities of the Kokoda Track Region</w:t>
            </w:r>
          </w:p>
          <w:p w14:paraId="4EED91D0" w14:textId="69E8E47F"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Kokoda Track communities make greater use of health, </w:t>
            </w:r>
            <w:r w:rsidR="004A6988" w:rsidRPr="00222B08">
              <w:rPr>
                <w:sz w:val="20"/>
                <w:szCs w:val="20"/>
              </w:rPr>
              <w:t>education,</w:t>
            </w:r>
            <w:r w:rsidRPr="00222B08">
              <w:rPr>
                <w:sz w:val="20"/>
                <w:szCs w:val="20"/>
              </w:rPr>
              <w:t xml:space="preserve"> and essential services (with GEDSI focus)</w:t>
            </w:r>
          </w:p>
          <w:p w14:paraId="0AFFAC7C"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Kokoda Track communities and small business have increased income (with GEDSI focus)</w:t>
            </w:r>
          </w:p>
          <w:p w14:paraId="0D88D54F"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Improved quality of life for communities and vulnerable groups, and GEDSI is strengthened</w:t>
            </w:r>
          </w:p>
          <w:p w14:paraId="556BFD62" w14:textId="77777777" w:rsidR="000F7707" w:rsidRPr="00222B08" w:rsidRDefault="000F7707" w:rsidP="001A568E">
            <w:pPr>
              <w:spacing w:before="120" w:after="120" w:line="240" w:lineRule="auto"/>
              <w:jc w:val="left"/>
              <w:rPr>
                <w:b/>
                <w:bCs/>
                <w:sz w:val="20"/>
                <w:szCs w:val="20"/>
              </w:rPr>
            </w:pPr>
            <w:r w:rsidRPr="00222B08">
              <w:rPr>
                <w:b/>
                <w:bCs/>
                <w:sz w:val="20"/>
                <w:szCs w:val="20"/>
              </w:rPr>
              <w:t>Pillar 3: The Environment</w:t>
            </w:r>
          </w:p>
          <w:p w14:paraId="2AE46F98" w14:textId="77777777" w:rsidR="000F7707" w:rsidRPr="00222B08" w:rsidRDefault="000F7707" w:rsidP="001A568E">
            <w:pPr>
              <w:spacing w:before="120" w:after="120" w:line="240" w:lineRule="auto"/>
              <w:jc w:val="left"/>
              <w:rPr>
                <w:b/>
                <w:bCs/>
                <w:sz w:val="20"/>
                <w:szCs w:val="20"/>
              </w:rPr>
            </w:pPr>
            <w:r w:rsidRPr="00222B08">
              <w:rPr>
                <w:b/>
                <w:bCs/>
                <w:sz w:val="20"/>
                <w:szCs w:val="20"/>
              </w:rPr>
              <w:t>Objective: Sustainable use of the IPZ catchment area</w:t>
            </w:r>
          </w:p>
          <w:p w14:paraId="1899EFA4"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Gazettal of the Interim Protected Zone as a Protected Area</w:t>
            </w:r>
          </w:p>
          <w:p w14:paraId="648B1CC0"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IPZ management, governance and funding arrangement in place and priorities are implemented</w:t>
            </w:r>
          </w:p>
          <w:p w14:paraId="47DAD81A"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CEPA’s recommendation on World Heritage nomination is formally endorsed</w:t>
            </w:r>
          </w:p>
        </w:tc>
      </w:tr>
    </w:tbl>
    <w:p w14:paraId="1184F52D" w14:textId="77777777" w:rsidR="000F7707" w:rsidRDefault="000F7707" w:rsidP="001A568E">
      <w:pPr>
        <w:pStyle w:val="BodyText"/>
      </w:pPr>
    </w:p>
    <w:tbl>
      <w:tblPr>
        <w:tblStyle w:val="TableGrid"/>
        <w:tblW w:w="0" w:type="auto"/>
        <w:tblLook w:val="04A0" w:firstRow="1" w:lastRow="0" w:firstColumn="1" w:lastColumn="0" w:noHBand="0" w:noVBand="1"/>
      </w:tblPr>
      <w:tblGrid>
        <w:gridCol w:w="9010"/>
      </w:tblGrid>
      <w:tr w:rsidR="000F7707" w:rsidRPr="00222B08" w14:paraId="0B2AC49A" w14:textId="77777777" w:rsidTr="00265BB9">
        <w:tc>
          <w:tcPr>
            <w:tcW w:w="9350" w:type="dxa"/>
            <w:shd w:val="clear" w:color="auto" w:fill="D9D9D9" w:themeFill="background1" w:themeFillShade="D9"/>
          </w:tcPr>
          <w:p w14:paraId="34BE7F6A" w14:textId="794056B7" w:rsidR="000F7707" w:rsidRPr="00222B08" w:rsidRDefault="000F7707" w:rsidP="001A568E">
            <w:pPr>
              <w:spacing w:before="120" w:after="120" w:line="240" w:lineRule="auto"/>
              <w:jc w:val="left"/>
              <w:rPr>
                <w:b/>
                <w:bCs/>
                <w:sz w:val="20"/>
                <w:szCs w:val="20"/>
              </w:rPr>
            </w:pPr>
            <w:r w:rsidRPr="00222B08">
              <w:rPr>
                <w:b/>
                <w:bCs/>
                <w:sz w:val="20"/>
                <w:szCs w:val="20"/>
              </w:rPr>
              <w:t>Partnership – BP (note BP does not have partnership-level outcomes. Outcomes are broken down into pillars)</w:t>
            </w:r>
          </w:p>
        </w:tc>
      </w:tr>
      <w:tr w:rsidR="000F7707" w:rsidRPr="00222B08" w14:paraId="589D21C3" w14:textId="77777777" w:rsidTr="00265BB9">
        <w:tc>
          <w:tcPr>
            <w:tcW w:w="9350" w:type="dxa"/>
          </w:tcPr>
          <w:p w14:paraId="02C4F92D" w14:textId="77777777" w:rsidR="000F7707" w:rsidRPr="00222B08" w:rsidRDefault="000F7707" w:rsidP="001A568E">
            <w:pPr>
              <w:spacing w:before="120" w:after="120" w:line="240" w:lineRule="auto"/>
              <w:jc w:val="left"/>
              <w:rPr>
                <w:b/>
                <w:bCs/>
                <w:sz w:val="20"/>
                <w:szCs w:val="20"/>
              </w:rPr>
            </w:pPr>
            <w:r w:rsidRPr="00222B08">
              <w:rPr>
                <w:b/>
                <w:bCs/>
                <w:sz w:val="20"/>
                <w:szCs w:val="20"/>
              </w:rPr>
              <w:t>Pillar 1: Autonomy and Effective Governance</w:t>
            </w:r>
          </w:p>
          <w:p w14:paraId="5997F3C9" w14:textId="77777777" w:rsidR="000F7707" w:rsidRPr="00222B08" w:rsidRDefault="000F7707" w:rsidP="001A568E">
            <w:pPr>
              <w:spacing w:before="120" w:after="120" w:line="240" w:lineRule="auto"/>
              <w:jc w:val="left"/>
              <w:rPr>
                <w:b/>
                <w:bCs/>
                <w:sz w:val="20"/>
                <w:szCs w:val="20"/>
              </w:rPr>
            </w:pPr>
            <w:r w:rsidRPr="00222B08">
              <w:rPr>
                <w:b/>
                <w:bCs/>
                <w:sz w:val="20"/>
                <w:szCs w:val="20"/>
              </w:rPr>
              <w:t>Long Term Outcome: 1. ABG is a more accountable and effective autonomous government</w:t>
            </w:r>
          </w:p>
          <w:p w14:paraId="357047F4"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Strengthened leadership and strategic planning for inclusive development in Bougainville.</w:t>
            </w:r>
          </w:p>
          <w:p w14:paraId="2F8535A1"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A better functioning and well-managed Public Service improves organisational capacity and service delivery in targeted key ABG departments.</w:t>
            </w:r>
          </w:p>
          <w:p w14:paraId="24674119"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Bougainville and PNG governments enabled to engage on core requirements of the BPA and within the Post-Referendum Framework (PRF).</w:t>
            </w:r>
          </w:p>
          <w:p w14:paraId="28392D3B" w14:textId="77777777" w:rsidR="000F7707" w:rsidRPr="00222B08" w:rsidRDefault="000F7707" w:rsidP="001A568E">
            <w:pPr>
              <w:spacing w:before="120" w:after="120" w:line="240" w:lineRule="auto"/>
              <w:jc w:val="left"/>
              <w:rPr>
                <w:b/>
                <w:bCs/>
                <w:sz w:val="20"/>
                <w:szCs w:val="20"/>
              </w:rPr>
            </w:pPr>
            <w:r w:rsidRPr="00222B08">
              <w:rPr>
                <w:b/>
                <w:bCs/>
                <w:sz w:val="20"/>
                <w:szCs w:val="20"/>
              </w:rPr>
              <w:t>Pillar 2: Agriculture and Economic Development</w:t>
            </w:r>
          </w:p>
          <w:p w14:paraId="3488FF69" w14:textId="77777777" w:rsidR="000F7707" w:rsidRPr="00222B08" w:rsidRDefault="000F7707" w:rsidP="001A568E">
            <w:pPr>
              <w:spacing w:before="120" w:after="120" w:line="240" w:lineRule="auto"/>
              <w:jc w:val="left"/>
              <w:rPr>
                <w:b/>
                <w:bCs/>
                <w:sz w:val="20"/>
                <w:szCs w:val="20"/>
              </w:rPr>
            </w:pPr>
            <w:r w:rsidRPr="00222B08">
              <w:rPr>
                <w:b/>
                <w:bCs/>
                <w:sz w:val="20"/>
                <w:szCs w:val="20"/>
              </w:rPr>
              <w:t>Long Term Outcome: 2. Faster, more inclusive, and sustainable economic growth in the Bougainville economy</w:t>
            </w:r>
          </w:p>
          <w:p w14:paraId="06BB23DC" w14:textId="7CD52B2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 xml:space="preserve">Quality, </w:t>
            </w:r>
            <w:r w:rsidR="004A6988" w:rsidRPr="00222B08">
              <w:rPr>
                <w:sz w:val="20"/>
                <w:szCs w:val="20"/>
              </w:rPr>
              <w:t>quantity,</w:t>
            </w:r>
            <w:r w:rsidRPr="00222B08">
              <w:rPr>
                <w:sz w:val="20"/>
                <w:szCs w:val="20"/>
              </w:rPr>
              <w:t xml:space="preserve"> and diversity of primary industry production increased, and emerging industries grown.</w:t>
            </w:r>
          </w:p>
          <w:p w14:paraId="545B51B0"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Improved investment climate.</w:t>
            </w:r>
          </w:p>
          <w:p w14:paraId="4E59B191" w14:textId="77777777" w:rsidR="000F7707" w:rsidRPr="00222B08" w:rsidRDefault="000F7707" w:rsidP="001A568E">
            <w:pPr>
              <w:spacing w:before="120" w:after="120" w:line="240" w:lineRule="auto"/>
              <w:jc w:val="left"/>
              <w:rPr>
                <w:b/>
                <w:bCs/>
                <w:sz w:val="20"/>
                <w:szCs w:val="20"/>
              </w:rPr>
            </w:pPr>
            <w:r w:rsidRPr="00222B08">
              <w:rPr>
                <w:b/>
                <w:bCs/>
                <w:sz w:val="20"/>
                <w:szCs w:val="20"/>
              </w:rPr>
              <w:t>Pillar 3: Peace, Community Cohesion and Resilience</w:t>
            </w:r>
          </w:p>
          <w:p w14:paraId="61FDDF57" w14:textId="77777777" w:rsidR="000F7707" w:rsidRPr="00222B08" w:rsidRDefault="000F7707" w:rsidP="001A568E">
            <w:pPr>
              <w:spacing w:before="120" w:after="120" w:line="240" w:lineRule="auto"/>
              <w:jc w:val="left"/>
              <w:rPr>
                <w:b/>
                <w:bCs/>
                <w:sz w:val="20"/>
                <w:szCs w:val="20"/>
              </w:rPr>
            </w:pPr>
            <w:r w:rsidRPr="00222B08">
              <w:rPr>
                <w:b/>
                <w:bCs/>
                <w:sz w:val="20"/>
                <w:szCs w:val="20"/>
              </w:rPr>
              <w:t>Long Term Outcome 3. Strengthened foundations for sustainable peace and stability</w:t>
            </w:r>
          </w:p>
          <w:p w14:paraId="636DFA60"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Bougainville unity supported through peacebuilding and reconciliation</w:t>
            </w:r>
          </w:p>
          <w:p w14:paraId="0D2B12B0"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Bougainville’s youth have access to multiple pathways to integrated development</w:t>
            </w:r>
          </w:p>
          <w:p w14:paraId="4878AD4C" w14:textId="77777777" w:rsidR="000F7707" w:rsidRPr="00222B08" w:rsidRDefault="000F7707" w:rsidP="001A568E">
            <w:pPr>
              <w:pStyle w:val="ListParagraph"/>
              <w:numPr>
                <w:ilvl w:val="0"/>
                <w:numId w:val="12"/>
              </w:numPr>
              <w:spacing w:line="240" w:lineRule="auto"/>
              <w:contextualSpacing/>
              <w:jc w:val="left"/>
              <w:rPr>
                <w:sz w:val="20"/>
                <w:szCs w:val="20"/>
              </w:rPr>
            </w:pPr>
            <w:r w:rsidRPr="00222B08">
              <w:rPr>
                <w:sz w:val="20"/>
                <w:szCs w:val="20"/>
              </w:rPr>
              <w:t>Bougainville community associations empowered to improve livelihoods</w:t>
            </w:r>
          </w:p>
        </w:tc>
      </w:tr>
    </w:tbl>
    <w:p w14:paraId="1F2517EC" w14:textId="77777777" w:rsidR="000F7707" w:rsidRDefault="000F7707" w:rsidP="001A568E">
      <w:pPr>
        <w:pStyle w:val="BodyText"/>
      </w:pPr>
    </w:p>
    <w:tbl>
      <w:tblPr>
        <w:tblStyle w:val="TableGrid"/>
        <w:tblW w:w="0" w:type="auto"/>
        <w:tblLook w:val="04A0" w:firstRow="1" w:lastRow="0" w:firstColumn="1" w:lastColumn="0" w:noHBand="0" w:noVBand="1"/>
      </w:tblPr>
      <w:tblGrid>
        <w:gridCol w:w="9010"/>
      </w:tblGrid>
      <w:tr w:rsidR="000F7707" w:rsidRPr="00222B08" w14:paraId="2194D277" w14:textId="77777777" w:rsidTr="00265BB9">
        <w:tc>
          <w:tcPr>
            <w:tcW w:w="9350" w:type="dxa"/>
            <w:shd w:val="clear" w:color="auto" w:fill="D9D9D9" w:themeFill="background1" w:themeFillShade="D9"/>
          </w:tcPr>
          <w:p w14:paraId="6D1389A8" w14:textId="77777777" w:rsidR="000F7707" w:rsidRPr="00222B08" w:rsidRDefault="000F7707" w:rsidP="001A568E">
            <w:pPr>
              <w:spacing w:before="120" w:after="120" w:line="240" w:lineRule="auto"/>
              <w:jc w:val="left"/>
              <w:rPr>
                <w:b/>
                <w:bCs/>
                <w:sz w:val="20"/>
                <w:szCs w:val="20"/>
              </w:rPr>
            </w:pPr>
            <w:r w:rsidRPr="00222B08">
              <w:rPr>
                <w:b/>
                <w:bCs/>
                <w:sz w:val="20"/>
                <w:szCs w:val="20"/>
              </w:rPr>
              <w:lastRenderedPageBreak/>
              <w:t>Partnership – PPF Education Program</w:t>
            </w:r>
          </w:p>
        </w:tc>
      </w:tr>
      <w:tr w:rsidR="000F7707" w:rsidRPr="00222B08" w14:paraId="6CC48836" w14:textId="77777777" w:rsidTr="00265BB9">
        <w:tc>
          <w:tcPr>
            <w:tcW w:w="9350" w:type="dxa"/>
            <w:shd w:val="clear" w:color="auto" w:fill="D9D9D9" w:themeFill="background1" w:themeFillShade="D9"/>
          </w:tcPr>
          <w:p w14:paraId="655AF060" w14:textId="77777777" w:rsidR="000F7707" w:rsidRPr="00222B08" w:rsidRDefault="000F7707" w:rsidP="001A568E">
            <w:pPr>
              <w:spacing w:before="120" w:after="120" w:line="240" w:lineRule="auto"/>
              <w:jc w:val="left"/>
              <w:rPr>
                <w:b/>
                <w:bCs/>
                <w:sz w:val="20"/>
                <w:szCs w:val="20"/>
              </w:rPr>
            </w:pPr>
            <w:r w:rsidRPr="00222B08">
              <w:rPr>
                <w:b/>
                <w:bCs/>
                <w:sz w:val="20"/>
                <w:szCs w:val="20"/>
              </w:rPr>
              <w:t>Goal: Early grade children in targeted schools have improved literacy and numeracy outcomes by Feb 2022</w:t>
            </w:r>
          </w:p>
        </w:tc>
      </w:tr>
      <w:tr w:rsidR="000F7707" w:rsidRPr="00222B08" w14:paraId="259AD4A2" w14:textId="77777777" w:rsidTr="00265BB9">
        <w:tc>
          <w:tcPr>
            <w:tcW w:w="9350" w:type="dxa"/>
          </w:tcPr>
          <w:p w14:paraId="4AAA6AB0" w14:textId="77777777" w:rsidR="000F7707" w:rsidRPr="00222B08" w:rsidRDefault="000F7707" w:rsidP="001A568E">
            <w:pPr>
              <w:spacing w:before="120" w:after="120" w:line="240" w:lineRule="auto"/>
              <w:jc w:val="left"/>
              <w:rPr>
                <w:b/>
                <w:bCs/>
                <w:sz w:val="20"/>
                <w:szCs w:val="20"/>
              </w:rPr>
            </w:pPr>
            <w:r w:rsidRPr="00222B08">
              <w:rPr>
                <w:b/>
                <w:bCs/>
                <w:sz w:val="20"/>
                <w:szCs w:val="20"/>
              </w:rPr>
              <w:t>Long-term Outcome 1 (LTO1)</w:t>
            </w:r>
          </w:p>
          <w:p w14:paraId="06CBD182" w14:textId="77777777" w:rsidR="000F7707" w:rsidRPr="00222B08" w:rsidRDefault="000F7707" w:rsidP="001A568E">
            <w:pPr>
              <w:pStyle w:val="ListParagraph"/>
              <w:numPr>
                <w:ilvl w:val="0"/>
                <w:numId w:val="13"/>
              </w:numPr>
              <w:spacing w:line="240" w:lineRule="auto"/>
              <w:contextualSpacing/>
              <w:jc w:val="left"/>
              <w:rPr>
                <w:sz w:val="20"/>
                <w:szCs w:val="20"/>
              </w:rPr>
            </w:pPr>
            <w:r w:rsidRPr="00222B08">
              <w:rPr>
                <w:sz w:val="20"/>
                <w:szCs w:val="20"/>
              </w:rPr>
              <w:t>Teachers demonstrate improved practices</w:t>
            </w:r>
          </w:p>
          <w:p w14:paraId="54312D76" w14:textId="77777777" w:rsidR="000F7707" w:rsidRPr="00222B08" w:rsidRDefault="000F7707" w:rsidP="001A568E">
            <w:pPr>
              <w:spacing w:before="120" w:after="120" w:line="240" w:lineRule="auto"/>
              <w:jc w:val="left"/>
              <w:rPr>
                <w:b/>
                <w:bCs/>
                <w:sz w:val="20"/>
                <w:szCs w:val="20"/>
              </w:rPr>
            </w:pPr>
            <w:r w:rsidRPr="00222B08">
              <w:rPr>
                <w:b/>
                <w:bCs/>
                <w:sz w:val="20"/>
                <w:szCs w:val="20"/>
              </w:rPr>
              <w:t>Long-term Outcome 2 (LTO2)</w:t>
            </w:r>
          </w:p>
          <w:p w14:paraId="7DA9DB69" w14:textId="77777777" w:rsidR="000F7707" w:rsidRPr="00222B08" w:rsidRDefault="000F7707" w:rsidP="001A568E">
            <w:pPr>
              <w:pStyle w:val="ListParagraph"/>
              <w:numPr>
                <w:ilvl w:val="0"/>
                <w:numId w:val="13"/>
              </w:numPr>
              <w:spacing w:line="240" w:lineRule="auto"/>
              <w:contextualSpacing/>
              <w:jc w:val="left"/>
              <w:rPr>
                <w:sz w:val="20"/>
                <w:szCs w:val="20"/>
              </w:rPr>
            </w:pPr>
            <w:r w:rsidRPr="00222B08">
              <w:rPr>
                <w:sz w:val="20"/>
                <w:szCs w:val="20"/>
              </w:rPr>
              <w:t>School learning environments are inclusive, safe and enable student learning</w:t>
            </w:r>
          </w:p>
          <w:p w14:paraId="78533949" w14:textId="77777777" w:rsidR="000F7707" w:rsidRPr="00222B08" w:rsidRDefault="000F7707" w:rsidP="001A568E">
            <w:pPr>
              <w:spacing w:before="120" w:after="120" w:line="240" w:lineRule="auto"/>
              <w:jc w:val="left"/>
              <w:rPr>
                <w:b/>
                <w:bCs/>
                <w:sz w:val="20"/>
                <w:szCs w:val="20"/>
              </w:rPr>
            </w:pPr>
            <w:r w:rsidRPr="00222B08">
              <w:rPr>
                <w:b/>
                <w:bCs/>
                <w:sz w:val="20"/>
                <w:szCs w:val="20"/>
              </w:rPr>
              <w:t>Long-term Outcome 3 (LTO3)</w:t>
            </w:r>
          </w:p>
          <w:p w14:paraId="2BC9A653" w14:textId="77777777" w:rsidR="000F7707" w:rsidRPr="00222B08" w:rsidRDefault="000F7707" w:rsidP="001A568E">
            <w:pPr>
              <w:pStyle w:val="ListParagraph"/>
              <w:numPr>
                <w:ilvl w:val="0"/>
                <w:numId w:val="13"/>
              </w:numPr>
              <w:spacing w:line="240" w:lineRule="auto"/>
              <w:contextualSpacing/>
              <w:jc w:val="left"/>
              <w:rPr>
                <w:sz w:val="20"/>
                <w:szCs w:val="20"/>
              </w:rPr>
            </w:pPr>
            <w:r w:rsidRPr="00222B08">
              <w:rPr>
                <w:sz w:val="20"/>
                <w:szCs w:val="20"/>
              </w:rPr>
              <w:t>Parents/caregivers demonstrate improved behaviour to enhance student learning and attendance</w:t>
            </w:r>
          </w:p>
          <w:p w14:paraId="71FE7AEB" w14:textId="77777777" w:rsidR="000F7707" w:rsidRPr="00222B08" w:rsidRDefault="000F7707" w:rsidP="001A568E">
            <w:pPr>
              <w:spacing w:before="120" w:after="120" w:line="240" w:lineRule="auto"/>
              <w:jc w:val="left"/>
              <w:rPr>
                <w:b/>
                <w:bCs/>
                <w:sz w:val="20"/>
                <w:szCs w:val="20"/>
              </w:rPr>
            </w:pPr>
            <w:r w:rsidRPr="00222B08">
              <w:rPr>
                <w:b/>
                <w:bCs/>
                <w:sz w:val="20"/>
                <w:szCs w:val="20"/>
              </w:rPr>
              <w:t>Long-term Outcome 4 (LTO4)</w:t>
            </w:r>
          </w:p>
          <w:p w14:paraId="4ABE6F20" w14:textId="77777777" w:rsidR="000F7707" w:rsidRPr="00222B08" w:rsidRDefault="000F7707" w:rsidP="001A568E">
            <w:pPr>
              <w:pStyle w:val="ListParagraph"/>
              <w:numPr>
                <w:ilvl w:val="0"/>
                <w:numId w:val="13"/>
              </w:numPr>
              <w:spacing w:line="240" w:lineRule="auto"/>
              <w:contextualSpacing/>
              <w:jc w:val="left"/>
              <w:rPr>
                <w:sz w:val="20"/>
                <w:szCs w:val="20"/>
              </w:rPr>
            </w:pPr>
            <w:r w:rsidRPr="00222B08">
              <w:rPr>
                <w:sz w:val="20"/>
                <w:szCs w:val="20"/>
              </w:rPr>
              <w:t>The early grade education system in PNG is strengthened and more resilient</w:t>
            </w:r>
          </w:p>
          <w:p w14:paraId="06B9EBE1" w14:textId="77777777" w:rsidR="000F7707" w:rsidRPr="00222B08" w:rsidRDefault="000F7707" w:rsidP="001A568E">
            <w:pPr>
              <w:pStyle w:val="ListParagraph"/>
              <w:numPr>
                <w:ilvl w:val="0"/>
                <w:numId w:val="13"/>
              </w:numPr>
              <w:spacing w:line="240" w:lineRule="auto"/>
              <w:contextualSpacing/>
              <w:jc w:val="left"/>
              <w:rPr>
                <w:b/>
                <w:bCs/>
                <w:sz w:val="20"/>
                <w:szCs w:val="20"/>
              </w:rPr>
            </w:pPr>
            <w:r w:rsidRPr="00222B08">
              <w:rPr>
                <w:sz w:val="20"/>
                <w:szCs w:val="20"/>
              </w:rPr>
              <w:t>Sub-national: Provincial-district officers have improved capacity to enhance</w:t>
            </w:r>
          </w:p>
        </w:tc>
      </w:tr>
    </w:tbl>
    <w:p w14:paraId="3FDBFFAD" w14:textId="77777777" w:rsidR="000F7707" w:rsidRDefault="000F7707" w:rsidP="001A568E">
      <w:pPr>
        <w:jc w:val="left"/>
      </w:pPr>
    </w:p>
    <w:tbl>
      <w:tblPr>
        <w:tblStyle w:val="TableGrid"/>
        <w:tblW w:w="0" w:type="auto"/>
        <w:tblLook w:val="04A0" w:firstRow="1" w:lastRow="0" w:firstColumn="1" w:lastColumn="0" w:noHBand="0" w:noVBand="1"/>
      </w:tblPr>
      <w:tblGrid>
        <w:gridCol w:w="9010"/>
      </w:tblGrid>
      <w:tr w:rsidR="000F7707" w:rsidRPr="00222B08" w14:paraId="09F2B2DD" w14:textId="77777777" w:rsidTr="00265BB9">
        <w:tc>
          <w:tcPr>
            <w:tcW w:w="9350" w:type="dxa"/>
            <w:shd w:val="clear" w:color="auto" w:fill="D9D9D9" w:themeFill="background1" w:themeFillShade="D9"/>
          </w:tcPr>
          <w:p w14:paraId="75EC6BDB" w14:textId="7CF5CD2A" w:rsidR="000F7707" w:rsidRPr="00222B08" w:rsidRDefault="000F7707" w:rsidP="001A568E">
            <w:pPr>
              <w:spacing w:before="120" w:after="120" w:line="240" w:lineRule="auto"/>
              <w:jc w:val="left"/>
              <w:rPr>
                <w:b/>
                <w:bCs/>
                <w:sz w:val="20"/>
                <w:szCs w:val="20"/>
              </w:rPr>
            </w:pPr>
            <w:r w:rsidRPr="00222B08">
              <w:rPr>
                <w:b/>
                <w:bCs/>
                <w:sz w:val="20"/>
                <w:szCs w:val="20"/>
              </w:rPr>
              <w:t xml:space="preserve">Partnership – IPPDSS (from Design Document in 2018) </w:t>
            </w:r>
          </w:p>
        </w:tc>
      </w:tr>
      <w:tr w:rsidR="000F7707" w:rsidRPr="00222B08" w14:paraId="1214C1CB" w14:textId="77777777" w:rsidTr="00265BB9">
        <w:tc>
          <w:tcPr>
            <w:tcW w:w="9350" w:type="dxa"/>
            <w:shd w:val="clear" w:color="auto" w:fill="D9D9D9" w:themeFill="background1" w:themeFillShade="D9"/>
          </w:tcPr>
          <w:p w14:paraId="3EC476F7" w14:textId="77777777" w:rsidR="000F7707" w:rsidRPr="00222B08" w:rsidRDefault="000F7707" w:rsidP="001A568E">
            <w:pPr>
              <w:spacing w:before="120" w:after="120" w:line="240" w:lineRule="auto"/>
              <w:jc w:val="left"/>
              <w:rPr>
                <w:b/>
                <w:bCs/>
                <w:sz w:val="20"/>
                <w:szCs w:val="20"/>
              </w:rPr>
            </w:pPr>
            <w:r w:rsidRPr="00222B08">
              <w:rPr>
                <w:b/>
                <w:bCs/>
                <w:sz w:val="20"/>
                <w:szCs w:val="20"/>
              </w:rPr>
              <w:t>Long Term Goal: A strong and durable economic and strategic partnership between Australia and Papua New Guinea</w:t>
            </w:r>
          </w:p>
        </w:tc>
      </w:tr>
      <w:tr w:rsidR="000F7707" w:rsidRPr="00222B08" w14:paraId="3C9AAF00" w14:textId="77777777" w:rsidTr="00265BB9">
        <w:tc>
          <w:tcPr>
            <w:tcW w:w="9350" w:type="dxa"/>
          </w:tcPr>
          <w:p w14:paraId="415B36FA" w14:textId="77777777" w:rsidR="000F7707" w:rsidRPr="00222B08" w:rsidRDefault="000F7707" w:rsidP="001A568E">
            <w:pPr>
              <w:spacing w:before="120" w:after="120" w:line="240" w:lineRule="auto"/>
              <w:jc w:val="left"/>
              <w:rPr>
                <w:b/>
                <w:bCs/>
                <w:sz w:val="20"/>
                <w:szCs w:val="20"/>
              </w:rPr>
            </w:pPr>
            <w:r w:rsidRPr="00222B08">
              <w:rPr>
                <w:b/>
                <w:bCs/>
                <w:sz w:val="20"/>
                <w:szCs w:val="20"/>
              </w:rPr>
              <w:t>Outcome 1</w:t>
            </w:r>
          </w:p>
          <w:p w14:paraId="6358F16E"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t>Selected Australian and PNG government entities have stronger institutional relationships</w:t>
            </w:r>
          </w:p>
          <w:p w14:paraId="6632F648" w14:textId="77777777" w:rsidR="000F7707" w:rsidRPr="00222B08" w:rsidRDefault="000F7707" w:rsidP="001A568E">
            <w:pPr>
              <w:spacing w:before="120" w:after="120" w:line="240" w:lineRule="auto"/>
              <w:jc w:val="left"/>
              <w:rPr>
                <w:b/>
                <w:bCs/>
                <w:sz w:val="20"/>
                <w:szCs w:val="20"/>
              </w:rPr>
            </w:pPr>
            <w:r w:rsidRPr="00222B08">
              <w:rPr>
                <w:b/>
                <w:bCs/>
                <w:sz w:val="20"/>
                <w:szCs w:val="20"/>
              </w:rPr>
              <w:t>Outcome 2:</w:t>
            </w:r>
          </w:p>
          <w:p w14:paraId="4C1F0285"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t>Demonstrated benefits for both Australian and PNG government entities</w:t>
            </w:r>
          </w:p>
          <w:p w14:paraId="5CB08467" w14:textId="77777777" w:rsidR="000F7707" w:rsidRPr="00222B08" w:rsidRDefault="000F7707" w:rsidP="001A568E">
            <w:pPr>
              <w:spacing w:before="120" w:after="120" w:line="240" w:lineRule="auto"/>
              <w:jc w:val="left"/>
              <w:rPr>
                <w:b/>
                <w:bCs/>
                <w:sz w:val="20"/>
                <w:szCs w:val="20"/>
              </w:rPr>
            </w:pPr>
            <w:r w:rsidRPr="00222B08">
              <w:rPr>
                <w:b/>
                <w:bCs/>
                <w:sz w:val="20"/>
                <w:szCs w:val="20"/>
              </w:rPr>
              <w:t>Outcome 3:</w:t>
            </w:r>
          </w:p>
          <w:p w14:paraId="7AD44652"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t>Effective brokering of WoG institutional relationships</w:t>
            </w:r>
          </w:p>
        </w:tc>
      </w:tr>
    </w:tbl>
    <w:p w14:paraId="15386C8B" w14:textId="77777777" w:rsidR="000F7707" w:rsidRDefault="000F7707" w:rsidP="001A568E">
      <w:pPr>
        <w:pStyle w:val="BodyText"/>
      </w:pPr>
    </w:p>
    <w:tbl>
      <w:tblPr>
        <w:tblStyle w:val="TableGrid"/>
        <w:tblW w:w="0" w:type="auto"/>
        <w:tblLook w:val="04A0" w:firstRow="1" w:lastRow="0" w:firstColumn="1" w:lastColumn="0" w:noHBand="0" w:noVBand="1"/>
      </w:tblPr>
      <w:tblGrid>
        <w:gridCol w:w="9010"/>
      </w:tblGrid>
      <w:tr w:rsidR="000F7707" w:rsidRPr="00222B08" w14:paraId="55CC151E" w14:textId="77777777" w:rsidTr="00265BB9">
        <w:tc>
          <w:tcPr>
            <w:tcW w:w="9350" w:type="dxa"/>
            <w:shd w:val="clear" w:color="auto" w:fill="D9D9D9" w:themeFill="background1" w:themeFillShade="D9"/>
          </w:tcPr>
          <w:p w14:paraId="30A8C64C" w14:textId="77777777" w:rsidR="000F7707" w:rsidRPr="00222B08" w:rsidRDefault="000F7707" w:rsidP="001A568E">
            <w:pPr>
              <w:spacing w:before="120" w:after="120" w:line="240" w:lineRule="auto"/>
              <w:jc w:val="left"/>
              <w:rPr>
                <w:b/>
                <w:bCs/>
                <w:sz w:val="20"/>
                <w:szCs w:val="20"/>
              </w:rPr>
            </w:pPr>
            <w:r w:rsidRPr="00222B08">
              <w:rPr>
                <w:b/>
                <w:bCs/>
                <w:sz w:val="20"/>
                <w:szCs w:val="20"/>
              </w:rPr>
              <w:t>Partnership – PSLR</w:t>
            </w:r>
          </w:p>
        </w:tc>
      </w:tr>
      <w:tr w:rsidR="000F7707" w:rsidRPr="00222B08" w14:paraId="3B0C4DC0" w14:textId="77777777" w:rsidTr="00265BB9">
        <w:tc>
          <w:tcPr>
            <w:tcW w:w="9350" w:type="dxa"/>
            <w:shd w:val="clear" w:color="auto" w:fill="D9D9D9" w:themeFill="background1" w:themeFillShade="D9"/>
          </w:tcPr>
          <w:p w14:paraId="115312FE" w14:textId="77777777" w:rsidR="000F7707" w:rsidRPr="00222B08" w:rsidRDefault="000F7707" w:rsidP="001A568E">
            <w:pPr>
              <w:spacing w:before="120" w:after="120" w:line="240" w:lineRule="auto"/>
              <w:jc w:val="left"/>
              <w:rPr>
                <w:b/>
                <w:bCs/>
                <w:sz w:val="20"/>
                <w:szCs w:val="20"/>
              </w:rPr>
            </w:pPr>
            <w:r w:rsidRPr="00222B08">
              <w:rPr>
                <w:b/>
                <w:bCs/>
                <w:sz w:val="20"/>
                <w:szCs w:val="20"/>
              </w:rPr>
              <w:t>Goal: A new generation of ethical public service leaders, both men and women, capable and motivated to collaborate, lead and manage the delivery of equitable and inclusive government services.</w:t>
            </w:r>
          </w:p>
        </w:tc>
      </w:tr>
      <w:tr w:rsidR="000F7707" w:rsidRPr="00222B08" w14:paraId="0140C435" w14:textId="77777777" w:rsidTr="00265BB9">
        <w:tc>
          <w:tcPr>
            <w:tcW w:w="9350" w:type="dxa"/>
          </w:tcPr>
          <w:p w14:paraId="620F906C" w14:textId="77777777" w:rsidR="000F7707" w:rsidRPr="00222B08" w:rsidRDefault="000F7707" w:rsidP="001A568E">
            <w:pPr>
              <w:spacing w:before="120" w:after="120" w:line="240" w:lineRule="auto"/>
              <w:jc w:val="left"/>
              <w:rPr>
                <w:b/>
                <w:bCs/>
                <w:sz w:val="20"/>
                <w:szCs w:val="20"/>
              </w:rPr>
            </w:pPr>
            <w:r w:rsidRPr="00222B08">
              <w:rPr>
                <w:b/>
                <w:bCs/>
                <w:sz w:val="20"/>
                <w:szCs w:val="20"/>
              </w:rPr>
              <w:t>Overarching Precinct Outcomes</w:t>
            </w:r>
          </w:p>
          <w:p w14:paraId="0A2458A1"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t>Measurable and sustainable improvement in PNG’s public service leadership and administrative capability at national, provincial, and district levels.</w:t>
            </w:r>
          </w:p>
          <w:p w14:paraId="2F68C05A"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t xml:space="preserve">Public sector leadership and management practices increasingly demonstrate application of the principles of ethical behaviour and values-based leadership and management.   </w:t>
            </w:r>
          </w:p>
          <w:p w14:paraId="60A80872"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t>Strengthened public sector leadership demonstrated by women and men at all levels applying the principles of gender equity and social inclusion in planning, decision making and the delivery of government services.</w:t>
            </w:r>
          </w:p>
          <w:p w14:paraId="2958EFC2"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t>The Precinct provides an effective, inclusive, and collaborative platform for facilitating and coordinating public dialogue on leadership, ethical practices, inclusive management, and change management required at national, provincial and district levels.</w:t>
            </w:r>
          </w:p>
          <w:p w14:paraId="53F29FFF" w14:textId="77777777" w:rsidR="000F7707" w:rsidRPr="00222B08" w:rsidRDefault="000F7707" w:rsidP="001A568E">
            <w:pPr>
              <w:pStyle w:val="ListParagraph"/>
              <w:numPr>
                <w:ilvl w:val="0"/>
                <w:numId w:val="14"/>
              </w:numPr>
              <w:spacing w:line="240" w:lineRule="auto"/>
              <w:contextualSpacing/>
              <w:jc w:val="left"/>
              <w:rPr>
                <w:sz w:val="20"/>
                <w:szCs w:val="20"/>
              </w:rPr>
            </w:pPr>
            <w:r w:rsidRPr="00222B08">
              <w:rPr>
                <w:sz w:val="20"/>
                <w:szCs w:val="20"/>
              </w:rPr>
              <w:lastRenderedPageBreak/>
              <w:t>The Precinct contributes to growing existing networks of like-minded individuals and organisations from the public, private and civil society sectors that actively advocate for ethical leadership and management in Papua New Guinea.</w:t>
            </w:r>
          </w:p>
          <w:p w14:paraId="3A21AA2D" w14:textId="77777777" w:rsidR="000F7707" w:rsidRPr="00222B08" w:rsidRDefault="000F7707" w:rsidP="001A568E">
            <w:pPr>
              <w:spacing w:before="120" w:after="120" w:line="240" w:lineRule="auto"/>
              <w:jc w:val="left"/>
              <w:rPr>
                <w:b/>
                <w:bCs/>
                <w:sz w:val="20"/>
                <w:szCs w:val="20"/>
              </w:rPr>
            </w:pPr>
            <w:r w:rsidRPr="00222B08">
              <w:rPr>
                <w:b/>
                <w:bCs/>
                <w:sz w:val="20"/>
                <w:szCs w:val="20"/>
              </w:rPr>
              <w:t>University of Papua New Guinea – School of Business and Public Policy Institutional Strengthening</w:t>
            </w:r>
          </w:p>
          <w:p w14:paraId="388A4B6D" w14:textId="77777777" w:rsidR="000F7707" w:rsidRPr="00222B08" w:rsidRDefault="000F7707" w:rsidP="001A568E">
            <w:pPr>
              <w:pStyle w:val="ListParagraph"/>
              <w:numPr>
                <w:ilvl w:val="0"/>
                <w:numId w:val="15"/>
              </w:numPr>
              <w:spacing w:line="240" w:lineRule="auto"/>
              <w:contextualSpacing/>
              <w:jc w:val="left"/>
              <w:rPr>
                <w:sz w:val="20"/>
                <w:szCs w:val="20"/>
              </w:rPr>
            </w:pPr>
            <w:r w:rsidRPr="00222B08">
              <w:rPr>
                <w:sz w:val="20"/>
                <w:szCs w:val="20"/>
              </w:rPr>
              <w:t>The new School of Business and Public Policy delivers high-quality education for students.</w:t>
            </w:r>
          </w:p>
          <w:p w14:paraId="2C7C6E97" w14:textId="77777777" w:rsidR="000F7707" w:rsidRPr="00222B08" w:rsidRDefault="000F7707" w:rsidP="001A568E">
            <w:pPr>
              <w:pStyle w:val="ListParagraph"/>
              <w:numPr>
                <w:ilvl w:val="0"/>
                <w:numId w:val="15"/>
              </w:numPr>
              <w:spacing w:line="240" w:lineRule="auto"/>
              <w:contextualSpacing/>
              <w:jc w:val="left"/>
              <w:rPr>
                <w:sz w:val="20"/>
                <w:szCs w:val="20"/>
              </w:rPr>
            </w:pPr>
            <w:r w:rsidRPr="00222B08">
              <w:rPr>
                <w:sz w:val="20"/>
                <w:szCs w:val="20"/>
              </w:rPr>
              <w:t>The new School of Business and Public Policy is a regional centre for education and research excellence in public policy and good governance.</w:t>
            </w:r>
          </w:p>
          <w:p w14:paraId="3CAB501A" w14:textId="77777777" w:rsidR="000F7707" w:rsidRPr="00222B08" w:rsidRDefault="000F7707" w:rsidP="001A568E">
            <w:pPr>
              <w:pStyle w:val="ListParagraph"/>
              <w:numPr>
                <w:ilvl w:val="0"/>
                <w:numId w:val="15"/>
              </w:numPr>
              <w:spacing w:line="240" w:lineRule="auto"/>
              <w:contextualSpacing/>
              <w:jc w:val="left"/>
              <w:rPr>
                <w:sz w:val="20"/>
                <w:szCs w:val="20"/>
              </w:rPr>
            </w:pPr>
            <w:r w:rsidRPr="00222B08">
              <w:rPr>
                <w:sz w:val="20"/>
                <w:szCs w:val="20"/>
              </w:rPr>
              <w:t>The School of Business and Public Policy contributes to increased numbers of qualified women in leadership and decision-making roles.</w:t>
            </w:r>
          </w:p>
          <w:p w14:paraId="37CB8432" w14:textId="77777777" w:rsidR="000F7707" w:rsidRPr="00222B08" w:rsidRDefault="000F7707" w:rsidP="001A568E">
            <w:pPr>
              <w:spacing w:before="120" w:after="120" w:line="240" w:lineRule="auto"/>
              <w:jc w:val="left"/>
              <w:rPr>
                <w:b/>
                <w:bCs/>
                <w:sz w:val="20"/>
                <w:szCs w:val="20"/>
              </w:rPr>
            </w:pPr>
            <w:r w:rsidRPr="00222B08">
              <w:rPr>
                <w:b/>
                <w:bCs/>
                <w:sz w:val="20"/>
                <w:szCs w:val="20"/>
              </w:rPr>
              <w:t>Pacific Institute of Leadership and Governance (PILAG) Institutional Strengthening</w:t>
            </w:r>
          </w:p>
          <w:p w14:paraId="159B36E0" w14:textId="36C24204" w:rsidR="000F7707" w:rsidRPr="00222B08" w:rsidRDefault="004A6988" w:rsidP="001A568E">
            <w:pPr>
              <w:pStyle w:val="ListParagraph"/>
              <w:numPr>
                <w:ilvl w:val="0"/>
                <w:numId w:val="16"/>
              </w:numPr>
              <w:spacing w:line="240" w:lineRule="auto"/>
              <w:contextualSpacing/>
              <w:jc w:val="left"/>
              <w:rPr>
                <w:sz w:val="20"/>
                <w:szCs w:val="20"/>
              </w:rPr>
            </w:pPr>
            <w:r w:rsidRPr="00222B08">
              <w:rPr>
                <w:sz w:val="20"/>
                <w:szCs w:val="20"/>
              </w:rPr>
              <w:t>High quality</w:t>
            </w:r>
            <w:r w:rsidR="000F7707" w:rsidRPr="00222B08">
              <w:rPr>
                <w:sz w:val="20"/>
                <w:szCs w:val="20"/>
              </w:rPr>
              <w:t xml:space="preserve"> tailored vocational training for PNG’s public servants, with a renewed focus on ethics and values-based leadership.</w:t>
            </w:r>
          </w:p>
          <w:p w14:paraId="7E94F880" w14:textId="77777777" w:rsidR="000F7707" w:rsidRPr="00222B08" w:rsidRDefault="000F7707" w:rsidP="001A568E">
            <w:pPr>
              <w:pStyle w:val="ListParagraph"/>
              <w:numPr>
                <w:ilvl w:val="0"/>
                <w:numId w:val="16"/>
              </w:numPr>
              <w:spacing w:line="240" w:lineRule="auto"/>
              <w:contextualSpacing/>
              <w:jc w:val="left"/>
              <w:rPr>
                <w:sz w:val="20"/>
                <w:szCs w:val="20"/>
              </w:rPr>
            </w:pPr>
            <w:r w:rsidRPr="00222B08">
              <w:rPr>
                <w:sz w:val="20"/>
                <w:szCs w:val="20"/>
              </w:rPr>
              <w:t>Quality teaching and curriculum development.</w:t>
            </w:r>
          </w:p>
          <w:p w14:paraId="340E517E" w14:textId="77777777" w:rsidR="000F7707" w:rsidRPr="00222B08" w:rsidRDefault="000F7707" w:rsidP="001A568E">
            <w:pPr>
              <w:pStyle w:val="ListParagraph"/>
              <w:numPr>
                <w:ilvl w:val="0"/>
                <w:numId w:val="16"/>
              </w:numPr>
              <w:spacing w:line="240" w:lineRule="auto"/>
              <w:contextualSpacing/>
              <w:jc w:val="left"/>
              <w:rPr>
                <w:sz w:val="20"/>
                <w:szCs w:val="20"/>
              </w:rPr>
            </w:pPr>
            <w:r w:rsidRPr="00222B08">
              <w:rPr>
                <w:sz w:val="20"/>
                <w:szCs w:val="20"/>
              </w:rPr>
              <w:t xml:space="preserve">Strategic and operational planning, resource management and infrastructure development. </w:t>
            </w:r>
          </w:p>
          <w:p w14:paraId="24592684" w14:textId="77777777" w:rsidR="000F7707" w:rsidRPr="00222B08" w:rsidRDefault="000F7707" w:rsidP="001A568E">
            <w:pPr>
              <w:pStyle w:val="ListParagraph"/>
              <w:numPr>
                <w:ilvl w:val="0"/>
                <w:numId w:val="16"/>
              </w:numPr>
              <w:spacing w:line="240" w:lineRule="auto"/>
              <w:contextualSpacing/>
              <w:jc w:val="left"/>
              <w:rPr>
                <w:sz w:val="20"/>
                <w:szCs w:val="20"/>
              </w:rPr>
            </w:pPr>
            <w:r w:rsidRPr="00222B08">
              <w:rPr>
                <w:sz w:val="20"/>
                <w:szCs w:val="20"/>
              </w:rPr>
              <w:t>Develop a cadre of ethical and accountable public officials that have the capability (and the motivation) to collaborate, lead and manage the delivery of equitable government services across Papua New Guinea.</w:t>
            </w:r>
          </w:p>
          <w:p w14:paraId="0B276455" w14:textId="77777777" w:rsidR="000F7707" w:rsidRPr="00222B08" w:rsidRDefault="000F7707" w:rsidP="001A568E">
            <w:pPr>
              <w:pStyle w:val="ListParagraph"/>
              <w:numPr>
                <w:ilvl w:val="0"/>
                <w:numId w:val="16"/>
              </w:numPr>
              <w:spacing w:line="240" w:lineRule="auto"/>
              <w:contextualSpacing/>
              <w:jc w:val="left"/>
              <w:rPr>
                <w:sz w:val="20"/>
                <w:szCs w:val="20"/>
              </w:rPr>
            </w:pPr>
            <w:r w:rsidRPr="00222B08">
              <w:rPr>
                <w:sz w:val="20"/>
                <w:szCs w:val="20"/>
              </w:rPr>
              <w:t>The Precinct supports networks and mechanisms that foster enabling environments that embed ethical and values-based leadership within the public sector and beyond.</w:t>
            </w:r>
          </w:p>
        </w:tc>
      </w:tr>
    </w:tbl>
    <w:p w14:paraId="71C997B6" w14:textId="77777777" w:rsidR="000F7707" w:rsidRPr="000F7707" w:rsidRDefault="000F7707" w:rsidP="001A568E">
      <w:pPr>
        <w:jc w:val="left"/>
      </w:pPr>
    </w:p>
    <w:p w14:paraId="686E9233" w14:textId="77777777" w:rsidR="007F3238" w:rsidRDefault="00F706EF" w:rsidP="001A568E">
      <w:pPr>
        <w:pStyle w:val="Heading1"/>
        <w:jc w:val="left"/>
      </w:pPr>
      <w:bookmarkStart w:id="29" w:name="_Toc104183793"/>
      <w:r>
        <w:lastRenderedPageBreak/>
        <w:t>Annex V – Reflection on 2019 Recommendations</w:t>
      </w:r>
      <w:bookmarkEnd w:id="29"/>
      <w:r>
        <w:t xml:space="preserve"> </w:t>
      </w:r>
      <w:r w:rsidR="00EC72B2">
        <w:t xml:space="preserve"> </w:t>
      </w:r>
      <w:bookmarkStart w:id="30" w:name="_Toc88562274"/>
    </w:p>
    <w:tbl>
      <w:tblPr>
        <w:tblStyle w:val="TableGrid"/>
        <w:tblW w:w="0" w:type="auto"/>
        <w:tblInd w:w="-5" w:type="dxa"/>
        <w:tblLook w:val="04A0" w:firstRow="1" w:lastRow="0" w:firstColumn="1" w:lastColumn="0" w:noHBand="0" w:noVBand="1"/>
      </w:tblPr>
      <w:tblGrid>
        <w:gridCol w:w="4026"/>
        <w:gridCol w:w="1395"/>
        <w:gridCol w:w="3594"/>
      </w:tblGrid>
      <w:tr w:rsidR="0014461C" w:rsidRPr="0014461C" w14:paraId="7C20D3E6" w14:textId="77777777" w:rsidTr="00797597">
        <w:trPr>
          <w:tblHeader/>
        </w:trPr>
        <w:tc>
          <w:tcPr>
            <w:tcW w:w="4026" w:type="dxa"/>
            <w:vAlign w:val="center"/>
          </w:tcPr>
          <w:p w14:paraId="7A510F20" w14:textId="77777777" w:rsidR="0014461C" w:rsidRPr="00797597" w:rsidRDefault="0014461C" w:rsidP="001A568E">
            <w:pPr>
              <w:spacing w:before="120" w:after="120" w:line="240" w:lineRule="auto"/>
              <w:jc w:val="left"/>
              <w:rPr>
                <w:rFonts w:ascii="Arial" w:hAnsi="Arial" w:cs="Arial"/>
                <w:b/>
                <w:bCs/>
                <w:sz w:val="20"/>
                <w:szCs w:val="20"/>
                <w:lang w:val="en-AU"/>
              </w:rPr>
            </w:pPr>
            <w:r w:rsidRPr="00797597">
              <w:rPr>
                <w:rFonts w:ascii="Arial" w:hAnsi="Arial" w:cs="Arial"/>
                <w:b/>
                <w:bCs/>
                <w:sz w:val="20"/>
                <w:szCs w:val="20"/>
                <w:lang w:val="en-AU"/>
              </w:rPr>
              <w:t>Original Recommendation</w:t>
            </w:r>
          </w:p>
        </w:tc>
        <w:tc>
          <w:tcPr>
            <w:tcW w:w="0" w:type="auto"/>
            <w:vAlign w:val="center"/>
          </w:tcPr>
          <w:p w14:paraId="12BE3637" w14:textId="77777777" w:rsidR="0014461C" w:rsidRPr="00797597" w:rsidRDefault="0014461C" w:rsidP="001A568E">
            <w:pPr>
              <w:spacing w:before="120" w:after="120" w:line="240" w:lineRule="auto"/>
              <w:jc w:val="left"/>
              <w:rPr>
                <w:rFonts w:ascii="Arial" w:hAnsi="Arial" w:cs="Arial"/>
                <w:b/>
                <w:bCs/>
                <w:sz w:val="20"/>
                <w:szCs w:val="20"/>
                <w:lang w:val="en-AU"/>
              </w:rPr>
            </w:pPr>
            <w:r w:rsidRPr="00797597">
              <w:rPr>
                <w:rFonts w:ascii="Arial" w:hAnsi="Arial" w:cs="Arial"/>
                <w:b/>
                <w:bCs/>
                <w:sz w:val="20"/>
                <w:szCs w:val="20"/>
                <w:lang w:val="en-AU"/>
              </w:rPr>
              <w:t>Assessment</w:t>
            </w:r>
          </w:p>
        </w:tc>
        <w:tc>
          <w:tcPr>
            <w:tcW w:w="0" w:type="auto"/>
            <w:vAlign w:val="center"/>
          </w:tcPr>
          <w:p w14:paraId="26328B90" w14:textId="77777777" w:rsidR="0014461C" w:rsidRPr="00797597" w:rsidRDefault="0014461C" w:rsidP="001A568E">
            <w:pPr>
              <w:spacing w:before="120" w:after="120" w:line="240" w:lineRule="auto"/>
              <w:jc w:val="left"/>
              <w:rPr>
                <w:rFonts w:ascii="Arial" w:hAnsi="Arial" w:cs="Arial"/>
                <w:b/>
                <w:bCs/>
                <w:sz w:val="20"/>
                <w:szCs w:val="20"/>
                <w:lang w:val="en-AU"/>
              </w:rPr>
            </w:pPr>
            <w:r w:rsidRPr="00797597">
              <w:rPr>
                <w:rFonts w:ascii="Arial" w:hAnsi="Arial" w:cs="Arial"/>
                <w:b/>
                <w:bCs/>
                <w:sz w:val="20"/>
                <w:szCs w:val="20"/>
                <w:lang w:val="en-AU"/>
              </w:rPr>
              <w:t>Status</w:t>
            </w:r>
          </w:p>
        </w:tc>
      </w:tr>
      <w:tr w:rsidR="0014461C" w:rsidRPr="0014461C" w14:paraId="423062EB" w14:textId="77777777" w:rsidTr="00797597">
        <w:tc>
          <w:tcPr>
            <w:tcW w:w="4026" w:type="dxa"/>
          </w:tcPr>
          <w:p w14:paraId="126E0E6D"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lang w:val="en-AU"/>
              </w:rPr>
              <w:t>Revisit the BP results framework and workplan periodically following the referendum to ensure appropriate adaptations informed by the evolving political economy and recommendations of the Bougainville Strategic Review, whilst taking into account the finalised GESI SAP.</w:t>
            </w:r>
          </w:p>
        </w:tc>
        <w:tc>
          <w:tcPr>
            <w:tcW w:w="0" w:type="auto"/>
            <w:shd w:val="clear" w:color="auto" w:fill="92D050"/>
          </w:tcPr>
          <w:p w14:paraId="232C266B" w14:textId="77777777" w:rsidR="0014461C" w:rsidRPr="00797597" w:rsidRDefault="0014461C" w:rsidP="001A568E">
            <w:pPr>
              <w:pStyle w:val="BodyText"/>
              <w:spacing w:before="120" w:after="120" w:line="240" w:lineRule="auto"/>
              <w:rPr>
                <w:sz w:val="20"/>
                <w:szCs w:val="20"/>
              </w:rPr>
            </w:pPr>
          </w:p>
        </w:tc>
        <w:tc>
          <w:tcPr>
            <w:tcW w:w="0" w:type="auto"/>
          </w:tcPr>
          <w:p w14:paraId="6FCAA0E6" w14:textId="77777777" w:rsidR="0014461C" w:rsidRPr="00797597" w:rsidRDefault="0014461C" w:rsidP="001A568E">
            <w:pPr>
              <w:pStyle w:val="BodyText"/>
              <w:spacing w:before="120" w:after="120" w:line="240" w:lineRule="auto"/>
              <w:rPr>
                <w:sz w:val="20"/>
                <w:szCs w:val="20"/>
                <w:lang w:val="en-AU"/>
              </w:rPr>
            </w:pPr>
            <w:bookmarkStart w:id="31" w:name="_Hlk98655274"/>
            <w:r w:rsidRPr="00797597">
              <w:rPr>
                <w:sz w:val="20"/>
                <w:szCs w:val="20"/>
              </w:rPr>
              <w:t xml:space="preserve">In 2019 a Future Directions Paper was developed as the foundation of an updated BP Program Design and Monitoring and Evaluation Framework. This included a revised theory of change that drew on evidence from the </w:t>
            </w:r>
            <w:r w:rsidRPr="00797597">
              <w:rPr>
                <w:sz w:val="20"/>
                <w:szCs w:val="20"/>
                <w:lang w:val="en-AU"/>
              </w:rPr>
              <w:t>Bougainville Strategic Review.</w:t>
            </w:r>
          </w:p>
          <w:p w14:paraId="4B8B8314" w14:textId="77777777" w:rsidR="0014461C" w:rsidRPr="00797597" w:rsidRDefault="0014461C" w:rsidP="001A568E">
            <w:pPr>
              <w:pStyle w:val="BodyText"/>
              <w:spacing w:before="120" w:after="120" w:line="240" w:lineRule="auto"/>
              <w:rPr>
                <w:sz w:val="20"/>
                <w:szCs w:val="20"/>
                <w:lang w:val="en-AU"/>
              </w:rPr>
            </w:pPr>
            <w:r w:rsidRPr="00797597">
              <w:rPr>
                <w:sz w:val="20"/>
                <w:szCs w:val="20"/>
                <w:lang w:val="en-AU"/>
              </w:rPr>
              <w:t>This serious intent to intent was disrupted by the arrival of the pandemic</w:t>
            </w:r>
            <w:bookmarkEnd w:id="31"/>
            <w:r w:rsidRPr="00797597">
              <w:rPr>
                <w:sz w:val="20"/>
                <w:szCs w:val="20"/>
                <w:lang w:val="en-AU"/>
              </w:rPr>
              <w:t xml:space="preserve">.  A new strategy was, however, developed to align BP work program with the “Partnerships for Recovery” Australia’s COVID-19 Development Response. </w:t>
            </w:r>
          </w:p>
        </w:tc>
      </w:tr>
      <w:tr w:rsidR="0014461C" w:rsidRPr="0014461C" w14:paraId="7D939277" w14:textId="77777777" w:rsidTr="00797597">
        <w:tc>
          <w:tcPr>
            <w:tcW w:w="4026" w:type="dxa"/>
          </w:tcPr>
          <w:p w14:paraId="554FA43E"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DCP should review its level of investment in, and reliance on, reform of decentralisation policy. Specifically, DCP should:</w:t>
            </w:r>
          </w:p>
          <w:p w14:paraId="6B5CB450" w14:textId="77777777" w:rsidR="0014461C" w:rsidRPr="00797597" w:rsidRDefault="0014461C" w:rsidP="001A568E">
            <w:pPr>
              <w:pStyle w:val="ListParagraph"/>
              <w:numPr>
                <w:ilvl w:val="0"/>
                <w:numId w:val="18"/>
              </w:numPr>
              <w:spacing w:line="240" w:lineRule="auto"/>
              <w:contextualSpacing/>
              <w:jc w:val="left"/>
              <w:rPr>
                <w:rFonts w:ascii="Arial" w:hAnsi="Arial" w:cs="Arial"/>
                <w:sz w:val="20"/>
                <w:szCs w:val="20"/>
              </w:rPr>
            </w:pPr>
            <w:r w:rsidRPr="00797597">
              <w:rPr>
                <w:rFonts w:ascii="Arial" w:hAnsi="Arial" w:cs="Arial"/>
                <w:sz w:val="20"/>
                <w:szCs w:val="20"/>
              </w:rPr>
              <w:t xml:space="preserve">ensure its K+K projects are set up to maximise wider governance benefits locally; </w:t>
            </w:r>
          </w:p>
        </w:tc>
        <w:tc>
          <w:tcPr>
            <w:tcW w:w="0" w:type="auto"/>
            <w:shd w:val="clear" w:color="auto" w:fill="92D050"/>
          </w:tcPr>
          <w:p w14:paraId="5E7E6070" w14:textId="77777777" w:rsidR="0014461C" w:rsidRPr="00797597" w:rsidRDefault="0014461C" w:rsidP="001A568E">
            <w:pPr>
              <w:spacing w:before="120" w:after="120" w:line="240" w:lineRule="auto"/>
              <w:jc w:val="left"/>
              <w:rPr>
                <w:rFonts w:ascii="Arial" w:hAnsi="Arial" w:cs="Arial"/>
                <w:sz w:val="20"/>
                <w:szCs w:val="20"/>
              </w:rPr>
            </w:pPr>
          </w:p>
        </w:tc>
        <w:tc>
          <w:tcPr>
            <w:tcW w:w="0" w:type="auto"/>
          </w:tcPr>
          <w:p w14:paraId="3146A0CC"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 xml:space="preserve">The MERI program exploits the introduction of physical infrastructure to address institutional arrangements in markets and the role of women in their management. Achieving this marriage of physical inputs with institutional change continued to prove challenging in K+K with this program being closed in 2020. </w:t>
            </w:r>
          </w:p>
        </w:tc>
      </w:tr>
      <w:tr w:rsidR="0014461C" w:rsidRPr="0014461C" w14:paraId="71E7F014" w14:textId="77777777" w:rsidTr="00797597">
        <w:tc>
          <w:tcPr>
            <w:tcW w:w="4026" w:type="dxa"/>
          </w:tcPr>
          <w:p w14:paraId="2166CFB3" w14:textId="77777777" w:rsidR="0014461C" w:rsidRPr="00797597" w:rsidRDefault="0014461C" w:rsidP="001A568E">
            <w:pPr>
              <w:pStyle w:val="ListParagraph"/>
              <w:numPr>
                <w:ilvl w:val="0"/>
                <w:numId w:val="18"/>
              </w:numPr>
              <w:spacing w:line="240" w:lineRule="auto"/>
              <w:contextualSpacing/>
              <w:jc w:val="left"/>
              <w:rPr>
                <w:rFonts w:ascii="Arial" w:hAnsi="Arial" w:cs="Arial"/>
                <w:sz w:val="20"/>
                <w:szCs w:val="20"/>
              </w:rPr>
            </w:pPr>
            <w:r w:rsidRPr="00797597">
              <w:rPr>
                <w:rFonts w:ascii="Arial" w:hAnsi="Arial" w:cs="Arial"/>
                <w:sz w:val="20"/>
                <w:szCs w:val="20"/>
              </w:rPr>
              <w:t>assess the potential of a wider set of relationships with GoPNG agencies nationally to influence how DSIP funds are used;</w:t>
            </w:r>
          </w:p>
        </w:tc>
        <w:tc>
          <w:tcPr>
            <w:tcW w:w="0" w:type="auto"/>
            <w:shd w:val="clear" w:color="auto" w:fill="92D050"/>
          </w:tcPr>
          <w:p w14:paraId="003AD23C" w14:textId="77777777" w:rsidR="0014461C" w:rsidRPr="00797597" w:rsidRDefault="0014461C" w:rsidP="001A568E">
            <w:pPr>
              <w:spacing w:before="120" w:after="120" w:line="240" w:lineRule="auto"/>
              <w:jc w:val="left"/>
              <w:rPr>
                <w:rFonts w:ascii="Arial" w:hAnsi="Arial" w:cs="Arial"/>
                <w:sz w:val="20"/>
                <w:szCs w:val="20"/>
              </w:rPr>
            </w:pPr>
          </w:p>
        </w:tc>
        <w:tc>
          <w:tcPr>
            <w:tcW w:w="0" w:type="auto"/>
          </w:tcPr>
          <w:p w14:paraId="6B9FF0DB"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 xml:space="preserve">Support to DIRD has resulted in an impressive capacity to analyse how DSIP funds are used.  </w:t>
            </w:r>
          </w:p>
        </w:tc>
      </w:tr>
      <w:tr w:rsidR="0014461C" w:rsidRPr="0014461C" w14:paraId="3FD0D3A7" w14:textId="77777777" w:rsidTr="00797597">
        <w:tc>
          <w:tcPr>
            <w:tcW w:w="4026" w:type="dxa"/>
          </w:tcPr>
          <w:p w14:paraId="69F2147E" w14:textId="0E31FE44" w:rsidR="0014461C" w:rsidRPr="00797597" w:rsidRDefault="0014461C" w:rsidP="001A568E">
            <w:pPr>
              <w:pStyle w:val="ListParagraph"/>
              <w:numPr>
                <w:ilvl w:val="0"/>
                <w:numId w:val="18"/>
              </w:numPr>
              <w:spacing w:line="240" w:lineRule="auto"/>
              <w:contextualSpacing/>
              <w:jc w:val="left"/>
              <w:rPr>
                <w:rFonts w:ascii="Arial" w:hAnsi="Arial" w:cs="Arial"/>
                <w:sz w:val="20"/>
                <w:szCs w:val="20"/>
              </w:rPr>
            </w:pPr>
            <w:bookmarkStart w:id="32" w:name="_Hlk98658705"/>
            <w:r w:rsidRPr="00797597">
              <w:rPr>
                <w:rFonts w:ascii="Arial" w:hAnsi="Arial" w:cs="Arial"/>
                <w:sz w:val="20"/>
                <w:szCs w:val="20"/>
              </w:rPr>
              <w:t xml:space="preserve">consider how to work more closely with EGIG and PPF to ensure lessons from its local solutions work feed into national policy; </w:t>
            </w:r>
            <w:bookmarkEnd w:id="32"/>
          </w:p>
        </w:tc>
        <w:tc>
          <w:tcPr>
            <w:tcW w:w="0" w:type="auto"/>
            <w:shd w:val="clear" w:color="auto" w:fill="92D050"/>
          </w:tcPr>
          <w:p w14:paraId="07090EE7" w14:textId="77777777" w:rsidR="0014461C" w:rsidRPr="00797597" w:rsidRDefault="0014461C" w:rsidP="001A568E">
            <w:pPr>
              <w:pStyle w:val="BodyText"/>
              <w:spacing w:before="120" w:after="120" w:line="240" w:lineRule="auto"/>
              <w:rPr>
                <w:sz w:val="20"/>
                <w:szCs w:val="20"/>
              </w:rPr>
            </w:pPr>
          </w:p>
        </w:tc>
        <w:tc>
          <w:tcPr>
            <w:tcW w:w="0" w:type="auto"/>
          </w:tcPr>
          <w:p w14:paraId="018D6154" w14:textId="44BA6803" w:rsidR="0014461C" w:rsidRPr="00797597" w:rsidRDefault="0014461C" w:rsidP="001A568E">
            <w:pPr>
              <w:spacing w:before="120" w:after="120" w:line="240" w:lineRule="auto"/>
              <w:jc w:val="left"/>
              <w:rPr>
                <w:rFonts w:ascii="Arial" w:hAnsi="Arial" w:cs="Arial"/>
                <w:sz w:val="20"/>
                <w:szCs w:val="20"/>
              </w:rPr>
            </w:pPr>
            <w:bookmarkStart w:id="33" w:name="_Hlk98659961"/>
            <w:r w:rsidRPr="00797597">
              <w:rPr>
                <w:rFonts w:ascii="Arial" w:hAnsi="Arial" w:cs="Arial"/>
                <w:sz w:val="20"/>
                <w:szCs w:val="20"/>
              </w:rPr>
              <w:t>EGIG and DCP explored opportunities for expanding PFM collaboration for subnational service delivery. The understanding of the political context and how that can change rapidly informed the options</w:t>
            </w:r>
            <w:bookmarkEnd w:id="33"/>
            <w:r w:rsidRPr="00797597">
              <w:rPr>
                <w:rFonts w:ascii="Arial" w:hAnsi="Arial" w:cs="Arial"/>
                <w:sz w:val="20"/>
                <w:szCs w:val="20"/>
              </w:rPr>
              <w:t xml:space="preserve">. </w:t>
            </w:r>
          </w:p>
          <w:p w14:paraId="2C43CB09" w14:textId="06773808" w:rsidR="0014461C" w:rsidRPr="00797597" w:rsidRDefault="0014461C" w:rsidP="001A568E">
            <w:pPr>
              <w:spacing w:before="120" w:after="120" w:line="240" w:lineRule="auto"/>
              <w:jc w:val="left"/>
              <w:rPr>
                <w:rFonts w:ascii="Arial" w:hAnsi="Arial" w:cs="Arial"/>
                <w:sz w:val="20"/>
                <w:szCs w:val="20"/>
                <w:lang w:val="en-US" w:eastAsia="en-US"/>
              </w:rPr>
            </w:pPr>
            <w:r w:rsidRPr="00797597">
              <w:rPr>
                <w:rFonts w:ascii="Arial" w:hAnsi="Arial" w:cs="Arial"/>
                <w:sz w:val="20"/>
                <w:szCs w:val="20"/>
              </w:rPr>
              <w:t>As part of a tripartite collaboration with the EGIG Partnership and HHISP, DCP Partnership led the design of a Social Accountability concept for the health sector, and specifically the Provincial Health Authorities. This initiative leverages resources and skills in DFAT investments.</w:t>
            </w:r>
          </w:p>
        </w:tc>
      </w:tr>
      <w:tr w:rsidR="0014461C" w:rsidRPr="0014461C" w14:paraId="7F4A0B1D" w14:textId="77777777" w:rsidTr="00797597">
        <w:tc>
          <w:tcPr>
            <w:tcW w:w="4026" w:type="dxa"/>
          </w:tcPr>
          <w:p w14:paraId="4954726A" w14:textId="77777777" w:rsidR="0014461C" w:rsidRPr="00797597" w:rsidRDefault="0014461C" w:rsidP="001A568E">
            <w:pPr>
              <w:pStyle w:val="ListParagraph"/>
              <w:numPr>
                <w:ilvl w:val="0"/>
                <w:numId w:val="18"/>
              </w:numPr>
              <w:spacing w:line="240" w:lineRule="auto"/>
              <w:contextualSpacing/>
              <w:jc w:val="left"/>
              <w:rPr>
                <w:rFonts w:ascii="Arial" w:hAnsi="Arial" w:cs="Arial"/>
                <w:sz w:val="20"/>
                <w:szCs w:val="20"/>
              </w:rPr>
            </w:pPr>
            <w:r w:rsidRPr="00797597">
              <w:rPr>
                <w:rFonts w:ascii="Arial" w:hAnsi="Arial" w:cs="Arial"/>
                <w:sz w:val="20"/>
                <w:szCs w:val="20"/>
              </w:rPr>
              <w:lastRenderedPageBreak/>
              <w:t>seek to translate advances in transparency into greater accountability, working in particular with churches though CPP; and</w:t>
            </w:r>
          </w:p>
        </w:tc>
        <w:tc>
          <w:tcPr>
            <w:tcW w:w="0" w:type="auto"/>
            <w:shd w:val="clear" w:color="auto" w:fill="92D050"/>
          </w:tcPr>
          <w:p w14:paraId="47B62C44" w14:textId="77777777" w:rsidR="0014461C" w:rsidRPr="00797597" w:rsidRDefault="0014461C" w:rsidP="001A568E">
            <w:pPr>
              <w:pStyle w:val="BodyText"/>
              <w:spacing w:before="120" w:after="120" w:line="240" w:lineRule="auto"/>
              <w:rPr>
                <w:rStyle w:val="fontstyle01"/>
                <w:rFonts w:ascii="Arial" w:hAnsi="Arial"/>
              </w:rPr>
            </w:pPr>
          </w:p>
        </w:tc>
        <w:tc>
          <w:tcPr>
            <w:tcW w:w="0" w:type="auto"/>
          </w:tcPr>
          <w:p w14:paraId="32CD0BCA" w14:textId="77777777" w:rsidR="0014461C" w:rsidRPr="00797597" w:rsidRDefault="0014461C" w:rsidP="001A568E">
            <w:pPr>
              <w:pStyle w:val="BodyText"/>
              <w:spacing w:before="120" w:after="120" w:line="240" w:lineRule="auto"/>
              <w:rPr>
                <w:sz w:val="20"/>
                <w:szCs w:val="20"/>
                <w:lang w:val="en-US" w:eastAsia="en-US"/>
              </w:rPr>
            </w:pPr>
            <w:r w:rsidRPr="00797597">
              <w:rPr>
                <w:rStyle w:val="fontstyle01"/>
                <w:rFonts w:ascii="Arial" w:hAnsi="Arial"/>
              </w:rPr>
              <w:t xml:space="preserve">Substantive steps have been taken to integrate the QTAG MTR findings into workplans.  CPP has engaged TEAR Fund to support the partnership and individual churches develop a strategy to take forward a program of Social Accountability.  </w:t>
            </w:r>
          </w:p>
        </w:tc>
      </w:tr>
      <w:tr w:rsidR="0014461C" w:rsidRPr="0014461C" w14:paraId="6DAFCD07" w14:textId="77777777" w:rsidTr="00797597">
        <w:tc>
          <w:tcPr>
            <w:tcW w:w="4026" w:type="dxa"/>
          </w:tcPr>
          <w:p w14:paraId="5699435B" w14:textId="77777777" w:rsidR="0014461C" w:rsidRPr="00797597" w:rsidRDefault="0014461C" w:rsidP="001A568E">
            <w:pPr>
              <w:pStyle w:val="ListParagraph"/>
              <w:numPr>
                <w:ilvl w:val="0"/>
                <w:numId w:val="18"/>
              </w:numPr>
              <w:spacing w:line="240" w:lineRule="auto"/>
              <w:contextualSpacing/>
              <w:jc w:val="left"/>
              <w:rPr>
                <w:rFonts w:ascii="Arial" w:hAnsi="Arial" w:cs="Arial"/>
                <w:sz w:val="20"/>
                <w:szCs w:val="20"/>
              </w:rPr>
            </w:pPr>
            <w:r w:rsidRPr="00797597">
              <w:rPr>
                <w:rFonts w:ascii="Arial" w:hAnsi="Arial" w:cs="Arial"/>
                <w:sz w:val="20"/>
                <w:szCs w:val="20"/>
              </w:rPr>
              <w:t xml:space="preserve">complete a broader GESI strategy and integrated it into the PAF. </w:t>
            </w:r>
          </w:p>
        </w:tc>
        <w:tc>
          <w:tcPr>
            <w:tcW w:w="0" w:type="auto"/>
            <w:shd w:val="clear" w:color="auto" w:fill="92D050"/>
          </w:tcPr>
          <w:p w14:paraId="50B9E295" w14:textId="77777777" w:rsidR="0014461C" w:rsidRPr="00797597" w:rsidRDefault="0014461C" w:rsidP="001A568E">
            <w:pPr>
              <w:spacing w:before="120" w:after="120" w:line="240" w:lineRule="auto"/>
              <w:jc w:val="left"/>
              <w:rPr>
                <w:rFonts w:ascii="Arial" w:hAnsi="Arial" w:cs="Arial"/>
                <w:sz w:val="20"/>
                <w:szCs w:val="20"/>
              </w:rPr>
            </w:pPr>
          </w:p>
        </w:tc>
        <w:tc>
          <w:tcPr>
            <w:tcW w:w="0" w:type="auto"/>
          </w:tcPr>
          <w:p w14:paraId="063656E2"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 xml:space="preserve">Completed. </w:t>
            </w:r>
          </w:p>
        </w:tc>
      </w:tr>
      <w:tr w:rsidR="0014461C" w:rsidRPr="0014461C" w14:paraId="1292EE48" w14:textId="77777777" w:rsidTr="00797597">
        <w:tc>
          <w:tcPr>
            <w:tcW w:w="4026" w:type="dxa"/>
          </w:tcPr>
          <w:p w14:paraId="0C5976D7" w14:textId="6447586A" w:rsidR="0014461C" w:rsidRPr="00797597" w:rsidRDefault="0014461C" w:rsidP="001A568E">
            <w:pPr>
              <w:pStyle w:val="BodyText"/>
              <w:spacing w:before="120" w:after="120" w:line="240" w:lineRule="auto"/>
              <w:rPr>
                <w:sz w:val="20"/>
                <w:szCs w:val="20"/>
              </w:rPr>
            </w:pPr>
            <w:r w:rsidRPr="00797597">
              <w:rPr>
                <w:sz w:val="20"/>
                <w:szCs w:val="20"/>
              </w:rPr>
              <w:t xml:space="preserve">EGIG offer the Department of Finance </w:t>
            </w:r>
            <w:r w:rsidR="00056E00" w:rsidRPr="00797597">
              <w:rPr>
                <w:sz w:val="20"/>
                <w:szCs w:val="20"/>
              </w:rPr>
              <w:t xml:space="preserve">some </w:t>
            </w:r>
            <w:r w:rsidRPr="00797597">
              <w:rPr>
                <w:sz w:val="20"/>
                <w:szCs w:val="20"/>
              </w:rPr>
              <w:t>support</w:t>
            </w:r>
            <w:r w:rsidR="00056E00" w:rsidRPr="00797597">
              <w:rPr>
                <w:sz w:val="20"/>
                <w:szCs w:val="20"/>
              </w:rPr>
              <w:t xml:space="preserve"> on</w:t>
            </w:r>
            <w:r w:rsidRPr="00797597">
              <w:rPr>
                <w:sz w:val="20"/>
                <w:szCs w:val="20"/>
              </w:rPr>
              <w:t xml:space="preserve"> implementation and early outturn monitoring of IFMS to enhance effectiveness, particularly based around increased accountability and transparency.</w:t>
            </w:r>
          </w:p>
        </w:tc>
        <w:tc>
          <w:tcPr>
            <w:tcW w:w="0" w:type="auto"/>
            <w:shd w:val="clear" w:color="auto" w:fill="92D050"/>
          </w:tcPr>
          <w:p w14:paraId="5F30BBCB" w14:textId="77777777" w:rsidR="0014461C" w:rsidRPr="00797597" w:rsidRDefault="0014461C" w:rsidP="001A568E">
            <w:pPr>
              <w:pStyle w:val="BodyText"/>
              <w:spacing w:before="120" w:after="120" w:line="240" w:lineRule="auto"/>
              <w:rPr>
                <w:sz w:val="20"/>
                <w:szCs w:val="20"/>
              </w:rPr>
            </w:pPr>
          </w:p>
        </w:tc>
        <w:tc>
          <w:tcPr>
            <w:tcW w:w="0" w:type="auto"/>
          </w:tcPr>
          <w:p w14:paraId="6BA14298" w14:textId="665D84DB" w:rsidR="0014461C" w:rsidRPr="00797597" w:rsidRDefault="00056E00" w:rsidP="001A568E">
            <w:pPr>
              <w:pStyle w:val="BodyText"/>
              <w:spacing w:before="120" w:after="120" w:line="240" w:lineRule="auto"/>
              <w:rPr>
                <w:sz w:val="20"/>
                <w:szCs w:val="20"/>
              </w:rPr>
            </w:pPr>
            <w:r w:rsidRPr="00797597">
              <w:rPr>
                <w:sz w:val="20"/>
                <w:szCs w:val="20"/>
              </w:rPr>
              <w:t>A review of the Economic Partnership by the AHC</w:t>
            </w:r>
            <w:r w:rsidRPr="00797597">
              <w:rPr>
                <w:b/>
                <w:bCs/>
                <w:sz w:val="20"/>
                <w:szCs w:val="20"/>
              </w:rPr>
              <w:t xml:space="preserve"> </w:t>
            </w:r>
            <w:r w:rsidRPr="00797597">
              <w:rPr>
                <w:sz w:val="20"/>
                <w:szCs w:val="20"/>
              </w:rPr>
              <w:t xml:space="preserve">concluded that a greater focus on accountability and transparency was appropriate and led to options being explored by EGIG and DOF advisers. </w:t>
            </w:r>
            <w:r w:rsidR="0014461C" w:rsidRPr="00797597">
              <w:rPr>
                <w:sz w:val="20"/>
                <w:szCs w:val="20"/>
              </w:rPr>
              <w:t>As outlined in section 3.2, EGIG provided significant support to DOF for towards the implementation and early outturn monitoring of IFMS. However, the malware attack on IFMS has rendered the system unusable at the sub-national level reducing EGIG’s ability to make progress on this since August 2021.</w:t>
            </w:r>
          </w:p>
          <w:p w14:paraId="2484B7FB" w14:textId="67A78AF7" w:rsidR="0014461C" w:rsidRPr="00797597" w:rsidRDefault="0014461C" w:rsidP="001A568E">
            <w:pPr>
              <w:pStyle w:val="BodyText"/>
              <w:spacing w:before="120" w:after="120" w:line="240" w:lineRule="auto"/>
              <w:rPr>
                <w:sz w:val="20"/>
                <w:szCs w:val="20"/>
              </w:rPr>
            </w:pPr>
            <w:r w:rsidRPr="00797597">
              <w:rPr>
                <w:sz w:val="20"/>
                <w:szCs w:val="20"/>
              </w:rPr>
              <w:t xml:space="preserve">See </w:t>
            </w:r>
            <w:r w:rsidR="00056E00" w:rsidRPr="00797597">
              <w:rPr>
                <w:sz w:val="20"/>
                <w:szCs w:val="20"/>
              </w:rPr>
              <w:t xml:space="preserve">Recommendation </w:t>
            </w:r>
            <w:r w:rsidRPr="00797597">
              <w:rPr>
                <w:sz w:val="20"/>
                <w:szCs w:val="20"/>
              </w:rPr>
              <w:t>2.</w:t>
            </w:r>
            <w:r w:rsidR="00056E00" w:rsidRPr="00797597">
              <w:rPr>
                <w:sz w:val="20"/>
                <w:szCs w:val="20"/>
              </w:rPr>
              <w:t>c)</w:t>
            </w:r>
            <w:r w:rsidRPr="00797597">
              <w:rPr>
                <w:sz w:val="20"/>
                <w:szCs w:val="20"/>
              </w:rPr>
              <w:t xml:space="preserve"> for collaboration with DCP. Political feasibility and the challenges to sub-national IFMS roll-out were considered to be serious factors before the C</w:t>
            </w:r>
            <w:r w:rsidR="00056E00" w:rsidRPr="00797597">
              <w:rPr>
                <w:sz w:val="20"/>
                <w:szCs w:val="20"/>
              </w:rPr>
              <w:t>OVID-19</w:t>
            </w:r>
            <w:r w:rsidRPr="00797597">
              <w:rPr>
                <w:sz w:val="20"/>
                <w:szCs w:val="20"/>
              </w:rPr>
              <w:t xml:space="preserve"> response changed the strategic priorities for EGIG.  </w:t>
            </w:r>
          </w:p>
        </w:tc>
      </w:tr>
      <w:tr w:rsidR="0014461C" w:rsidRPr="0014461C" w14:paraId="089E1BBF" w14:textId="77777777" w:rsidTr="00797597">
        <w:tc>
          <w:tcPr>
            <w:tcW w:w="4026" w:type="dxa"/>
          </w:tcPr>
          <w:p w14:paraId="29CBE852" w14:textId="408D6920" w:rsidR="0014461C" w:rsidRPr="00797597" w:rsidRDefault="0014461C" w:rsidP="001A568E">
            <w:pPr>
              <w:pStyle w:val="BodyText"/>
              <w:spacing w:before="120" w:after="120" w:line="240" w:lineRule="auto"/>
              <w:rPr>
                <w:sz w:val="20"/>
                <w:szCs w:val="20"/>
              </w:rPr>
            </w:pPr>
            <w:r w:rsidRPr="00797597">
              <w:rPr>
                <w:sz w:val="20"/>
                <w:szCs w:val="20"/>
              </w:rPr>
              <w:t xml:space="preserve">EGIG spend time and resources to build on the opportunities created by effective MEL, analysis, </w:t>
            </w:r>
            <w:r w:rsidR="004A6988" w:rsidRPr="00797597">
              <w:rPr>
                <w:sz w:val="20"/>
                <w:szCs w:val="20"/>
              </w:rPr>
              <w:t>communications,</w:t>
            </w:r>
            <w:r w:rsidRPr="00797597">
              <w:rPr>
                <w:sz w:val="20"/>
                <w:szCs w:val="20"/>
              </w:rPr>
              <w:t xml:space="preserve"> and engagement to: </w:t>
            </w:r>
          </w:p>
          <w:p w14:paraId="0E9C530E" w14:textId="77777777" w:rsidR="0014461C" w:rsidRPr="00797597" w:rsidRDefault="0014461C" w:rsidP="001A568E">
            <w:pPr>
              <w:pStyle w:val="BodyText"/>
              <w:numPr>
                <w:ilvl w:val="0"/>
                <w:numId w:val="19"/>
              </w:numPr>
              <w:spacing w:before="120" w:after="120" w:line="240" w:lineRule="auto"/>
              <w:rPr>
                <w:sz w:val="20"/>
                <w:szCs w:val="20"/>
              </w:rPr>
            </w:pPr>
            <w:r w:rsidRPr="00797597">
              <w:rPr>
                <w:sz w:val="20"/>
                <w:szCs w:val="20"/>
              </w:rPr>
              <w:t>seek to refine its program of initiatives to those that will make the greatest development impact; and</w:t>
            </w:r>
          </w:p>
          <w:p w14:paraId="1E2AFB95" w14:textId="77777777" w:rsidR="0014461C" w:rsidRPr="00797597" w:rsidRDefault="0014461C" w:rsidP="001A568E">
            <w:pPr>
              <w:pStyle w:val="BodyText"/>
              <w:numPr>
                <w:ilvl w:val="0"/>
                <w:numId w:val="19"/>
              </w:numPr>
              <w:spacing w:before="120" w:after="120" w:line="240" w:lineRule="auto"/>
              <w:rPr>
                <w:sz w:val="20"/>
                <w:szCs w:val="20"/>
              </w:rPr>
            </w:pPr>
            <w:r w:rsidRPr="00797597">
              <w:rPr>
                <w:sz w:val="20"/>
                <w:szCs w:val="20"/>
              </w:rPr>
              <w:t>make available the impact stories to the people who matter, the two governments, the people of PNG and other stakeholders.</w:t>
            </w:r>
          </w:p>
        </w:tc>
        <w:tc>
          <w:tcPr>
            <w:tcW w:w="0" w:type="auto"/>
            <w:shd w:val="clear" w:color="auto" w:fill="92D050"/>
          </w:tcPr>
          <w:p w14:paraId="72023F25" w14:textId="77777777" w:rsidR="0014461C" w:rsidRPr="00797597" w:rsidRDefault="0014461C" w:rsidP="001A568E">
            <w:pPr>
              <w:pStyle w:val="BodyText"/>
              <w:spacing w:before="120" w:after="120" w:line="240" w:lineRule="auto"/>
              <w:rPr>
                <w:sz w:val="20"/>
                <w:szCs w:val="20"/>
              </w:rPr>
            </w:pPr>
          </w:p>
        </w:tc>
        <w:tc>
          <w:tcPr>
            <w:tcW w:w="0" w:type="auto"/>
          </w:tcPr>
          <w:p w14:paraId="5B3D5B3C" w14:textId="25D11826" w:rsidR="0014461C" w:rsidRPr="00797597" w:rsidRDefault="0014461C" w:rsidP="001A568E">
            <w:pPr>
              <w:pStyle w:val="BodyText"/>
              <w:spacing w:before="120" w:after="120" w:line="240" w:lineRule="auto"/>
              <w:rPr>
                <w:sz w:val="20"/>
                <w:szCs w:val="20"/>
              </w:rPr>
            </w:pPr>
            <w:r w:rsidRPr="00797597">
              <w:rPr>
                <w:sz w:val="20"/>
                <w:szCs w:val="20"/>
              </w:rPr>
              <w:t>EGIG made sizable improvements to their communications and MEL, delivering impact stories, particularly on Outcome 3 activities. The commencement of COVID</w:t>
            </w:r>
            <w:r w:rsidR="00056E00" w:rsidRPr="00797597">
              <w:rPr>
                <w:sz w:val="20"/>
                <w:szCs w:val="20"/>
              </w:rPr>
              <w:t>-19</w:t>
            </w:r>
            <w:r w:rsidRPr="00797597">
              <w:rPr>
                <w:sz w:val="20"/>
                <w:szCs w:val="20"/>
              </w:rPr>
              <w:t xml:space="preserve"> resulted in a refinement of EGIG’s activities, shifting the focus towards government fiscal sustainability in Outcome 1 and business sustainability in Outcome 3. Given the context, these were the areas with the greatest development impact.</w:t>
            </w:r>
          </w:p>
          <w:p w14:paraId="5BE2031B" w14:textId="77777777" w:rsidR="0014461C" w:rsidRPr="00797597" w:rsidRDefault="0014461C" w:rsidP="001A568E">
            <w:pPr>
              <w:pStyle w:val="BodyText"/>
              <w:spacing w:before="120" w:after="120" w:line="240" w:lineRule="auto"/>
              <w:rPr>
                <w:sz w:val="20"/>
                <w:szCs w:val="20"/>
              </w:rPr>
            </w:pPr>
          </w:p>
        </w:tc>
      </w:tr>
      <w:tr w:rsidR="0014461C" w:rsidRPr="0014461C" w14:paraId="70737E5A" w14:textId="77777777" w:rsidTr="00797597">
        <w:tc>
          <w:tcPr>
            <w:tcW w:w="4026" w:type="dxa"/>
          </w:tcPr>
          <w:p w14:paraId="349B284F"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An independent strategic review of KIP should be undertaken to inform a more holistic and strategic way forward.</w:t>
            </w:r>
          </w:p>
        </w:tc>
        <w:tc>
          <w:tcPr>
            <w:tcW w:w="0" w:type="auto"/>
            <w:shd w:val="clear" w:color="auto" w:fill="92D050"/>
          </w:tcPr>
          <w:p w14:paraId="3F6621D6" w14:textId="77777777" w:rsidR="0014461C" w:rsidRPr="00797597" w:rsidRDefault="0014461C" w:rsidP="001A568E">
            <w:pPr>
              <w:spacing w:before="120" w:after="120" w:line="240" w:lineRule="auto"/>
              <w:jc w:val="left"/>
              <w:rPr>
                <w:rFonts w:ascii="Arial" w:hAnsi="Arial" w:cs="Arial"/>
                <w:sz w:val="20"/>
                <w:szCs w:val="20"/>
              </w:rPr>
            </w:pPr>
          </w:p>
        </w:tc>
        <w:tc>
          <w:tcPr>
            <w:tcW w:w="0" w:type="auto"/>
          </w:tcPr>
          <w:p w14:paraId="4C2CDEFD"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Review conducted.</w:t>
            </w:r>
          </w:p>
        </w:tc>
      </w:tr>
      <w:tr w:rsidR="0014461C" w:rsidRPr="0014461C" w14:paraId="35EC5908" w14:textId="77777777" w:rsidTr="00797597">
        <w:tc>
          <w:tcPr>
            <w:tcW w:w="4026" w:type="dxa"/>
          </w:tcPr>
          <w:p w14:paraId="19C338DC"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lastRenderedPageBreak/>
              <w:t>PPF Effectiveness can be enhanced by:</w:t>
            </w:r>
          </w:p>
          <w:p w14:paraId="716914A1" w14:textId="77777777" w:rsidR="0014461C" w:rsidRPr="00797597" w:rsidRDefault="0014461C" w:rsidP="001A568E">
            <w:pPr>
              <w:pStyle w:val="BodyText"/>
              <w:numPr>
                <w:ilvl w:val="0"/>
                <w:numId w:val="20"/>
              </w:numPr>
              <w:spacing w:before="120" w:after="120" w:line="240" w:lineRule="auto"/>
              <w:rPr>
                <w:sz w:val="20"/>
                <w:szCs w:val="20"/>
              </w:rPr>
            </w:pPr>
            <w:r w:rsidRPr="00797597">
              <w:rPr>
                <w:sz w:val="20"/>
                <w:szCs w:val="20"/>
              </w:rPr>
              <w:t>completing a GESI Strategy</w:t>
            </w:r>
          </w:p>
          <w:p w14:paraId="674953FB" w14:textId="77777777" w:rsidR="0014461C" w:rsidRPr="00797597" w:rsidRDefault="0014461C" w:rsidP="001A568E">
            <w:pPr>
              <w:pStyle w:val="BodyText"/>
              <w:numPr>
                <w:ilvl w:val="0"/>
                <w:numId w:val="20"/>
              </w:numPr>
              <w:spacing w:before="120" w:after="120" w:line="240" w:lineRule="auto"/>
              <w:rPr>
                <w:sz w:val="20"/>
                <w:szCs w:val="20"/>
              </w:rPr>
            </w:pPr>
            <w:bookmarkStart w:id="34" w:name="_Hlk98665339"/>
            <w:r w:rsidRPr="00797597">
              <w:rPr>
                <w:sz w:val="20"/>
                <w:szCs w:val="20"/>
              </w:rPr>
              <w:t>PPF and Church Partnership Program supporting civil society and the churches to share successes and lessons around disability, GESI, maternal and child health, and elementary education; and</w:t>
            </w:r>
            <w:bookmarkEnd w:id="34"/>
          </w:p>
          <w:p w14:paraId="0327A8D1" w14:textId="77777777" w:rsidR="0014461C" w:rsidRPr="00797597" w:rsidRDefault="0014461C" w:rsidP="001A568E">
            <w:pPr>
              <w:pStyle w:val="BodyText"/>
              <w:numPr>
                <w:ilvl w:val="0"/>
                <w:numId w:val="20"/>
              </w:numPr>
              <w:spacing w:before="120" w:after="120" w:line="240" w:lineRule="auto"/>
              <w:rPr>
                <w:sz w:val="20"/>
                <w:szCs w:val="20"/>
              </w:rPr>
            </w:pPr>
            <w:r w:rsidRPr="00797597">
              <w:rPr>
                <w:sz w:val="20"/>
                <w:szCs w:val="20"/>
              </w:rPr>
              <w:t>Tracking and reporting on the effectiveness of gender budgeting within the immunisation grants.</w:t>
            </w:r>
          </w:p>
        </w:tc>
        <w:tc>
          <w:tcPr>
            <w:tcW w:w="0" w:type="auto"/>
            <w:shd w:val="clear" w:color="auto" w:fill="92D050"/>
          </w:tcPr>
          <w:p w14:paraId="23840B3B" w14:textId="77777777" w:rsidR="0014461C" w:rsidRPr="00797597" w:rsidRDefault="0014461C" w:rsidP="001A568E">
            <w:pPr>
              <w:spacing w:before="120" w:after="120" w:line="240" w:lineRule="auto"/>
              <w:jc w:val="left"/>
              <w:rPr>
                <w:rFonts w:ascii="Arial" w:hAnsi="Arial" w:cs="Arial"/>
                <w:sz w:val="20"/>
                <w:szCs w:val="20"/>
              </w:rPr>
            </w:pPr>
          </w:p>
        </w:tc>
        <w:tc>
          <w:tcPr>
            <w:tcW w:w="0" w:type="auto"/>
          </w:tcPr>
          <w:p w14:paraId="1BAF9DD8"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 xml:space="preserve">GESI strategy completed with program reporting resource allocations. </w:t>
            </w:r>
          </w:p>
          <w:p w14:paraId="3B4735EB"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rPr>
              <w:t xml:space="preserve">The CPP recommendation was overtaken by the pivot by of that program towards communications on Covid </w:t>
            </w:r>
          </w:p>
        </w:tc>
      </w:tr>
      <w:tr w:rsidR="0014461C" w:rsidRPr="0014461C" w14:paraId="0843B55E" w14:textId="77777777" w:rsidTr="00797597">
        <w:tc>
          <w:tcPr>
            <w:tcW w:w="4026" w:type="dxa"/>
          </w:tcPr>
          <w:p w14:paraId="47204785" w14:textId="0265504A" w:rsidR="0014461C" w:rsidRPr="00797597" w:rsidRDefault="0014461C" w:rsidP="001A568E">
            <w:pPr>
              <w:spacing w:before="120" w:after="120" w:line="240" w:lineRule="auto"/>
              <w:jc w:val="left"/>
              <w:rPr>
                <w:rFonts w:ascii="Arial" w:hAnsi="Arial" w:cs="Arial"/>
                <w:sz w:val="20"/>
                <w:szCs w:val="20"/>
              </w:rPr>
            </w:pPr>
            <w:bookmarkStart w:id="35" w:name="_Hlk98663474"/>
            <w:r w:rsidRPr="00797597">
              <w:rPr>
                <w:rFonts w:ascii="Arial" w:hAnsi="Arial" w:cs="Arial"/>
                <w:sz w:val="20"/>
                <w:szCs w:val="20"/>
              </w:rPr>
              <w:t>PPF Evaluations – one case study across the three education grants and one case study across the four health grants – should be programmed by Abt PNG for 2019/20 to identify:  development outcomes and achievements at scale; interventions that could be scaled up and those that should cease; lessons as to how the grants have enhanced policy decisions in the respective government agencies and contributed to removing institutional and organisational barriers to the delivery of health and education services.</w:t>
            </w:r>
            <w:bookmarkEnd w:id="35"/>
          </w:p>
        </w:tc>
        <w:tc>
          <w:tcPr>
            <w:tcW w:w="0" w:type="auto"/>
            <w:shd w:val="clear" w:color="auto" w:fill="92D050"/>
          </w:tcPr>
          <w:p w14:paraId="3C649B53" w14:textId="77777777" w:rsidR="0014461C" w:rsidRPr="00797597" w:rsidRDefault="0014461C" w:rsidP="001A568E">
            <w:pPr>
              <w:spacing w:before="120" w:after="120" w:line="240" w:lineRule="auto"/>
              <w:jc w:val="left"/>
              <w:rPr>
                <w:rFonts w:ascii="Arial" w:hAnsi="Arial" w:cs="Arial"/>
                <w:sz w:val="20"/>
                <w:szCs w:val="20"/>
              </w:rPr>
            </w:pPr>
          </w:p>
        </w:tc>
        <w:tc>
          <w:tcPr>
            <w:tcW w:w="0" w:type="auto"/>
          </w:tcPr>
          <w:p w14:paraId="7AA7891A" w14:textId="77777777" w:rsidR="0014461C" w:rsidRPr="00797597" w:rsidRDefault="0014461C" w:rsidP="001A568E">
            <w:pPr>
              <w:pStyle w:val="BodyText"/>
              <w:spacing w:before="120" w:after="120" w:line="240" w:lineRule="auto"/>
              <w:rPr>
                <w:sz w:val="20"/>
                <w:szCs w:val="20"/>
              </w:rPr>
            </w:pPr>
            <w:r w:rsidRPr="00797597">
              <w:rPr>
                <w:sz w:val="20"/>
                <w:szCs w:val="20"/>
              </w:rPr>
              <w:t xml:space="preserve">A Marie Stopes (Health) case study was included in the Annual Report 2019. The July-December 2020 SMR has six case studies on education. </w:t>
            </w:r>
          </w:p>
        </w:tc>
      </w:tr>
      <w:tr w:rsidR="0014461C" w:rsidRPr="0014461C" w14:paraId="0B6C5879" w14:textId="77777777" w:rsidTr="00797597">
        <w:trPr>
          <w:trHeight w:val="2366"/>
        </w:trPr>
        <w:tc>
          <w:tcPr>
            <w:tcW w:w="4026" w:type="dxa"/>
          </w:tcPr>
          <w:p w14:paraId="289181A2" w14:textId="51D627FA" w:rsidR="0014461C" w:rsidRPr="00797597" w:rsidRDefault="0014461C" w:rsidP="001A568E">
            <w:pPr>
              <w:spacing w:before="120" w:after="120" w:line="240" w:lineRule="auto"/>
              <w:jc w:val="left"/>
              <w:rPr>
                <w:rFonts w:ascii="Arial" w:hAnsi="Arial" w:cs="Arial"/>
                <w:sz w:val="20"/>
                <w:szCs w:val="20"/>
                <w:lang w:val="en-AU" w:eastAsia="en-US"/>
              </w:rPr>
            </w:pPr>
            <w:r w:rsidRPr="00797597">
              <w:rPr>
                <w:rFonts w:ascii="Arial" w:hAnsi="Arial" w:cs="Arial"/>
                <w:sz w:val="20"/>
                <w:szCs w:val="20"/>
                <w:lang w:val="en-AU" w:eastAsia="en-US"/>
              </w:rPr>
              <w:t xml:space="preserve">All partnerships to finalise strategies for GESI (incorporating gender, </w:t>
            </w:r>
            <w:r w:rsidR="004A6988" w:rsidRPr="00797597">
              <w:rPr>
                <w:rFonts w:ascii="Arial" w:hAnsi="Arial" w:cs="Arial"/>
                <w:sz w:val="20"/>
                <w:szCs w:val="20"/>
                <w:lang w:val="en-AU" w:eastAsia="en-US"/>
              </w:rPr>
              <w:t>disability,</w:t>
            </w:r>
            <w:r w:rsidRPr="00797597">
              <w:rPr>
                <w:rFonts w:ascii="Arial" w:hAnsi="Arial" w:cs="Arial"/>
                <w:sz w:val="20"/>
                <w:szCs w:val="20"/>
                <w:lang w:val="en-AU" w:eastAsia="en-US"/>
              </w:rPr>
              <w:t xml:space="preserve"> and broader issues of inclusion) and ensure complete integration within results frameworks or PAFs and MEL strategies so that reporting reflects progress towards GESI outcomes as well as reporting spend on gender as per DFAT requirements. Partnership workstreams should include specific MEL processes to capture outcomes on GESI, building on hard data where possible (</w:t>
            </w:r>
            <w:r w:rsidR="004A6988" w:rsidRPr="00797597">
              <w:rPr>
                <w:rFonts w:ascii="Arial" w:hAnsi="Arial" w:cs="Arial"/>
                <w:sz w:val="20"/>
                <w:szCs w:val="20"/>
                <w:lang w:val="en-AU" w:eastAsia="en-US"/>
              </w:rPr>
              <w:t>e.g.,</w:t>
            </w:r>
            <w:r w:rsidRPr="00797597">
              <w:rPr>
                <w:rFonts w:ascii="Arial" w:hAnsi="Arial" w:cs="Arial"/>
                <w:sz w:val="20"/>
                <w:szCs w:val="20"/>
                <w:lang w:val="en-AU" w:eastAsia="en-US"/>
              </w:rPr>
              <w:t xml:space="preserve"> survey data) or developing case studies to articulate change processes and outcomes as a basis for future programming.</w:t>
            </w:r>
          </w:p>
        </w:tc>
        <w:tc>
          <w:tcPr>
            <w:tcW w:w="0" w:type="auto"/>
            <w:shd w:val="clear" w:color="auto" w:fill="92D050"/>
          </w:tcPr>
          <w:p w14:paraId="7126FD50" w14:textId="77777777" w:rsidR="0014461C" w:rsidRPr="00797597" w:rsidRDefault="0014461C" w:rsidP="001A568E">
            <w:pPr>
              <w:pStyle w:val="BodyText"/>
              <w:spacing w:before="120" w:after="120" w:line="240" w:lineRule="auto"/>
              <w:rPr>
                <w:sz w:val="20"/>
                <w:szCs w:val="20"/>
              </w:rPr>
            </w:pPr>
          </w:p>
        </w:tc>
        <w:tc>
          <w:tcPr>
            <w:tcW w:w="0" w:type="auto"/>
          </w:tcPr>
          <w:p w14:paraId="7FD0E19E" w14:textId="77777777" w:rsidR="0014461C" w:rsidRPr="00797597" w:rsidRDefault="0014461C" w:rsidP="001A568E">
            <w:pPr>
              <w:spacing w:before="120" w:after="120" w:line="240" w:lineRule="auto"/>
              <w:jc w:val="left"/>
              <w:rPr>
                <w:rFonts w:ascii="Arial" w:hAnsi="Arial" w:cs="Arial"/>
                <w:sz w:val="20"/>
                <w:szCs w:val="20"/>
                <w:lang w:val="en-AU" w:eastAsia="en-US"/>
              </w:rPr>
            </w:pPr>
            <w:r w:rsidRPr="00797597">
              <w:rPr>
                <w:rFonts w:ascii="Arial" w:hAnsi="Arial" w:cs="Arial"/>
                <w:sz w:val="20"/>
                <w:szCs w:val="20"/>
                <w:lang w:val="en-AU" w:eastAsia="en-US"/>
              </w:rPr>
              <w:t xml:space="preserve">All partnerships completed strategies, integrated these into PAFS and tracked expenditure.  </w:t>
            </w:r>
          </w:p>
        </w:tc>
      </w:tr>
      <w:tr w:rsidR="0014461C" w:rsidRPr="0014461C" w14:paraId="0FF43121" w14:textId="77777777" w:rsidTr="00797597">
        <w:trPr>
          <w:trHeight w:val="3010"/>
        </w:trPr>
        <w:tc>
          <w:tcPr>
            <w:tcW w:w="4026" w:type="dxa"/>
          </w:tcPr>
          <w:p w14:paraId="568AC6FD" w14:textId="77777777" w:rsidR="0014461C" w:rsidRPr="00797597" w:rsidRDefault="0014461C" w:rsidP="001A568E">
            <w:pPr>
              <w:spacing w:before="120" w:after="120" w:line="240" w:lineRule="auto"/>
              <w:jc w:val="left"/>
              <w:rPr>
                <w:rFonts w:ascii="Arial" w:eastAsia="Roboto Light" w:hAnsi="Arial" w:cs="Arial"/>
                <w:sz w:val="20"/>
                <w:szCs w:val="20"/>
              </w:rPr>
            </w:pPr>
            <w:r w:rsidRPr="00797597">
              <w:rPr>
                <w:rFonts w:ascii="Arial" w:eastAsia="Roboto Light" w:hAnsi="Arial" w:cs="Arial"/>
                <w:sz w:val="20"/>
                <w:szCs w:val="20"/>
              </w:rPr>
              <w:lastRenderedPageBreak/>
              <w:t>Performance Assessment Frameworks (PAFs)</w:t>
            </w:r>
          </w:p>
          <w:p w14:paraId="2500B81F" w14:textId="77777777" w:rsidR="0014461C" w:rsidRPr="00797597" w:rsidRDefault="0014461C" w:rsidP="001A568E">
            <w:pPr>
              <w:pStyle w:val="Boxtext"/>
              <w:numPr>
                <w:ilvl w:val="0"/>
                <w:numId w:val="17"/>
              </w:numPr>
              <w:ind w:left="924" w:hanging="357"/>
              <w:rPr>
                <w:rFonts w:ascii="Arial" w:eastAsia="Roboto Light" w:hAnsi="Arial" w:cs="Arial"/>
              </w:rPr>
            </w:pPr>
            <w:r w:rsidRPr="00797597">
              <w:rPr>
                <w:rFonts w:ascii="Arial" w:eastAsia="Roboto Light" w:hAnsi="Arial" w:cs="Arial"/>
              </w:rPr>
              <w:t>by 31 October 2019 complete the whole-of-facility PAF. As part of this process Abt should pilot test the identification and measurement of a small number of cross-partnership outcomes; and</w:t>
            </w:r>
          </w:p>
          <w:p w14:paraId="27A4396E" w14:textId="77777777" w:rsidR="0014461C" w:rsidRPr="00797597" w:rsidRDefault="0014461C" w:rsidP="001A568E">
            <w:pPr>
              <w:pStyle w:val="Boxtext"/>
              <w:numPr>
                <w:ilvl w:val="0"/>
                <w:numId w:val="17"/>
              </w:numPr>
              <w:ind w:left="924" w:hanging="357"/>
              <w:rPr>
                <w:rFonts w:ascii="Arial" w:eastAsia="Roboto Light" w:hAnsi="Arial" w:cs="Arial"/>
              </w:rPr>
            </w:pPr>
            <w:r w:rsidRPr="00797597">
              <w:rPr>
                <w:rFonts w:ascii="Arial" w:eastAsia="Roboto Light" w:hAnsi="Arial" w:cs="Arial"/>
              </w:rPr>
              <w:t xml:space="preserve">by November 2019 all Governance Partnership PAFs need to be brought into line with DFAT’s PAF/MEL standards. All PAFs should reflect a realistic and achievable level of ambition and clear program logic while using DFAT’s templates and terminology. </w:t>
            </w:r>
          </w:p>
        </w:tc>
        <w:tc>
          <w:tcPr>
            <w:tcW w:w="0" w:type="auto"/>
            <w:shd w:val="clear" w:color="auto" w:fill="92D050"/>
          </w:tcPr>
          <w:p w14:paraId="623C0554" w14:textId="77777777" w:rsidR="0014461C" w:rsidRPr="00797597" w:rsidRDefault="0014461C" w:rsidP="001A568E">
            <w:pPr>
              <w:pStyle w:val="BodyText"/>
              <w:spacing w:before="120" w:after="120" w:line="240" w:lineRule="auto"/>
              <w:rPr>
                <w:sz w:val="20"/>
                <w:szCs w:val="20"/>
              </w:rPr>
            </w:pPr>
          </w:p>
        </w:tc>
        <w:tc>
          <w:tcPr>
            <w:tcW w:w="0" w:type="auto"/>
          </w:tcPr>
          <w:p w14:paraId="33A55596" w14:textId="77777777" w:rsidR="0014461C" w:rsidRPr="00797597" w:rsidRDefault="0014461C" w:rsidP="001A568E">
            <w:pPr>
              <w:pStyle w:val="Boxtext"/>
              <w:rPr>
                <w:rFonts w:ascii="Arial" w:eastAsia="Roboto Light" w:hAnsi="Arial" w:cs="Arial"/>
              </w:rPr>
            </w:pPr>
            <w:r w:rsidRPr="00797597">
              <w:rPr>
                <w:rFonts w:ascii="Arial" w:eastAsia="Roboto Light" w:hAnsi="Arial" w:cs="Arial"/>
              </w:rPr>
              <w:t>Platform PAF completed.  MC reporting highlights cross-partnerships initiatives.</w:t>
            </w:r>
          </w:p>
          <w:p w14:paraId="68D12ECF" w14:textId="77777777" w:rsidR="0014461C" w:rsidRPr="00797597" w:rsidRDefault="0014461C" w:rsidP="001A568E">
            <w:pPr>
              <w:pStyle w:val="Boxtext"/>
              <w:rPr>
                <w:rFonts w:ascii="Arial" w:eastAsia="Roboto Light" w:hAnsi="Arial" w:cs="Arial"/>
              </w:rPr>
            </w:pPr>
          </w:p>
          <w:p w14:paraId="3BFDBACD" w14:textId="0256F8FA" w:rsidR="0014461C" w:rsidRPr="00797597" w:rsidRDefault="0014461C" w:rsidP="001A568E">
            <w:pPr>
              <w:pStyle w:val="Boxtext"/>
              <w:rPr>
                <w:rFonts w:ascii="Arial" w:eastAsia="Roboto Light" w:hAnsi="Arial" w:cs="Arial"/>
              </w:rPr>
            </w:pPr>
            <w:r w:rsidRPr="00797597">
              <w:rPr>
                <w:rFonts w:ascii="Arial" w:eastAsia="Roboto Light" w:hAnsi="Arial" w:cs="Arial"/>
              </w:rPr>
              <w:t xml:space="preserve">The MC commissioned an in-depth review on its PAF and MEL systems.  A </w:t>
            </w:r>
            <w:r w:rsidR="00056E00" w:rsidRPr="00797597">
              <w:rPr>
                <w:rFonts w:ascii="Arial" w:eastAsia="Roboto Light" w:hAnsi="Arial" w:cs="Arial"/>
              </w:rPr>
              <w:t>fully reasoned</w:t>
            </w:r>
            <w:r w:rsidRPr="00797597">
              <w:rPr>
                <w:rFonts w:ascii="Arial" w:eastAsia="Roboto Light" w:hAnsi="Arial" w:cs="Arial"/>
              </w:rPr>
              <w:t xml:space="preserve"> case was made for non-compliance with some aspects of the DFAT standards in the context of a facility operating in </w:t>
            </w:r>
            <w:r w:rsidR="00056E00" w:rsidRPr="00797597">
              <w:rPr>
                <w:rFonts w:ascii="Arial" w:eastAsia="Roboto Light" w:hAnsi="Arial" w:cs="Arial"/>
              </w:rPr>
              <w:t>politically informed</w:t>
            </w:r>
            <w:r w:rsidRPr="00797597">
              <w:rPr>
                <w:rFonts w:ascii="Arial" w:eastAsia="Roboto Light" w:hAnsi="Arial" w:cs="Arial"/>
              </w:rPr>
              <w:t xml:space="preserve"> and adaptive manner.   </w:t>
            </w:r>
          </w:p>
        </w:tc>
      </w:tr>
      <w:tr w:rsidR="0014461C" w:rsidRPr="0014461C" w14:paraId="00B20030" w14:textId="77777777" w:rsidTr="00797597">
        <w:tc>
          <w:tcPr>
            <w:tcW w:w="4026" w:type="dxa"/>
          </w:tcPr>
          <w:p w14:paraId="260D6C9F" w14:textId="77777777" w:rsidR="0014461C" w:rsidRPr="00797597" w:rsidRDefault="0014461C" w:rsidP="001A568E">
            <w:pPr>
              <w:spacing w:before="120" w:after="120" w:line="240" w:lineRule="auto"/>
              <w:jc w:val="left"/>
              <w:rPr>
                <w:rFonts w:ascii="Arial" w:eastAsia="Roboto Light" w:hAnsi="Arial" w:cs="Arial"/>
                <w:sz w:val="20"/>
                <w:szCs w:val="20"/>
              </w:rPr>
            </w:pPr>
            <w:r w:rsidRPr="00797597">
              <w:rPr>
                <w:rFonts w:ascii="Arial" w:eastAsia="Roboto Light" w:hAnsi="Arial" w:cs="Arial"/>
                <w:sz w:val="20"/>
                <w:szCs w:val="20"/>
              </w:rPr>
              <w:t xml:space="preserve">By 31 October 2019 each workstream has planned in its PAF a sufficient number of internal strategic reviews, research activities or evaluations that seek to address the key evaluative questions in the respective PAFs. </w:t>
            </w:r>
          </w:p>
        </w:tc>
        <w:tc>
          <w:tcPr>
            <w:tcW w:w="0" w:type="auto"/>
            <w:shd w:val="clear" w:color="auto" w:fill="92D050"/>
          </w:tcPr>
          <w:p w14:paraId="6C0CDAFD" w14:textId="77777777" w:rsidR="0014461C" w:rsidRPr="00797597" w:rsidRDefault="0014461C" w:rsidP="001A568E">
            <w:pPr>
              <w:spacing w:before="120" w:after="120" w:line="240" w:lineRule="auto"/>
              <w:jc w:val="left"/>
              <w:rPr>
                <w:rFonts w:ascii="Arial" w:eastAsia="Roboto Light" w:hAnsi="Arial" w:cs="Arial"/>
                <w:sz w:val="20"/>
                <w:szCs w:val="20"/>
              </w:rPr>
            </w:pPr>
          </w:p>
        </w:tc>
        <w:tc>
          <w:tcPr>
            <w:tcW w:w="0" w:type="auto"/>
          </w:tcPr>
          <w:p w14:paraId="443A03D6" w14:textId="1D2B3DD8" w:rsidR="0014461C" w:rsidRPr="00797597" w:rsidRDefault="0014461C" w:rsidP="001A568E">
            <w:pPr>
              <w:pStyle w:val="BodyText"/>
              <w:spacing w:before="120" w:after="120" w:line="240" w:lineRule="auto"/>
              <w:rPr>
                <w:sz w:val="20"/>
                <w:szCs w:val="20"/>
              </w:rPr>
            </w:pPr>
            <w:r w:rsidRPr="00797597">
              <w:rPr>
                <w:sz w:val="20"/>
                <w:szCs w:val="20"/>
              </w:rPr>
              <w:t>Reviews conducted in all workstreams</w:t>
            </w:r>
            <w:r w:rsidR="00056E00" w:rsidRPr="00797597">
              <w:rPr>
                <w:sz w:val="20"/>
                <w:szCs w:val="20"/>
              </w:rPr>
              <w:t>.</w:t>
            </w:r>
          </w:p>
        </w:tc>
      </w:tr>
      <w:tr w:rsidR="0014461C" w:rsidRPr="0014461C" w14:paraId="2DA0B136" w14:textId="77777777" w:rsidTr="00797597">
        <w:tc>
          <w:tcPr>
            <w:tcW w:w="4026" w:type="dxa"/>
          </w:tcPr>
          <w:p w14:paraId="47BDE3F0"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eastAsia="Roboto Light" w:hAnsi="Arial" w:cs="Arial"/>
                <w:sz w:val="20"/>
                <w:szCs w:val="20"/>
              </w:rPr>
              <w:t>By December 2019 Abt PNG should undertake a survey of its organisational culture and incentives for undertaking monitoring and evaluation, levels of leadership support, and staff knowledge and skills. This will help to guide the development of an MEL capacity building plan for the Governance Partnership while establishing a baseline against which to measure future progress.</w:t>
            </w:r>
          </w:p>
        </w:tc>
        <w:tc>
          <w:tcPr>
            <w:tcW w:w="0" w:type="auto"/>
            <w:shd w:val="clear" w:color="auto" w:fill="92D050"/>
          </w:tcPr>
          <w:p w14:paraId="5ADE585C" w14:textId="77777777" w:rsidR="0014461C" w:rsidRPr="00797597" w:rsidRDefault="0014461C" w:rsidP="001A568E">
            <w:pPr>
              <w:spacing w:before="120" w:after="120" w:line="240" w:lineRule="auto"/>
              <w:jc w:val="left"/>
              <w:rPr>
                <w:rFonts w:ascii="Arial" w:eastAsia="Roboto Light" w:hAnsi="Arial" w:cs="Arial"/>
                <w:sz w:val="20"/>
                <w:szCs w:val="20"/>
              </w:rPr>
            </w:pPr>
          </w:p>
        </w:tc>
        <w:tc>
          <w:tcPr>
            <w:tcW w:w="0" w:type="auto"/>
          </w:tcPr>
          <w:p w14:paraId="1EF0B57D" w14:textId="77777777" w:rsidR="0014461C" w:rsidRPr="00797597" w:rsidRDefault="0014461C" w:rsidP="001A568E">
            <w:pPr>
              <w:spacing w:before="120" w:after="120" w:line="240" w:lineRule="auto"/>
              <w:jc w:val="left"/>
              <w:rPr>
                <w:rFonts w:ascii="Arial" w:eastAsia="Roboto Light" w:hAnsi="Arial" w:cs="Arial"/>
                <w:sz w:val="20"/>
                <w:szCs w:val="20"/>
              </w:rPr>
            </w:pPr>
            <w:r w:rsidRPr="00797597">
              <w:rPr>
                <w:rFonts w:ascii="Arial" w:eastAsia="Roboto Light" w:hAnsi="Arial" w:cs="Arial"/>
                <w:sz w:val="20"/>
                <w:szCs w:val="20"/>
              </w:rPr>
              <w:t xml:space="preserve">As above – a full internal review was conducted. </w:t>
            </w:r>
          </w:p>
          <w:p w14:paraId="136F3DC0" w14:textId="77777777" w:rsidR="0014461C" w:rsidRPr="00797597" w:rsidRDefault="0014461C" w:rsidP="001A568E">
            <w:pPr>
              <w:pStyle w:val="BodyText"/>
              <w:spacing w:before="120" w:after="120" w:line="240" w:lineRule="auto"/>
              <w:rPr>
                <w:sz w:val="20"/>
                <w:szCs w:val="20"/>
              </w:rPr>
            </w:pPr>
          </w:p>
        </w:tc>
      </w:tr>
      <w:tr w:rsidR="0014461C" w:rsidRPr="0014461C" w14:paraId="03A657DA" w14:textId="77777777" w:rsidTr="00797597">
        <w:tc>
          <w:tcPr>
            <w:tcW w:w="4026" w:type="dxa"/>
          </w:tcPr>
          <w:p w14:paraId="08BB42E1" w14:textId="77777777" w:rsidR="0014461C" w:rsidRPr="00797597" w:rsidRDefault="0014461C" w:rsidP="001A568E">
            <w:pPr>
              <w:spacing w:before="120" w:after="120" w:line="240" w:lineRule="auto"/>
              <w:jc w:val="left"/>
              <w:rPr>
                <w:rFonts w:ascii="Arial" w:hAnsi="Arial" w:cs="Arial"/>
                <w:sz w:val="20"/>
                <w:szCs w:val="20"/>
              </w:rPr>
            </w:pPr>
            <w:r w:rsidRPr="00797597">
              <w:rPr>
                <w:rFonts w:ascii="Arial" w:hAnsi="Arial" w:cs="Arial"/>
                <w:sz w:val="20"/>
                <w:szCs w:val="20"/>
                <w:lang w:val="en-US"/>
              </w:rPr>
              <w:t xml:space="preserve">The Governance Partnership, with DFAT, identify a small set of cross sector initiatives, based on workstream work programs, </w:t>
            </w:r>
            <w:r w:rsidRPr="00797597">
              <w:rPr>
                <w:rFonts w:ascii="Arial" w:hAnsi="Arial" w:cs="Arial"/>
                <w:sz w:val="20"/>
                <w:szCs w:val="20"/>
              </w:rPr>
              <w:t>previous studies and Governance Partnership analysis</w:t>
            </w:r>
            <w:r w:rsidRPr="00797597">
              <w:rPr>
                <w:rFonts w:ascii="Arial" w:hAnsi="Arial" w:cs="Arial"/>
                <w:sz w:val="20"/>
                <w:szCs w:val="20"/>
                <w:lang w:val="en-US"/>
              </w:rPr>
              <w:t xml:space="preserve"> </w:t>
            </w:r>
            <w:r w:rsidRPr="00797597">
              <w:rPr>
                <w:rFonts w:ascii="Arial" w:hAnsi="Arial" w:cs="Arial"/>
                <w:sz w:val="20"/>
                <w:szCs w:val="20"/>
              </w:rPr>
              <w:t>that are feasible for it to seek to engage with GoPNG in the medium to long term to clear seemingly intractable obstacles to effective service delivery, perhaps focusing on education, health and GESI.</w:t>
            </w:r>
          </w:p>
        </w:tc>
        <w:tc>
          <w:tcPr>
            <w:tcW w:w="0" w:type="auto"/>
            <w:shd w:val="clear" w:color="auto" w:fill="92D050"/>
          </w:tcPr>
          <w:p w14:paraId="1301788C" w14:textId="77777777" w:rsidR="0014461C" w:rsidRPr="00797597" w:rsidRDefault="0014461C" w:rsidP="001A568E">
            <w:pPr>
              <w:spacing w:before="120" w:after="120" w:line="240" w:lineRule="auto"/>
              <w:ind w:left="360"/>
              <w:jc w:val="left"/>
              <w:rPr>
                <w:rFonts w:ascii="Arial" w:hAnsi="Arial" w:cs="Arial"/>
                <w:sz w:val="20"/>
                <w:szCs w:val="20"/>
                <w:lang w:val="en-US"/>
              </w:rPr>
            </w:pPr>
          </w:p>
        </w:tc>
        <w:tc>
          <w:tcPr>
            <w:tcW w:w="0" w:type="auto"/>
          </w:tcPr>
          <w:p w14:paraId="3A7A5F49" w14:textId="77777777" w:rsidR="0014461C" w:rsidRPr="00797597" w:rsidRDefault="0014461C" w:rsidP="001A568E">
            <w:pPr>
              <w:spacing w:before="120" w:after="120" w:line="240" w:lineRule="auto"/>
              <w:jc w:val="left"/>
              <w:rPr>
                <w:rFonts w:ascii="Arial" w:hAnsi="Arial" w:cs="Arial"/>
                <w:sz w:val="20"/>
                <w:szCs w:val="20"/>
                <w:lang w:val="en-US"/>
              </w:rPr>
            </w:pPr>
            <w:r w:rsidRPr="00797597">
              <w:rPr>
                <w:rFonts w:ascii="Arial" w:hAnsi="Arial" w:cs="Arial"/>
                <w:sz w:val="20"/>
                <w:szCs w:val="20"/>
                <w:lang w:val="en-US"/>
              </w:rPr>
              <w:t>Overtaken by the pivot to Covid.</w:t>
            </w:r>
          </w:p>
        </w:tc>
      </w:tr>
    </w:tbl>
    <w:p w14:paraId="356C7AC9" w14:textId="77777777" w:rsidR="0014461C" w:rsidRDefault="0014461C" w:rsidP="001A568E">
      <w:pPr>
        <w:jc w:val="left"/>
      </w:pPr>
    </w:p>
    <w:p w14:paraId="4CCF906E" w14:textId="0E56493C" w:rsidR="003234C8" w:rsidRDefault="003234C8" w:rsidP="001A568E">
      <w:pPr>
        <w:pStyle w:val="Heading1"/>
        <w:jc w:val="left"/>
      </w:pPr>
      <w:bookmarkStart w:id="36" w:name="_Toc104183794"/>
      <w:bookmarkEnd w:id="30"/>
      <w:r>
        <w:lastRenderedPageBreak/>
        <w:t>Annex VI – Additional Information for DCP</w:t>
      </w:r>
      <w:bookmarkEnd w:id="36"/>
      <w:r>
        <w:t xml:space="preserve">   </w:t>
      </w:r>
    </w:p>
    <w:p w14:paraId="30BC785D" w14:textId="5A5E4768" w:rsidR="003234C8" w:rsidRPr="00D15C47" w:rsidRDefault="003234C8" w:rsidP="001A568E">
      <w:pPr>
        <w:pStyle w:val="Heading2"/>
        <w:jc w:val="left"/>
      </w:pPr>
      <w:r w:rsidRPr="00D15C47">
        <w:t>Church Partnership Program (CPP)</w:t>
      </w:r>
    </w:p>
    <w:p w14:paraId="49625CAE" w14:textId="77777777" w:rsidR="003234C8" w:rsidRPr="00D15C47" w:rsidRDefault="003234C8" w:rsidP="001A568E">
      <w:pPr>
        <w:pStyle w:val="BodyText"/>
      </w:pPr>
      <w:r w:rsidRPr="00D15C47">
        <w:t xml:space="preserve">CPP has gone through three phases since the inception of the partnership in 2004, facilitating close collaboration between PNG’s seven mainline Christian churches and their sister Australian churches. These seven PNG churches represent 71% of the country’s Christian population. In its third phase (2017–22), CPP continued to support partners to deliver development activities through their individual structures, while increasing the focus on collaboration and coordination to maximise collective impact.  In total, program activities reached 130,000 Papua New Guineans </w:t>
      </w:r>
      <w:r w:rsidRPr="00D15C47">
        <w:rPr>
          <w:rFonts w:eastAsia="Times New Roman"/>
          <w:color w:val="000000"/>
        </w:rPr>
        <w:t>(66,807 men; 63,986 women), mainly in remote, rural areas where government services are very weak.</w:t>
      </w:r>
    </w:p>
    <w:p w14:paraId="5D8A5155" w14:textId="77777777" w:rsidR="003234C8" w:rsidRPr="00D15C47" w:rsidRDefault="003234C8" w:rsidP="001A568E">
      <w:pPr>
        <w:pStyle w:val="BodyText"/>
      </w:pPr>
      <w:r w:rsidRPr="00D15C47">
        <w:t xml:space="preserve">CPP activities were coordinated through a focus on thematic priority areas relevant to each partner’s comparative strengths. GESI was a notable area of collaboration, in particular through the ‘Theology of Gender Equality’.  Since the onset of COVID-19, CPP has supported partners to pivot to focus on delivering public health information campaigns (particularly to counter COVID-19 misinformation) and providing urgently needed medical equipment for church service providers. </w:t>
      </w:r>
    </w:p>
    <w:p w14:paraId="1E5F06B8" w14:textId="77777777" w:rsidR="003234C8" w:rsidRPr="00D15C47" w:rsidRDefault="003234C8" w:rsidP="001A568E">
      <w:pPr>
        <w:pStyle w:val="BodyText"/>
        <w:rPr>
          <w:u w:val="single"/>
        </w:rPr>
      </w:pPr>
      <w:r w:rsidRPr="00D15C47">
        <w:t>The design work for the next phase has revealed that new strategies and approaches are needed to realise the churches’ policy engagement and social accountability potential and to take forward the localisation agenda.  The transition to the next phase will need careful management to put processes in place that promote practical integration, while respecting that the churches have a legitimate need to retain distinct identities. Many will proceed cautiously on policy and accountability agendas given their place in PNG society and the unique nature of CPP as a faith-based development initiative. This makes strengthening the PNG Council of Churches particularly relevant.</w:t>
      </w:r>
    </w:p>
    <w:p w14:paraId="3E917658" w14:textId="77777777" w:rsidR="003234C8" w:rsidRPr="00D15C47" w:rsidRDefault="003234C8" w:rsidP="001A568E">
      <w:pPr>
        <w:pStyle w:val="Heading2"/>
        <w:jc w:val="left"/>
      </w:pPr>
      <w:r w:rsidRPr="00D15C47">
        <w:t xml:space="preserve">Media Development Initiative (MDI) </w:t>
      </w:r>
    </w:p>
    <w:p w14:paraId="6D75DBF7" w14:textId="6EE26295" w:rsidR="003234C8" w:rsidRPr="00D15C47" w:rsidRDefault="003234C8" w:rsidP="001A568E">
      <w:pPr>
        <w:pStyle w:val="BodyText"/>
        <w:rPr>
          <w:rFonts w:eastAsia="Times New Roman"/>
        </w:rPr>
      </w:pPr>
      <w:r w:rsidRPr="00D15C47">
        <w:t xml:space="preserve">MDI took on a more explicit voice and accountability focus in 2018. This was a natural evolution of MDI’s work in strengthening PNG’s media. MDI’s work with National Broadcasting Corporation over the past 15 years has achieved sustainable outcomes. </w:t>
      </w:r>
      <w:r w:rsidRPr="00D15C47">
        <w:rPr>
          <w:rFonts w:asciiTheme="minorHAnsi" w:hAnsiTheme="minorHAnsi" w:cstheme="minorHAnsi"/>
        </w:rPr>
        <w:t>Its</w:t>
      </w:r>
      <w:r w:rsidRPr="00D15C47">
        <w:t xml:space="preserve"> </w:t>
      </w:r>
      <w:r w:rsidRPr="00D15C47">
        <w:rPr>
          <w:rFonts w:eastAsia="Times New Roman"/>
        </w:rPr>
        <w:t xml:space="preserve">work has remained </w:t>
      </w:r>
      <w:r w:rsidR="004A6988" w:rsidRPr="00D15C47">
        <w:rPr>
          <w:rFonts w:eastAsia="Times New Roman"/>
        </w:rPr>
        <w:t>relevant,</w:t>
      </w:r>
      <w:r w:rsidRPr="00D15C47">
        <w:rPr>
          <w:rFonts w:eastAsia="Times New Roman"/>
        </w:rPr>
        <w:t xml:space="preserve"> and it is welcomed by media and community groups.  </w:t>
      </w:r>
    </w:p>
    <w:p w14:paraId="5D84964E" w14:textId="77777777" w:rsidR="003234C8" w:rsidRPr="00D15C47" w:rsidRDefault="003234C8" w:rsidP="001A568E">
      <w:pPr>
        <w:pStyle w:val="BodyText"/>
        <w:rPr>
          <w:rFonts w:eastAsia="Times New Roman"/>
        </w:rPr>
      </w:pPr>
      <w:r w:rsidRPr="00D15C47">
        <w:t xml:space="preserve">The review found that MDI was successful in supporting voice, but that </w:t>
      </w:r>
      <w:r w:rsidRPr="00D15C47">
        <w:rPr>
          <w:rStyle w:val="apple-converted-space"/>
          <w:rFonts w:asciiTheme="minorHAnsi" w:hAnsiTheme="minorHAnsi" w:cstheme="minorHAnsi"/>
          <w:color w:val="000000" w:themeColor="text1"/>
        </w:rPr>
        <w:t xml:space="preserve">eliciting greater accountability remained a major challenge in the PNG cultural and political context. </w:t>
      </w:r>
      <w:r w:rsidRPr="00D15C47">
        <w:t xml:space="preserve">Overall, the review found MDI still has an important role to play by focusing on voice and media strengthening. The more ambitious goal of achieving accountability of decision makers requires multi-stakeholder engagement and longer horizons than the design allowed. </w:t>
      </w:r>
    </w:p>
    <w:p w14:paraId="46F8128B" w14:textId="15D88974" w:rsidR="00D014D0" w:rsidRPr="00F20AAC" w:rsidRDefault="003234C8" w:rsidP="001A568E">
      <w:pPr>
        <w:pStyle w:val="BodyText"/>
      </w:pPr>
      <w:r w:rsidRPr="00D15C47">
        <w:t xml:space="preserve">While attempts have been made at collaboration, the extent to which DCP was able to embed MDI into complementary working with other elements of the program was limited.  </w:t>
      </w:r>
      <w:r w:rsidRPr="00D15C47">
        <w:rPr>
          <w:rFonts w:eastAsia="Times New Roman"/>
        </w:rPr>
        <w:t xml:space="preserve">The layered administrative complexity (AHC/MC/MDI) added to an already difficult operating environment. The review recommended that a redesign of MDI should make provision for </w:t>
      </w:r>
      <w:r w:rsidRPr="00D15C47">
        <w:lastRenderedPageBreak/>
        <w:t>improved links to wider DFAT government programming and the adoption of an ‘issue-based’ policy influencing program, with specific accountability and policy influencing expertise available, and in which media supports other actors frame and amplify messages.</w:t>
      </w:r>
    </w:p>
    <w:sectPr w:rsidR="00D014D0" w:rsidRPr="00F20AAC" w:rsidSect="00797597">
      <w:footerReference w:type="default" r:id="rId13"/>
      <w:footerReference w:type="first" r:id="rId14"/>
      <w:type w:val="continuous"/>
      <w:pgSz w:w="11900"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8E75" w14:textId="77777777" w:rsidR="00E6585E" w:rsidRDefault="00E6585E" w:rsidP="009B6F4E">
      <w:r>
        <w:separator/>
      </w:r>
    </w:p>
    <w:p w14:paraId="1B28E0BE" w14:textId="77777777" w:rsidR="00E6585E" w:rsidRDefault="00E6585E" w:rsidP="009B6F4E"/>
  </w:endnote>
  <w:endnote w:type="continuationSeparator" w:id="0">
    <w:p w14:paraId="395C3669" w14:textId="77777777" w:rsidR="00E6585E" w:rsidRDefault="00E6585E" w:rsidP="009B6F4E">
      <w:r>
        <w:continuationSeparator/>
      </w:r>
    </w:p>
    <w:p w14:paraId="21A02573" w14:textId="77777777" w:rsidR="00E6585E" w:rsidRDefault="00E6585E" w:rsidP="009B6F4E"/>
  </w:endnote>
  <w:endnote w:type="continuationNotice" w:id="1">
    <w:p w14:paraId="26A62AF2" w14:textId="77777777" w:rsidR="00E6585E" w:rsidRDefault="00E6585E" w:rsidP="009B6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Poppins ExtraBold">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oppins Light">
    <w:charset w:val="00"/>
    <w:family w:val="auto"/>
    <w:pitch w:val="variable"/>
    <w:sig w:usb0="00008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8659" w14:textId="77777777" w:rsidR="00CC3FD0" w:rsidRDefault="00CC3FD0" w:rsidP="00CC3FD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88E1" w14:textId="1605A424" w:rsidR="00CC3FD0" w:rsidRPr="006509DA" w:rsidRDefault="001259FD" w:rsidP="001259FD">
    <w:pPr>
      <w:pStyle w:val="Footer"/>
      <w:pBdr>
        <w:top w:val="single" w:sz="4" w:space="1" w:color="auto"/>
      </w:pBdr>
    </w:pPr>
    <w:r w:rsidRPr="00A61331">
      <w:t>QTAG is supported by the Australian Government and implemented by Oxford Policy Management Australi</w:t>
    </w:r>
    <w:r w:rsidRPr="00BC5391">
      <w:rPr>
        <w:szCs w:val="16"/>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57AA" w14:textId="77777777" w:rsidR="00CC3FD0" w:rsidRDefault="00CC3FD0" w:rsidP="00CC3F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DCDC" w14:textId="77777777" w:rsidR="00E6585E" w:rsidRDefault="00E6585E" w:rsidP="009B6F4E">
      <w:r>
        <w:separator/>
      </w:r>
    </w:p>
  </w:footnote>
  <w:footnote w:type="continuationSeparator" w:id="0">
    <w:p w14:paraId="587742A0" w14:textId="77777777" w:rsidR="00E6585E" w:rsidRDefault="00E6585E" w:rsidP="009B6F4E"/>
  </w:footnote>
  <w:footnote w:type="continuationNotice" w:id="1">
    <w:p w14:paraId="3074B50E" w14:textId="77777777" w:rsidR="00E6585E" w:rsidRDefault="00E6585E" w:rsidP="009B6F4E"/>
    <w:p w14:paraId="0852B188" w14:textId="77777777" w:rsidR="00E6585E" w:rsidRDefault="00E6585E" w:rsidP="009B6F4E"/>
  </w:footnote>
  <w:footnote w:id="2">
    <w:p w14:paraId="04570D10" w14:textId="77777777" w:rsidR="00A96E21" w:rsidRDefault="00A96E21" w:rsidP="00316717">
      <w:pPr>
        <w:pStyle w:val="FootnoteText"/>
        <w:spacing w:after="0"/>
        <w:ind w:left="0" w:firstLine="0"/>
        <w:jc w:val="left"/>
      </w:pPr>
      <w:r>
        <w:rPr>
          <w:rStyle w:val="FootnoteReference"/>
        </w:rPr>
        <w:footnoteRef/>
      </w:r>
      <w:r>
        <w:t xml:space="preserve"> The Facility PAF approved in August 2020 highlighted that development outcomes across the Facility will not be aggregated through an individual framework rather the Facility PAF will seek to: “provide the evidence that supports, or otherwise, the rationale for the Facility’s Establishment”. A report was developed in January 2021 outlining</w:t>
      </w:r>
      <w:r w:rsidRPr="005537F9">
        <w:t xml:space="preserve"> contribution to Mid-term Development Plan Three 2018-2022 (MTDP 3) Key Result Areas (KRAs) to the end of 2019</w:t>
      </w:r>
      <w:r>
        <w:t>. Further analysis will be part of the Completion reporting process with provision of this available to the QTAG team from October 2021.</w:t>
      </w:r>
    </w:p>
  </w:footnote>
  <w:footnote w:id="3">
    <w:p w14:paraId="1A9CDF54" w14:textId="77777777" w:rsidR="00A96E21" w:rsidRDefault="00A96E21" w:rsidP="00316717">
      <w:pPr>
        <w:pStyle w:val="FootnoteText"/>
        <w:spacing w:after="0"/>
        <w:ind w:left="0" w:firstLine="0"/>
        <w:jc w:val="left"/>
      </w:pPr>
      <w:r>
        <w:rPr>
          <w:rStyle w:val="FootnoteReference"/>
        </w:rPr>
        <w:footnoteRef/>
      </w:r>
      <w:r>
        <w:t xml:space="preserve"> PSLR was completed in early 2020, with a Final Investment Monitoring Report (FIMR) completed. Performance of this Partnership will however be referenced in the Facility completion reporting and will therefore be referenced by the review. </w:t>
      </w:r>
    </w:p>
  </w:footnote>
  <w:footnote w:id="4">
    <w:p w14:paraId="0F305C0E" w14:textId="77777777" w:rsidR="00A96E21" w:rsidRDefault="00A96E21" w:rsidP="00316717">
      <w:pPr>
        <w:pStyle w:val="FootnoteText"/>
        <w:spacing w:after="0"/>
        <w:ind w:left="0" w:firstLine="0"/>
        <w:jc w:val="left"/>
      </w:pPr>
      <w:r>
        <w:rPr>
          <w:rStyle w:val="FootnoteReference"/>
        </w:rPr>
        <w:footnoteRef/>
      </w:r>
      <w:r>
        <w:t xml:space="preserve"> Facility Performance Assessment Framework, Abt Associates</w:t>
      </w:r>
    </w:p>
  </w:footnote>
  <w:footnote w:id="5">
    <w:p w14:paraId="4D4843F3" w14:textId="77777777" w:rsidR="00A96E21" w:rsidRDefault="00A96E21" w:rsidP="00316717">
      <w:pPr>
        <w:pStyle w:val="FootnoteText"/>
        <w:spacing w:after="0"/>
        <w:ind w:left="0" w:firstLine="0"/>
        <w:jc w:val="left"/>
      </w:pPr>
      <w:r>
        <w:rPr>
          <w:rStyle w:val="FootnoteReference"/>
        </w:rPr>
        <w:footnoteRef/>
      </w:r>
      <w:r>
        <w:t xml:space="preserve"> The Platform is defined as: </w:t>
      </w:r>
      <w:r w:rsidRPr="008572CA">
        <w:t>The overarching supporting structure made up of the following units the Executive Leadership Team (ELT) and the Partnership Leaders Group (PLG), which provide strategic leadership and internal governance; and the Executive Director’s Office</w:t>
      </w:r>
      <w:r>
        <w:t>;</w:t>
      </w:r>
      <w:r w:rsidRPr="008572CA">
        <w:t xml:space="preserve"> Implementation Enabling Services (IES) and the Delivery Enabling Services (DES) (now incorporating People, Culture and Diversity (PCD)</w:t>
      </w:r>
      <w:r>
        <w:t>)</w:t>
      </w:r>
      <w:r w:rsidRPr="008572CA">
        <w:t>. These units are responsible for implementing facility-level activities, supporting the Facility’s governance arrangements and supporting the seven partnerships to be strategic, adaptive and responsive in the implementation of their respective activities.</w:t>
      </w:r>
      <w:r>
        <w:t xml:space="preserve"> </w:t>
      </w:r>
    </w:p>
  </w:footnote>
  <w:footnote w:id="6">
    <w:p w14:paraId="6863AA53" w14:textId="77777777" w:rsidR="00A96E21" w:rsidRDefault="00A96E21" w:rsidP="00316717">
      <w:pPr>
        <w:pStyle w:val="FootnoteText"/>
        <w:spacing w:after="0"/>
        <w:ind w:left="0" w:firstLine="0"/>
        <w:jc w:val="left"/>
      </w:pPr>
      <w:r>
        <w:rPr>
          <w:rStyle w:val="FootnoteReference"/>
        </w:rPr>
        <w:footnoteRef/>
      </w:r>
      <w:r>
        <w:t xml:space="preserve"> Recent additions to the operations of the platform, the Papua New Guinea Australia Transition to Health (PATH) and Program and Education Support Services (ESS) will not be a focus of the Final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816510"/>
      <w:docPartObj>
        <w:docPartGallery w:val="Page Numbers (Top of Page)"/>
        <w:docPartUnique/>
      </w:docPartObj>
    </w:sdtPr>
    <w:sdtContent>
      <w:p w14:paraId="06FB6E1B" w14:textId="72371FA8" w:rsidR="00267E89" w:rsidRPr="00267E89" w:rsidRDefault="00267E89" w:rsidP="00267E89">
        <w:pPr>
          <w:rPr>
            <w:sz w:val="20"/>
            <w:szCs w:val="20"/>
          </w:rPr>
        </w:pPr>
        <w:r>
          <w:fldChar w:fldCharType="begin"/>
        </w:r>
        <w:r>
          <w:instrText xml:space="preserve"> PAGE   \* MERGEFORMAT </w:instrText>
        </w:r>
        <w:r>
          <w:fldChar w:fldCharType="separate"/>
        </w:r>
        <w:r>
          <w:rPr>
            <w:noProof/>
          </w:rPr>
          <w:t>2</w:t>
        </w:r>
        <w:r>
          <w:rPr>
            <w:noProof/>
          </w:rPr>
          <w:fldChar w:fldCharType="end"/>
        </w:r>
        <w:r>
          <w:t xml:space="preserve"> | </w:t>
        </w:r>
        <w:r>
          <w:rPr>
            <w:sz w:val="20"/>
            <w:szCs w:val="20"/>
          </w:rPr>
          <w:t>Final Review of the Papua New Guinea – Australia Governance Partnership: Annexes</w:t>
        </w:r>
      </w:p>
    </w:sdtContent>
  </w:sdt>
  <w:p w14:paraId="296E3B1C" w14:textId="0ED63C8E" w:rsidR="00625C22" w:rsidRDefault="00625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CA29" w14:textId="77777777" w:rsidR="00625C22" w:rsidRDefault="00625C22" w:rsidP="00625C22">
    <w:pPr>
      <w:pStyle w:val="Header"/>
      <w:tabs>
        <w:tab w:val="clear" w:pos="4513"/>
        <w:tab w:val="clear" w:pos="9026"/>
        <w:tab w:val="left" w:pos="3510"/>
      </w:tabs>
    </w:pPr>
    <w:r w:rsidRPr="00616DE7">
      <w:rPr>
        <w:rFonts w:ascii="Poppins ExtraBold" w:hAnsi="Poppins ExtraBold" w:cs="Poppins ExtraBold"/>
        <w:color w:val="0A1F50" w:themeColor="text2"/>
      </w:rPr>
      <mc:AlternateContent>
        <mc:Choice Requires="wps">
          <w:drawing>
            <wp:inline distT="0" distB="0" distL="0" distR="0" wp14:anchorId="0E59DFBD" wp14:editId="515059EC">
              <wp:extent cx="996950" cy="5334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3400"/>
                      </a:xfrm>
                      <a:prstGeom prst="rect">
                        <a:avLst/>
                      </a:prstGeom>
                      <a:solidFill>
                        <a:srgbClr val="FFFFFF"/>
                      </a:solidFill>
                      <a:ln w="9525">
                        <a:noFill/>
                        <a:miter lim="800000"/>
                        <a:headEnd/>
                        <a:tailEnd/>
                      </a:ln>
                    </wps:spPr>
                    <wps:txbx>
                      <w:txbxContent>
                        <w:p w14:paraId="6B950A8A" w14:textId="77777777" w:rsidR="00625C22" w:rsidRPr="00616DE7" w:rsidRDefault="00625C22" w:rsidP="00625C22">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wps:txbx>
                    <wps:bodyPr rot="0" vert="horz" wrap="square" lIns="91440" tIns="45720" rIns="91440" bIns="45720" anchor="t" anchorCtr="0">
                      <a:noAutofit/>
                    </wps:bodyPr>
                  </wps:wsp>
                </a:graphicData>
              </a:graphic>
            </wp:inline>
          </w:drawing>
        </mc:Choice>
        <mc:Fallback>
          <w:pict>
            <v:shapetype w14:anchorId="0E59DFBD" id="_x0000_t202" coordsize="21600,21600" o:spt="202" path="m,l,21600r21600,l21600,xe">
              <v:stroke joinstyle="miter"/>
              <v:path gradientshapeok="t" o:connecttype="rect"/>
            </v:shapetype>
            <v:shape id="Text Box 2" o:spid="_x0000_s1026" type="#_x0000_t202" style="width:78.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s8DAIAAPU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" stroked="f">
              <v:textbox>
                <w:txbxContent>
                  <w:p w14:paraId="6B950A8A" w14:textId="77777777" w:rsidR="00625C22" w:rsidRPr="00616DE7" w:rsidRDefault="00625C22" w:rsidP="00625C22">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v:textbox>
              <w10:anchorlock/>
            </v:shape>
          </w:pict>
        </mc:Fallback>
      </mc:AlternateContent>
    </w:r>
    <w:r>
      <w:tab/>
    </w:r>
  </w:p>
  <w:p w14:paraId="4DE172A4" w14:textId="77777777" w:rsidR="00625C22" w:rsidRDefault="00625C22" w:rsidP="00625C22">
    <w:pPr>
      <w:spacing w:after="0" w:line="240" w:lineRule="auto"/>
      <w:rPr>
        <w:rFonts w:ascii="Poppins ExtraBold" w:hAnsi="Poppins ExtraBold" w:cs="Poppins ExtraBold"/>
        <w:color w:val="0A1F50" w:themeColor="text2"/>
      </w:rPr>
    </w:pPr>
    <w:r w:rsidRPr="0066062D">
      <w:rPr>
        <w:rFonts w:ascii="Poppins Light" w:hAnsi="Poppins Light" w:cs="Poppins Light"/>
        <w:color w:val="0A1F50" w:themeColor="text2"/>
      </w:rPr>
      <w:t>Papua New Guinea</w:t>
    </w:r>
    <w:r>
      <w:rPr>
        <w:rFonts w:ascii="Poppins ExtraBold" w:hAnsi="Poppins ExtraBold" w:cs="Poppins ExtraBold"/>
        <w:color w:val="0A1F50" w:themeColor="text2"/>
      </w:rPr>
      <w:t xml:space="preserve"> </w:t>
    </w:r>
  </w:p>
  <w:p w14:paraId="5CF7DF0F" w14:textId="77777777" w:rsidR="00625C22" w:rsidRPr="00674E30" w:rsidRDefault="00625C22" w:rsidP="00625C22">
    <w:pPr>
      <w:spacing w:after="0" w:line="240" w:lineRule="auto"/>
      <w:rPr>
        <w:rFonts w:ascii="Poppins ExtraBold" w:hAnsi="Poppins ExtraBold" w:cs="Poppins ExtraBold"/>
        <w:color w:val="0A1F50" w:themeColor="text2"/>
      </w:rPr>
    </w:pPr>
    <w:r w:rsidRPr="00674E30">
      <w:rPr>
        <w:rFonts w:ascii="Poppins ExtraBold" w:hAnsi="Poppins ExtraBold" w:cs="Poppins ExtraBold"/>
        <w:color w:val="0A1F50" w:themeColor="text2"/>
      </w:rPr>
      <w:t>Quality and Technical Assurance Group</w:t>
    </w:r>
  </w:p>
  <w:p w14:paraId="408B90D8" w14:textId="77777777" w:rsidR="003234C8" w:rsidRDefault="00323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338"/>
    <w:multiLevelType w:val="hybridMultilevel"/>
    <w:tmpl w:val="8A6022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A65827"/>
    <w:multiLevelType w:val="hybridMultilevel"/>
    <w:tmpl w:val="1728B6D2"/>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2" w15:restartNumberingAfterBreak="0">
    <w:nsid w:val="13223BA5"/>
    <w:multiLevelType w:val="hybridMultilevel"/>
    <w:tmpl w:val="EBEC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281F"/>
    <w:multiLevelType w:val="hybridMultilevel"/>
    <w:tmpl w:val="BE206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A1A47"/>
    <w:multiLevelType w:val="hybridMultilevel"/>
    <w:tmpl w:val="A0E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1D2E"/>
    <w:multiLevelType w:val="hybridMultilevel"/>
    <w:tmpl w:val="30D82AEC"/>
    <w:lvl w:ilvl="0" w:tplc="04090019">
      <w:start w:val="1"/>
      <w:numFmt w:val="lowerLetter"/>
      <w:lvlText w:val="%1."/>
      <w:lvlJc w:val="left"/>
      <w:pPr>
        <w:ind w:left="768" w:hanging="360"/>
      </w:pPr>
    </w:lvl>
    <w:lvl w:ilvl="1" w:tplc="08090001">
      <w:start w:val="1"/>
      <w:numFmt w:val="bullet"/>
      <w:lvlText w:val=""/>
      <w:lvlJc w:val="left"/>
      <w:pPr>
        <w:ind w:left="1488" w:hanging="360"/>
      </w:pPr>
      <w:rPr>
        <w:rFonts w:ascii="Symbol" w:hAnsi="Symbol" w:cs="Symbol" w:hint="default"/>
      </w:rPr>
    </w:lvl>
    <w:lvl w:ilvl="2" w:tplc="1409001B" w:tentative="1">
      <w:start w:val="1"/>
      <w:numFmt w:val="lowerRoman"/>
      <w:lvlText w:val="%3."/>
      <w:lvlJc w:val="right"/>
      <w:pPr>
        <w:ind w:left="2208" w:hanging="180"/>
      </w:pPr>
    </w:lvl>
    <w:lvl w:ilvl="3" w:tplc="1409000F" w:tentative="1">
      <w:start w:val="1"/>
      <w:numFmt w:val="decimal"/>
      <w:lvlText w:val="%4."/>
      <w:lvlJc w:val="left"/>
      <w:pPr>
        <w:ind w:left="2928" w:hanging="360"/>
      </w:pPr>
    </w:lvl>
    <w:lvl w:ilvl="4" w:tplc="14090019" w:tentative="1">
      <w:start w:val="1"/>
      <w:numFmt w:val="lowerLetter"/>
      <w:lvlText w:val="%5."/>
      <w:lvlJc w:val="left"/>
      <w:pPr>
        <w:ind w:left="3648" w:hanging="360"/>
      </w:pPr>
    </w:lvl>
    <w:lvl w:ilvl="5" w:tplc="1409001B" w:tentative="1">
      <w:start w:val="1"/>
      <w:numFmt w:val="lowerRoman"/>
      <w:lvlText w:val="%6."/>
      <w:lvlJc w:val="right"/>
      <w:pPr>
        <w:ind w:left="4368" w:hanging="180"/>
      </w:pPr>
    </w:lvl>
    <w:lvl w:ilvl="6" w:tplc="1409000F" w:tentative="1">
      <w:start w:val="1"/>
      <w:numFmt w:val="decimal"/>
      <w:lvlText w:val="%7."/>
      <w:lvlJc w:val="left"/>
      <w:pPr>
        <w:ind w:left="5088" w:hanging="360"/>
      </w:pPr>
    </w:lvl>
    <w:lvl w:ilvl="7" w:tplc="14090019" w:tentative="1">
      <w:start w:val="1"/>
      <w:numFmt w:val="lowerLetter"/>
      <w:lvlText w:val="%8."/>
      <w:lvlJc w:val="left"/>
      <w:pPr>
        <w:ind w:left="5808" w:hanging="360"/>
      </w:pPr>
    </w:lvl>
    <w:lvl w:ilvl="8" w:tplc="1409001B" w:tentative="1">
      <w:start w:val="1"/>
      <w:numFmt w:val="lowerRoman"/>
      <w:lvlText w:val="%9."/>
      <w:lvlJc w:val="right"/>
      <w:pPr>
        <w:ind w:left="6528" w:hanging="180"/>
      </w:pPr>
    </w:lvl>
  </w:abstractNum>
  <w:abstractNum w:abstractNumId="6" w15:restartNumberingAfterBreak="0">
    <w:nsid w:val="211F5894"/>
    <w:multiLevelType w:val="hybridMultilevel"/>
    <w:tmpl w:val="D0AE1D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E326D1"/>
    <w:multiLevelType w:val="hybridMultilevel"/>
    <w:tmpl w:val="BE66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54B82"/>
    <w:multiLevelType w:val="hybridMultilevel"/>
    <w:tmpl w:val="10981B80"/>
    <w:lvl w:ilvl="0" w:tplc="7EFCF01E">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9" w15:restartNumberingAfterBreak="0">
    <w:nsid w:val="2C631C01"/>
    <w:multiLevelType w:val="hybridMultilevel"/>
    <w:tmpl w:val="D15C567A"/>
    <w:lvl w:ilvl="0" w:tplc="84123A02">
      <w:start w:val="1"/>
      <w:numFmt w:val="upperLetter"/>
      <w:pStyle w:val="Recommendationtext"/>
      <w:lvlText w:val="%1"/>
      <w:lvlJc w:val="left"/>
      <w:pPr>
        <w:ind w:left="1494" w:hanging="360"/>
      </w:pPr>
      <w:rPr>
        <w:rFonts w:ascii="Poppins" w:hAnsi="Poppins" w:cs="Poppins ExtraBold" w:hint="default"/>
        <w:b/>
        <w:i w:val="0"/>
        <w:color w:val="0A1F50" w:themeColor="text2"/>
        <w:sz w:val="18"/>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395E1A4C"/>
    <w:multiLevelType w:val="hybridMultilevel"/>
    <w:tmpl w:val="F196CF5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A874A8"/>
    <w:multiLevelType w:val="hybridMultilevel"/>
    <w:tmpl w:val="3822F550"/>
    <w:lvl w:ilvl="0" w:tplc="57FA9D54">
      <w:start w:val="12"/>
      <w:numFmt w:val="bullet"/>
      <w:lvlText w:val="-"/>
      <w:lvlJc w:val="left"/>
      <w:pPr>
        <w:ind w:left="720" w:hanging="360"/>
      </w:pPr>
      <w:rPr>
        <w:rFonts w:ascii="Roboto Light" w:eastAsiaTheme="minorHAnsi" w:hAnsi="Roboto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5145C"/>
    <w:multiLevelType w:val="hybridMultilevel"/>
    <w:tmpl w:val="11B4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E22B0"/>
    <w:multiLevelType w:val="hybridMultilevel"/>
    <w:tmpl w:val="8AF41410"/>
    <w:lvl w:ilvl="0" w:tplc="203E714E">
      <w:start w:val="4"/>
      <w:numFmt w:val="bullet"/>
      <w:lvlText w:val="-"/>
      <w:lvlJc w:val="left"/>
      <w:pPr>
        <w:ind w:left="720" w:hanging="360"/>
      </w:pPr>
      <w:rPr>
        <w:rFonts w:ascii="Roboto Light" w:eastAsiaTheme="minorHAnsi" w:hAnsi="Roboto Light"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271B8"/>
    <w:multiLevelType w:val="hybridMultilevel"/>
    <w:tmpl w:val="5E30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72EEE"/>
    <w:multiLevelType w:val="hybridMultilevel"/>
    <w:tmpl w:val="353814F8"/>
    <w:lvl w:ilvl="0" w:tplc="04090019">
      <w:start w:val="1"/>
      <w:numFmt w:val="lowerLetter"/>
      <w:lvlText w:val="%1."/>
      <w:lvlJc w:val="left"/>
      <w:pPr>
        <w:ind w:left="768" w:hanging="360"/>
      </w:pPr>
    </w:lvl>
    <w:lvl w:ilvl="1" w:tplc="14090019">
      <w:start w:val="1"/>
      <w:numFmt w:val="lowerLetter"/>
      <w:lvlText w:val="%2."/>
      <w:lvlJc w:val="left"/>
      <w:pPr>
        <w:ind w:left="1488" w:hanging="360"/>
      </w:pPr>
    </w:lvl>
    <w:lvl w:ilvl="2" w:tplc="1409001B" w:tentative="1">
      <w:start w:val="1"/>
      <w:numFmt w:val="lowerRoman"/>
      <w:lvlText w:val="%3."/>
      <w:lvlJc w:val="right"/>
      <w:pPr>
        <w:ind w:left="2208" w:hanging="180"/>
      </w:pPr>
    </w:lvl>
    <w:lvl w:ilvl="3" w:tplc="1409000F" w:tentative="1">
      <w:start w:val="1"/>
      <w:numFmt w:val="decimal"/>
      <w:lvlText w:val="%4."/>
      <w:lvlJc w:val="left"/>
      <w:pPr>
        <w:ind w:left="2928" w:hanging="360"/>
      </w:pPr>
    </w:lvl>
    <w:lvl w:ilvl="4" w:tplc="14090019" w:tentative="1">
      <w:start w:val="1"/>
      <w:numFmt w:val="lowerLetter"/>
      <w:lvlText w:val="%5."/>
      <w:lvlJc w:val="left"/>
      <w:pPr>
        <w:ind w:left="3648" w:hanging="360"/>
      </w:pPr>
    </w:lvl>
    <w:lvl w:ilvl="5" w:tplc="1409001B" w:tentative="1">
      <w:start w:val="1"/>
      <w:numFmt w:val="lowerRoman"/>
      <w:lvlText w:val="%6."/>
      <w:lvlJc w:val="right"/>
      <w:pPr>
        <w:ind w:left="4368" w:hanging="180"/>
      </w:pPr>
    </w:lvl>
    <w:lvl w:ilvl="6" w:tplc="1409000F" w:tentative="1">
      <w:start w:val="1"/>
      <w:numFmt w:val="decimal"/>
      <w:lvlText w:val="%7."/>
      <w:lvlJc w:val="left"/>
      <w:pPr>
        <w:ind w:left="5088" w:hanging="360"/>
      </w:pPr>
    </w:lvl>
    <w:lvl w:ilvl="7" w:tplc="14090019" w:tentative="1">
      <w:start w:val="1"/>
      <w:numFmt w:val="lowerLetter"/>
      <w:lvlText w:val="%8."/>
      <w:lvlJc w:val="left"/>
      <w:pPr>
        <w:ind w:left="5808" w:hanging="360"/>
      </w:pPr>
    </w:lvl>
    <w:lvl w:ilvl="8" w:tplc="1409001B" w:tentative="1">
      <w:start w:val="1"/>
      <w:numFmt w:val="lowerRoman"/>
      <w:lvlText w:val="%9."/>
      <w:lvlJc w:val="right"/>
      <w:pPr>
        <w:ind w:left="6528" w:hanging="180"/>
      </w:pPr>
    </w:lvl>
  </w:abstractNum>
  <w:abstractNum w:abstractNumId="16" w15:restartNumberingAfterBreak="0">
    <w:nsid w:val="62274A4E"/>
    <w:multiLevelType w:val="hybridMultilevel"/>
    <w:tmpl w:val="6C22B3F2"/>
    <w:lvl w:ilvl="0" w:tplc="D430F04E">
      <w:start w:val="4"/>
      <w:numFmt w:val="bullet"/>
      <w:pStyle w:val="BulletList"/>
      <w:lvlText w:val="-"/>
      <w:lvlJc w:val="left"/>
      <w:pPr>
        <w:ind w:left="720" w:hanging="360"/>
      </w:pPr>
      <w:rPr>
        <w:rFonts w:ascii="Roboto Light" w:eastAsiaTheme="minorHAnsi" w:hAnsi="Roboto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A6B31"/>
    <w:multiLevelType w:val="hybridMultilevel"/>
    <w:tmpl w:val="E598A2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489751A"/>
    <w:multiLevelType w:val="hybridMultilevel"/>
    <w:tmpl w:val="1A28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50385"/>
    <w:multiLevelType w:val="hybridMultilevel"/>
    <w:tmpl w:val="776CF2A2"/>
    <w:lvl w:ilvl="0" w:tplc="042C4B72">
      <w:start w:val="1"/>
      <w:numFmt w:val="decimal"/>
      <w:pStyle w:val="NumberList"/>
      <w:lvlText w:val="%1."/>
      <w:lvlJc w:val="left"/>
      <w:pPr>
        <w:ind w:left="1060" w:hanging="360"/>
      </w:pPr>
    </w:lvl>
    <w:lvl w:ilvl="1" w:tplc="9A9E4E52">
      <w:start w:val="1"/>
      <w:numFmt w:val="lowerLetter"/>
      <w:lvlText w:val="%2."/>
      <w:lvlJc w:val="left"/>
      <w:pPr>
        <w:ind w:left="1780" w:hanging="360"/>
      </w:pPr>
      <w:rPr>
        <w:b w:val="0"/>
      </w:rPr>
    </w:lvl>
    <w:lvl w:ilvl="2" w:tplc="203E714E">
      <w:start w:val="4"/>
      <w:numFmt w:val="bullet"/>
      <w:lvlText w:val="-"/>
      <w:lvlJc w:val="left"/>
      <w:pPr>
        <w:ind w:left="3040" w:hanging="720"/>
      </w:pPr>
      <w:rPr>
        <w:rFonts w:ascii="Roboto Light" w:eastAsiaTheme="minorHAnsi" w:hAnsi="Roboto Light" w:cs="Arial" w:hint="default"/>
      </w:r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8"/>
  </w:num>
  <w:num w:numId="2">
    <w:abstractNumId w:val="19"/>
  </w:num>
  <w:num w:numId="3">
    <w:abstractNumId w:val="9"/>
  </w:num>
  <w:num w:numId="4">
    <w:abstractNumId w:val="11"/>
  </w:num>
  <w:num w:numId="5">
    <w:abstractNumId w:val="13"/>
  </w:num>
  <w:num w:numId="6">
    <w:abstractNumId w:val="15"/>
  </w:num>
  <w:num w:numId="7">
    <w:abstractNumId w:val="16"/>
  </w:num>
  <w:num w:numId="8">
    <w:abstractNumId w:val="6"/>
  </w:num>
  <w:num w:numId="9">
    <w:abstractNumId w:val="1"/>
  </w:num>
  <w:num w:numId="10">
    <w:abstractNumId w:val="5"/>
  </w:num>
  <w:num w:numId="11">
    <w:abstractNumId w:val="3"/>
  </w:num>
  <w:num w:numId="12">
    <w:abstractNumId w:val="14"/>
  </w:num>
  <w:num w:numId="13">
    <w:abstractNumId w:val="18"/>
  </w:num>
  <w:num w:numId="14">
    <w:abstractNumId w:val="12"/>
  </w:num>
  <w:num w:numId="15">
    <w:abstractNumId w:val="7"/>
  </w:num>
  <w:num w:numId="16">
    <w:abstractNumId w:val="2"/>
  </w:num>
  <w:num w:numId="17">
    <w:abstractNumId w:val="17"/>
  </w:num>
  <w:num w:numId="18">
    <w:abstractNumId w:val="0"/>
  </w:num>
  <w:num w:numId="19">
    <w:abstractNumId w:val="10"/>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6EF"/>
    <w:rsid w:val="000026F0"/>
    <w:rsid w:val="0000413F"/>
    <w:rsid w:val="00010922"/>
    <w:rsid w:val="00012342"/>
    <w:rsid w:val="00012655"/>
    <w:rsid w:val="00013F08"/>
    <w:rsid w:val="000151EE"/>
    <w:rsid w:val="000153B2"/>
    <w:rsid w:val="0001591D"/>
    <w:rsid w:val="00016745"/>
    <w:rsid w:val="00021868"/>
    <w:rsid w:val="000224B9"/>
    <w:rsid w:val="00025A83"/>
    <w:rsid w:val="00030F6B"/>
    <w:rsid w:val="00031F93"/>
    <w:rsid w:val="00035D70"/>
    <w:rsid w:val="00036870"/>
    <w:rsid w:val="000411D2"/>
    <w:rsid w:val="00041D79"/>
    <w:rsid w:val="00043A31"/>
    <w:rsid w:val="000501A8"/>
    <w:rsid w:val="0005330B"/>
    <w:rsid w:val="0005501D"/>
    <w:rsid w:val="00056E00"/>
    <w:rsid w:val="00062B56"/>
    <w:rsid w:val="00063E3E"/>
    <w:rsid w:val="000659CE"/>
    <w:rsid w:val="00066F6D"/>
    <w:rsid w:val="000679DA"/>
    <w:rsid w:val="00084581"/>
    <w:rsid w:val="000944D2"/>
    <w:rsid w:val="000953FC"/>
    <w:rsid w:val="00095A8E"/>
    <w:rsid w:val="00095B64"/>
    <w:rsid w:val="000A26DB"/>
    <w:rsid w:val="000B26D7"/>
    <w:rsid w:val="000B386E"/>
    <w:rsid w:val="000B3C46"/>
    <w:rsid w:val="000C4DD9"/>
    <w:rsid w:val="000D3983"/>
    <w:rsid w:val="000D4B4E"/>
    <w:rsid w:val="000E1429"/>
    <w:rsid w:val="000E1E29"/>
    <w:rsid w:val="000E2993"/>
    <w:rsid w:val="000F0C58"/>
    <w:rsid w:val="000F1465"/>
    <w:rsid w:val="000F7707"/>
    <w:rsid w:val="00100886"/>
    <w:rsid w:val="00107B35"/>
    <w:rsid w:val="00111F69"/>
    <w:rsid w:val="00113FB1"/>
    <w:rsid w:val="001146C7"/>
    <w:rsid w:val="00114F9A"/>
    <w:rsid w:val="00117FB0"/>
    <w:rsid w:val="00122024"/>
    <w:rsid w:val="001259FD"/>
    <w:rsid w:val="001278D8"/>
    <w:rsid w:val="00142B27"/>
    <w:rsid w:val="00143400"/>
    <w:rsid w:val="0014399F"/>
    <w:rsid w:val="0014461C"/>
    <w:rsid w:val="00147C87"/>
    <w:rsid w:val="00173D5F"/>
    <w:rsid w:val="0017673A"/>
    <w:rsid w:val="00187A20"/>
    <w:rsid w:val="001A3095"/>
    <w:rsid w:val="001A568E"/>
    <w:rsid w:val="001A765E"/>
    <w:rsid w:val="001B2035"/>
    <w:rsid w:val="001B366B"/>
    <w:rsid w:val="001B3EAE"/>
    <w:rsid w:val="001C0779"/>
    <w:rsid w:val="001C13AC"/>
    <w:rsid w:val="001C14B0"/>
    <w:rsid w:val="001C2B12"/>
    <w:rsid w:val="001D011D"/>
    <w:rsid w:val="001D1B64"/>
    <w:rsid w:val="001D4B1D"/>
    <w:rsid w:val="001D6C3A"/>
    <w:rsid w:val="001E1570"/>
    <w:rsid w:val="001E3C59"/>
    <w:rsid w:val="001F1312"/>
    <w:rsid w:val="001F5205"/>
    <w:rsid w:val="001F5B05"/>
    <w:rsid w:val="001F712B"/>
    <w:rsid w:val="00200C1B"/>
    <w:rsid w:val="002036BF"/>
    <w:rsid w:val="00203E70"/>
    <w:rsid w:val="00204C05"/>
    <w:rsid w:val="00205009"/>
    <w:rsid w:val="002068CF"/>
    <w:rsid w:val="002147BF"/>
    <w:rsid w:val="00222B08"/>
    <w:rsid w:val="00226239"/>
    <w:rsid w:val="00226824"/>
    <w:rsid w:val="00232462"/>
    <w:rsid w:val="0024030A"/>
    <w:rsid w:val="00240654"/>
    <w:rsid w:val="00242B27"/>
    <w:rsid w:val="002469C1"/>
    <w:rsid w:val="00252A58"/>
    <w:rsid w:val="00253610"/>
    <w:rsid w:val="002540C0"/>
    <w:rsid w:val="002556C0"/>
    <w:rsid w:val="0026362D"/>
    <w:rsid w:val="00263A6E"/>
    <w:rsid w:val="00263BDC"/>
    <w:rsid w:val="002667FA"/>
    <w:rsid w:val="00267E89"/>
    <w:rsid w:val="00270CFB"/>
    <w:rsid w:val="00274309"/>
    <w:rsid w:val="002775E1"/>
    <w:rsid w:val="0028395E"/>
    <w:rsid w:val="00284151"/>
    <w:rsid w:val="00285C01"/>
    <w:rsid w:val="00287D62"/>
    <w:rsid w:val="00296DDD"/>
    <w:rsid w:val="002B3249"/>
    <w:rsid w:val="002B3E49"/>
    <w:rsid w:val="002C5283"/>
    <w:rsid w:val="002C6578"/>
    <w:rsid w:val="002D6D42"/>
    <w:rsid w:val="002F2AE7"/>
    <w:rsid w:val="002F4183"/>
    <w:rsid w:val="002F744A"/>
    <w:rsid w:val="002F7C40"/>
    <w:rsid w:val="00300E94"/>
    <w:rsid w:val="0030509F"/>
    <w:rsid w:val="00306E63"/>
    <w:rsid w:val="00307029"/>
    <w:rsid w:val="00312413"/>
    <w:rsid w:val="00312543"/>
    <w:rsid w:val="00315B8A"/>
    <w:rsid w:val="00316717"/>
    <w:rsid w:val="00322E1B"/>
    <w:rsid w:val="003234C8"/>
    <w:rsid w:val="003347DB"/>
    <w:rsid w:val="003379B0"/>
    <w:rsid w:val="00341D82"/>
    <w:rsid w:val="0034306D"/>
    <w:rsid w:val="003533C1"/>
    <w:rsid w:val="00356A8E"/>
    <w:rsid w:val="00363375"/>
    <w:rsid w:val="00363631"/>
    <w:rsid w:val="00363F06"/>
    <w:rsid w:val="0036444E"/>
    <w:rsid w:val="003701FF"/>
    <w:rsid w:val="00371F74"/>
    <w:rsid w:val="00374AA2"/>
    <w:rsid w:val="00380647"/>
    <w:rsid w:val="00387DAC"/>
    <w:rsid w:val="003911DF"/>
    <w:rsid w:val="003962E1"/>
    <w:rsid w:val="003A1666"/>
    <w:rsid w:val="003A1C85"/>
    <w:rsid w:val="003A2D10"/>
    <w:rsid w:val="003A5EE3"/>
    <w:rsid w:val="003B06CE"/>
    <w:rsid w:val="003C024D"/>
    <w:rsid w:val="003C04AA"/>
    <w:rsid w:val="003C05B1"/>
    <w:rsid w:val="003C2774"/>
    <w:rsid w:val="003C6D01"/>
    <w:rsid w:val="003C7452"/>
    <w:rsid w:val="003C797E"/>
    <w:rsid w:val="003D3602"/>
    <w:rsid w:val="003D3C09"/>
    <w:rsid w:val="003D65C4"/>
    <w:rsid w:val="003D7CB8"/>
    <w:rsid w:val="003E0900"/>
    <w:rsid w:val="003E2B13"/>
    <w:rsid w:val="003F074C"/>
    <w:rsid w:val="003F0CBA"/>
    <w:rsid w:val="00403C08"/>
    <w:rsid w:val="0040675B"/>
    <w:rsid w:val="00407EE9"/>
    <w:rsid w:val="00411463"/>
    <w:rsid w:val="00416B6E"/>
    <w:rsid w:val="0042012C"/>
    <w:rsid w:val="00421FEE"/>
    <w:rsid w:val="00431990"/>
    <w:rsid w:val="004373A7"/>
    <w:rsid w:val="00437989"/>
    <w:rsid w:val="0044395B"/>
    <w:rsid w:val="00443DE2"/>
    <w:rsid w:val="004559E3"/>
    <w:rsid w:val="004560CB"/>
    <w:rsid w:val="00456F97"/>
    <w:rsid w:val="00460546"/>
    <w:rsid w:val="00464792"/>
    <w:rsid w:val="00466AD0"/>
    <w:rsid w:val="004672C2"/>
    <w:rsid w:val="00467E97"/>
    <w:rsid w:val="0047182A"/>
    <w:rsid w:val="00475405"/>
    <w:rsid w:val="00482FB7"/>
    <w:rsid w:val="00486BF4"/>
    <w:rsid w:val="004948BC"/>
    <w:rsid w:val="004A07B8"/>
    <w:rsid w:val="004A6988"/>
    <w:rsid w:val="004A76C8"/>
    <w:rsid w:val="004B04E8"/>
    <w:rsid w:val="004B3A44"/>
    <w:rsid w:val="004C050F"/>
    <w:rsid w:val="004C45EB"/>
    <w:rsid w:val="004C6212"/>
    <w:rsid w:val="004D0A60"/>
    <w:rsid w:val="004D570B"/>
    <w:rsid w:val="004F07E9"/>
    <w:rsid w:val="004F1027"/>
    <w:rsid w:val="004F1A54"/>
    <w:rsid w:val="0050578B"/>
    <w:rsid w:val="00505928"/>
    <w:rsid w:val="00505FD9"/>
    <w:rsid w:val="005110DD"/>
    <w:rsid w:val="00514FE5"/>
    <w:rsid w:val="00520CA2"/>
    <w:rsid w:val="005242EE"/>
    <w:rsid w:val="00526C11"/>
    <w:rsid w:val="005347FA"/>
    <w:rsid w:val="005433E8"/>
    <w:rsid w:val="00547BFC"/>
    <w:rsid w:val="00554CCD"/>
    <w:rsid w:val="00567589"/>
    <w:rsid w:val="005742DB"/>
    <w:rsid w:val="00590377"/>
    <w:rsid w:val="00593334"/>
    <w:rsid w:val="005A1395"/>
    <w:rsid w:val="005A172E"/>
    <w:rsid w:val="005A2267"/>
    <w:rsid w:val="005A2369"/>
    <w:rsid w:val="005A51EF"/>
    <w:rsid w:val="005A780E"/>
    <w:rsid w:val="005B147F"/>
    <w:rsid w:val="005B209D"/>
    <w:rsid w:val="005B3B24"/>
    <w:rsid w:val="005B4BF9"/>
    <w:rsid w:val="005C15EB"/>
    <w:rsid w:val="005C1A19"/>
    <w:rsid w:val="005D16FE"/>
    <w:rsid w:val="005D6E36"/>
    <w:rsid w:val="005E049E"/>
    <w:rsid w:val="005E3305"/>
    <w:rsid w:val="005E4521"/>
    <w:rsid w:val="005E48E4"/>
    <w:rsid w:val="00600619"/>
    <w:rsid w:val="006017FF"/>
    <w:rsid w:val="0060417A"/>
    <w:rsid w:val="00612E9A"/>
    <w:rsid w:val="006147B2"/>
    <w:rsid w:val="00625C22"/>
    <w:rsid w:val="0063084E"/>
    <w:rsid w:val="0063501E"/>
    <w:rsid w:val="00637EB3"/>
    <w:rsid w:val="00644019"/>
    <w:rsid w:val="006504C0"/>
    <w:rsid w:val="006506E1"/>
    <w:rsid w:val="006509DA"/>
    <w:rsid w:val="006558B4"/>
    <w:rsid w:val="006576BA"/>
    <w:rsid w:val="0065797E"/>
    <w:rsid w:val="0066062D"/>
    <w:rsid w:val="00660B25"/>
    <w:rsid w:val="00664486"/>
    <w:rsid w:val="00674E30"/>
    <w:rsid w:val="0067714D"/>
    <w:rsid w:val="00677200"/>
    <w:rsid w:val="00682957"/>
    <w:rsid w:val="00682BFD"/>
    <w:rsid w:val="006830D7"/>
    <w:rsid w:val="00687D64"/>
    <w:rsid w:val="006948AD"/>
    <w:rsid w:val="00694D9D"/>
    <w:rsid w:val="00694FD2"/>
    <w:rsid w:val="006A01F5"/>
    <w:rsid w:val="006A7CEC"/>
    <w:rsid w:val="006B1ACD"/>
    <w:rsid w:val="006B28D7"/>
    <w:rsid w:val="006B2DB1"/>
    <w:rsid w:val="006B2EAB"/>
    <w:rsid w:val="006B6039"/>
    <w:rsid w:val="006B7EAA"/>
    <w:rsid w:val="006C03C8"/>
    <w:rsid w:val="006C11AE"/>
    <w:rsid w:val="006C159E"/>
    <w:rsid w:val="006C2F1A"/>
    <w:rsid w:val="006C730F"/>
    <w:rsid w:val="006D5362"/>
    <w:rsid w:val="006D67B1"/>
    <w:rsid w:val="006E36B1"/>
    <w:rsid w:val="006E3A02"/>
    <w:rsid w:val="006E6324"/>
    <w:rsid w:val="006F2132"/>
    <w:rsid w:val="006F4ADD"/>
    <w:rsid w:val="00700F59"/>
    <w:rsid w:val="00701927"/>
    <w:rsid w:val="007038E1"/>
    <w:rsid w:val="00704FD0"/>
    <w:rsid w:val="007126C6"/>
    <w:rsid w:val="0071361F"/>
    <w:rsid w:val="00714A45"/>
    <w:rsid w:val="007155B7"/>
    <w:rsid w:val="007209E5"/>
    <w:rsid w:val="00721B01"/>
    <w:rsid w:val="007227EF"/>
    <w:rsid w:val="007229D1"/>
    <w:rsid w:val="007302EA"/>
    <w:rsid w:val="0073165A"/>
    <w:rsid w:val="00731FAE"/>
    <w:rsid w:val="0073416D"/>
    <w:rsid w:val="00734692"/>
    <w:rsid w:val="00735C3C"/>
    <w:rsid w:val="00735F8B"/>
    <w:rsid w:val="007375C6"/>
    <w:rsid w:val="007405F7"/>
    <w:rsid w:val="0074624E"/>
    <w:rsid w:val="00746F46"/>
    <w:rsid w:val="007542F6"/>
    <w:rsid w:val="00762242"/>
    <w:rsid w:val="007630C5"/>
    <w:rsid w:val="00766268"/>
    <w:rsid w:val="00767651"/>
    <w:rsid w:val="00775784"/>
    <w:rsid w:val="007865ED"/>
    <w:rsid w:val="007914C6"/>
    <w:rsid w:val="00792BD1"/>
    <w:rsid w:val="00794732"/>
    <w:rsid w:val="00797597"/>
    <w:rsid w:val="007A1BC1"/>
    <w:rsid w:val="007A7620"/>
    <w:rsid w:val="007B121D"/>
    <w:rsid w:val="007B15E6"/>
    <w:rsid w:val="007B59B0"/>
    <w:rsid w:val="007C0323"/>
    <w:rsid w:val="007C1545"/>
    <w:rsid w:val="007C1F77"/>
    <w:rsid w:val="007C2A9D"/>
    <w:rsid w:val="007C4C2F"/>
    <w:rsid w:val="007C5FBF"/>
    <w:rsid w:val="007D1D83"/>
    <w:rsid w:val="007D2E10"/>
    <w:rsid w:val="007D38C7"/>
    <w:rsid w:val="007D3C4D"/>
    <w:rsid w:val="007D51DE"/>
    <w:rsid w:val="007D5A67"/>
    <w:rsid w:val="007D6107"/>
    <w:rsid w:val="007D615D"/>
    <w:rsid w:val="007E0EAC"/>
    <w:rsid w:val="007E1CAD"/>
    <w:rsid w:val="007F224E"/>
    <w:rsid w:val="007F3238"/>
    <w:rsid w:val="007F678C"/>
    <w:rsid w:val="007F6D31"/>
    <w:rsid w:val="007F79A8"/>
    <w:rsid w:val="00807556"/>
    <w:rsid w:val="00813A20"/>
    <w:rsid w:val="00814948"/>
    <w:rsid w:val="00822DE6"/>
    <w:rsid w:val="00825AC9"/>
    <w:rsid w:val="00826AEF"/>
    <w:rsid w:val="00830AB5"/>
    <w:rsid w:val="008311C1"/>
    <w:rsid w:val="008317B5"/>
    <w:rsid w:val="00832FC2"/>
    <w:rsid w:val="0083692D"/>
    <w:rsid w:val="00836DD3"/>
    <w:rsid w:val="0084046A"/>
    <w:rsid w:val="00840757"/>
    <w:rsid w:val="0084460C"/>
    <w:rsid w:val="00855306"/>
    <w:rsid w:val="00855336"/>
    <w:rsid w:val="0086112D"/>
    <w:rsid w:val="00863294"/>
    <w:rsid w:val="00870099"/>
    <w:rsid w:val="00872487"/>
    <w:rsid w:val="00873E8B"/>
    <w:rsid w:val="0087437E"/>
    <w:rsid w:val="00875622"/>
    <w:rsid w:val="0087777C"/>
    <w:rsid w:val="00877FB5"/>
    <w:rsid w:val="00881731"/>
    <w:rsid w:val="00881EBF"/>
    <w:rsid w:val="008828AC"/>
    <w:rsid w:val="00887BCE"/>
    <w:rsid w:val="008902AC"/>
    <w:rsid w:val="00892C2F"/>
    <w:rsid w:val="0089357D"/>
    <w:rsid w:val="008940D6"/>
    <w:rsid w:val="00897851"/>
    <w:rsid w:val="008A0C40"/>
    <w:rsid w:val="008A2198"/>
    <w:rsid w:val="008A2A4B"/>
    <w:rsid w:val="008A5D47"/>
    <w:rsid w:val="008B1C83"/>
    <w:rsid w:val="008B3190"/>
    <w:rsid w:val="008B3E95"/>
    <w:rsid w:val="008B5DA6"/>
    <w:rsid w:val="008C23B9"/>
    <w:rsid w:val="008C4F85"/>
    <w:rsid w:val="008C551C"/>
    <w:rsid w:val="008C6559"/>
    <w:rsid w:val="008D2DD9"/>
    <w:rsid w:val="008D32D3"/>
    <w:rsid w:val="008D7B0C"/>
    <w:rsid w:val="008E7282"/>
    <w:rsid w:val="008F1B6D"/>
    <w:rsid w:val="008F2FB5"/>
    <w:rsid w:val="008F3FBD"/>
    <w:rsid w:val="008F4715"/>
    <w:rsid w:val="00900EEB"/>
    <w:rsid w:val="00902BA7"/>
    <w:rsid w:val="00905496"/>
    <w:rsid w:val="00906DAD"/>
    <w:rsid w:val="00910F16"/>
    <w:rsid w:val="00911EBF"/>
    <w:rsid w:val="00913238"/>
    <w:rsid w:val="00917CC7"/>
    <w:rsid w:val="00923671"/>
    <w:rsid w:val="00927F3A"/>
    <w:rsid w:val="00931DB1"/>
    <w:rsid w:val="00936082"/>
    <w:rsid w:val="0093771B"/>
    <w:rsid w:val="00941161"/>
    <w:rsid w:val="00941D0A"/>
    <w:rsid w:val="009441B3"/>
    <w:rsid w:val="00947CE2"/>
    <w:rsid w:val="0095168E"/>
    <w:rsid w:val="00953992"/>
    <w:rsid w:val="00961BF1"/>
    <w:rsid w:val="0096601F"/>
    <w:rsid w:val="00967A6D"/>
    <w:rsid w:val="00971697"/>
    <w:rsid w:val="00974D48"/>
    <w:rsid w:val="00983843"/>
    <w:rsid w:val="00985DC9"/>
    <w:rsid w:val="00991A6A"/>
    <w:rsid w:val="0099393C"/>
    <w:rsid w:val="00995389"/>
    <w:rsid w:val="009A12B2"/>
    <w:rsid w:val="009A4B9D"/>
    <w:rsid w:val="009A5775"/>
    <w:rsid w:val="009B2103"/>
    <w:rsid w:val="009B44BC"/>
    <w:rsid w:val="009B5FD8"/>
    <w:rsid w:val="009B6E16"/>
    <w:rsid w:val="009B6F4E"/>
    <w:rsid w:val="009C6529"/>
    <w:rsid w:val="009D0841"/>
    <w:rsid w:val="009D52D2"/>
    <w:rsid w:val="009D5E01"/>
    <w:rsid w:val="009D6528"/>
    <w:rsid w:val="009D7EE9"/>
    <w:rsid w:val="009E37E4"/>
    <w:rsid w:val="009E63BC"/>
    <w:rsid w:val="009F40FC"/>
    <w:rsid w:val="009F4828"/>
    <w:rsid w:val="00A00626"/>
    <w:rsid w:val="00A00940"/>
    <w:rsid w:val="00A00D89"/>
    <w:rsid w:val="00A01B67"/>
    <w:rsid w:val="00A01D80"/>
    <w:rsid w:val="00A02A3E"/>
    <w:rsid w:val="00A06381"/>
    <w:rsid w:val="00A107B8"/>
    <w:rsid w:val="00A11735"/>
    <w:rsid w:val="00A222CA"/>
    <w:rsid w:val="00A24DE3"/>
    <w:rsid w:val="00A37EDD"/>
    <w:rsid w:val="00A42B2D"/>
    <w:rsid w:val="00A43700"/>
    <w:rsid w:val="00A4412C"/>
    <w:rsid w:val="00A4458E"/>
    <w:rsid w:val="00A479D2"/>
    <w:rsid w:val="00A534C3"/>
    <w:rsid w:val="00A5485E"/>
    <w:rsid w:val="00A57AFA"/>
    <w:rsid w:val="00A60B96"/>
    <w:rsid w:val="00A63D35"/>
    <w:rsid w:val="00A84FBC"/>
    <w:rsid w:val="00A87AE5"/>
    <w:rsid w:val="00A965A8"/>
    <w:rsid w:val="00A96E21"/>
    <w:rsid w:val="00A96F6B"/>
    <w:rsid w:val="00AA0F61"/>
    <w:rsid w:val="00AA23B8"/>
    <w:rsid w:val="00AC1994"/>
    <w:rsid w:val="00AC3DC9"/>
    <w:rsid w:val="00AC3E65"/>
    <w:rsid w:val="00AC6CF4"/>
    <w:rsid w:val="00AD2761"/>
    <w:rsid w:val="00AD613E"/>
    <w:rsid w:val="00AD763C"/>
    <w:rsid w:val="00AE12CE"/>
    <w:rsid w:val="00AF254F"/>
    <w:rsid w:val="00AF2C64"/>
    <w:rsid w:val="00AF3694"/>
    <w:rsid w:val="00AF52FD"/>
    <w:rsid w:val="00AF6DBD"/>
    <w:rsid w:val="00B02354"/>
    <w:rsid w:val="00B02EF6"/>
    <w:rsid w:val="00B1177F"/>
    <w:rsid w:val="00B126ED"/>
    <w:rsid w:val="00B2621C"/>
    <w:rsid w:val="00B31003"/>
    <w:rsid w:val="00B4159E"/>
    <w:rsid w:val="00B41E2F"/>
    <w:rsid w:val="00B41F18"/>
    <w:rsid w:val="00B42EE9"/>
    <w:rsid w:val="00B45F55"/>
    <w:rsid w:val="00B53A7B"/>
    <w:rsid w:val="00B54C45"/>
    <w:rsid w:val="00B61AE9"/>
    <w:rsid w:val="00B628EE"/>
    <w:rsid w:val="00B65835"/>
    <w:rsid w:val="00B664B3"/>
    <w:rsid w:val="00B67491"/>
    <w:rsid w:val="00B674CE"/>
    <w:rsid w:val="00B70CFF"/>
    <w:rsid w:val="00B76F6E"/>
    <w:rsid w:val="00B8135D"/>
    <w:rsid w:val="00B86088"/>
    <w:rsid w:val="00B87E98"/>
    <w:rsid w:val="00B9108D"/>
    <w:rsid w:val="00B91500"/>
    <w:rsid w:val="00B97A62"/>
    <w:rsid w:val="00BA5861"/>
    <w:rsid w:val="00BA5D6A"/>
    <w:rsid w:val="00BB138F"/>
    <w:rsid w:val="00BC1D96"/>
    <w:rsid w:val="00BC55AE"/>
    <w:rsid w:val="00BC5EBC"/>
    <w:rsid w:val="00BC67BD"/>
    <w:rsid w:val="00BC732D"/>
    <w:rsid w:val="00BC7686"/>
    <w:rsid w:val="00BD0CDD"/>
    <w:rsid w:val="00BD4A1C"/>
    <w:rsid w:val="00BD4E26"/>
    <w:rsid w:val="00BD4FE5"/>
    <w:rsid w:val="00BE344F"/>
    <w:rsid w:val="00BE3CD9"/>
    <w:rsid w:val="00BE6628"/>
    <w:rsid w:val="00BF4329"/>
    <w:rsid w:val="00BF64E0"/>
    <w:rsid w:val="00BF7B64"/>
    <w:rsid w:val="00C00B26"/>
    <w:rsid w:val="00C137F7"/>
    <w:rsid w:val="00C206B7"/>
    <w:rsid w:val="00C20AB3"/>
    <w:rsid w:val="00C23FA5"/>
    <w:rsid w:val="00C26A06"/>
    <w:rsid w:val="00C27CCE"/>
    <w:rsid w:val="00C329D6"/>
    <w:rsid w:val="00C32E70"/>
    <w:rsid w:val="00C471C6"/>
    <w:rsid w:val="00C527C8"/>
    <w:rsid w:val="00C52A62"/>
    <w:rsid w:val="00C60D37"/>
    <w:rsid w:val="00C67D1B"/>
    <w:rsid w:val="00C7115C"/>
    <w:rsid w:val="00C71628"/>
    <w:rsid w:val="00C74868"/>
    <w:rsid w:val="00C80750"/>
    <w:rsid w:val="00C827CF"/>
    <w:rsid w:val="00C86782"/>
    <w:rsid w:val="00C90E4D"/>
    <w:rsid w:val="00C91057"/>
    <w:rsid w:val="00C922BC"/>
    <w:rsid w:val="00C925FE"/>
    <w:rsid w:val="00C9381E"/>
    <w:rsid w:val="00C9601B"/>
    <w:rsid w:val="00C962E3"/>
    <w:rsid w:val="00CA6090"/>
    <w:rsid w:val="00CB13B9"/>
    <w:rsid w:val="00CB1721"/>
    <w:rsid w:val="00CB6CEC"/>
    <w:rsid w:val="00CC3FD0"/>
    <w:rsid w:val="00CC68BF"/>
    <w:rsid w:val="00CD1001"/>
    <w:rsid w:val="00CD11A0"/>
    <w:rsid w:val="00CD1BB1"/>
    <w:rsid w:val="00CD22A7"/>
    <w:rsid w:val="00CE041D"/>
    <w:rsid w:val="00CE760B"/>
    <w:rsid w:val="00CF3B60"/>
    <w:rsid w:val="00CF3F93"/>
    <w:rsid w:val="00D0022B"/>
    <w:rsid w:val="00D014D0"/>
    <w:rsid w:val="00D11560"/>
    <w:rsid w:val="00D144FC"/>
    <w:rsid w:val="00D147E1"/>
    <w:rsid w:val="00D15BAF"/>
    <w:rsid w:val="00D21D9A"/>
    <w:rsid w:val="00D22E94"/>
    <w:rsid w:val="00D276EB"/>
    <w:rsid w:val="00D310C6"/>
    <w:rsid w:val="00D344A2"/>
    <w:rsid w:val="00D3529D"/>
    <w:rsid w:val="00D510D8"/>
    <w:rsid w:val="00D55FCD"/>
    <w:rsid w:val="00D57BEF"/>
    <w:rsid w:val="00D62252"/>
    <w:rsid w:val="00D63830"/>
    <w:rsid w:val="00D71826"/>
    <w:rsid w:val="00D72382"/>
    <w:rsid w:val="00D73354"/>
    <w:rsid w:val="00D75E93"/>
    <w:rsid w:val="00D908BB"/>
    <w:rsid w:val="00D94317"/>
    <w:rsid w:val="00D97039"/>
    <w:rsid w:val="00DA5596"/>
    <w:rsid w:val="00DB154E"/>
    <w:rsid w:val="00DB2CE5"/>
    <w:rsid w:val="00DC0BB3"/>
    <w:rsid w:val="00DC39C6"/>
    <w:rsid w:val="00DD5BDF"/>
    <w:rsid w:val="00DE1928"/>
    <w:rsid w:val="00DE22C9"/>
    <w:rsid w:val="00DE6F8A"/>
    <w:rsid w:val="00DE7886"/>
    <w:rsid w:val="00DF2DEF"/>
    <w:rsid w:val="00DF6E4A"/>
    <w:rsid w:val="00DF7DDA"/>
    <w:rsid w:val="00E0229B"/>
    <w:rsid w:val="00E10AD7"/>
    <w:rsid w:val="00E10EAF"/>
    <w:rsid w:val="00E15657"/>
    <w:rsid w:val="00E20746"/>
    <w:rsid w:val="00E2085B"/>
    <w:rsid w:val="00E23DE9"/>
    <w:rsid w:val="00E34F31"/>
    <w:rsid w:val="00E359F7"/>
    <w:rsid w:val="00E37F0F"/>
    <w:rsid w:val="00E410B3"/>
    <w:rsid w:val="00E41114"/>
    <w:rsid w:val="00E442C8"/>
    <w:rsid w:val="00E52865"/>
    <w:rsid w:val="00E53BF1"/>
    <w:rsid w:val="00E5798F"/>
    <w:rsid w:val="00E6585E"/>
    <w:rsid w:val="00E71CCE"/>
    <w:rsid w:val="00E74F0B"/>
    <w:rsid w:val="00E760E0"/>
    <w:rsid w:val="00E822BF"/>
    <w:rsid w:val="00E82862"/>
    <w:rsid w:val="00E86F7D"/>
    <w:rsid w:val="00E92BFE"/>
    <w:rsid w:val="00E93B2D"/>
    <w:rsid w:val="00E959E1"/>
    <w:rsid w:val="00EA07FA"/>
    <w:rsid w:val="00EA2D65"/>
    <w:rsid w:val="00EA60F8"/>
    <w:rsid w:val="00EA79BC"/>
    <w:rsid w:val="00EB4706"/>
    <w:rsid w:val="00EB794E"/>
    <w:rsid w:val="00EB7B90"/>
    <w:rsid w:val="00EC384D"/>
    <w:rsid w:val="00EC5EF9"/>
    <w:rsid w:val="00EC6DB4"/>
    <w:rsid w:val="00EC72B2"/>
    <w:rsid w:val="00EC7E43"/>
    <w:rsid w:val="00ED7847"/>
    <w:rsid w:val="00EE0C55"/>
    <w:rsid w:val="00EE0E78"/>
    <w:rsid w:val="00EE53F4"/>
    <w:rsid w:val="00EF3767"/>
    <w:rsid w:val="00EF55D1"/>
    <w:rsid w:val="00EF7FB7"/>
    <w:rsid w:val="00F01A31"/>
    <w:rsid w:val="00F0286B"/>
    <w:rsid w:val="00F10BA7"/>
    <w:rsid w:val="00F20AAC"/>
    <w:rsid w:val="00F2153C"/>
    <w:rsid w:val="00F229AF"/>
    <w:rsid w:val="00F24791"/>
    <w:rsid w:val="00F2578D"/>
    <w:rsid w:val="00F341F0"/>
    <w:rsid w:val="00F34885"/>
    <w:rsid w:val="00F42C96"/>
    <w:rsid w:val="00F463D8"/>
    <w:rsid w:val="00F46B54"/>
    <w:rsid w:val="00F50362"/>
    <w:rsid w:val="00F517D5"/>
    <w:rsid w:val="00F53B99"/>
    <w:rsid w:val="00F60028"/>
    <w:rsid w:val="00F61C17"/>
    <w:rsid w:val="00F62A89"/>
    <w:rsid w:val="00F706EF"/>
    <w:rsid w:val="00F717F8"/>
    <w:rsid w:val="00F72C2E"/>
    <w:rsid w:val="00F74366"/>
    <w:rsid w:val="00F83A9E"/>
    <w:rsid w:val="00F85269"/>
    <w:rsid w:val="00F86420"/>
    <w:rsid w:val="00F951CF"/>
    <w:rsid w:val="00FA13B1"/>
    <w:rsid w:val="00FA15D2"/>
    <w:rsid w:val="00FA1F51"/>
    <w:rsid w:val="00FA408B"/>
    <w:rsid w:val="00FA452E"/>
    <w:rsid w:val="00FB1A85"/>
    <w:rsid w:val="00FB4787"/>
    <w:rsid w:val="00FC5098"/>
    <w:rsid w:val="00FD22B5"/>
    <w:rsid w:val="00FD2B78"/>
    <w:rsid w:val="00FD3F22"/>
    <w:rsid w:val="00FD645F"/>
    <w:rsid w:val="00FE1906"/>
    <w:rsid w:val="00FF2D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PM body text"/>
    <w:qFormat/>
    <w:rsid w:val="009B6F4E"/>
    <w:pPr>
      <w:spacing w:after="240" w:line="276" w:lineRule="auto"/>
      <w:jc w:val="both"/>
    </w:pPr>
    <w:rPr>
      <w:rFonts w:cstheme="minorHAnsi"/>
      <w:sz w:val="22"/>
      <w:szCs w:val="22"/>
      <w:lang w:val="en-GB" w:eastAsia="en-GB"/>
    </w:rPr>
  </w:style>
  <w:style w:type="paragraph" w:styleId="Heading1">
    <w:name w:val="heading 1"/>
    <w:basedOn w:val="Normal"/>
    <w:next w:val="Normal"/>
    <w:link w:val="Heading1Char"/>
    <w:uiPriority w:val="9"/>
    <w:qFormat/>
    <w:rsid w:val="001259FD"/>
    <w:pPr>
      <w:keepNext/>
      <w:pageBreakBefore/>
      <w:pBdr>
        <w:top w:val="single" w:sz="48" w:space="1" w:color="45A7E1" w:themeColor="accent1"/>
      </w:pBdr>
      <w:spacing w:line="240" w:lineRule="auto"/>
      <w:outlineLvl w:val="0"/>
    </w:pPr>
    <w:rPr>
      <w:rFonts w:ascii="Poppins" w:eastAsia="Times New Roman" w:hAnsi="Poppins" w:cs="Poppins"/>
      <w:b/>
      <w:color w:val="0B1F51"/>
      <w:sz w:val="40"/>
      <w:szCs w:val="20"/>
    </w:rPr>
  </w:style>
  <w:style w:type="paragraph" w:styleId="Heading2">
    <w:name w:val="heading 2"/>
    <w:basedOn w:val="Normal"/>
    <w:next w:val="Normal"/>
    <w:link w:val="Heading2Char"/>
    <w:uiPriority w:val="9"/>
    <w:unhideWhenUsed/>
    <w:qFormat/>
    <w:rsid w:val="00D014D0"/>
    <w:pPr>
      <w:spacing w:before="240" w:line="240" w:lineRule="auto"/>
      <w:outlineLvl w:val="1"/>
    </w:pPr>
    <w:rPr>
      <w:rFonts w:ascii="Poppins" w:hAnsi="Poppins" w:cs="Poppins"/>
      <w:b/>
      <w:color w:val="0B1F51"/>
      <w:sz w:val="32"/>
      <w:szCs w:val="24"/>
    </w:rPr>
  </w:style>
  <w:style w:type="paragraph" w:styleId="Heading3">
    <w:name w:val="heading 3"/>
    <w:basedOn w:val="Normal"/>
    <w:next w:val="Normal"/>
    <w:link w:val="Heading3Char"/>
    <w:uiPriority w:val="9"/>
    <w:unhideWhenUsed/>
    <w:qFormat/>
    <w:rsid w:val="00BA5861"/>
    <w:pPr>
      <w:keepNext/>
      <w:keepLines/>
      <w:spacing w:line="240" w:lineRule="auto"/>
      <w:outlineLvl w:val="2"/>
    </w:pPr>
    <w:rPr>
      <w:rFonts w:ascii="Poppins" w:eastAsia="Helvetica" w:hAnsi="Poppins" w:cs="Poppins"/>
      <w:b/>
      <w:color w:val="0B1F51"/>
      <w:sz w:val="28"/>
      <w:szCs w:val="20"/>
    </w:rPr>
  </w:style>
  <w:style w:type="paragraph" w:styleId="Heading4">
    <w:name w:val="heading 4"/>
    <w:basedOn w:val="Normal"/>
    <w:next w:val="Normal"/>
    <w:link w:val="Heading4Char"/>
    <w:uiPriority w:val="9"/>
    <w:unhideWhenUsed/>
    <w:qFormat/>
    <w:rsid w:val="00D014D0"/>
    <w:pPr>
      <w:keepNext/>
      <w:keepLines/>
      <w:spacing w:before="240" w:line="240" w:lineRule="auto"/>
      <w:outlineLvl w:val="3"/>
    </w:pPr>
    <w:rPr>
      <w:rFonts w:ascii="Poppins" w:eastAsia="Helvetica" w:hAnsi="Poppins" w:cs="Poppins"/>
      <w:b/>
      <w:bCs/>
      <w:iCs/>
      <w:color w:val="0B1F51"/>
      <w:sz w:val="24"/>
    </w:rPr>
  </w:style>
  <w:style w:type="paragraph" w:styleId="Heading5">
    <w:name w:val="heading 5"/>
    <w:basedOn w:val="Heading4"/>
    <w:next w:val="Normal"/>
    <w:link w:val="Heading5Char"/>
    <w:uiPriority w:val="9"/>
    <w:unhideWhenUsed/>
    <w:qFormat/>
    <w:rsid w:val="00985DC9"/>
    <w:pPr>
      <w:outlineLvl w:val="4"/>
    </w:pPr>
    <w:rPr>
      <w:rFonts w:ascii="Poppins Light" w:hAnsi="Poppins Light"/>
      <w:sz w:val="22"/>
    </w:rPr>
  </w:style>
  <w:style w:type="paragraph" w:styleId="Heading6">
    <w:name w:val="heading 6"/>
    <w:basedOn w:val="Heading4"/>
    <w:next w:val="Normal"/>
    <w:link w:val="Heading6Char"/>
    <w:uiPriority w:val="9"/>
    <w:unhideWhenUsed/>
    <w:qFormat/>
    <w:rsid w:val="007865ED"/>
    <w:pPr>
      <w:outlineLvl w:val="5"/>
    </w:pPr>
  </w:style>
  <w:style w:type="paragraph" w:styleId="Heading7">
    <w:name w:val="heading 7"/>
    <w:basedOn w:val="Heading4"/>
    <w:next w:val="Normal"/>
    <w:link w:val="Heading7Char"/>
    <w:uiPriority w:val="9"/>
    <w:unhideWhenUsed/>
    <w:qFormat/>
    <w:rsid w:val="007865ED"/>
    <w:pPr>
      <w:outlineLvl w:val="6"/>
    </w:pPr>
  </w:style>
  <w:style w:type="paragraph" w:styleId="Heading8">
    <w:name w:val="heading 8"/>
    <w:basedOn w:val="Heading4"/>
    <w:next w:val="Normal"/>
    <w:link w:val="Heading8Char"/>
    <w:uiPriority w:val="9"/>
    <w:unhideWhenUsed/>
    <w:qFormat/>
    <w:rsid w:val="007865ED"/>
    <w:pPr>
      <w:outlineLvl w:val="7"/>
    </w:pPr>
  </w:style>
  <w:style w:type="paragraph" w:styleId="Heading9">
    <w:name w:val="heading 9"/>
    <w:basedOn w:val="Heading4"/>
    <w:next w:val="Normal"/>
    <w:link w:val="Heading9Char"/>
    <w:uiPriority w:val="9"/>
    <w:unhideWhenUsed/>
    <w:qFormat/>
    <w:rsid w:val="0078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405"/>
    <w:pPr>
      <w:tabs>
        <w:tab w:val="center" w:pos="4513"/>
        <w:tab w:val="right" w:pos="9026"/>
      </w:tabs>
      <w:spacing w:line="240" w:lineRule="auto"/>
    </w:pPr>
    <w:rPr>
      <w:noProof/>
      <w:sz w:val="18"/>
      <w:szCs w:val="18"/>
    </w:rPr>
  </w:style>
  <w:style w:type="table" w:customStyle="1" w:styleId="OPMTable">
    <w:name w:val="OPM Table"/>
    <w:basedOn w:val="TableNormal"/>
    <w:uiPriority w:val="99"/>
    <w:rsid w:val="006D67B1"/>
    <w:rPr>
      <w:sz w:val="22"/>
    </w:rPr>
    <w:tblPr/>
    <w:tcPr>
      <w:shd w:val="clear" w:color="auto" w:fill="DBE4ED"/>
      <w:tcMar>
        <w:top w:w="57" w:type="dxa"/>
        <w:left w:w="170" w:type="dxa"/>
        <w:bottom w:w="57" w:type="dxa"/>
        <w:right w:w="170" w:type="dxa"/>
      </w:tcMar>
    </w:tcPr>
    <w:tblStylePr w:type="firstRow">
      <w:rPr>
        <w:rFonts w:ascii="Arial" w:hAnsi="Arial"/>
        <w:color w:val="45A7E1" w:themeColor="accent1"/>
        <w:sz w:val="22"/>
      </w:rPr>
      <w:tblPr/>
      <w:tcPr>
        <w:tcBorders>
          <w:top w:val="nil"/>
          <w:left w:val="nil"/>
          <w:bottom w:val="single" w:sz="4" w:space="0" w:color="45A7E1" w:themeColor="accent1"/>
          <w:right w:val="nil"/>
          <w:insideH w:val="nil"/>
          <w:insideV w:val="nil"/>
          <w:tl2br w:val="nil"/>
          <w:tr2bl w:val="nil"/>
        </w:tcBorders>
        <w:shd w:val="clear" w:color="auto" w:fill="DAE4EC" w:themeFill="background2"/>
      </w:tcPr>
    </w:tblStylePr>
  </w:style>
  <w:style w:type="paragraph" w:customStyle="1" w:styleId="BulletList">
    <w:name w:val="Bullet List"/>
    <w:basedOn w:val="ListParagraph"/>
    <w:qFormat/>
    <w:rsid w:val="001259FD"/>
    <w:pPr>
      <w:numPr>
        <w:numId w:val="7"/>
      </w:numPr>
      <w:spacing w:before="0" w:after="200"/>
      <w:jc w:val="left"/>
    </w:pPr>
  </w:style>
  <w:style w:type="character" w:styleId="PageNumber">
    <w:name w:val="page number"/>
    <w:basedOn w:val="DefaultParagraphFont"/>
    <w:uiPriority w:val="99"/>
    <w:semiHidden/>
    <w:unhideWhenUsed/>
    <w:rsid w:val="00991A6A"/>
  </w:style>
  <w:style w:type="paragraph" w:styleId="NormalWeb">
    <w:name w:val="Normal (Web)"/>
    <w:basedOn w:val="Normal"/>
    <w:uiPriority w:val="99"/>
    <w:semiHidden/>
    <w:unhideWhenUsed/>
    <w:rsid w:val="009B2103"/>
    <w:pPr>
      <w:spacing w:before="100" w:beforeAutospacing="1" w:after="100" w:afterAutospacing="1" w:line="240" w:lineRule="auto"/>
    </w:pPr>
    <w:rPr>
      <w:rFonts w:ascii="Times New Roman" w:hAnsi="Times New Roman" w:cs="Times New Roman"/>
      <w:sz w:val="24"/>
      <w:szCs w:val="24"/>
    </w:rPr>
  </w:style>
  <w:style w:type="paragraph" w:styleId="TOC5">
    <w:name w:val="toc 5"/>
    <w:basedOn w:val="Normal"/>
    <w:next w:val="Normal"/>
    <w:autoRedefine/>
    <w:uiPriority w:val="39"/>
    <w:unhideWhenUsed/>
    <w:rsid w:val="00475405"/>
    <w:pPr>
      <w:spacing w:after="0"/>
      <w:ind w:left="880"/>
      <w:jc w:val="left"/>
    </w:pPr>
    <w:rPr>
      <w:sz w:val="20"/>
      <w:szCs w:val="20"/>
    </w:rPr>
  </w:style>
  <w:style w:type="character" w:customStyle="1" w:styleId="Heading5Char">
    <w:name w:val="Heading 5 Char"/>
    <w:basedOn w:val="DefaultParagraphFont"/>
    <w:link w:val="Heading5"/>
    <w:uiPriority w:val="9"/>
    <w:rsid w:val="00985DC9"/>
    <w:rPr>
      <w:rFonts w:ascii="Poppins Light" w:eastAsia="Helvetica" w:hAnsi="Poppins Light" w:cs="Poppins"/>
      <w:iCs/>
      <w:color w:val="0B1F51"/>
      <w:sz w:val="22"/>
      <w:szCs w:val="22"/>
      <w:lang w:val="en-GB" w:eastAsia="en-GB"/>
    </w:rPr>
  </w:style>
  <w:style w:type="character" w:customStyle="1" w:styleId="Heading3Char">
    <w:name w:val="Heading 3 Char"/>
    <w:basedOn w:val="DefaultParagraphFont"/>
    <w:link w:val="Heading3"/>
    <w:uiPriority w:val="9"/>
    <w:rsid w:val="00505FD9"/>
    <w:rPr>
      <w:rFonts w:ascii="Poppins" w:eastAsia="Helvetica" w:hAnsi="Poppins" w:cs="Poppins"/>
      <w:b/>
      <w:color w:val="0B1F51"/>
      <w:sz w:val="28"/>
      <w:szCs w:val="20"/>
      <w:lang w:val="en-GB" w:eastAsia="en-GB"/>
    </w:rPr>
  </w:style>
  <w:style w:type="character" w:customStyle="1" w:styleId="Heading1Char">
    <w:name w:val="Heading 1 Char"/>
    <w:basedOn w:val="DefaultParagraphFont"/>
    <w:link w:val="Heading1"/>
    <w:uiPriority w:val="9"/>
    <w:rsid w:val="001259FD"/>
    <w:rPr>
      <w:rFonts w:ascii="Poppins" w:eastAsia="Times New Roman" w:hAnsi="Poppins" w:cs="Poppins"/>
      <w:b/>
      <w:color w:val="0B1F51"/>
      <w:sz w:val="40"/>
      <w:szCs w:val="20"/>
      <w:lang w:val="en-GB" w:eastAsia="en-GB"/>
    </w:rPr>
  </w:style>
  <w:style w:type="character" w:customStyle="1" w:styleId="Heading2Char">
    <w:name w:val="Heading 2 Char"/>
    <w:basedOn w:val="DefaultParagraphFont"/>
    <w:link w:val="Heading2"/>
    <w:uiPriority w:val="9"/>
    <w:rsid w:val="00D014D0"/>
    <w:rPr>
      <w:rFonts w:ascii="Poppins" w:hAnsi="Poppins" w:cs="Poppins"/>
      <w:b/>
      <w:color w:val="0B1F51"/>
      <w:sz w:val="32"/>
      <w:lang w:val="en-GB" w:eastAsia="en-GB"/>
    </w:rPr>
  </w:style>
  <w:style w:type="character" w:customStyle="1" w:styleId="Heading4Char">
    <w:name w:val="Heading 4 Char"/>
    <w:basedOn w:val="DefaultParagraphFont"/>
    <w:link w:val="Heading4"/>
    <w:uiPriority w:val="9"/>
    <w:rsid w:val="00D014D0"/>
    <w:rPr>
      <w:rFonts w:ascii="Poppins" w:eastAsia="Helvetica" w:hAnsi="Poppins" w:cs="Poppins"/>
      <w:b/>
      <w:bCs/>
      <w:iCs/>
      <w:color w:val="0B1F51"/>
      <w:szCs w:val="22"/>
      <w:lang w:val="en-GB" w:eastAsia="en-GB"/>
    </w:rPr>
  </w:style>
  <w:style w:type="character" w:customStyle="1" w:styleId="Heading6Char">
    <w:name w:val="Heading 6 Char"/>
    <w:basedOn w:val="DefaultParagraphFont"/>
    <w:link w:val="Heading6"/>
    <w:uiPriority w:val="9"/>
    <w:rsid w:val="007865ED"/>
    <w:rPr>
      <w:rFonts w:ascii="Poppins" w:eastAsiaTheme="majorEastAsia" w:hAnsi="Poppins" w:cstheme="majorBidi"/>
      <w:iCs/>
      <w:color w:val="0A1F50" w:themeColor="text2"/>
      <w:sz w:val="20"/>
      <w:szCs w:val="18"/>
    </w:rPr>
  </w:style>
  <w:style w:type="character" w:customStyle="1" w:styleId="Heading7Char">
    <w:name w:val="Heading 7 Char"/>
    <w:basedOn w:val="DefaultParagraphFont"/>
    <w:link w:val="Heading7"/>
    <w:uiPriority w:val="9"/>
    <w:rsid w:val="007865ED"/>
    <w:rPr>
      <w:rFonts w:ascii="Poppins" w:eastAsiaTheme="majorEastAsia" w:hAnsi="Poppins" w:cstheme="majorBidi"/>
      <w:iCs/>
      <w:color w:val="0A1F50" w:themeColor="text2"/>
      <w:sz w:val="20"/>
      <w:szCs w:val="18"/>
    </w:rPr>
  </w:style>
  <w:style w:type="character" w:customStyle="1" w:styleId="Heading8Char">
    <w:name w:val="Heading 8 Char"/>
    <w:basedOn w:val="DefaultParagraphFont"/>
    <w:link w:val="Heading8"/>
    <w:uiPriority w:val="9"/>
    <w:rsid w:val="007865ED"/>
    <w:rPr>
      <w:rFonts w:ascii="Poppins" w:eastAsiaTheme="majorEastAsia" w:hAnsi="Poppins" w:cstheme="majorBidi"/>
      <w:iCs/>
      <w:color w:val="0A1F50" w:themeColor="text2"/>
      <w:sz w:val="20"/>
      <w:szCs w:val="18"/>
    </w:rPr>
  </w:style>
  <w:style w:type="character" w:customStyle="1" w:styleId="Heading9Char">
    <w:name w:val="Heading 9 Char"/>
    <w:basedOn w:val="DefaultParagraphFont"/>
    <w:link w:val="Heading9"/>
    <w:uiPriority w:val="9"/>
    <w:rsid w:val="007865ED"/>
    <w:rPr>
      <w:rFonts w:ascii="Poppins" w:eastAsiaTheme="majorEastAsia" w:hAnsi="Poppins" w:cstheme="majorBidi"/>
      <w:iCs/>
      <w:color w:val="0A1F50" w:themeColor="text2"/>
      <w:sz w:val="20"/>
      <w:szCs w:val="18"/>
    </w:rPr>
  </w:style>
  <w:style w:type="paragraph" w:styleId="TOC6">
    <w:name w:val="toc 6"/>
    <w:basedOn w:val="Normal"/>
    <w:next w:val="Normal"/>
    <w:autoRedefine/>
    <w:uiPriority w:val="39"/>
    <w:unhideWhenUsed/>
    <w:rsid w:val="00475405"/>
    <w:pPr>
      <w:spacing w:after="0"/>
      <w:ind w:left="1100"/>
      <w:jc w:val="left"/>
    </w:pPr>
    <w:rPr>
      <w:sz w:val="20"/>
      <w:szCs w:val="20"/>
    </w:rPr>
  </w:style>
  <w:style w:type="paragraph" w:customStyle="1" w:styleId="NumberList">
    <w:name w:val="Number List"/>
    <w:basedOn w:val="Normal"/>
    <w:qFormat/>
    <w:rsid w:val="00460546"/>
    <w:pPr>
      <w:numPr>
        <w:numId w:val="2"/>
      </w:numPr>
      <w:spacing w:before="120" w:after="120"/>
    </w:pPr>
  </w:style>
  <w:style w:type="paragraph" w:styleId="TOC7">
    <w:name w:val="toc 7"/>
    <w:basedOn w:val="Normal"/>
    <w:next w:val="Normal"/>
    <w:autoRedefine/>
    <w:uiPriority w:val="39"/>
    <w:unhideWhenUsed/>
    <w:rsid w:val="00475405"/>
    <w:pPr>
      <w:spacing w:after="0"/>
      <w:ind w:left="1320"/>
      <w:jc w:val="left"/>
    </w:pPr>
    <w:rPr>
      <w:sz w:val="20"/>
      <w:szCs w:val="20"/>
    </w:rPr>
  </w:style>
  <w:style w:type="paragraph" w:styleId="TOC8">
    <w:name w:val="toc 8"/>
    <w:basedOn w:val="Normal"/>
    <w:next w:val="Normal"/>
    <w:autoRedefine/>
    <w:uiPriority w:val="39"/>
    <w:unhideWhenUsed/>
    <w:rsid w:val="00475405"/>
    <w:pPr>
      <w:spacing w:after="0"/>
      <w:ind w:left="1540"/>
      <w:jc w:val="left"/>
    </w:pPr>
    <w:rPr>
      <w:sz w:val="20"/>
      <w:szCs w:val="20"/>
    </w:rPr>
  </w:style>
  <w:style w:type="paragraph" w:styleId="FootnoteText">
    <w:name w:val="footnote text"/>
    <w:aliases w:val="IOD PARC Footnote Text,Char,ft,single space,fn,Footnote Text Char Char Char Char,FOOTNOTES,Footnote Text Char1 Char,Footnote Text Char Char Char,Footnote Text Char Char Char Char Char Char Char Char Char Char,Nbpage Moens,f,A,LM Footnote"/>
    <w:basedOn w:val="Normal"/>
    <w:link w:val="FootnoteTextChar"/>
    <w:uiPriority w:val="99"/>
    <w:unhideWhenUsed/>
    <w:qFormat/>
    <w:rsid w:val="002667FA"/>
    <w:pPr>
      <w:adjustRightInd w:val="0"/>
      <w:spacing w:after="120" w:line="240" w:lineRule="auto"/>
      <w:ind w:left="113" w:hanging="113"/>
    </w:pPr>
    <w:rPr>
      <w:sz w:val="18"/>
      <w:szCs w:val="18"/>
    </w:rPr>
  </w:style>
  <w:style w:type="character" w:customStyle="1" w:styleId="FootnoteTextChar">
    <w:name w:val="Footnote Text Char"/>
    <w:aliases w:val="IOD PARC Footnote Text Char,Char Char,ft Char,single space Char,fn Char,Footnote Text Char Char Char Char Char,FOOTNOTES Char,Footnote Text Char1 Char Char,Footnote Text Char Char Char Char1,Nbpage Moens Char,f Char,A Char"/>
    <w:basedOn w:val="DefaultParagraphFont"/>
    <w:link w:val="FootnoteText"/>
    <w:uiPriority w:val="99"/>
    <w:rsid w:val="002667FA"/>
    <w:rPr>
      <w:rFonts w:ascii="Roboto Light" w:hAnsi="Roboto Light" w:cs="Arial"/>
      <w:sz w:val="18"/>
      <w:szCs w:val="18"/>
      <w:lang w:val="en-GB" w:eastAsia="en-GB"/>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link w:val="referencianotaalpieChar"/>
    <w:uiPriority w:val="99"/>
    <w:unhideWhenUsed/>
    <w:qFormat/>
    <w:rsid w:val="00A01B67"/>
    <w:rPr>
      <w:vertAlign w:val="superscript"/>
    </w:rPr>
  </w:style>
  <w:style w:type="paragraph" w:styleId="TOC9">
    <w:name w:val="toc 9"/>
    <w:basedOn w:val="Normal"/>
    <w:next w:val="Normal"/>
    <w:autoRedefine/>
    <w:uiPriority w:val="39"/>
    <w:unhideWhenUsed/>
    <w:rsid w:val="00475405"/>
    <w:pPr>
      <w:spacing w:after="0"/>
      <w:ind w:left="1760"/>
      <w:jc w:val="left"/>
    </w:pPr>
    <w:rPr>
      <w:sz w:val="20"/>
      <w:szCs w:val="20"/>
    </w:rPr>
  </w:style>
  <w:style w:type="paragraph" w:customStyle="1" w:styleId="FigureImageTablehead">
    <w:name w:val="Figure/Image/Table head"/>
    <w:basedOn w:val="Normal"/>
    <w:next w:val="Normal"/>
    <w:qFormat/>
    <w:rsid w:val="00B9108D"/>
    <w:pPr>
      <w:spacing w:before="260" w:after="260" w:line="240" w:lineRule="auto"/>
    </w:pPr>
    <w:rPr>
      <w:b/>
      <w:color w:val="0A1F50" w:themeColor="text2"/>
    </w:rPr>
  </w:style>
  <w:style w:type="paragraph" w:customStyle="1" w:styleId="FigureImageTablesource">
    <w:name w:val="Figure/Image/Table source"/>
    <w:basedOn w:val="Normal"/>
    <w:next w:val="Normal"/>
    <w:qFormat/>
    <w:rsid w:val="001A3095"/>
    <w:pPr>
      <w:spacing w:before="120"/>
    </w:pPr>
    <w:rPr>
      <w:sz w:val="18"/>
      <w:szCs w:val="18"/>
    </w:rPr>
  </w:style>
  <w:style w:type="table" w:styleId="TableGrid">
    <w:name w:val="Table Grid"/>
    <w:basedOn w:val="TableNormal"/>
    <w:uiPriority w:val="39"/>
    <w:rsid w:val="0068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ed">
    <w:name w:val="Table Header Left Aligned"/>
    <w:basedOn w:val="Normal"/>
    <w:qFormat/>
    <w:rsid w:val="00460546"/>
    <w:pPr>
      <w:spacing w:before="120" w:after="120"/>
    </w:pPr>
    <w:rPr>
      <w:rFonts w:ascii="Roboto" w:hAnsi="Roboto"/>
      <w:b/>
      <w:color w:val="FFFFFF" w:themeColor="background1"/>
    </w:rPr>
  </w:style>
  <w:style w:type="paragraph" w:customStyle="1" w:styleId="TableHeaderRightAligned">
    <w:name w:val="Table Header Right Aligned"/>
    <w:basedOn w:val="Normal"/>
    <w:qFormat/>
    <w:rsid w:val="00A107B8"/>
    <w:pPr>
      <w:spacing w:after="0"/>
      <w:jc w:val="right"/>
    </w:pPr>
    <w:rPr>
      <w:b/>
      <w:color w:val="0B1F51"/>
    </w:rPr>
  </w:style>
  <w:style w:type="paragraph" w:customStyle="1" w:styleId="TableBodyRightAligned">
    <w:name w:val="Table Body Right Aligned"/>
    <w:basedOn w:val="Normal"/>
    <w:qFormat/>
    <w:rsid w:val="008B3190"/>
    <w:pPr>
      <w:spacing w:after="0"/>
      <w:jc w:val="right"/>
    </w:pPr>
    <w:rPr>
      <w:color w:val="000000" w:themeColor="text1"/>
    </w:rPr>
  </w:style>
  <w:style w:type="paragraph" w:customStyle="1" w:styleId="TableBodyLeftAligned">
    <w:name w:val="Table Body Left Aligned"/>
    <w:basedOn w:val="Normal"/>
    <w:qFormat/>
    <w:rsid w:val="00460546"/>
    <w:pPr>
      <w:spacing w:before="60" w:after="60"/>
    </w:pPr>
    <w:rPr>
      <w:color w:val="000000" w:themeColor="text1"/>
    </w:rPr>
  </w:style>
  <w:style w:type="paragraph" w:styleId="Caption">
    <w:name w:val="caption"/>
    <w:basedOn w:val="Normal"/>
    <w:next w:val="Normal"/>
    <w:uiPriority w:val="35"/>
    <w:unhideWhenUsed/>
    <w:qFormat/>
    <w:rsid w:val="00E410B3"/>
    <w:pPr>
      <w:spacing w:line="240" w:lineRule="auto"/>
    </w:pPr>
    <w:rPr>
      <w:rFonts w:ascii="Roboto" w:hAnsi="Roboto"/>
      <w:b/>
      <w:iCs/>
      <w:color w:val="0B1F51"/>
      <w:sz w:val="20"/>
      <w:szCs w:val="18"/>
    </w:rPr>
  </w:style>
  <w:style w:type="paragraph" w:styleId="TOC1">
    <w:name w:val="toc 1"/>
    <w:basedOn w:val="Normal"/>
    <w:next w:val="Normal"/>
    <w:autoRedefine/>
    <w:uiPriority w:val="39"/>
    <w:unhideWhenUsed/>
    <w:qFormat/>
    <w:rsid w:val="00D63830"/>
    <w:pPr>
      <w:tabs>
        <w:tab w:val="right" w:leader="dot" w:pos="9010"/>
      </w:tabs>
      <w:spacing w:before="240" w:after="120"/>
      <w:jc w:val="left"/>
    </w:pPr>
    <w:rPr>
      <w:b/>
      <w:bCs/>
      <w:noProof/>
      <w:color w:val="0E2C74" w:themeColor="text2" w:themeTint="E6"/>
      <w:szCs w:val="20"/>
    </w:rPr>
  </w:style>
  <w:style w:type="paragraph" w:styleId="TOC2">
    <w:name w:val="toc 2"/>
    <w:basedOn w:val="Normal"/>
    <w:next w:val="Normal"/>
    <w:autoRedefine/>
    <w:uiPriority w:val="39"/>
    <w:unhideWhenUsed/>
    <w:qFormat/>
    <w:rsid w:val="007F3238"/>
    <w:pPr>
      <w:spacing w:before="120" w:after="0"/>
      <w:ind w:left="220"/>
      <w:jc w:val="left"/>
    </w:pPr>
    <w:rPr>
      <w:iCs/>
      <w:szCs w:val="20"/>
    </w:rPr>
  </w:style>
  <w:style w:type="paragraph" w:styleId="TOC3">
    <w:name w:val="toc 3"/>
    <w:basedOn w:val="Normal"/>
    <w:next w:val="Normal"/>
    <w:autoRedefine/>
    <w:uiPriority w:val="39"/>
    <w:unhideWhenUsed/>
    <w:qFormat/>
    <w:rsid w:val="007F3238"/>
    <w:pPr>
      <w:spacing w:after="0"/>
      <w:ind w:left="440"/>
      <w:jc w:val="left"/>
    </w:pPr>
    <w:rPr>
      <w:szCs w:val="20"/>
    </w:rPr>
  </w:style>
  <w:style w:type="paragraph" w:styleId="TOC4">
    <w:name w:val="toc 4"/>
    <w:basedOn w:val="Normal"/>
    <w:next w:val="Normal"/>
    <w:autoRedefine/>
    <w:uiPriority w:val="39"/>
    <w:unhideWhenUsed/>
    <w:qFormat/>
    <w:rsid w:val="007C4C2F"/>
    <w:pPr>
      <w:spacing w:after="0"/>
      <w:ind w:left="660"/>
      <w:jc w:val="left"/>
    </w:pPr>
    <w:rPr>
      <w:sz w:val="20"/>
      <w:szCs w:val="20"/>
    </w:rPr>
  </w:style>
  <w:style w:type="character" w:customStyle="1" w:styleId="HeaderChar">
    <w:name w:val="Header Char"/>
    <w:basedOn w:val="DefaultParagraphFont"/>
    <w:link w:val="Header"/>
    <w:uiPriority w:val="99"/>
    <w:rsid w:val="00475405"/>
    <w:rPr>
      <w:rFonts w:ascii="Arial" w:hAnsi="Arial" w:cs="Arial"/>
      <w:noProof/>
      <w:sz w:val="18"/>
      <w:szCs w:val="18"/>
      <w:lang w:val="en-GB" w:eastAsia="en-GB"/>
    </w:rPr>
  </w:style>
  <w:style w:type="paragraph" w:styleId="Footer">
    <w:name w:val="footer"/>
    <w:basedOn w:val="Normal"/>
    <w:link w:val="FooterChar"/>
    <w:uiPriority w:val="99"/>
    <w:unhideWhenUsed/>
    <w:qFormat/>
    <w:rsid w:val="00475405"/>
    <w:rPr>
      <w:sz w:val="18"/>
      <w:szCs w:val="18"/>
    </w:rPr>
  </w:style>
  <w:style w:type="character" w:customStyle="1" w:styleId="FooterChar">
    <w:name w:val="Footer Char"/>
    <w:basedOn w:val="DefaultParagraphFont"/>
    <w:link w:val="Footer"/>
    <w:uiPriority w:val="99"/>
    <w:rsid w:val="00475405"/>
    <w:rPr>
      <w:rFonts w:ascii="Arial" w:hAnsi="Arial" w:cs="Arial"/>
      <w:sz w:val="18"/>
      <w:szCs w:val="18"/>
      <w:lang w:val="en-GB" w:eastAsia="en-GB"/>
    </w:rPr>
  </w:style>
  <w:style w:type="paragraph" w:styleId="Title">
    <w:name w:val="Title"/>
    <w:basedOn w:val="Normal"/>
    <w:next w:val="Normal"/>
    <w:link w:val="TitleChar"/>
    <w:uiPriority w:val="10"/>
    <w:qFormat/>
    <w:rsid w:val="00CF3B60"/>
    <w:pPr>
      <w:spacing w:before="360" w:after="360"/>
    </w:pPr>
    <w:rPr>
      <w:rFonts w:ascii="Poppins" w:eastAsiaTheme="majorEastAsia" w:hAnsi="Poppins" w:cs="Poppins"/>
      <w:b/>
      <w:color w:val="0B1F51"/>
      <w:spacing w:val="-10"/>
      <w:kern w:val="28"/>
      <w:sz w:val="64"/>
      <w:szCs w:val="64"/>
    </w:rPr>
  </w:style>
  <w:style w:type="character" w:customStyle="1" w:styleId="TitleChar">
    <w:name w:val="Title Char"/>
    <w:basedOn w:val="DefaultParagraphFont"/>
    <w:link w:val="Title"/>
    <w:uiPriority w:val="10"/>
    <w:rsid w:val="00CF3B60"/>
    <w:rPr>
      <w:rFonts w:ascii="Poppins" w:eastAsiaTheme="majorEastAsia" w:hAnsi="Poppins" w:cs="Poppins"/>
      <w:b/>
      <w:color w:val="0B1F51"/>
      <w:spacing w:val="-10"/>
      <w:kern w:val="28"/>
      <w:sz w:val="64"/>
      <w:szCs w:val="64"/>
      <w:lang w:val="en-GB" w:eastAsia="en-GB"/>
    </w:rPr>
  </w:style>
  <w:style w:type="table" w:customStyle="1" w:styleId="CoverTable">
    <w:name w:val="Cover Table"/>
    <w:basedOn w:val="TableNormal"/>
    <w:uiPriority w:val="99"/>
    <w:rsid w:val="00B65835"/>
    <w:rPr>
      <w:rFonts w:ascii="Roboto" w:hAnsi="Roboto"/>
      <w:color w:val="FFFFFF" w:themeColor="background1"/>
    </w:rPr>
    <w:tblPr/>
    <w:tcPr>
      <w:tcMar>
        <w:left w:w="0" w:type="dxa"/>
        <w:right w:w="0" w:type="dxa"/>
      </w:tcMar>
    </w:tcPr>
  </w:style>
  <w:style w:type="character" w:styleId="Hyperlink">
    <w:name w:val="Hyperlink"/>
    <w:basedOn w:val="DefaultParagraphFont"/>
    <w:uiPriority w:val="99"/>
    <w:unhideWhenUsed/>
    <w:rsid w:val="00E74F0B"/>
    <w:rPr>
      <w:color w:val="45A7E1" w:themeColor="hyperlink"/>
      <w:u w:val="single"/>
    </w:rPr>
  </w:style>
  <w:style w:type="character" w:styleId="FollowedHyperlink">
    <w:name w:val="FollowedHyperlink"/>
    <w:basedOn w:val="DefaultParagraphFont"/>
    <w:uiPriority w:val="99"/>
    <w:semiHidden/>
    <w:unhideWhenUsed/>
    <w:rsid w:val="00CB6CEC"/>
    <w:rPr>
      <w:color w:val="45A7E1" w:themeColor="followedHyperlink"/>
      <w:u w:val="single"/>
    </w:rPr>
  </w:style>
  <w:style w:type="paragraph" w:styleId="TableofFigures">
    <w:name w:val="table of figures"/>
    <w:basedOn w:val="Normal"/>
    <w:next w:val="Normal"/>
    <w:uiPriority w:val="99"/>
    <w:unhideWhenUsed/>
    <w:rsid w:val="000B26D7"/>
    <w:rPr>
      <w:b/>
      <w:color w:val="0A1F50" w:themeColor="text2"/>
      <w:sz w:val="20"/>
    </w:rPr>
  </w:style>
  <w:style w:type="character" w:styleId="PlaceholderText">
    <w:name w:val="Placeholder Text"/>
    <w:basedOn w:val="DefaultParagraphFont"/>
    <w:uiPriority w:val="99"/>
    <w:semiHidden/>
    <w:rsid w:val="005433E8"/>
    <w:rPr>
      <w:color w:val="808080"/>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3F0CBA"/>
    <w:pPr>
      <w:spacing w:before="120" w:after="120"/>
      <w:ind w:left="720"/>
    </w:pPr>
  </w:style>
  <w:style w:type="paragraph" w:styleId="BalloonText">
    <w:name w:val="Balloon Text"/>
    <w:basedOn w:val="Normal"/>
    <w:link w:val="BalloonTextChar"/>
    <w:uiPriority w:val="99"/>
    <w:semiHidden/>
    <w:unhideWhenUsed/>
    <w:rsid w:val="0025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58"/>
    <w:rPr>
      <w:rFonts w:ascii="Segoe UI" w:hAnsi="Segoe UI" w:cs="Segoe UI"/>
      <w:sz w:val="18"/>
      <w:szCs w:val="18"/>
      <w:lang w:val="en-GB" w:eastAsia="en-GB"/>
    </w:rPr>
  </w:style>
  <w:style w:type="paragraph" w:styleId="TOCHeading">
    <w:name w:val="TOC Heading"/>
    <w:basedOn w:val="Heading1"/>
    <w:next w:val="Normal"/>
    <w:uiPriority w:val="39"/>
    <w:unhideWhenUsed/>
    <w:qFormat/>
    <w:rsid w:val="007F3238"/>
    <w:pPr>
      <w:spacing w:after="0" w:line="259" w:lineRule="auto"/>
      <w:outlineLvl w:val="9"/>
    </w:pPr>
    <w:rPr>
      <w:bCs/>
      <w:szCs w:val="40"/>
      <w:lang w:val="en-US" w:eastAsia="en-US"/>
    </w:rPr>
  </w:style>
  <w:style w:type="paragraph" w:styleId="NoSpacing">
    <w:name w:val="No Spacing"/>
    <w:uiPriority w:val="1"/>
    <w:qFormat/>
    <w:rsid w:val="00D344A2"/>
    <w:rPr>
      <w:rFonts w:ascii="Roboto" w:hAnsi="Roboto" w:cs="Arial"/>
      <w:sz w:val="22"/>
      <w:szCs w:val="22"/>
      <w:lang w:val="en-GB" w:eastAsia="en-GB"/>
    </w:rPr>
  </w:style>
  <w:style w:type="character" w:styleId="CommentReference">
    <w:name w:val="annotation reference"/>
    <w:basedOn w:val="DefaultParagraphFont"/>
    <w:uiPriority w:val="99"/>
    <w:semiHidden/>
    <w:unhideWhenUsed/>
    <w:rsid w:val="006948AD"/>
    <w:rPr>
      <w:sz w:val="16"/>
      <w:szCs w:val="16"/>
    </w:rPr>
  </w:style>
  <w:style w:type="paragraph" w:styleId="CommentText">
    <w:name w:val="annotation text"/>
    <w:basedOn w:val="Normal"/>
    <w:link w:val="CommentTextChar"/>
    <w:uiPriority w:val="99"/>
    <w:unhideWhenUsed/>
    <w:rsid w:val="006948AD"/>
    <w:pPr>
      <w:spacing w:line="240" w:lineRule="auto"/>
    </w:pPr>
    <w:rPr>
      <w:sz w:val="20"/>
      <w:szCs w:val="20"/>
    </w:rPr>
  </w:style>
  <w:style w:type="character" w:customStyle="1" w:styleId="CommentTextChar">
    <w:name w:val="Comment Text Char"/>
    <w:basedOn w:val="DefaultParagraphFont"/>
    <w:link w:val="CommentText"/>
    <w:uiPriority w:val="99"/>
    <w:rsid w:val="006948AD"/>
    <w:rPr>
      <w:rFonts w:ascii="Roboto" w:hAnsi="Roboto"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948AD"/>
    <w:rPr>
      <w:b/>
      <w:bCs/>
    </w:rPr>
  </w:style>
  <w:style w:type="character" w:customStyle="1" w:styleId="CommentSubjectChar">
    <w:name w:val="Comment Subject Char"/>
    <w:basedOn w:val="CommentTextChar"/>
    <w:link w:val="CommentSubject"/>
    <w:uiPriority w:val="99"/>
    <w:semiHidden/>
    <w:rsid w:val="006948AD"/>
    <w:rPr>
      <w:rFonts w:ascii="Roboto" w:hAnsi="Roboto" w:cs="Arial"/>
      <w:b/>
      <w:bCs/>
      <w:sz w:val="20"/>
      <w:szCs w:val="20"/>
      <w:lang w:val="en-GB" w:eastAsia="en-GB"/>
    </w:rPr>
  </w:style>
  <w:style w:type="paragraph" w:styleId="Quote">
    <w:name w:val="Quote"/>
    <w:basedOn w:val="Normal"/>
    <w:next w:val="Normal"/>
    <w:link w:val="QuoteChar"/>
    <w:uiPriority w:val="29"/>
    <w:qFormat/>
    <w:rsid w:val="000151EE"/>
    <w:pPr>
      <w:spacing w:before="120" w:after="120"/>
      <w:ind w:left="1077" w:right="1077"/>
      <w:jc w:val="center"/>
    </w:pPr>
    <w:rPr>
      <w:iCs/>
      <w:color w:val="404040" w:themeColor="text1" w:themeTint="BF"/>
      <w:sz w:val="20"/>
    </w:rPr>
  </w:style>
  <w:style w:type="character" w:customStyle="1" w:styleId="QuoteChar">
    <w:name w:val="Quote Char"/>
    <w:basedOn w:val="DefaultParagraphFont"/>
    <w:link w:val="Quote"/>
    <w:uiPriority w:val="29"/>
    <w:rsid w:val="000151EE"/>
    <w:rPr>
      <w:rFonts w:ascii="Roboto Light" w:hAnsi="Roboto Light" w:cs="Arial"/>
      <w:iCs/>
      <w:color w:val="404040" w:themeColor="text1" w:themeTint="BF"/>
      <w:sz w:val="20"/>
      <w:szCs w:val="22"/>
      <w:lang w:val="en-GB" w:eastAsia="en-GB"/>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923671"/>
    <w:pPr>
      <w:spacing w:before="120" w:after="120" w:line="240" w:lineRule="exact"/>
    </w:pPr>
    <w:rPr>
      <w:rFonts w:cstheme="minorBidi"/>
      <w:sz w:val="24"/>
      <w:szCs w:val="24"/>
      <w:vertAlign w:val="superscript"/>
      <w:lang w:val="en-US" w:eastAsia="en-US"/>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923671"/>
    <w:rPr>
      <w:rFonts w:ascii="Roboto Light" w:hAnsi="Roboto Light" w:cs="Arial"/>
      <w:sz w:val="22"/>
      <w:szCs w:val="22"/>
      <w:lang w:val="en-GB" w:eastAsia="en-GB"/>
    </w:rPr>
  </w:style>
  <w:style w:type="paragraph" w:customStyle="1" w:styleId="Default">
    <w:name w:val="Default"/>
    <w:link w:val="DefaultChar"/>
    <w:rsid w:val="00974D48"/>
    <w:pPr>
      <w:autoSpaceDE w:val="0"/>
      <w:autoSpaceDN w:val="0"/>
      <w:adjustRightInd w:val="0"/>
    </w:pPr>
    <w:rPr>
      <w:rFonts w:ascii="Arial" w:hAnsi="Arial" w:cs="Arial"/>
      <w:color w:val="000000"/>
      <w:lang w:val="en-AU"/>
    </w:rPr>
  </w:style>
  <w:style w:type="character" w:customStyle="1" w:styleId="DefaultChar">
    <w:name w:val="Default Char"/>
    <w:basedOn w:val="DefaultParagraphFont"/>
    <w:link w:val="Default"/>
    <w:rsid w:val="00974D48"/>
    <w:rPr>
      <w:rFonts w:ascii="Arial" w:hAnsi="Arial" w:cs="Arial"/>
      <w:color w:val="000000"/>
      <w:lang w:val="en-AU"/>
    </w:rPr>
  </w:style>
  <w:style w:type="paragraph" w:customStyle="1" w:styleId="Recommendation">
    <w:name w:val="Recommendation"/>
    <w:basedOn w:val="Normal"/>
    <w:link w:val="RecommendationChar"/>
    <w:qFormat/>
    <w:rsid w:val="009B6F4E"/>
    <w:pPr>
      <w:spacing w:after="120"/>
    </w:pPr>
    <w:rPr>
      <w:rFonts w:ascii="Poppins" w:hAnsi="Poppins"/>
      <w:b/>
      <w:color w:val="0A1F50" w:themeColor="text2"/>
    </w:rPr>
  </w:style>
  <w:style w:type="paragraph" w:customStyle="1" w:styleId="Recommendationtext">
    <w:name w:val="Recommendation text"/>
    <w:basedOn w:val="Normal"/>
    <w:link w:val="RecommendationtextChar"/>
    <w:qFormat/>
    <w:rsid w:val="00C471C6"/>
    <w:pPr>
      <w:numPr>
        <w:numId w:val="3"/>
      </w:numPr>
    </w:pPr>
    <w:rPr>
      <w:sz w:val="20"/>
    </w:rPr>
  </w:style>
  <w:style w:type="character" w:customStyle="1" w:styleId="RecommendationChar">
    <w:name w:val="Recommendation Char"/>
    <w:basedOn w:val="DefaultParagraphFont"/>
    <w:link w:val="Recommendation"/>
    <w:rsid w:val="009B6F4E"/>
    <w:rPr>
      <w:rFonts w:ascii="Poppins" w:hAnsi="Poppins" w:cstheme="minorHAnsi"/>
      <w:b/>
      <w:color w:val="0A1F50" w:themeColor="text2"/>
      <w:sz w:val="22"/>
      <w:szCs w:val="22"/>
      <w:lang w:val="en-GB" w:eastAsia="en-GB"/>
    </w:rPr>
  </w:style>
  <w:style w:type="paragraph" w:styleId="Subtitle">
    <w:name w:val="Subtitle"/>
    <w:basedOn w:val="Normal"/>
    <w:next w:val="Normal"/>
    <w:link w:val="SubtitleChar"/>
    <w:uiPriority w:val="11"/>
    <w:qFormat/>
    <w:rsid w:val="00CF3B60"/>
    <w:pPr>
      <w:numPr>
        <w:ilvl w:val="1"/>
      </w:numPr>
      <w:spacing w:after="160"/>
    </w:pPr>
    <w:rPr>
      <w:rFonts w:ascii="Poppins" w:eastAsiaTheme="minorEastAsia" w:hAnsi="Poppins" w:cstheme="minorBidi"/>
      <w:b/>
      <w:color w:val="291C9C" w:themeColor="accent5" w:themeShade="80"/>
      <w:spacing w:val="15"/>
      <w:sz w:val="40"/>
    </w:rPr>
  </w:style>
  <w:style w:type="character" w:customStyle="1" w:styleId="RecommendationtextChar">
    <w:name w:val="Recommendation text Char"/>
    <w:basedOn w:val="DefaultParagraphFont"/>
    <w:link w:val="Recommendationtext"/>
    <w:rsid w:val="00600619"/>
    <w:rPr>
      <w:rFonts w:cstheme="minorHAnsi"/>
      <w:sz w:val="20"/>
      <w:szCs w:val="22"/>
      <w:lang w:val="en-GB" w:eastAsia="en-GB"/>
    </w:rPr>
  </w:style>
  <w:style w:type="character" w:customStyle="1" w:styleId="SubtitleChar">
    <w:name w:val="Subtitle Char"/>
    <w:basedOn w:val="DefaultParagraphFont"/>
    <w:link w:val="Subtitle"/>
    <w:uiPriority w:val="11"/>
    <w:rsid w:val="00CF3B60"/>
    <w:rPr>
      <w:rFonts w:ascii="Poppins" w:eastAsiaTheme="minorEastAsia" w:hAnsi="Poppins"/>
      <w:b/>
      <w:color w:val="291C9C" w:themeColor="accent5" w:themeShade="80"/>
      <w:spacing w:val="15"/>
      <w:sz w:val="40"/>
      <w:szCs w:val="22"/>
      <w:lang w:val="en-GB" w:eastAsia="en-GB"/>
    </w:rPr>
  </w:style>
  <w:style w:type="character" w:styleId="Emphasis">
    <w:name w:val="Emphasis"/>
    <w:basedOn w:val="DefaultParagraphFont"/>
    <w:uiPriority w:val="20"/>
    <w:qFormat/>
    <w:rsid w:val="00CF3B60"/>
    <w:rPr>
      <w:i/>
      <w:iCs/>
    </w:rPr>
  </w:style>
  <w:style w:type="table" w:customStyle="1" w:styleId="TableGrid1">
    <w:name w:val="Table Grid1"/>
    <w:basedOn w:val="TableNormal"/>
    <w:next w:val="TableGrid"/>
    <w:uiPriority w:val="39"/>
    <w:rsid w:val="0026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6039"/>
    <w:rPr>
      <w:rFonts w:ascii="Roboto Light" w:hAnsi="Roboto Light" w:cs="Arial"/>
      <w:sz w:val="22"/>
      <w:szCs w:val="22"/>
      <w:lang w:val="en-GB" w:eastAsia="en-GB"/>
    </w:rPr>
  </w:style>
  <w:style w:type="paragraph" w:styleId="BodyText">
    <w:name w:val="Body Text"/>
    <w:link w:val="BodyTextChar"/>
    <w:qFormat/>
    <w:rsid w:val="001259FD"/>
    <w:pPr>
      <w:spacing w:after="200" w:line="276" w:lineRule="auto"/>
    </w:pPr>
    <w:rPr>
      <w:rFonts w:ascii="Arial" w:hAnsi="Arial" w:cs="Arial"/>
      <w:sz w:val="22"/>
      <w:szCs w:val="22"/>
      <w:lang w:val="en-GB" w:eastAsia="en-GB"/>
    </w:rPr>
  </w:style>
  <w:style w:type="character" w:customStyle="1" w:styleId="BodyTextChar">
    <w:name w:val="Body Text Char"/>
    <w:basedOn w:val="DefaultParagraphFont"/>
    <w:link w:val="BodyText"/>
    <w:rsid w:val="001259FD"/>
    <w:rPr>
      <w:rFonts w:ascii="Arial" w:hAnsi="Arial" w:cs="Arial"/>
      <w:sz w:val="22"/>
      <w:szCs w:val="22"/>
      <w:lang w:val="en-GB" w:eastAsia="en-GB"/>
    </w:rPr>
  </w:style>
  <w:style w:type="paragraph" w:customStyle="1" w:styleId="Heading1NONUM">
    <w:name w:val="Heading 1 NO NUM"/>
    <w:basedOn w:val="Heading1"/>
    <w:rsid w:val="009B6F4E"/>
    <w:rPr>
      <w:rFonts w:ascii="Arial" w:hAnsi="Arial" w:cs="Times New Roman"/>
    </w:rPr>
  </w:style>
  <w:style w:type="character" w:styleId="Strong">
    <w:name w:val="Strong"/>
    <w:basedOn w:val="DefaultParagraphFont"/>
    <w:uiPriority w:val="22"/>
    <w:qFormat/>
    <w:rsid w:val="009B6F4E"/>
    <w:rPr>
      <w:b/>
      <w:bCs/>
    </w:rPr>
  </w:style>
  <w:style w:type="paragraph" w:customStyle="1" w:styleId="Boxtext">
    <w:name w:val="Box text"/>
    <w:basedOn w:val="Normal"/>
    <w:qFormat/>
    <w:rsid w:val="0014461C"/>
    <w:pPr>
      <w:keepNext/>
      <w:spacing w:before="120" w:after="120" w:line="240" w:lineRule="auto"/>
      <w:jc w:val="left"/>
    </w:pPr>
    <w:rPr>
      <w:rFonts w:ascii="Roboto" w:eastAsia="Times New Roman" w:hAnsi="Roboto" w:cs="Times New Roman"/>
      <w:sz w:val="20"/>
      <w:szCs w:val="20"/>
      <w:lang w:eastAsia="en-US"/>
    </w:rPr>
  </w:style>
  <w:style w:type="character" w:customStyle="1" w:styleId="fontstyle01">
    <w:name w:val="fontstyle01"/>
    <w:basedOn w:val="DefaultParagraphFont"/>
    <w:rsid w:val="0014461C"/>
    <w:rPr>
      <w:rFonts w:ascii="Calibri-Light" w:hAnsi="Calibri-Light" w:hint="default"/>
      <w:b w:val="0"/>
      <w:bCs w:val="0"/>
      <w:i w:val="0"/>
      <w:iCs w:val="0"/>
      <w:color w:val="000000"/>
      <w:sz w:val="20"/>
      <w:szCs w:val="20"/>
    </w:rPr>
  </w:style>
  <w:style w:type="character" w:customStyle="1" w:styleId="apple-converted-space">
    <w:name w:val="apple-converted-space"/>
    <w:basedOn w:val="DefaultParagraphFont"/>
    <w:rsid w:val="0032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988">
      <w:bodyDiv w:val="1"/>
      <w:marLeft w:val="0"/>
      <w:marRight w:val="0"/>
      <w:marTop w:val="0"/>
      <w:marBottom w:val="0"/>
      <w:divBdr>
        <w:top w:val="none" w:sz="0" w:space="0" w:color="auto"/>
        <w:left w:val="none" w:sz="0" w:space="0" w:color="auto"/>
        <w:bottom w:val="none" w:sz="0" w:space="0" w:color="auto"/>
        <w:right w:val="none" w:sz="0" w:space="0" w:color="auto"/>
      </w:divBdr>
    </w:div>
    <w:div w:id="95563161">
      <w:bodyDiv w:val="1"/>
      <w:marLeft w:val="0"/>
      <w:marRight w:val="0"/>
      <w:marTop w:val="0"/>
      <w:marBottom w:val="0"/>
      <w:divBdr>
        <w:top w:val="none" w:sz="0" w:space="0" w:color="auto"/>
        <w:left w:val="none" w:sz="0" w:space="0" w:color="auto"/>
        <w:bottom w:val="none" w:sz="0" w:space="0" w:color="auto"/>
        <w:right w:val="none" w:sz="0" w:space="0" w:color="auto"/>
      </w:divBdr>
    </w:div>
    <w:div w:id="100614967">
      <w:bodyDiv w:val="1"/>
      <w:marLeft w:val="0"/>
      <w:marRight w:val="0"/>
      <w:marTop w:val="0"/>
      <w:marBottom w:val="0"/>
      <w:divBdr>
        <w:top w:val="none" w:sz="0" w:space="0" w:color="auto"/>
        <w:left w:val="none" w:sz="0" w:space="0" w:color="auto"/>
        <w:bottom w:val="none" w:sz="0" w:space="0" w:color="auto"/>
        <w:right w:val="none" w:sz="0" w:space="0" w:color="auto"/>
      </w:divBdr>
    </w:div>
    <w:div w:id="114905215">
      <w:bodyDiv w:val="1"/>
      <w:marLeft w:val="0"/>
      <w:marRight w:val="0"/>
      <w:marTop w:val="0"/>
      <w:marBottom w:val="0"/>
      <w:divBdr>
        <w:top w:val="none" w:sz="0" w:space="0" w:color="auto"/>
        <w:left w:val="none" w:sz="0" w:space="0" w:color="auto"/>
        <w:bottom w:val="none" w:sz="0" w:space="0" w:color="auto"/>
        <w:right w:val="none" w:sz="0" w:space="0" w:color="auto"/>
      </w:divBdr>
    </w:div>
    <w:div w:id="115175312">
      <w:bodyDiv w:val="1"/>
      <w:marLeft w:val="0"/>
      <w:marRight w:val="0"/>
      <w:marTop w:val="0"/>
      <w:marBottom w:val="0"/>
      <w:divBdr>
        <w:top w:val="none" w:sz="0" w:space="0" w:color="auto"/>
        <w:left w:val="none" w:sz="0" w:space="0" w:color="auto"/>
        <w:bottom w:val="none" w:sz="0" w:space="0" w:color="auto"/>
        <w:right w:val="none" w:sz="0" w:space="0" w:color="auto"/>
      </w:divBdr>
    </w:div>
    <w:div w:id="140122080">
      <w:bodyDiv w:val="1"/>
      <w:marLeft w:val="0"/>
      <w:marRight w:val="0"/>
      <w:marTop w:val="0"/>
      <w:marBottom w:val="0"/>
      <w:divBdr>
        <w:top w:val="none" w:sz="0" w:space="0" w:color="auto"/>
        <w:left w:val="none" w:sz="0" w:space="0" w:color="auto"/>
        <w:bottom w:val="none" w:sz="0" w:space="0" w:color="auto"/>
        <w:right w:val="none" w:sz="0" w:space="0" w:color="auto"/>
      </w:divBdr>
    </w:div>
    <w:div w:id="171843063">
      <w:bodyDiv w:val="1"/>
      <w:marLeft w:val="0"/>
      <w:marRight w:val="0"/>
      <w:marTop w:val="0"/>
      <w:marBottom w:val="0"/>
      <w:divBdr>
        <w:top w:val="none" w:sz="0" w:space="0" w:color="auto"/>
        <w:left w:val="none" w:sz="0" w:space="0" w:color="auto"/>
        <w:bottom w:val="none" w:sz="0" w:space="0" w:color="auto"/>
        <w:right w:val="none" w:sz="0" w:space="0" w:color="auto"/>
      </w:divBdr>
    </w:div>
    <w:div w:id="180749606">
      <w:bodyDiv w:val="1"/>
      <w:marLeft w:val="0"/>
      <w:marRight w:val="0"/>
      <w:marTop w:val="0"/>
      <w:marBottom w:val="0"/>
      <w:divBdr>
        <w:top w:val="none" w:sz="0" w:space="0" w:color="auto"/>
        <w:left w:val="none" w:sz="0" w:space="0" w:color="auto"/>
        <w:bottom w:val="none" w:sz="0" w:space="0" w:color="auto"/>
        <w:right w:val="none" w:sz="0" w:space="0" w:color="auto"/>
      </w:divBdr>
    </w:div>
    <w:div w:id="186452690">
      <w:bodyDiv w:val="1"/>
      <w:marLeft w:val="0"/>
      <w:marRight w:val="0"/>
      <w:marTop w:val="0"/>
      <w:marBottom w:val="0"/>
      <w:divBdr>
        <w:top w:val="none" w:sz="0" w:space="0" w:color="auto"/>
        <w:left w:val="none" w:sz="0" w:space="0" w:color="auto"/>
        <w:bottom w:val="none" w:sz="0" w:space="0" w:color="auto"/>
        <w:right w:val="none" w:sz="0" w:space="0" w:color="auto"/>
      </w:divBdr>
    </w:div>
    <w:div w:id="264923505">
      <w:bodyDiv w:val="1"/>
      <w:marLeft w:val="0"/>
      <w:marRight w:val="0"/>
      <w:marTop w:val="0"/>
      <w:marBottom w:val="0"/>
      <w:divBdr>
        <w:top w:val="none" w:sz="0" w:space="0" w:color="auto"/>
        <w:left w:val="none" w:sz="0" w:space="0" w:color="auto"/>
        <w:bottom w:val="none" w:sz="0" w:space="0" w:color="auto"/>
        <w:right w:val="none" w:sz="0" w:space="0" w:color="auto"/>
      </w:divBdr>
    </w:div>
    <w:div w:id="268659894">
      <w:bodyDiv w:val="1"/>
      <w:marLeft w:val="0"/>
      <w:marRight w:val="0"/>
      <w:marTop w:val="0"/>
      <w:marBottom w:val="0"/>
      <w:divBdr>
        <w:top w:val="none" w:sz="0" w:space="0" w:color="auto"/>
        <w:left w:val="none" w:sz="0" w:space="0" w:color="auto"/>
        <w:bottom w:val="none" w:sz="0" w:space="0" w:color="auto"/>
        <w:right w:val="none" w:sz="0" w:space="0" w:color="auto"/>
      </w:divBdr>
    </w:div>
    <w:div w:id="298456717">
      <w:bodyDiv w:val="1"/>
      <w:marLeft w:val="0"/>
      <w:marRight w:val="0"/>
      <w:marTop w:val="0"/>
      <w:marBottom w:val="0"/>
      <w:divBdr>
        <w:top w:val="none" w:sz="0" w:space="0" w:color="auto"/>
        <w:left w:val="none" w:sz="0" w:space="0" w:color="auto"/>
        <w:bottom w:val="none" w:sz="0" w:space="0" w:color="auto"/>
        <w:right w:val="none" w:sz="0" w:space="0" w:color="auto"/>
      </w:divBdr>
    </w:div>
    <w:div w:id="422260718">
      <w:bodyDiv w:val="1"/>
      <w:marLeft w:val="0"/>
      <w:marRight w:val="0"/>
      <w:marTop w:val="0"/>
      <w:marBottom w:val="0"/>
      <w:divBdr>
        <w:top w:val="none" w:sz="0" w:space="0" w:color="auto"/>
        <w:left w:val="none" w:sz="0" w:space="0" w:color="auto"/>
        <w:bottom w:val="none" w:sz="0" w:space="0" w:color="auto"/>
        <w:right w:val="none" w:sz="0" w:space="0" w:color="auto"/>
      </w:divBdr>
    </w:div>
    <w:div w:id="425425061">
      <w:bodyDiv w:val="1"/>
      <w:marLeft w:val="0"/>
      <w:marRight w:val="0"/>
      <w:marTop w:val="0"/>
      <w:marBottom w:val="0"/>
      <w:divBdr>
        <w:top w:val="none" w:sz="0" w:space="0" w:color="auto"/>
        <w:left w:val="none" w:sz="0" w:space="0" w:color="auto"/>
        <w:bottom w:val="none" w:sz="0" w:space="0" w:color="auto"/>
        <w:right w:val="none" w:sz="0" w:space="0" w:color="auto"/>
      </w:divBdr>
    </w:div>
    <w:div w:id="437408052">
      <w:bodyDiv w:val="1"/>
      <w:marLeft w:val="0"/>
      <w:marRight w:val="0"/>
      <w:marTop w:val="0"/>
      <w:marBottom w:val="0"/>
      <w:divBdr>
        <w:top w:val="none" w:sz="0" w:space="0" w:color="auto"/>
        <w:left w:val="none" w:sz="0" w:space="0" w:color="auto"/>
        <w:bottom w:val="none" w:sz="0" w:space="0" w:color="auto"/>
        <w:right w:val="none" w:sz="0" w:space="0" w:color="auto"/>
      </w:divBdr>
    </w:div>
    <w:div w:id="439297035">
      <w:bodyDiv w:val="1"/>
      <w:marLeft w:val="0"/>
      <w:marRight w:val="0"/>
      <w:marTop w:val="0"/>
      <w:marBottom w:val="0"/>
      <w:divBdr>
        <w:top w:val="none" w:sz="0" w:space="0" w:color="auto"/>
        <w:left w:val="none" w:sz="0" w:space="0" w:color="auto"/>
        <w:bottom w:val="none" w:sz="0" w:space="0" w:color="auto"/>
        <w:right w:val="none" w:sz="0" w:space="0" w:color="auto"/>
      </w:divBdr>
    </w:div>
    <w:div w:id="455102341">
      <w:bodyDiv w:val="1"/>
      <w:marLeft w:val="0"/>
      <w:marRight w:val="0"/>
      <w:marTop w:val="0"/>
      <w:marBottom w:val="0"/>
      <w:divBdr>
        <w:top w:val="none" w:sz="0" w:space="0" w:color="auto"/>
        <w:left w:val="none" w:sz="0" w:space="0" w:color="auto"/>
        <w:bottom w:val="none" w:sz="0" w:space="0" w:color="auto"/>
        <w:right w:val="none" w:sz="0" w:space="0" w:color="auto"/>
      </w:divBdr>
    </w:div>
    <w:div w:id="490175781">
      <w:bodyDiv w:val="1"/>
      <w:marLeft w:val="0"/>
      <w:marRight w:val="0"/>
      <w:marTop w:val="0"/>
      <w:marBottom w:val="0"/>
      <w:divBdr>
        <w:top w:val="none" w:sz="0" w:space="0" w:color="auto"/>
        <w:left w:val="none" w:sz="0" w:space="0" w:color="auto"/>
        <w:bottom w:val="none" w:sz="0" w:space="0" w:color="auto"/>
        <w:right w:val="none" w:sz="0" w:space="0" w:color="auto"/>
      </w:divBdr>
    </w:div>
    <w:div w:id="490294552">
      <w:bodyDiv w:val="1"/>
      <w:marLeft w:val="0"/>
      <w:marRight w:val="0"/>
      <w:marTop w:val="0"/>
      <w:marBottom w:val="0"/>
      <w:divBdr>
        <w:top w:val="none" w:sz="0" w:space="0" w:color="auto"/>
        <w:left w:val="none" w:sz="0" w:space="0" w:color="auto"/>
        <w:bottom w:val="none" w:sz="0" w:space="0" w:color="auto"/>
        <w:right w:val="none" w:sz="0" w:space="0" w:color="auto"/>
      </w:divBdr>
    </w:div>
    <w:div w:id="567885059">
      <w:bodyDiv w:val="1"/>
      <w:marLeft w:val="0"/>
      <w:marRight w:val="0"/>
      <w:marTop w:val="0"/>
      <w:marBottom w:val="0"/>
      <w:divBdr>
        <w:top w:val="none" w:sz="0" w:space="0" w:color="auto"/>
        <w:left w:val="none" w:sz="0" w:space="0" w:color="auto"/>
        <w:bottom w:val="none" w:sz="0" w:space="0" w:color="auto"/>
        <w:right w:val="none" w:sz="0" w:space="0" w:color="auto"/>
      </w:divBdr>
    </w:div>
    <w:div w:id="592593130">
      <w:bodyDiv w:val="1"/>
      <w:marLeft w:val="0"/>
      <w:marRight w:val="0"/>
      <w:marTop w:val="0"/>
      <w:marBottom w:val="0"/>
      <w:divBdr>
        <w:top w:val="none" w:sz="0" w:space="0" w:color="auto"/>
        <w:left w:val="none" w:sz="0" w:space="0" w:color="auto"/>
        <w:bottom w:val="none" w:sz="0" w:space="0" w:color="auto"/>
        <w:right w:val="none" w:sz="0" w:space="0" w:color="auto"/>
      </w:divBdr>
    </w:div>
    <w:div w:id="603000904">
      <w:bodyDiv w:val="1"/>
      <w:marLeft w:val="0"/>
      <w:marRight w:val="0"/>
      <w:marTop w:val="0"/>
      <w:marBottom w:val="0"/>
      <w:divBdr>
        <w:top w:val="none" w:sz="0" w:space="0" w:color="auto"/>
        <w:left w:val="none" w:sz="0" w:space="0" w:color="auto"/>
        <w:bottom w:val="none" w:sz="0" w:space="0" w:color="auto"/>
        <w:right w:val="none" w:sz="0" w:space="0" w:color="auto"/>
      </w:divBdr>
    </w:div>
    <w:div w:id="614214328">
      <w:bodyDiv w:val="1"/>
      <w:marLeft w:val="0"/>
      <w:marRight w:val="0"/>
      <w:marTop w:val="0"/>
      <w:marBottom w:val="0"/>
      <w:divBdr>
        <w:top w:val="none" w:sz="0" w:space="0" w:color="auto"/>
        <w:left w:val="none" w:sz="0" w:space="0" w:color="auto"/>
        <w:bottom w:val="none" w:sz="0" w:space="0" w:color="auto"/>
        <w:right w:val="none" w:sz="0" w:space="0" w:color="auto"/>
      </w:divBdr>
    </w:div>
    <w:div w:id="856239421">
      <w:bodyDiv w:val="1"/>
      <w:marLeft w:val="0"/>
      <w:marRight w:val="0"/>
      <w:marTop w:val="0"/>
      <w:marBottom w:val="0"/>
      <w:divBdr>
        <w:top w:val="none" w:sz="0" w:space="0" w:color="auto"/>
        <w:left w:val="none" w:sz="0" w:space="0" w:color="auto"/>
        <w:bottom w:val="none" w:sz="0" w:space="0" w:color="auto"/>
        <w:right w:val="none" w:sz="0" w:space="0" w:color="auto"/>
      </w:divBdr>
    </w:div>
    <w:div w:id="1026521419">
      <w:bodyDiv w:val="1"/>
      <w:marLeft w:val="0"/>
      <w:marRight w:val="0"/>
      <w:marTop w:val="0"/>
      <w:marBottom w:val="0"/>
      <w:divBdr>
        <w:top w:val="none" w:sz="0" w:space="0" w:color="auto"/>
        <w:left w:val="none" w:sz="0" w:space="0" w:color="auto"/>
        <w:bottom w:val="none" w:sz="0" w:space="0" w:color="auto"/>
        <w:right w:val="none" w:sz="0" w:space="0" w:color="auto"/>
      </w:divBdr>
    </w:div>
    <w:div w:id="1046026958">
      <w:bodyDiv w:val="1"/>
      <w:marLeft w:val="0"/>
      <w:marRight w:val="0"/>
      <w:marTop w:val="0"/>
      <w:marBottom w:val="0"/>
      <w:divBdr>
        <w:top w:val="none" w:sz="0" w:space="0" w:color="auto"/>
        <w:left w:val="none" w:sz="0" w:space="0" w:color="auto"/>
        <w:bottom w:val="none" w:sz="0" w:space="0" w:color="auto"/>
        <w:right w:val="none" w:sz="0" w:space="0" w:color="auto"/>
      </w:divBdr>
    </w:div>
    <w:div w:id="1051540494">
      <w:bodyDiv w:val="1"/>
      <w:marLeft w:val="0"/>
      <w:marRight w:val="0"/>
      <w:marTop w:val="0"/>
      <w:marBottom w:val="0"/>
      <w:divBdr>
        <w:top w:val="none" w:sz="0" w:space="0" w:color="auto"/>
        <w:left w:val="none" w:sz="0" w:space="0" w:color="auto"/>
        <w:bottom w:val="none" w:sz="0" w:space="0" w:color="auto"/>
        <w:right w:val="none" w:sz="0" w:space="0" w:color="auto"/>
      </w:divBdr>
    </w:div>
    <w:div w:id="1113671046">
      <w:bodyDiv w:val="1"/>
      <w:marLeft w:val="0"/>
      <w:marRight w:val="0"/>
      <w:marTop w:val="0"/>
      <w:marBottom w:val="0"/>
      <w:divBdr>
        <w:top w:val="none" w:sz="0" w:space="0" w:color="auto"/>
        <w:left w:val="none" w:sz="0" w:space="0" w:color="auto"/>
        <w:bottom w:val="none" w:sz="0" w:space="0" w:color="auto"/>
        <w:right w:val="none" w:sz="0" w:space="0" w:color="auto"/>
      </w:divBdr>
    </w:div>
    <w:div w:id="1178692616">
      <w:bodyDiv w:val="1"/>
      <w:marLeft w:val="0"/>
      <w:marRight w:val="0"/>
      <w:marTop w:val="0"/>
      <w:marBottom w:val="0"/>
      <w:divBdr>
        <w:top w:val="none" w:sz="0" w:space="0" w:color="auto"/>
        <w:left w:val="none" w:sz="0" w:space="0" w:color="auto"/>
        <w:bottom w:val="none" w:sz="0" w:space="0" w:color="auto"/>
        <w:right w:val="none" w:sz="0" w:space="0" w:color="auto"/>
      </w:divBdr>
    </w:div>
    <w:div w:id="1186793256">
      <w:bodyDiv w:val="1"/>
      <w:marLeft w:val="0"/>
      <w:marRight w:val="0"/>
      <w:marTop w:val="0"/>
      <w:marBottom w:val="0"/>
      <w:divBdr>
        <w:top w:val="none" w:sz="0" w:space="0" w:color="auto"/>
        <w:left w:val="none" w:sz="0" w:space="0" w:color="auto"/>
        <w:bottom w:val="none" w:sz="0" w:space="0" w:color="auto"/>
        <w:right w:val="none" w:sz="0" w:space="0" w:color="auto"/>
      </w:divBdr>
    </w:div>
    <w:div w:id="1231111141">
      <w:bodyDiv w:val="1"/>
      <w:marLeft w:val="0"/>
      <w:marRight w:val="0"/>
      <w:marTop w:val="0"/>
      <w:marBottom w:val="0"/>
      <w:divBdr>
        <w:top w:val="none" w:sz="0" w:space="0" w:color="auto"/>
        <w:left w:val="none" w:sz="0" w:space="0" w:color="auto"/>
        <w:bottom w:val="none" w:sz="0" w:space="0" w:color="auto"/>
        <w:right w:val="none" w:sz="0" w:space="0" w:color="auto"/>
      </w:divBdr>
    </w:div>
    <w:div w:id="1313829272">
      <w:bodyDiv w:val="1"/>
      <w:marLeft w:val="0"/>
      <w:marRight w:val="0"/>
      <w:marTop w:val="0"/>
      <w:marBottom w:val="0"/>
      <w:divBdr>
        <w:top w:val="none" w:sz="0" w:space="0" w:color="auto"/>
        <w:left w:val="none" w:sz="0" w:space="0" w:color="auto"/>
        <w:bottom w:val="none" w:sz="0" w:space="0" w:color="auto"/>
        <w:right w:val="none" w:sz="0" w:space="0" w:color="auto"/>
      </w:divBdr>
    </w:div>
    <w:div w:id="1339577859">
      <w:bodyDiv w:val="1"/>
      <w:marLeft w:val="0"/>
      <w:marRight w:val="0"/>
      <w:marTop w:val="0"/>
      <w:marBottom w:val="0"/>
      <w:divBdr>
        <w:top w:val="none" w:sz="0" w:space="0" w:color="auto"/>
        <w:left w:val="none" w:sz="0" w:space="0" w:color="auto"/>
        <w:bottom w:val="none" w:sz="0" w:space="0" w:color="auto"/>
        <w:right w:val="none" w:sz="0" w:space="0" w:color="auto"/>
      </w:divBdr>
    </w:div>
    <w:div w:id="1346058838">
      <w:bodyDiv w:val="1"/>
      <w:marLeft w:val="0"/>
      <w:marRight w:val="0"/>
      <w:marTop w:val="0"/>
      <w:marBottom w:val="0"/>
      <w:divBdr>
        <w:top w:val="none" w:sz="0" w:space="0" w:color="auto"/>
        <w:left w:val="none" w:sz="0" w:space="0" w:color="auto"/>
        <w:bottom w:val="none" w:sz="0" w:space="0" w:color="auto"/>
        <w:right w:val="none" w:sz="0" w:space="0" w:color="auto"/>
      </w:divBdr>
    </w:div>
    <w:div w:id="1410999542">
      <w:bodyDiv w:val="1"/>
      <w:marLeft w:val="0"/>
      <w:marRight w:val="0"/>
      <w:marTop w:val="0"/>
      <w:marBottom w:val="0"/>
      <w:divBdr>
        <w:top w:val="none" w:sz="0" w:space="0" w:color="auto"/>
        <w:left w:val="none" w:sz="0" w:space="0" w:color="auto"/>
        <w:bottom w:val="none" w:sz="0" w:space="0" w:color="auto"/>
        <w:right w:val="none" w:sz="0" w:space="0" w:color="auto"/>
      </w:divBdr>
    </w:div>
    <w:div w:id="1489710010">
      <w:bodyDiv w:val="1"/>
      <w:marLeft w:val="0"/>
      <w:marRight w:val="0"/>
      <w:marTop w:val="0"/>
      <w:marBottom w:val="0"/>
      <w:divBdr>
        <w:top w:val="none" w:sz="0" w:space="0" w:color="auto"/>
        <w:left w:val="none" w:sz="0" w:space="0" w:color="auto"/>
        <w:bottom w:val="none" w:sz="0" w:space="0" w:color="auto"/>
        <w:right w:val="none" w:sz="0" w:space="0" w:color="auto"/>
      </w:divBdr>
    </w:div>
    <w:div w:id="1507289432">
      <w:bodyDiv w:val="1"/>
      <w:marLeft w:val="0"/>
      <w:marRight w:val="0"/>
      <w:marTop w:val="0"/>
      <w:marBottom w:val="0"/>
      <w:divBdr>
        <w:top w:val="none" w:sz="0" w:space="0" w:color="auto"/>
        <w:left w:val="none" w:sz="0" w:space="0" w:color="auto"/>
        <w:bottom w:val="none" w:sz="0" w:space="0" w:color="auto"/>
        <w:right w:val="none" w:sz="0" w:space="0" w:color="auto"/>
      </w:divBdr>
    </w:div>
    <w:div w:id="1552888778">
      <w:bodyDiv w:val="1"/>
      <w:marLeft w:val="0"/>
      <w:marRight w:val="0"/>
      <w:marTop w:val="0"/>
      <w:marBottom w:val="0"/>
      <w:divBdr>
        <w:top w:val="none" w:sz="0" w:space="0" w:color="auto"/>
        <w:left w:val="none" w:sz="0" w:space="0" w:color="auto"/>
        <w:bottom w:val="none" w:sz="0" w:space="0" w:color="auto"/>
        <w:right w:val="none" w:sz="0" w:space="0" w:color="auto"/>
      </w:divBdr>
    </w:div>
    <w:div w:id="1636064165">
      <w:bodyDiv w:val="1"/>
      <w:marLeft w:val="0"/>
      <w:marRight w:val="0"/>
      <w:marTop w:val="0"/>
      <w:marBottom w:val="0"/>
      <w:divBdr>
        <w:top w:val="none" w:sz="0" w:space="0" w:color="auto"/>
        <w:left w:val="none" w:sz="0" w:space="0" w:color="auto"/>
        <w:bottom w:val="none" w:sz="0" w:space="0" w:color="auto"/>
        <w:right w:val="none" w:sz="0" w:space="0" w:color="auto"/>
      </w:divBdr>
    </w:div>
    <w:div w:id="1681615635">
      <w:bodyDiv w:val="1"/>
      <w:marLeft w:val="0"/>
      <w:marRight w:val="0"/>
      <w:marTop w:val="0"/>
      <w:marBottom w:val="0"/>
      <w:divBdr>
        <w:top w:val="none" w:sz="0" w:space="0" w:color="auto"/>
        <w:left w:val="none" w:sz="0" w:space="0" w:color="auto"/>
        <w:bottom w:val="none" w:sz="0" w:space="0" w:color="auto"/>
        <w:right w:val="none" w:sz="0" w:space="0" w:color="auto"/>
      </w:divBdr>
    </w:div>
    <w:div w:id="1696075907">
      <w:bodyDiv w:val="1"/>
      <w:marLeft w:val="0"/>
      <w:marRight w:val="0"/>
      <w:marTop w:val="0"/>
      <w:marBottom w:val="0"/>
      <w:divBdr>
        <w:top w:val="none" w:sz="0" w:space="0" w:color="auto"/>
        <w:left w:val="none" w:sz="0" w:space="0" w:color="auto"/>
        <w:bottom w:val="none" w:sz="0" w:space="0" w:color="auto"/>
        <w:right w:val="none" w:sz="0" w:space="0" w:color="auto"/>
      </w:divBdr>
    </w:div>
    <w:div w:id="1738554878">
      <w:bodyDiv w:val="1"/>
      <w:marLeft w:val="0"/>
      <w:marRight w:val="0"/>
      <w:marTop w:val="0"/>
      <w:marBottom w:val="0"/>
      <w:divBdr>
        <w:top w:val="none" w:sz="0" w:space="0" w:color="auto"/>
        <w:left w:val="none" w:sz="0" w:space="0" w:color="auto"/>
        <w:bottom w:val="none" w:sz="0" w:space="0" w:color="auto"/>
        <w:right w:val="none" w:sz="0" w:space="0" w:color="auto"/>
      </w:divBdr>
    </w:div>
    <w:div w:id="1822190899">
      <w:bodyDiv w:val="1"/>
      <w:marLeft w:val="0"/>
      <w:marRight w:val="0"/>
      <w:marTop w:val="0"/>
      <w:marBottom w:val="0"/>
      <w:divBdr>
        <w:top w:val="none" w:sz="0" w:space="0" w:color="auto"/>
        <w:left w:val="none" w:sz="0" w:space="0" w:color="auto"/>
        <w:bottom w:val="none" w:sz="0" w:space="0" w:color="auto"/>
        <w:right w:val="none" w:sz="0" w:space="0" w:color="auto"/>
      </w:divBdr>
    </w:div>
    <w:div w:id="1859347825">
      <w:bodyDiv w:val="1"/>
      <w:marLeft w:val="0"/>
      <w:marRight w:val="0"/>
      <w:marTop w:val="0"/>
      <w:marBottom w:val="0"/>
      <w:divBdr>
        <w:top w:val="none" w:sz="0" w:space="0" w:color="auto"/>
        <w:left w:val="none" w:sz="0" w:space="0" w:color="auto"/>
        <w:bottom w:val="none" w:sz="0" w:space="0" w:color="auto"/>
        <w:right w:val="none" w:sz="0" w:space="0" w:color="auto"/>
      </w:divBdr>
    </w:div>
    <w:div w:id="1881044396">
      <w:bodyDiv w:val="1"/>
      <w:marLeft w:val="0"/>
      <w:marRight w:val="0"/>
      <w:marTop w:val="0"/>
      <w:marBottom w:val="0"/>
      <w:divBdr>
        <w:top w:val="none" w:sz="0" w:space="0" w:color="auto"/>
        <w:left w:val="none" w:sz="0" w:space="0" w:color="auto"/>
        <w:bottom w:val="none" w:sz="0" w:space="0" w:color="auto"/>
        <w:right w:val="none" w:sz="0" w:space="0" w:color="auto"/>
      </w:divBdr>
    </w:div>
    <w:div w:id="1892964225">
      <w:bodyDiv w:val="1"/>
      <w:marLeft w:val="0"/>
      <w:marRight w:val="0"/>
      <w:marTop w:val="0"/>
      <w:marBottom w:val="0"/>
      <w:divBdr>
        <w:top w:val="none" w:sz="0" w:space="0" w:color="auto"/>
        <w:left w:val="none" w:sz="0" w:space="0" w:color="auto"/>
        <w:bottom w:val="none" w:sz="0" w:space="0" w:color="auto"/>
        <w:right w:val="none" w:sz="0" w:space="0" w:color="auto"/>
      </w:divBdr>
    </w:div>
    <w:div w:id="1915428659">
      <w:bodyDiv w:val="1"/>
      <w:marLeft w:val="0"/>
      <w:marRight w:val="0"/>
      <w:marTop w:val="0"/>
      <w:marBottom w:val="0"/>
      <w:divBdr>
        <w:top w:val="none" w:sz="0" w:space="0" w:color="auto"/>
        <w:left w:val="none" w:sz="0" w:space="0" w:color="auto"/>
        <w:bottom w:val="none" w:sz="0" w:space="0" w:color="auto"/>
        <w:right w:val="none" w:sz="0" w:space="0" w:color="auto"/>
      </w:divBdr>
    </w:div>
    <w:div w:id="1924610206">
      <w:bodyDiv w:val="1"/>
      <w:marLeft w:val="0"/>
      <w:marRight w:val="0"/>
      <w:marTop w:val="0"/>
      <w:marBottom w:val="0"/>
      <w:divBdr>
        <w:top w:val="none" w:sz="0" w:space="0" w:color="auto"/>
        <w:left w:val="none" w:sz="0" w:space="0" w:color="auto"/>
        <w:bottom w:val="none" w:sz="0" w:space="0" w:color="auto"/>
        <w:right w:val="none" w:sz="0" w:space="0" w:color="auto"/>
      </w:divBdr>
    </w:div>
    <w:div w:id="1997493476">
      <w:bodyDiv w:val="1"/>
      <w:marLeft w:val="0"/>
      <w:marRight w:val="0"/>
      <w:marTop w:val="0"/>
      <w:marBottom w:val="0"/>
      <w:divBdr>
        <w:top w:val="none" w:sz="0" w:space="0" w:color="auto"/>
        <w:left w:val="none" w:sz="0" w:space="0" w:color="auto"/>
        <w:bottom w:val="none" w:sz="0" w:space="0" w:color="auto"/>
        <w:right w:val="none" w:sz="0" w:space="0" w:color="auto"/>
      </w:divBdr>
    </w:div>
    <w:div w:id="2013756084">
      <w:bodyDiv w:val="1"/>
      <w:marLeft w:val="0"/>
      <w:marRight w:val="0"/>
      <w:marTop w:val="0"/>
      <w:marBottom w:val="0"/>
      <w:divBdr>
        <w:top w:val="none" w:sz="0" w:space="0" w:color="auto"/>
        <w:left w:val="none" w:sz="0" w:space="0" w:color="auto"/>
        <w:bottom w:val="none" w:sz="0" w:space="0" w:color="auto"/>
        <w:right w:val="none" w:sz="0" w:space="0" w:color="auto"/>
      </w:divBdr>
    </w:div>
    <w:div w:id="2026588483">
      <w:bodyDiv w:val="1"/>
      <w:marLeft w:val="0"/>
      <w:marRight w:val="0"/>
      <w:marTop w:val="0"/>
      <w:marBottom w:val="0"/>
      <w:divBdr>
        <w:top w:val="none" w:sz="0" w:space="0" w:color="auto"/>
        <w:left w:val="none" w:sz="0" w:space="0" w:color="auto"/>
        <w:bottom w:val="none" w:sz="0" w:space="0" w:color="auto"/>
        <w:right w:val="none" w:sz="0" w:space="0" w:color="auto"/>
      </w:divBdr>
    </w:div>
    <w:div w:id="2061130278">
      <w:bodyDiv w:val="1"/>
      <w:marLeft w:val="0"/>
      <w:marRight w:val="0"/>
      <w:marTop w:val="0"/>
      <w:marBottom w:val="0"/>
      <w:divBdr>
        <w:top w:val="none" w:sz="0" w:space="0" w:color="auto"/>
        <w:left w:val="none" w:sz="0" w:space="0" w:color="auto"/>
        <w:bottom w:val="none" w:sz="0" w:space="0" w:color="auto"/>
        <w:right w:val="none" w:sz="0" w:space="0" w:color="auto"/>
      </w:divBdr>
    </w:div>
    <w:div w:id="2091854318">
      <w:bodyDiv w:val="1"/>
      <w:marLeft w:val="0"/>
      <w:marRight w:val="0"/>
      <w:marTop w:val="0"/>
      <w:marBottom w:val="0"/>
      <w:divBdr>
        <w:top w:val="none" w:sz="0" w:space="0" w:color="auto"/>
        <w:left w:val="none" w:sz="0" w:space="0" w:color="auto"/>
        <w:bottom w:val="none" w:sz="0" w:space="0" w:color="auto"/>
        <w:right w:val="none" w:sz="0" w:space="0" w:color="auto"/>
      </w:divBdr>
    </w:div>
    <w:div w:id="213440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PM_Arial">
  <a:themeElements>
    <a:clrScheme name="Custom 7">
      <a:dk1>
        <a:srgbClr val="000000"/>
      </a:dk1>
      <a:lt1>
        <a:srgbClr val="FFFFFF"/>
      </a:lt1>
      <a:dk2>
        <a:srgbClr val="0A1F50"/>
      </a:dk2>
      <a:lt2>
        <a:srgbClr val="DAE4EC"/>
      </a:lt2>
      <a:accent1>
        <a:srgbClr val="45A7E1"/>
      </a:accent1>
      <a:accent2>
        <a:srgbClr val="F04F48"/>
      </a:accent2>
      <a:accent3>
        <a:srgbClr val="4CD99D"/>
      </a:accent3>
      <a:accent4>
        <a:srgbClr val="FF7025"/>
      </a:accent4>
      <a:accent5>
        <a:srgbClr val="9187E9"/>
      </a:accent5>
      <a:accent6>
        <a:srgbClr val="FFCF0E"/>
      </a:accent6>
      <a:hlink>
        <a:srgbClr val="45A7E1"/>
      </a:hlink>
      <a:folHlink>
        <a:srgbClr val="45A7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PM_Arial" id="{CD3B5AD6-1E9E-DE45-B6B9-4D05FC61B8FD}" vid="{5410EA13-B33E-A44F-860F-BBD43813C5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DCC5A3-7843-4F78-9800-42A3DA0D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7157</Words>
  <Characters>41730</Characters>
  <Application>Microsoft Office Word</Application>
  <DocSecurity>0</DocSecurity>
  <Lines>1669</Lines>
  <Paragraphs>1222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Review of the Papua New Guinea – Australia Governance Partnership</dc:title>
  <dc:subject/>
  <dc:creator/>
  <cp:keywords>[SEC=OFFICIAL]</cp:keywords>
  <cp:lastModifiedBy/>
  <cp:revision>1</cp:revision>
  <dcterms:created xsi:type="dcterms:W3CDTF">2022-10-04T04:29:00Z</dcterms:created>
  <dcterms:modified xsi:type="dcterms:W3CDTF">2022-10-05T06:01:00Z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53943EA074EB482B8E35B4F330DAD619</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2022-10-05T06:01:55Z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9259FC3C8B7619D42D403BB4C5AFB801</vt:lpwstr>
  </property>
  <property fmtid="{D5CDD505-2E9C-101B-9397-08002B2CF9AE}" pid="20" name="PM_Hash_Salt">
    <vt:lpwstr>520B35FEBBA9D71DD1F206A5115D6346</vt:lpwstr>
  </property>
  <property fmtid="{D5CDD505-2E9C-101B-9397-08002B2CF9AE}" pid="21" name="PM_Hash_SHA1">
    <vt:lpwstr>6DA85B73FFB28E7D81F257530EFBCFB73F088935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3F6D732A650B4EC715B623E0D837FB2B96AB69551124ACFE30889A7938FDE719</vt:lpwstr>
  </property>
  <property fmtid="{D5CDD505-2E9C-101B-9397-08002B2CF9AE}" pid="28" name="PM_OriginatorDomainName_SHA256">
    <vt:lpwstr>6F3591835F3B2A8A025B00B5BA6418010DA3A17C9C26EA9C049FFD28039489A2</vt:lpwstr>
  </property>
</Properties>
</file>