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63D0" w14:textId="381E06C7" w:rsidR="00A16DD7" w:rsidRDefault="00D51B29" w:rsidP="00B6743B">
      <w:pPr>
        <w:pStyle w:val="Heading1"/>
        <w:rPr>
          <w:rFonts w:eastAsia="Times New Roman"/>
          <w:lang w:eastAsia="en-AU"/>
        </w:rPr>
      </w:pPr>
      <w:r>
        <w:rPr>
          <w:rFonts w:eastAsia="Times New Roman"/>
          <w:lang w:eastAsia="en-AU"/>
        </w:rPr>
        <w:t>DFAT Management Response: Final Review of the PNG-Australia Governance Partnership – 2022</w:t>
      </w:r>
    </w:p>
    <w:p w14:paraId="257D5322" w14:textId="2BC1913A" w:rsidR="004A5292" w:rsidRDefault="003F5789" w:rsidP="00B6743B">
      <w:pPr>
        <w:pStyle w:val="Heading2"/>
      </w:pPr>
      <w:r>
        <w:t>Overview of program</w:t>
      </w:r>
    </w:p>
    <w:p w14:paraId="00F9EBDE" w14:textId="79385A1D" w:rsidR="0066632B" w:rsidRDefault="00575898" w:rsidP="00A16DD7">
      <w:pPr>
        <w:shd w:val="clear" w:color="auto" w:fill="FFFFFF"/>
        <w:spacing w:after="0" w:line="240" w:lineRule="auto"/>
        <w:outlineLvl w:val="1"/>
        <w:rPr>
          <w:rFonts w:ascii="Segoe UI" w:eastAsia="Times New Roman" w:hAnsi="Segoe UI" w:cs="Segoe UI"/>
          <w:color w:val="313131"/>
          <w:sz w:val="24"/>
          <w:szCs w:val="24"/>
          <w:lang w:eastAsia="en-AU"/>
        </w:rPr>
      </w:pPr>
      <w:r w:rsidRPr="00575898">
        <w:rPr>
          <w:rFonts w:ascii="Segoe UI" w:eastAsia="Times New Roman" w:hAnsi="Segoe UI" w:cs="Segoe UI"/>
          <w:color w:val="313131"/>
          <w:sz w:val="24"/>
          <w:szCs w:val="24"/>
          <w:lang w:eastAsia="en-AU"/>
        </w:rPr>
        <w:t>T</w:t>
      </w:r>
      <w:r w:rsidR="00D177C2">
        <w:rPr>
          <w:rFonts w:ascii="Segoe UI" w:eastAsia="Times New Roman" w:hAnsi="Segoe UI" w:cs="Segoe UI"/>
          <w:color w:val="313131"/>
          <w:sz w:val="24"/>
          <w:szCs w:val="24"/>
          <w:lang w:eastAsia="en-AU"/>
        </w:rPr>
        <w:t>he review</w:t>
      </w:r>
      <w:r w:rsidRPr="00575898">
        <w:rPr>
          <w:rFonts w:ascii="Segoe UI" w:eastAsia="Times New Roman" w:hAnsi="Segoe UI" w:cs="Segoe UI"/>
          <w:color w:val="313131"/>
          <w:sz w:val="24"/>
          <w:szCs w:val="24"/>
          <w:lang w:eastAsia="en-AU"/>
        </w:rPr>
        <w:t xml:space="preserve"> present</w:t>
      </w:r>
      <w:r w:rsidR="00D177C2">
        <w:rPr>
          <w:rFonts w:ascii="Segoe UI" w:eastAsia="Times New Roman" w:hAnsi="Segoe UI" w:cs="Segoe UI"/>
          <w:color w:val="313131"/>
          <w:sz w:val="24"/>
          <w:szCs w:val="24"/>
          <w:lang w:eastAsia="en-AU"/>
        </w:rPr>
        <w:t>ed</w:t>
      </w:r>
      <w:r w:rsidRPr="00575898">
        <w:rPr>
          <w:rFonts w:ascii="Segoe UI" w:eastAsia="Times New Roman" w:hAnsi="Segoe UI" w:cs="Segoe UI"/>
          <w:color w:val="313131"/>
          <w:sz w:val="24"/>
          <w:szCs w:val="24"/>
          <w:lang w:eastAsia="en-AU"/>
        </w:rPr>
        <w:t xml:space="preserve"> the third and final </w:t>
      </w:r>
      <w:r w:rsidR="00D177C2">
        <w:rPr>
          <w:rFonts w:ascii="Segoe UI" w:eastAsia="Times New Roman" w:hAnsi="Segoe UI" w:cs="Segoe UI"/>
          <w:color w:val="313131"/>
          <w:sz w:val="24"/>
          <w:szCs w:val="24"/>
          <w:lang w:eastAsia="en-AU"/>
        </w:rPr>
        <w:t>assessment</w:t>
      </w:r>
      <w:r w:rsidRPr="00575898">
        <w:rPr>
          <w:rFonts w:ascii="Segoe UI" w:eastAsia="Times New Roman" w:hAnsi="Segoe UI" w:cs="Segoe UI"/>
          <w:color w:val="313131"/>
          <w:sz w:val="24"/>
          <w:szCs w:val="24"/>
          <w:lang w:eastAsia="en-AU"/>
        </w:rPr>
        <w:t xml:space="preserve"> of the Papua New Guinea–Australia Governance Partnership (PAGP). </w:t>
      </w:r>
      <w:r w:rsidR="00B31A22" w:rsidRPr="00B31A22">
        <w:rPr>
          <w:rFonts w:ascii="Segoe UI" w:eastAsia="Times New Roman" w:hAnsi="Segoe UI" w:cs="Segoe UI"/>
          <w:color w:val="313131"/>
          <w:sz w:val="24"/>
          <w:szCs w:val="24"/>
          <w:lang w:eastAsia="en-AU"/>
        </w:rPr>
        <w:t>The investment consisted of seven distinct programs, valued at approximately AUD121 million per year</w:t>
      </w:r>
      <w:r w:rsidR="00B31A22">
        <w:rPr>
          <w:rFonts w:ascii="Segoe UI" w:eastAsia="Times New Roman" w:hAnsi="Segoe UI" w:cs="Segoe UI"/>
          <w:color w:val="313131"/>
          <w:sz w:val="24"/>
          <w:szCs w:val="24"/>
          <w:lang w:eastAsia="en-AU"/>
        </w:rPr>
        <w:t>.</w:t>
      </w:r>
    </w:p>
    <w:p w14:paraId="64663472" w14:textId="3FF6EF47" w:rsidR="006B11DD" w:rsidRDefault="006B11DD"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3C428103" w14:textId="0272E30A" w:rsidR="006B11DD" w:rsidRPr="0077248D" w:rsidRDefault="006B11DD" w:rsidP="0077248D">
      <w:pPr>
        <w:pStyle w:val="ListParagraph"/>
        <w:numPr>
          <w:ilvl w:val="0"/>
          <w:numId w:val="5"/>
        </w:numPr>
        <w:shd w:val="clear" w:color="auto" w:fill="FFFFFF"/>
        <w:spacing w:after="60" w:line="240" w:lineRule="auto"/>
        <w:contextualSpacing w:val="0"/>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Economic Governance and Inclusive Growth (EGIG)</w:t>
      </w:r>
      <w:r w:rsidRPr="0077248D">
        <w:rPr>
          <w:rFonts w:ascii="Segoe UI" w:eastAsia="Times New Roman" w:hAnsi="Segoe UI" w:cs="Segoe UI"/>
          <w:color w:val="313131"/>
          <w:sz w:val="24"/>
          <w:szCs w:val="24"/>
          <w:lang w:eastAsia="en-AU"/>
        </w:rPr>
        <w:t xml:space="preserve"> – supporting research, inclusive private sector engagement, and budget planning and coordination across central </w:t>
      </w:r>
      <w:proofErr w:type="spellStart"/>
      <w:r w:rsidRPr="0077248D">
        <w:rPr>
          <w:rFonts w:ascii="Segoe UI" w:eastAsia="Times New Roman" w:hAnsi="Segoe UI" w:cs="Segoe UI"/>
          <w:color w:val="313131"/>
          <w:sz w:val="24"/>
          <w:szCs w:val="24"/>
          <w:lang w:eastAsia="en-AU"/>
        </w:rPr>
        <w:t>GoPNG</w:t>
      </w:r>
      <w:proofErr w:type="spellEnd"/>
      <w:r w:rsidRPr="0077248D">
        <w:rPr>
          <w:rFonts w:ascii="Segoe UI" w:eastAsia="Times New Roman" w:hAnsi="Segoe UI" w:cs="Segoe UI"/>
          <w:color w:val="313131"/>
          <w:sz w:val="24"/>
          <w:szCs w:val="24"/>
          <w:lang w:eastAsia="en-AU"/>
        </w:rPr>
        <w:t xml:space="preserve"> agencies</w:t>
      </w:r>
    </w:p>
    <w:p w14:paraId="5E5C3012" w14:textId="1C7B36C7" w:rsidR="006B11DD" w:rsidRPr="0077248D" w:rsidRDefault="006B11DD" w:rsidP="0077248D">
      <w:pPr>
        <w:pStyle w:val="ListParagraph"/>
        <w:numPr>
          <w:ilvl w:val="0"/>
          <w:numId w:val="5"/>
        </w:numPr>
        <w:shd w:val="clear" w:color="auto" w:fill="FFFFFF"/>
        <w:spacing w:after="60" w:line="240" w:lineRule="auto"/>
        <w:contextualSpacing w:val="0"/>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Decentralisation and Citizenship Participation (DCP)</w:t>
      </w:r>
      <w:r w:rsidRPr="0077248D">
        <w:rPr>
          <w:rFonts w:ascii="Segoe UI" w:eastAsia="Times New Roman" w:hAnsi="Segoe UI" w:cs="Segoe UI"/>
          <w:color w:val="313131"/>
          <w:sz w:val="24"/>
          <w:szCs w:val="24"/>
          <w:lang w:eastAsia="en-AU"/>
        </w:rPr>
        <w:t xml:space="preserve"> – promoting improved subnational service delivery and economic growth through adviser coordination, church and media partnerships, and various urban and rural resilience initiatives</w:t>
      </w:r>
    </w:p>
    <w:p w14:paraId="11AD1688" w14:textId="0FE6657A" w:rsidR="006B11DD" w:rsidRPr="0077248D" w:rsidRDefault="006B11DD" w:rsidP="0077248D">
      <w:pPr>
        <w:pStyle w:val="ListParagraph"/>
        <w:numPr>
          <w:ilvl w:val="0"/>
          <w:numId w:val="5"/>
        </w:numPr>
        <w:shd w:val="clear" w:color="auto" w:fill="FFFFFF"/>
        <w:spacing w:after="60" w:line="240" w:lineRule="auto"/>
        <w:contextualSpacing w:val="0"/>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Public Sector Leadership and Reform (PSLR)</w:t>
      </w:r>
      <w:r w:rsidRPr="0077248D">
        <w:rPr>
          <w:rFonts w:ascii="Segoe UI" w:eastAsia="Times New Roman" w:hAnsi="Segoe UI" w:cs="Segoe UI"/>
          <w:color w:val="313131"/>
          <w:sz w:val="24"/>
          <w:szCs w:val="24"/>
          <w:lang w:eastAsia="en-AU"/>
        </w:rPr>
        <w:t xml:space="preserve"> – identification, training and networking of PNG officials with future leadership potential</w:t>
      </w:r>
    </w:p>
    <w:p w14:paraId="384619C7" w14:textId="71681045" w:rsidR="006B11DD" w:rsidRPr="0077248D" w:rsidRDefault="006B11DD" w:rsidP="0077248D">
      <w:pPr>
        <w:pStyle w:val="ListParagraph"/>
        <w:numPr>
          <w:ilvl w:val="0"/>
          <w:numId w:val="5"/>
        </w:numPr>
        <w:shd w:val="clear" w:color="auto" w:fill="FFFFFF"/>
        <w:spacing w:after="60" w:line="240" w:lineRule="auto"/>
        <w:contextualSpacing w:val="0"/>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Bougainville Partnership (BP)</w:t>
      </w:r>
      <w:r w:rsidRPr="0077248D">
        <w:rPr>
          <w:rFonts w:ascii="Segoe UI" w:eastAsia="Times New Roman" w:hAnsi="Segoe UI" w:cs="Segoe UI"/>
          <w:color w:val="313131"/>
          <w:sz w:val="24"/>
          <w:szCs w:val="24"/>
          <w:lang w:eastAsia="en-AU"/>
        </w:rPr>
        <w:t xml:space="preserve"> – a comprehensive package of governance advisory support, private sector investment and community peace-building initiatives</w:t>
      </w:r>
    </w:p>
    <w:p w14:paraId="7457ADDF" w14:textId="47B65412" w:rsidR="006B11DD" w:rsidRPr="0077248D" w:rsidRDefault="006B11DD" w:rsidP="0077248D">
      <w:pPr>
        <w:pStyle w:val="ListParagraph"/>
        <w:numPr>
          <w:ilvl w:val="0"/>
          <w:numId w:val="5"/>
        </w:numPr>
        <w:shd w:val="clear" w:color="auto" w:fill="FFFFFF"/>
        <w:spacing w:after="60" w:line="240" w:lineRule="auto"/>
        <w:contextualSpacing w:val="0"/>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Kokoda Initiative (KI)</w:t>
      </w:r>
      <w:r w:rsidRPr="0077248D">
        <w:rPr>
          <w:rFonts w:ascii="Segoe UI" w:eastAsia="Times New Roman" w:hAnsi="Segoe UI" w:cs="Segoe UI"/>
          <w:color w:val="313131"/>
          <w:sz w:val="24"/>
          <w:szCs w:val="24"/>
          <w:lang w:eastAsia="en-AU"/>
        </w:rPr>
        <w:t xml:space="preserve"> – support to environmental management, education and health outcomes for communities around the Kokoda Track</w:t>
      </w:r>
    </w:p>
    <w:p w14:paraId="62B64842" w14:textId="0EF4A182" w:rsidR="006B11DD" w:rsidRPr="0077248D" w:rsidRDefault="006B11DD" w:rsidP="0077248D">
      <w:pPr>
        <w:pStyle w:val="ListParagraph"/>
        <w:numPr>
          <w:ilvl w:val="0"/>
          <w:numId w:val="5"/>
        </w:numPr>
        <w:shd w:val="clear" w:color="auto" w:fill="FFFFFF"/>
        <w:spacing w:after="60" w:line="240" w:lineRule="auto"/>
        <w:contextualSpacing w:val="0"/>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PNG Partnership Fund (PPF)</w:t>
      </w:r>
      <w:r w:rsidRPr="0077248D">
        <w:rPr>
          <w:rFonts w:ascii="Segoe UI" w:eastAsia="Times New Roman" w:hAnsi="Segoe UI" w:cs="Segoe UI"/>
          <w:color w:val="313131"/>
          <w:sz w:val="24"/>
          <w:szCs w:val="24"/>
          <w:lang w:eastAsia="en-AU"/>
        </w:rPr>
        <w:t xml:space="preserve"> – management of targeted health and education sector grants to </w:t>
      </w:r>
      <w:proofErr w:type="spellStart"/>
      <w:r w:rsidRPr="0077248D">
        <w:rPr>
          <w:rFonts w:ascii="Segoe UI" w:eastAsia="Times New Roman" w:hAnsi="Segoe UI" w:cs="Segoe UI"/>
          <w:color w:val="313131"/>
          <w:sz w:val="24"/>
          <w:szCs w:val="24"/>
          <w:lang w:eastAsia="en-AU"/>
        </w:rPr>
        <w:t>GoPNG</w:t>
      </w:r>
      <w:proofErr w:type="spellEnd"/>
      <w:r w:rsidRPr="0077248D">
        <w:rPr>
          <w:rFonts w:ascii="Segoe UI" w:eastAsia="Times New Roman" w:hAnsi="Segoe UI" w:cs="Segoe UI"/>
          <w:color w:val="313131"/>
          <w:sz w:val="24"/>
          <w:szCs w:val="24"/>
          <w:lang w:eastAsia="en-AU"/>
        </w:rPr>
        <w:t xml:space="preserve"> and NGOs</w:t>
      </w:r>
    </w:p>
    <w:p w14:paraId="7F4645EA" w14:textId="2240E146" w:rsidR="006B11DD" w:rsidRPr="0077248D" w:rsidRDefault="006B11DD" w:rsidP="0077248D">
      <w:pPr>
        <w:pStyle w:val="ListParagraph"/>
        <w:numPr>
          <w:ilvl w:val="0"/>
          <w:numId w:val="5"/>
        </w:numPr>
        <w:shd w:val="clear" w:color="auto" w:fill="FFFFFF"/>
        <w:spacing w:after="60" w:line="240" w:lineRule="auto"/>
        <w:contextualSpacing w:val="0"/>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Institutional Partnerships Program (IPP)</w:t>
      </w:r>
      <w:r w:rsidRPr="0077248D">
        <w:rPr>
          <w:rFonts w:ascii="Segoe UI" w:eastAsia="Times New Roman" w:hAnsi="Segoe UI" w:cs="Segoe UI"/>
          <w:color w:val="313131"/>
          <w:sz w:val="24"/>
          <w:szCs w:val="24"/>
          <w:lang w:eastAsia="en-AU"/>
        </w:rPr>
        <w:t xml:space="preserve"> – facilitating </w:t>
      </w:r>
      <w:proofErr w:type="spellStart"/>
      <w:r w:rsidRPr="0077248D">
        <w:rPr>
          <w:rFonts w:ascii="Segoe UI" w:eastAsia="Times New Roman" w:hAnsi="Segoe UI" w:cs="Segoe UI"/>
          <w:color w:val="313131"/>
          <w:sz w:val="24"/>
          <w:szCs w:val="24"/>
          <w:lang w:eastAsia="en-AU"/>
        </w:rPr>
        <w:t>GoA</w:t>
      </w:r>
      <w:proofErr w:type="spellEnd"/>
      <w:r w:rsidRPr="0077248D">
        <w:rPr>
          <w:rFonts w:ascii="Segoe UI" w:eastAsia="Times New Roman" w:hAnsi="Segoe UI" w:cs="Segoe UI"/>
          <w:color w:val="313131"/>
          <w:sz w:val="24"/>
          <w:szCs w:val="24"/>
          <w:lang w:eastAsia="en-AU"/>
        </w:rPr>
        <w:t xml:space="preserve"> adviser deployments and </w:t>
      </w:r>
      <w:proofErr w:type="spellStart"/>
      <w:r w:rsidRPr="0077248D">
        <w:rPr>
          <w:rFonts w:ascii="Segoe UI" w:eastAsia="Times New Roman" w:hAnsi="Segoe UI" w:cs="Segoe UI"/>
          <w:color w:val="313131"/>
          <w:sz w:val="24"/>
          <w:szCs w:val="24"/>
          <w:lang w:eastAsia="en-AU"/>
        </w:rPr>
        <w:t>GoPNG</w:t>
      </w:r>
      <w:proofErr w:type="spellEnd"/>
      <w:r w:rsidRPr="0077248D">
        <w:rPr>
          <w:rFonts w:ascii="Segoe UI" w:eastAsia="Times New Roman" w:hAnsi="Segoe UI" w:cs="Segoe UI"/>
          <w:color w:val="313131"/>
          <w:sz w:val="24"/>
          <w:szCs w:val="24"/>
          <w:lang w:eastAsia="en-AU"/>
        </w:rPr>
        <w:t xml:space="preserve"> capacity building</w:t>
      </w:r>
      <w:r w:rsidR="0077248D">
        <w:rPr>
          <w:rFonts w:ascii="Segoe UI" w:eastAsia="Times New Roman" w:hAnsi="Segoe UI" w:cs="Segoe UI"/>
          <w:color w:val="313131"/>
          <w:sz w:val="24"/>
          <w:szCs w:val="24"/>
          <w:lang w:eastAsia="en-AU"/>
        </w:rPr>
        <w:t>.</w:t>
      </w:r>
    </w:p>
    <w:p w14:paraId="235DC129" w14:textId="5EC7F691" w:rsidR="00EB33DB" w:rsidRDefault="00EB33DB"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1633976F" w14:textId="680D7222" w:rsidR="00EB33DB" w:rsidRDefault="0077248D" w:rsidP="00EB33DB">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The PAGP had</w:t>
      </w:r>
      <w:r w:rsidR="00EB33DB" w:rsidRPr="00EB33DB">
        <w:rPr>
          <w:rFonts w:ascii="Segoe UI" w:eastAsia="Times New Roman" w:hAnsi="Segoe UI" w:cs="Segoe UI"/>
          <w:color w:val="313131"/>
          <w:sz w:val="24"/>
          <w:szCs w:val="24"/>
          <w:lang w:eastAsia="en-AU"/>
        </w:rPr>
        <w:t xml:space="preserve"> three investment outcomes:</w:t>
      </w:r>
    </w:p>
    <w:p w14:paraId="1D28A14F" w14:textId="77777777" w:rsidR="00EB33DB" w:rsidRPr="00EB33DB" w:rsidRDefault="00EB33DB" w:rsidP="00EB33DB">
      <w:pPr>
        <w:shd w:val="clear" w:color="auto" w:fill="FFFFFF"/>
        <w:spacing w:after="0" w:line="240" w:lineRule="auto"/>
        <w:outlineLvl w:val="1"/>
        <w:rPr>
          <w:rFonts w:ascii="Segoe UI" w:eastAsia="Times New Roman" w:hAnsi="Segoe UI" w:cs="Segoe UI"/>
          <w:color w:val="313131"/>
          <w:sz w:val="24"/>
          <w:szCs w:val="24"/>
          <w:lang w:eastAsia="en-AU"/>
        </w:rPr>
      </w:pPr>
    </w:p>
    <w:p w14:paraId="54453585" w14:textId="77777777" w:rsidR="00EB33DB" w:rsidRPr="00EB33DB" w:rsidRDefault="00EB33DB" w:rsidP="0077248D">
      <w:pPr>
        <w:shd w:val="clear" w:color="auto" w:fill="FFFFFF"/>
        <w:spacing w:after="60" w:line="240" w:lineRule="auto"/>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Outcome 1</w:t>
      </w:r>
      <w:r w:rsidRPr="00EB33DB">
        <w:rPr>
          <w:rFonts w:ascii="Segoe UI" w:eastAsia="Times New Roman" w:hAnsi="Segoe UI" w:cs="Segoe UI"/>
          <w:color w:val="313131"/>
          <w:sz w:val="24"/>
          <w:szCs w:val="24"/>
          <w:lang w:eastAsia="en-AU"/>
        </w:rPr>
        <w:t xml:space="preserve"> - Enhanced effectiveness due to greater cohesion and collaboration between the partnerships and between the platform and the partnerships.</w:t>
      </w:r>
    </w:p>
    <w:p w14:paraId="7E2311FE" w14:textId="77777777" w:rsidR="00EB33DB" w:rsidRPr="00EB33DB" w:rsidRDefault="00EB33DB" w:rsidP="0077248D">
      <w:pPr>
        <w:shd w:val="clear" w:color="auto" w:fill="FFFFFF"/>
        <w:spacing w:after="60" w:line="240" w:lineRule="auto"/>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Outcome 2</w:t>
      </w:r>
      <w:r w:rsidRPr="00EB33DB">
        <w:rPr>
          <w:rFonts w:ascii="Segoe UI" w:eastAsia="Times New Roman" w:hAnsi="Segoe UI" w:cs="Segoe UI"/>
          <w:color w:val="313131"/>
          <w:sz w:val="24"/>
          <w:szCs w:val="24"/>
          <w:lang w:eastAsia="en-AU"/>
        </w:rPr>
        <w:t xml:space="preserve"> - Enhanced performance management, especially value for money, monitoring, evaluation, reporting and learning (MERL) and communications systems.</w:t>
      </w:r>
    </w:p>
    <w:p w14:paraId="384B0D1D" w14:textId="227645F2" w:rsidR="00EB33DB" w:rsidRPr="00106BA7" w:rsidRDefault="00EB33DB" w:rsidP="0077248D">
      <w:pPr>
        <w:shd w:val="clear" w:color="auto" w:fill="FFFFFF"/>
        <w:spacing w:after="60" w:line="240" w:lineRule="auto"/>
        <w:outlineLvl w:val="1"/>
        <w:rPr>
          <w:rFonts w:ascii="Segoe UI" w:eastAsia="Times New Roman" w:hAnsi="Segoe UI" w:cs="Segoe UI"/>
          <w:color w:val="313131"/>
          <w:sz w:val="24"/>
          <w:szCs w:val="24"/>
          <w:lang w:eastAsia="en-AU"/>
        </w:rPr>
      </w:pPr>
      <w:r w:rsidRPr="0077248D">
        <w:rPr>
          <w:rFonts w:ascii="Segoe UI" w:eastAsia="Times New Roman" w:hAnsi="Segoe UI" w:cs="Segoe UI"/>
          <w:b/>
          <w:bCs/>
          <w:color w:val="313131"/>
          <w:sz w:val="24"/>
          <w:szCs w:val="24"/>
          <w:lang w:eastAsia="en-AU"/>
        </w:rPr>
        <w:t>Outcome 3</w:t>
      </w:r>
      <w:r w:rsidRPr="00EB33DB">
        <w:rPr>
          <w:rFonts w:ascii="Segoe UI" w:eastAsia="Times New Roman" w:hAnsi="Segoe UI" w:cs="Segoe UI"/>
          <w:color w:val="313131"/>
          <w:sz w:val="24"/>
          <w:szCs w:val="24"/>
          <w:lang w:eastAsia="en-AU"/>
        </w:rPr>
        <w:t xml:space="preserve"> - Enhanced strategic relevance and responsiveness to the Australian and PNG Governments and local partners.</w:t>
      </w:r>
    </w:p>
    <w:p w14:paraId="44A94C25" w14:textId="2DDB0F12" w:rsidR="004A5292" w:rsidRDefault="004A5292" w:rsidP="00A16DD7">
      <w:pPr>
        <w:shd w:val="clear" w:color="auto" w:fill="FFFFFF"/>
        <w:spacing w:after="0" w:line="240" w:lineRule="auto"/>
        <w:outlineLvl w:val="1"/>
        <w:rPr>
          <w:rFonts w:ascii="Segoe UI" w:eastAsia="Times New Roman" w:hAnsi="Segoe UI" w:cs="Segoe UI"/>
          <w:b/>
          <w:bCs/>
          <w:color w:val="313131"/>
          <w:sz w:val="24"/>
          <w:szCs w:val="24"/>
          <w:lang w:eastAsia="en-AU"/>
        </w:rPr>
      </w:pPr>
    </w:p>
    <w:p w14:paraId="1DB52B13" w14:textId="77777777" w:rsidR="00AA2C97" w:rsidRDefault="00AA2C97">
      <w:pPr>
        <w:rPr>
          <w:rFonts w:ascii="Segoe UI" w:eastAsia="Times New Roman" w:hAnsi="Segoe UI" w:cs="Segoe UI"/>
          <w:b/>
          <w:bCs/>
          <w:color w:val="313131"/>
          <w:sz w:val="24"/>
          <w:szCs w:val="24"/>
          <w:lang w:eastAsia="en-AU"/>
        </w:rPr>
      </w:pPr>
      <w:r>
        <w:rPr>
          <w:rFonts w:ascii="Segoe UI" w:eastAsia="Times New Roman" w:hAnsi="Segoe UI" w:cs="Segoe UI"/>
          <w:b/>
          <w:bCs/>
          <w:color w:val="313131"/>
          <w:sz w:val="24"/>
          <w:szCs w:val="24"/>
          <w:lang w:eastAsia="en-AU"/>
        </w:rPr>
        <w:br w:type="page"/>
      </w:r>
    </w:p>
    <w:p w14:paraId="352025B9" w14:textId="77777777" w:rsidR="00791E3A" w:rsidRDefault="00791E3A" w:rsidP="00B6743B">
      <w:pPr>
        <w:pStyle w:val="Heading2"/>
      </w:pPr>
      <w:r>
        <w:lastRenderedPageBreak/>
        <w:t>Key findings</w:t>
      </w:r>
    </w:p>
    <w:p w14:paraId="0C3D25C0" w14:textId="47033449" w:rsidR="00791E3A" w:rsidRDefault="00791E3A" w:rsidP="00791E3A">
      <w:pPr>
        <w:shd w:val="clear" w:color="auto" w:fill="FFFFFF"/>
        <w:spacing w:after="0" w:line="240" w:lineRule="auto"/>
        <w:outlineLvl w:val="1"/>
        <w:rPr>
          <w:rFonts w:ascii="Segoe UI" w:eastAsia="Times New Roman" w:hAnsi="Segoe UI" w:cs="Segoe UI"/>
          <w:color w:val="313131"/>
          <w:sz w:val="24"/>
          <w:szCs w:val="24"/>
          <w:lang w:eastAsia="en-AU"/>
        </w:rPr>
      </w:pPr>
      <w:r w:rsidRPr="0093274A">
        <w:rPr>
          <w:rFonts w:ascii="Segoe UI" w:eastAsia="Times New Roman" w:hAnsi="Segoe UI" w:cs="Segoe UI"/>
          <w:color w:val="313131"/>
          <w:sz w:val="24"/>
          <w:szCs w:val="24"/>
          <w:lang w:eastAsia="en-AU"/>
        </w:rPr>
        <w:t>Overall, th</w:t>
      </w:r>
      <w:r>
        <w:rPr>
          <w:rFonts w:ascii="Segoe UI" w:eastAsia="Times New Roman" w:hAnsi="Segoe UI" w:cs="Segoe UI"/>
          <w:color w:val="313131"/>
          <w:sz w:val="24"/>
          <w:szCs w:val="24"/>
          <w:lang w:eastAsia="en-AU"/>
        </w:rPr>
        <w:t xml:space="preserve">e </w:t>
      </w:r>
      <w:r w:rsidRPr="0093274A">
        <w:rPr>
          <w:rFonts w:ascii="Segoe UI" w:eastAsia="Times New Roman" w:hAnsi="Segoe UI" w:cs="Segoe UI"/>
          <w:color w:val="313131"/>
          <w:sz w:val="24"/>
          <w:szCs w:val="24"/>
          <w:lang w:eastAsia="en-AU"/>
        </w:rPr>
        <w:t xml:space="preserve">review found that the reporting presented by the </w:t>
      </w:r>
      <w:r>
        <w:rPr>
          <w:rFonts w:ascii="Segoe UI" w:eastAsia="Times New Roman" w:hAnsi="Segoe UI" w:cs="Segoe UI"/>
          <w:color w:val="313131"/>
          <w:sz w:val="24"/>
          <w:szCs w:val="24"/>
          <w:lang w:eastAsia="en-AU"/>
        </w:rPr>
        <w:t>managing contractor</w:t>
      </w:r>
      <w:r w:rsidRPr="0093274A">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was</w:t>
      </w:r>
      <w:r w:rsidRPr="0093274A">
        <w:rPr>
          <w:rFonts w:ascii="Segoe UI" w:eastAsia="Times New Roman" w:hAnsi="Segoe UI" w:cs="Segoe UI"/>
          <w:color w:val="313131"/>
          <w:sz w:val="24"/>
          <w:szCs w:val="24"/>
          <w:lang w:eastAsia="en-AU"/>
        </w:rPr>
        <w:t xml:space="preserve"> accurate.</w:t>
      </w:r>
      <w:r>
        <w:rPr>
          <w:rFonts w:ascii="Segoe UI" w:eastAsia="Times New Roman" w:hAnsi="Segoe UI" w:cs="Segoe UI"/>
          <w:color w:val="313131"/>
          <w:sz w:val="24"/>
          <w:szCs w:val="24"/>
          <w:lang w:eastAsia="en-AU"/>
        </w:rPr>
        <w:t xml:space="preserve"> </w:t>
      </w:r>
      <w:r w:rsidR="0001058E">
        <w:rPr>
          <w:rFonts w:ascii="Segoe UI" w:eastAsia="Times New Roman" w:hAnsi="Segoe UI" w:cs="Segoe UI"/>
          <w:color w:val="313131"/>
          <w:sz w:val="24"/>
          <w:szCs w:val="24"/>
          <w:lang w:eastAsia="en-AU"/>
        </w:rPr>
        <w:t>However,</w:t>
      </w:r>
      <w:r>
        <w:rPr>
          <w:rFonts w:ascii="Segoe UI" w:eastAsia="Times New Roman" w:hAnsi="Segoe UI" w:cs="Segoe UI"/>
          <w:color w:val="313131"/>
          <w:sz w:val="24"/>
          <w:szCs w:val="24"/>
          <w:lang w:eastAsia="en-AU"/>
        </w:rPr>
        <w:t xml:space="preserve"> w</w:t>
      </w:r>
      <w:r w:rsidRPr="0000557A">
        <w:rPr>
          <w:rFonts w:ascii="Segoe UI" w:eastAsia="Times New Roman" w:hAnsi="Segoe UI" w:cs="Segoe UI"/>
          <w:color w:val="313131"/>
          <w:sz w:val="24"/>
          <w:szCs w:val="24"/>
          <w:lang w:eastAsia="en-AU"/>
        </w:rPr>
        <w:t xml:space="preserve">hile progress was made towards key result areas, the absence of systematic aggregation of development results from the partnerships created </w:t>
      </w:r>
      <w:r w:rsidR="00D27353">
        <w:rPr>
          <w:rFonts w:ascii="Segoe UI" w:eastAsia="Times New Roman" w:hAnsi="Segoe UI" w:cs="Segoe UI"/>
          <w:color w:val="313131"/>
          <w:sz w:val="24"/>
          <w:szCs w:val="24"/>
          <w:lang w:eastAsia="en-AU"/>
        </w:rPr>
        <w:t>a</w:t>
      </w:r>
      <w:r w:rsidR="0001058E">
        <w:rPr>
          <w:rFonts w:ascii="Segoe UI" w:eastAsia="Times New Roman" w:hAnsi="Segoe UI" w:cs="Segoe UI"/>
          <w:color w:val="313131"/>
          <w:sz w:val="24"/>
          <w:szCs w:val="24"/>
          <w:lang w:eastAsia="en-AU"/>
        </w:rPr>
        <w:t xml:space="preserve"> reporting </w:t>
      </w:r>
      <w:r w:rsidRPr="0000557A">
        <w:rPr>
          <w:rFonts w:ascii="Segoe UI" w:eastAsia="Times New Roman" w:hAnsi="Segoe UI" w:cs="Segoe UI"/>
          <w:color w:val="313131"/>
          <w:sz w:val="24"/>
          <w:szCs w:val="24"/>
          <w:lang w:eastAsia="en-AU"/>
        </w:rPr>
        <w:t>gap for PAGP as a whole.</w:t>
      </w:r>
    </w:p>
    <w:p w14:paraId="20DDE1E9" w14:textId="77777777" w:rsidR="00791E3A" w:rsidRDefault="00791E3A" w:rsidP="00791E3A">
      <w:pPr>
        <w:shd w:val="clear" w:color="auto" w:fill="FFFFFF"/>
        <w:spacing w:after="0" w:line="240" w:lineRule="auto"/>
        <w:outlineLvl w:val="1"/>
        <w:rPr>
          <w:rFonts w:ascii="Segoe UI" w:eastAsia="Times New Roman" w:hAnsi="Segoe UI" w:cs="Segoe UI"/>
          <w:color w:val="313131"/>
          <w:sz w:val="24"/>
          <w:szCs w:val="24"/>
          <w:lang w:eastAsia="en-AU"/>
        </w:rPr>
      </w:pPr>
    </w:p>
    <w:p w14:paraId="7B307318" w14:textId="4EA249EF" w:rsidR="00791E3A" w:rsidRDefault="00791E3A" w:rsidP="00791E3A">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It also concluded that cost-saving and coordinated support </w:t>
      </w:r>
      <w:r w:rsidRPr="00BB2090">
        <w:rPr>
          <w:rFonts w:ascii="Segoe UI" w:eastAsia="Times New Roman" w:hAnsi="Segoe UI" w:cs="Segoe UI"/>
          <w:color w:val="313131"/>
          <w:sz w:val="24"/>
          <w:szCs w:val="24"/>
          <w:lang w:eastAsia="en-AU"/>
        </w:rPr>
        <w:t>measures put in place</w:t>
      </w:r>
      <w:r>
        <w:rPr>
          <w:rFonts w:ascii="Segoe UI" w:eastAsia="Times New Roman" w:hAnsi="Segoe UI" w:cs="Segoe UI"/>
          <w:color w:val="313131"/>
          <w:sz w:val="24"/>
          <w:szCs w:val="24"/>
          <w:lang w:eastAsia="en-AU"/>
        </w:rPr>
        <w:t xml:space="preserve"> by the managing contractor</w:t>
      </w:r>
      <w:r w:rsidRPr="00BB2090">
        <w:rPr>
          <w:rFonts w:ascii="Segoe UI" w:eastAsia="Times New Roman" w:hAnsi="Segoe UI" w:cs="Segoe UI"/>
          <w:color w:val="313131"/>
          <w:sz w:val="24"/>
          <w:szCs w:val="24"/>
          <w:lang w:eastAsia="en-AU"/>
        </w:rPr>
        <w:t xml:space="preserve"> delivered </w:t>
      </w:r>
      <w:r>
        <w:rPr>
          <w:rFonts w:ascii="Segoe UI" w:eastAsia="Times New Roman" w:hAnsi="Segoe UI" w:cs="Segoe UI"/>
          <w:color w:val="313131"/>
          <w:sz w:val="24"/>
          <w:szCs w:val="24"/>
          <w:lang w:eastAsia="en-AU"/>
        </w:rPr>
        <w:t>value for money</w:t>
      </w:r>
      <w:r w:rsidRPr="00BB2090">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 xml:space="preserve">however </w:t>
      </w:r>
      <w:r w:rsidRPr="00BB2090">
        <w:rPr>
          <w:rFonts w:ascii="Segoe UI" w:eastAsia="Times New Roman" w:hAnsi="Segoe UI" w:cs="Segoe UI"/>
          <w:color w:val="313131"/>
          <w:sz w:val="24"/>
          <w:szCs w:val="24"/>
          <w:lang w:eastAsia="en-AU"/>
        </w:rPr>
        <w:t xml:space="preserve">the </w:t>
      </w:r>
      <w:r>
        <w:rPr>
          <w:rFonts w:ascii="Segoe UI" w:eastAsia="Times New Roman" w:hAnsi="Segoe UI" w:cs="Segoe UI"/>
          <w:color w:val="313131"/>
          <w:sz w:val="24"/>
          <w:szCs w:val="24"/>
          <w:lang w:eastAsia="en-AU"/>
        </w:rPr>
        <w:t>available data</w:t>
      </w:r>
      <w:r w:rsidRPr="00BB2090">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was</w:t>
      </w:r>
      <w:r w:rsidRPr="00BB2090">
        <w:rPr>
          <w:rFonts w:ascii="Segoe UI" w:eastAsia="Times New Roman" w:hAnsi="Segoe UI" w:cs="Segoe UI"/>
          <w:color w:val="313131"/>
          <w:sz w:val="24"/>
          <w:szCs w:val="24"/>
          <w:lang w:eastAsia="en-AU"/>
        </w:rPr>
        <w:t xml:space="preserve"> not sufficiently detailed to support that conclusion strongly</w:t>
      </w:r>
      <w:r>
        <w:rPr>
          <w:rFonts w:ascii="Segoe UI" w:eastAsia="Times New Roman" w:hAnsi="Segoe UI" w:cs="Segoe UI"/>
          <w:color w:val="313131"/>
          <w:sz w:val="24"/>
          <w:szCs w:val="24"/>
          <w:lang w:eastAsia="en-AU"/>
        </w:rPr>
        <w:t xml:space="preserve"> – particularly around the identified savings of AUD61.2 million. Developing a simple and fit for purpose value-for-money framework aligning with DFAT’s value-for-money </w:t>
      </w:r>
      <w:r w:rsidR="004E1AD4">
        <w:rPr>
          <w:rFonts w:ascii="Segoe UI" w:eastAsia="Times New Roman" w:hAnsi="Segoe UI" w:cs="Segoe UI"/>
          <w:color w:val="313131"/>
          <w:sz w:val="24"/>
          <w:szCs w:val="24"/>
          <w:lang w:eastAsia="en-AU"/>
        </w:rPr>
        <w:t>p</w:t>
      </w:r>
      <w:r>
        <w:rPr>
          <w:rFonts w:ascii="Segoe UI" w:eastAsia="Times New Roman" w:hAnsi="Segoe UI" w:cs="Segoe UI"/>
          <w:color w:val="313131"/>
          <w:sz w:val="24"/>
          <w:szCs w:val="24"/>
          <w:lang w:eastAsia="en-AU"/>
        </w:rPr>
        <w:t>rinciples may have helped to clarify these results in greater depth prior to the closure of PAGP.</w:t>
      </w:r>
    </w:p>
    <w:p w14:paraId="0CBC5C8E" w14:textId="77777777" w:rsidR="00791E3A" w:rsidRDefault="00791E3A" w:rsidP="00791E3A">
      <w:pPr>
        <w:shd w:val="clear" w:color="auto" w:fill="FFFFFF"/>
        <w:spacing w:after="0" w:line="240" w:lineRule="auto"/>
        <w:outlineLvl w:val="1"/>
        <w:rPr>
          <w:rFonts w:ascii="Segoe UI" w:eastAsia="Times New Roman" w:hAnsi="Segoe UI" w:cs="Segoe UI"/>
          <w:color w:val="313131"/>
          <w:sz w:val="24"/>
          <w:szCs w:val="24"/>
          <w:lang w:eastAsia="en-AU"/>
        </w:rPr>
      </w:pPr>
    </w:p>
    <w:p w14:paraId="1A07B7BA" w14:textId="1C2034B5" w:rsidR="00791E3A" w:rsidRPr="00B6743B" w:rsidRDefault="00791E3A"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In supporting the COVID-19 response in PNG, the reviewers noted t</w:t>
      </w:r>
      <w:r w:rsidRPr="00624DF1">
        <w:rPr>
          <w:rFonts w:ascii="Segoe UI" w:eastAsia="Times New Roman" w:hAnsi="Segoe UI" w:cs="Segoe UI"/>
          <w:color w:val="313131"/>
          <w:sz w:val="24"/>
          <w:szCs w:val="24"/>
          <w:lang w:eastAsia="en-AU"/>
        </w:rPr>
        <w:t xml:space="preserve">he relevance and effectiveness of PAGP in terms of both tangible development outcomes and in demonstrating the value of the institutional structures, systems, and social capital built </w:t>
      </w:r>
      <w:r>
        <w:rPr>
          <w:rFonts w:ascii="Segoe UI" w:eastAsia="Times New Roman" w:hAnsi="Segoe UI" w:cs="Segoe UI"/>
          <w:color w:val="313131"/>
          <w:sz w:val="24"/>
          <w:szCs w:val="24"/>
          <w:lang w:eastAsia="en-AU"/>
        </w:rPr>
        <w:t>across the various program components.</w:t>
      </w:r>
    </w:p>
    <w:p w14:paraId="47DDE108" w14:textId="41E57008" w:rsidR="004A5292" w:rsidRDefault="00AA2C97" w:rsidP="00B6743B">
      <w:pPr>
        <w:pStyle w:val="Heading2"/>
      </w:pPr>
      <w:r>
        <w:t>Review a</w:t>
      </w:r>
      <w:r w:rsidR="004A5292">
        <w:t>pproach</w:t>
      </w:r>
    </w:p>
    <w:p w14:paraId="0BE2477C" w14:textId="050228EF" w:rsidR="00AA2C97" w:rsidRDefault="0077248D" w:rsidP="0077248D">
      <w:pPr>
        <w:shd w:val="clear" w:color="auto" w:fill="FFFFFF"/>
        <w:spacing w:after="0" w:line="240" w:lineRule="auto"/>
        <w:outlineLvl w:val="1"/>
        <w:rPr>
          <w:rFonts w:ascii="Segoe UI" w:eastAsia="Times New Roman" w:hAnsi="Segoe UI" w:cs="Segoe UI"/>
          <w:color w:val="313131"/>
          <w:sz w:val="24"/>
          <w:szCs w:val="24"/>
          <w:lang w:eastAsia="en-AU"/>
        </w:rPr>
      </w:pPr>
      <w:r w:rsidRPr="00575898">
        <w:rPr>
          <w:rFonts w:ascii="Segoe UI" w:eastAsia="Times New Roman" w:hAnsi="Segoe UI" w:cs="Segoe UI"/>
          <w:color w:val="313131"/>
          <w:sz w:val="24"/>
          <w:szCs w:val="24"/>
          <w:lang w:eastAsia="en-AU"/>
        </w:rPr>
        <w:t>The review was conducted by the Quality and Technical Assurance Group (QTAG) between October 2021 and April 2022</w:t>
      </w:r>
      <w:r w:rsidR="006D262F" w:rsidRPr="006D262F">
        <w:rPr>
          <w:rFonts w:ascii="Segoe UI" w:eastAsia="Times New Roman" w:hAnsi="Segoe UI" w:cs="Segoe UI"/>
          <w:color w:val="313131"/>
          <w:sz w:val="24"/>
          <w:szCs w:val="24"/>
          <w:lang w:eastAsia="en-AU"/>
        </w:rPr>
        <w:t xml:space="preserve"> to provide an independent assessment of the evidence of achievement against the </w:t>
      </w:r>
      <w:r w:rsidR="006D262F">
        <w:rPr>
          <w:rFonts w:ascii="Segoe UI" w:eastAsia="Times New Roman" w:hAnsi="Segoe UI" w:cs="Segoe UI"/>
          <w:color w:val="313131"/>
          <w:sz w:val="24"/>
          <w:szCs w:val="24"/>
          <w:lang w:eastAsia="en-AU"/>
        </w:rPr>
        <w:t xml:space="preserve">three </w:t>
      </w:r>
      <w:r w:rsidR="006D262F" w:rsidRPr="006D262F">
        <w:rPr>
          <w:rFonts w:ascii="Segoe UI" w:eastAsia="Times New Roman" w:hAnsi="Segoe UI" w:cs="Segoe UI"/>
          <w:color w:val="313131"/>
          <w:sz w:val="24"/>
          <w:szCs w:val="24"/>
          <w:lang w:eastAsia="en-AU"/>
        </w:rPr>
        <w:t>PAGP outcome</w:t>
      </w:r>
      <w:r w:rsidR="006D262F">
        <w:rPr>
          <w:rFonts w:ascii="Segoe UI" w:eastAsia="Times New Roman" w:hAnsi="Segoe UI" w:cs="Segoe UI"/>
          <w:color w:val="313131"/>
          <w:sz w:val="24"/>
          <w:szCs w:val="24"/>
          <w:lang w:eastAsia="en-AU"/>
        </w:rPr>
        <w:t xml:space="preserve"> areas.</w:t>
      </w:r>
      <w:r w:rsidR="003B75B1">
        <w:rPr>
          <w:rFonts w:ascii="Segoe UI" w:eastAsia="Times New Roman" w:hAnsi="Segoe UI" w:cs="Segoe UI"/>
          <w:color w:val="313131"/>
          <w:sz w:val="24"/>
          <w:szCs w:val="24"/>
          <w:lang w:eastAsia="en-AU"/>
        </w:rPr>
        <w:t xml:space="preserve"> </w:t>
      </w:r>
      <w:r w:rsidR="00AA2C97">
        <w:rPr>
          <w:rFonts w:ascii="Segoe UI" w:eastAsia="Times New Roman" w:hAnsi="Segoe UI" w:cs="Segoe UI"/>
          <w:color w:val="313131"/>
          <w:sz w:val="24"/>
          <w:szCs w:val="24"/>
          <w:lang w:eastAsia="en-AU"/>
        </w:rPr>
        <w:t xml:space="preserve">The QTAG </w:t>
      </w:r>
      <w:r w:rsidR="00811313">
        <w:rPr>
          <w:rFonts w:ascii="Segoe UI" w:eastAsia="Times New Roman" w:hAnsi="Segoe UI" w:cs="Segoe UI"/>
          <w:color w:val="313131"/>
          <w:sz w:val="24"/>
          <w:szCs w:val="24"/>
          <w:lang w:eastAsia="en-AU"/>
        </w:rPr>
        <w:t>is currently contracted by DFAT to provide monitoring and evaluation services for governance and law &amp; justice programming for the Australian aid program in PNG.</w:t>
      </w:r>
    </w:p>
    <w:p w14:paraId="75E111BF" w14:textId="77777777" w:rsidR="00AA2C97" w:rsidRDefault="00AA2C97" w:rsidP="0077248D">
      <w:pPr>
        <w:shd w:val="clear" w:color="auto" w:fill="FFFFFF"/>
        <w:spacing w:after="0" w:line="240" w:lineRule="auto"/>
        <w:outlineLvl w:val="1"/>
        <w:rPr>
          <w:rFonts w:ascii="Segoe UI" w:eastAsia="Times New Roman" w:hAnsi="Segoe UI" w:cs="Segoe UI"/>
          <w:color w:val="313131"/>
          <w:sz w:val="24"/>
          <w:szCs w:val="24"/>
          <w:lang w:eastAsia="en-AU"/>
        </w:rPr>
      </w:pPr>
    </w:p>
    <w:p w14:paraId="28DB59E2" w14:textId="52B96000" w:rsidR="0077248D" w:rsidRDefault="003B75B1" w:rsidP="0077248D">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While the</w:t>
      </w:r>
      <w:r w:rsidRPr="003B75B1">
        <w:rPr>
          <w:rFonts w:ascii="Segoe UI" w:eastAsia="Times New Roman" w:hAnsi="Segoe UI" w:cs="Segoe UI"/>
          <w:color w:val="313131"/>
          <w:sz w:val="24"/>
          <w:szCs w:val="24"/>
          <w:lang w:eastAsia="en-AU"/>
        </w:rPr>
        <w:t xml:space="preserve"> review focuses on the period between April 2019 and March 2022</w:t>
      </w:r>
      <w:r>
        <w:rPr>
          <w:rFonts w:ascii="Segoe UI" w:eastAsia="Times New Roman" w:hAnsi="Segoe UI" w:cs="Segoe UI"/>
          <w:color w:val="313131"/>
          <w:sz w:val="24"/>
          <w:szCs w:val="24"/>
          <w:lang w:eastAsia="en-AU"/>
        </w:rPr>
        <w:t xml:space="preserve">, it </w:t>
      </w:r>
      <w:r w:rsidR="00AA2C97">
        <w:rPr>
          <w:rFonts w:ascii="Segoe UI" w:eastAsia="Times New Roman" w:hAnsi="Segoe UI" w:cs="Segoe UI"/>
          <w:color w:val="313131"/>
          <w:sz w:val="24"/>
          <w:szCs w:val="24"/>
          <w:lang w:eastAsia="en-AU"/>
        </w:rPr>
        <w:t>takes a broader perspective on the overall legacy, learnings and effectiveness of the inves</w:t>
      </w:r>
      <w:r w:rsidR="0021066F">
        <w:rPr>
          <w:rFonts w:ascii="Segoe UI" w:eastAsia="Times New Roman" w:hAnsi="Segoe UI" w:cs="Segoe UI"/>
          <w:color w:val="313131"/>
          <w:sz w:val="24"/>
          <w:szCs w:val="24"/>
          <w:lang w:eastAsia="en-AU"/>
        </w:rPr>
        <w:t>t</w:t>
      </w:r>
      <w:r w:rsidR="00AA2C97">
        <w:rPr>
          <w:rFonts w:ascii="Segoe UI" w:eastAsia="Times New Roman" w:hAnsi="Segoe UI" w:cs="Segoe UI"/>
          <w:color w:val="313131"/>
          <w:sz w:val="24"/>
          <w:szCs w:val="24"/>
          <w:lang w:eastAsia="en-AU"/>
        </w:rPr>
        <w:t>ment</w:t>
      </w:r>
      <w:r w:rsidRPr="003B75B1">
        <w:rPr>
          <w:rFonts w:ascii="Segoe UI" w:eastAsia="Times New Roman" w:hAnsi="Segoe UI" w:cs="Segoe UI"/>
          <w:color w:val="313131"/>
          <w:sz w:val="24"/>
          <w:szCs w:val="24"/>
          <w:lang w:eastAsia="en-AU"/>
        </w:rPr>
        <w:t xml:space="preserve">. It </w:t>
      </w:r>
      <w:r w:rsidR="00AA2C97">
        <w:rPr>
          <w:rFonts w:ascii="Segoe UI" w:eastAsia="Times New Roman" w:hAnsi="Segoe UI" w:cs="Segoe UI"/>
          <w:color w:val="313131"/>
          <w:sz w:val="24"/>
          <w:szCs w:val="24"/>
          <w:lang w:eastAsia="en-AU"/>
        </w:rPr>
        <w:t xml:space="preserve">also </w:t>
      </w:r>
      <w:r w:rsidRPr="003B75B1">
        <w:rPr>
          <w:rFonts w:ascii="Segoe UI" w:eastAsia="Times New Roman" w:hAnsi="Segoe UI" w:cs="Segoe UI"/>
          <w:color w:val="313131"/>
          <w:sz w:val="24"/>
          <w:szCs w:val="24"/>
          <w:lang w:eastAsia="en-AU"/>
        </w:rPr>
        <w:t>incorporate</w:t>
      </w:r>
      <w:r w:rsidR="002D6856">
        <w:rPr>
          <w:rFonts w:ascii="Segoe UI" w:eastAsia="Times New Roman" w:hAnsi="Segoe UI" w:cs="Segoe UI"/>
          <w:color w:val="313131"/>
          <w:sz w:val="24"/>
          <w:szCs w:val="24"/>
          <w:lang w:eastAsia="en-AU"/>
        </w:rPr>
        <w:t>d</w:t>
      </w:r>
      <w:r w:rsidRPr="003B75B1">
        <w:rPr>
          <w:rFonts w:ascii="Segoe UI" w:eastAsia="Times New Roman" w:hAnsi="Segoe UI" w:cs="Segoe UI"/>
          <w:color w:val="313131"/>
          <w:sz w:val="24"/>
          <w:szCs w:val="24"/>
          <w:lang w:eastAsia="en-AU"/>
        </w:rPr>
        <w:t xml:space="preserve"> two deep dives: one on gender equality, disability, and social inclusion (GEDSI) and one on the impact of COVID-19.  </w:t>
      </w:r>
    </w:p>
    <w:p w14:paraId="79A0CCBD" w14:textId="77777777" w:rsidR="0077248D" w:rsidRDefault="0077248D"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505B401B" w14:textId="453D8E68" w:rsidR="000B6731" w:rsidRDefault="00F80273"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Phase 1 involved a </w:t>
      </w:r>
      <w:r w:rsidR="00671806">
        <w:rPr>
          <w:rFonts w:ascii="Segoe UI" w:eastAsia="Times New Roman" w:hAnsi="Segoe UI" w:cs="Segoe UI"/>
          <w:color w:val="313131"/>
          <w:sz w:val="24"/>
          <w:szCs w:val="24"/>
          <w:lang w:eastAsia="en-AU"/>
        </w:rPr>
        <w:t xml:space="preserve">remote-based </w:t>
      </w:r>
      <w:r w:rsidR="00837D39">
        <w:rPr>
          <w:rFonts w:ascii="Segoe UI" w:eastAsia="Times New Roman" w:hAnsi="Segoe UI" w:cs="Segoe UI"/>
          <w:color w:val="313131"/>
          <w:sz w:val="24"/>
          <w:szCs w:val="24"/>
          <w:lang w:eastAsia="en-AU"/>
        </w:rPr>
        <w:t xml:space="preserve">document review and initial </w:t>
      </w:r>
      <w:r w:rsidR="00271BCF">
        <w:rPr>
          <w:rFonts w:ascii="Segoe UI" w:eastAsia="Times New Roman" w:hAnsi="Segoe UI" w:cs="Segoe UI"/>
          <w:color w:val="313131"/>
          <w:sz w:val="24"/>
          <w:szCs w:val="24"/>
          <w:lang w:eastAsia="en-AU"/>
        </w:rPr>
        <w:t>consultations with DFAT and the managing contractor</w:t>
      </w:r>
      <w:r w:rsidR="00547DB9">
        <w:rPr>
          <w:rFonts w:ascii="Segoe UI" w:eastAsia="Times New Roman" w:hAnsi="Segoe UI" w:cs="Segoe UI"/>
          <w:color w:val="313131"/>
          <w:sz w:val="24"/>
          <w:szCs w:val="24"/>
          <w:lang w:eastAsia="en-AU"/>
        </w:rPr>
        <w:t xml:space="preserve"> to identify key areas of focus across the program. Under Phase</w:t>
      </w:r>
      <w:r w:rsidR="00974E57">
        <w:rPr>
          <w:rFonts w:ascii="Segoe UI" w:eastAsia="Times New Roman" w:hAnsi="Segoe UI" w:cs="Segoe UI"/>
          <w:color w:val="313131"/>
          <w:sz w:val="24"/>
          <w:szCs w:val="24"/>
          <w:lang w:eastAsia="en-AU"/>
        </w:rPr>
        <w:t> </w:t>
      </w:r>
      <w:r w:rsidR="00547DB9">
        <w:rPr>
          <w:rFonts w:ascii="Segoe UI" w:eastAsia="Times New Roman" w:hAnsi="Segoe UI" w:cs="Segoe UI"/>
          <w:color w:val="313131"/>
          <w:sz w:val="24"/>
          <w:szCs w:val="24"/>
          <w:lang w:eastAsia="en-AU"/>
        </w:rPr>
        <w:t>2, a</w:t>
      </w:r>
      <w:r w:rsidR="000B6731" w:rsidRPr="000B6731">
        <w:rPr>
          <w:rFonts w:ascii="Segoe UI" w:eastAsia="Times New Roman" w:hAnsi="Segoe UI" w:cs="Segoe UI"/>
          <w:color w:val="313131"/>
          <w:sz w:val="24"/>
          <w:szCs w:val="24"/>
          <w:lang w:eastAsia="en-AU"/>
        </w:rPr>
        <w:t xml:space="preserve"> selection of development results</w:t>
      </w:r>
      <w:r w:rsidR="00547DB9">
        <w:rPr>
          <w:rFonts w:ascii="Segoe UI" w:eastAsia="Times New Roman" w:hAnsi="Segoe UI" w:cs="Segoe UI"/>
          <w:color w:val="313131"/>
          <w:sz w:val="24"/>
          <w:szCs w:val="24"/>
          <w:lang w:eastAsia="en-AU"/>
        </w:rPr>
        <w:t xml:space="preserve"> from </w:t>
      </w:r>
      <w:r w:rsidR="0081034D">
        <w:rPr>
          <w:rFonts w:ascii="Segoe UI" w:eastAsia="Times New Roman" w:hAnsi="Segoe UI" w:cs="Segoe UI"/>
          <w:color w:val="313131"/>
          <w:sz w:val="24"/>
          <w:szCs w:val="24"/>
          <w:lang w:eastAsia="en-AU"/>
        </w:rPr>
        <w:t>final reporting</w:t>
      </w:r>
      <w:r w:rsidR="000B6731" w:rsidRPr="000B6731">
        <w:rPr>
          <w:rFonts w:ascii="Segoe UI" w:eastAsia="Times New Roman" w:hAnsi="Segoe UI" w:cs="Segoe UI"/>
          <w:color w:val="313131"/>
          <w:sz w:val="24"/>
          <w:szCs w:val="24"/>
          <w:lang w:eastAsia="en-AU"/>
        </w:rPr>
        <w:t xml:space="preserve"> </w:t>
      </w:r>
      <w:r w:rsidR="0081034D">
        <w:rPr>
          <w:rFonts w:ascii="Segoe UI" w:eastAsia="Times New Roman" w:hAnsi="Segoe UI" w:cs="Segoe UI"/>
          <w:color w:val="313131"/>
          <w:sz w:val="24"/>
          <w:szCs w:val="24"/>
          <w:lang w:eastAsia="en-AU"/>
        </w:rPr>
        <w:t xml:space="preserve">and evidence collected from </w:t>
      </w:r>
      <w:r w:rsidR="003A32AA">
        <w:rPr>
          <w:rFonts w:ascii="Segoe UI" w:eastAsia="Times New Roman" w:hAnsi="Segoe UI" w:cs="Segoe UI"/>
          <w:color w:val="313131"/>
          <w:sz w:val="24"/>
          <w:szCs w:val="24"/>
          <w:lang w:eastAsia="en-AU"/>
        </w:rPr>
        <w:t xml:space="preserve">program and independent sources </w:t>
      </w:r>
      <w:r w:rsidR="00547DB9">
        <w:rPr>
          <w:rFonts w:ascii="Segoe UI" w:eastAsia="Times New Roman" w:hAnsi="Segoe UI" w:cs="Segoe UI"/>
          <w:color w:val="313131"/>
          <w:sz w:val="24"/>
          <w:szCs w:val="24"/>
          <w:lang w:eastAsia="en-AU"/>
        </w:rPr>
        <w:t>were then</w:t>
      </w:r>
      <w:r w:rsidR="000B6731" w:rsidRPr="000B6731">
        <w:rPr>
          <w:rFonts w:ascii="Segoe UI" w:eastAsia="Times New Roman" w:hAnsi="Segoe UI" w:cs="Segoe UI"/>
          <w:color w:val="313131"/>
          <w:sz w:val="24"/>
          <w:szCs w:val="24"/>
          <w:lang w:eastAsia="en-AU"/>
        </w:rPr>
        <w:t xml:space="preserve"> analysed and presented as mini-case studies</w:t>
      </w:r>
      <w:r w:rsidR="0081034D">
        <w:rPr>
          <w:rFonts w:ascii="Segoe UI" w:eastAsia="Times New Roman" w:hAnsi="Segoe UI" w:cs="Segoe UI"/>
          <w:color w:val="313131"/>
          <w:sz w:val="24"/>
          <w:szCs w:val="24"/>
          <w:lang w:eastAsia="en-AU"/>
        </w:rPr>
        <w:t xml:space="preserve"> and deep dives</w:t>
      </w:r>
      <w:r w:rsidR="000B6731" w:rsidRPr="000B6731">
        <w:rPr>
          <w:rFonts w:ascii="Segoe UI" w:eastAsia="Times New Roman" w:hAnsi="Segoe UI" w:cs="Segoe UI"/>
          <w:color w:val="313131"/>
          <w:sz w:val="24"/>
          <w:szCs w:val="24"/>
          <w:lang w:eastAsia="en-AU"/>
        </w:rPr>
        <w:t xml:space="preserve">. This approach does not address all performance assessment framework (PAF) indicators, but rather provides a range of evidence from which to assess the accuracy of reporting by the </w:t>
      </w:r>
      <w:r>
        <w:rPr>
          <w:rFonts w:ascii="Segoe UI" w:eastAsia="Times New Roman" w:hAnsi="Segoe UI" w:cs="Segoe UI"/>
          <w:color w:val="313131"/>
          <w:sz w:val="24"/>
          <w:szCs w:val="24"/>
          <w:lang w:eastAsia="en-AU"/>
        </w:rPr>
        <w:t>managing contractor.</w:t>
      </w:r>
    </w:p>
    <w:p w14:paraId="4F79AF51" w14:textId="77777777" w:rsidR="005B2BF6" w:rsidRDefault="005B2BF6"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2B94AB10" w14:textId="77777777" w:rsidR="00B6743B" w:rsidRDefault="00010007"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Presentation</w:t>
      </w:r>
      <w:r w:rsidR="0093274A">
        <w:rPr>
          <w:rFonts w:ascii="Segoe UI" w:eastAsia="Times New Roman" w:hAnsi="Segoe UI" w:cs="Segoe UI"/>
          <w:color w:val="313131"/>
          <w:sz w:val="24"/>
          <w:szCs w:val="24"/>
          <w:lang w:eastAsia="en-AU"/>
        </w:rPr>
        <w:t>s</w:t>
      </w:r>
      <w:r>
        <w:rPr>
          <w:rFonts w:ascii="Segoe UI" w:eastAsia="Times New Roman" w:hAnsi="Segoe UI" w:cs="Segoe UI"/>
          <w:color w:val="313131"/>
          <w:sz w:val="24"/>
          <w:szCs w:val="24"/>
          <w:lang w:eastAsia="en-AU"/>
        </w:rPr>
        <w:t xml:space="preserve"> of </w:t>
      </w:r>
      <w:r w:rsidR="0093274A">
        <w:rPr>
          <w:rFonts w:ascii="Segoe UI" w:eastAsia="Times New Roman" w:hAnsi="Segoe UI" w:cs="Segoe UI"/>
          <w:color w:val="313131"/>
          <w:sz w:val="24"/>
          <w:szCs w:val="24"/>
          <w:lang w:eastAsia="en-AU"/>
        </w:rPr>
        <w:t xml:space="preserve">the Review Phase 1 </w:t>
      </w:r>
      <w:r>
        <w:rPr>
          <w:rFonts w:ascii="Segoe UI" w:eastAsia="Times New Roman" w:hAnsi="Segoe UI" w:cs="Segoe UI"/>
          <w:color w:val="313131"/>
          <w:sz w:val="24"/>
          <w:szCs w:val="24"/>
          <w:lang w:eastAsia="en-AU"/>
        </w:rPr>
        <w:t xml:space="preserve">Aid Memoire and </w:t>
      </w:r>
      <w:r w:rsidR="0093274A">
        <w:rPr>
          <w:rFonts w:ascii="Segoe UI" w:eastAsia="Times New Roman" w:hAnsi="Segoe UI" w:cs="Segoe UI"/>
          <w:color w:val="313131"/>
          <w:sz w:val="24"/>
          <w:szCs w:val="24"/>
          <w:lang w:eastAsia="en-AU"/>
        </w:rPr>
        <w:t xml:space="preserve">Review Phase 2 </w:t>
      </w:r>
      <w:r>
        <w:rPr>
          <w:rFonts w:ascii="Segoe UI" w:eastAsia="Times New Roman" w:hAnsi="Segoe UI" w:cs="Segoe UI"/>
          <w:color w:val="313131"/>
          <w:sz w:val="24"/>
          <w:szCs w:val="24"/>
          <w:lang w:eastAsia="en-AU"/>
        </w:rPr>
        <w:t xml:space="preserve">findings </w:t>
      </w:r>
      <w:r w:rsidR="0093274A">
        <w:rPr>
          <w:rFonts w:ascii="Segoe UI" w:eastAsia="Times New Roman" w:hAnsi="Segoe UI" w:cs="Segoe UI"/>
          <w:color w:val="313131"/>
          <w:sz w:val="24"/>
          <w:szCs w:val="24"/>
          <w:lang w:eastAsia="en-AU"/>
        </w:rPr>
        <w:t>were provided to various</w:t>
      </w:r>
      <w:r>
        <w:rPr>
          <w:rFonts w:ascii="Segoe UI" w:eastAsia="Times New Roman" w:hAnsi="Segoe UI" w:cs="Segoe UI"/>
          <w:color w:val="313131"/>
          <w:sz w:val="24"/>
          <w:szCs w:val="24"/>
          <w:lang w:eastAsia="en-AU"/>
        </w:rPr>
        <w:t xml:space="preserve"> DFAT teams </w:t>
      </w:r>
      <w:r w:rsidR="0093274A">
        <w:rPr>
          <w:rFonts w:ascii="Segoe UI" w:eastAsia="Times New Roman" w:hAnsi="Segoe UI" w:cs="Segoe UI"/>
          <w:color w:val="313131"/>
          <w:sz w:val="24"/>
          <w:szCs w:val="24"/>
          <w:lang w:eastAsia="en-AU"/>
        </w:rPr>
        <w:t>(in Canberra and Port Moresby) and the PNG Department of National Planning and Monitoring.</w:t>
      </w:r>
    </w:p>
    <w:p w14:paraId="75A6E71F" w14:textId="6FE126A6" w:rsidR="00F5120E" w:rsidRDefault="0066632B" w:rsidP="00B6743B">
      <w:pPr>
        <w:pStyle w:val="Heading2"/>
      </w:pPr>
      <w:r>
        <w:lastRenderedPageBreak/>
        <w:t>DFAT management learnings</w:t>
      </w:r>
      <w:r w:rsidR="00712266">
        <w:t xml:space="preserve"> from PAGP</w:t>
      </w:r>
    </w:p>
    <w:p w14:paraId="186BAEA0" w14:textId="38E1E41F" w:rsidR="0066632B" w:rsidRDefault="00133FE9"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To support effective</w:t>
      </w:r>
      <w:r w:rsidR="001445AB">
        <w:rPr>
          <w:rFonts w:ascii="Segoe UI" w:eastAsia="Times New Roman" w:hAnsi="Segoe UI" w:cs="Segoe UI"/>
          <w:color w:val="313131"/>
          <w:sz w:val="24"/>
          <w:szCs w:val="24"/>
          <w:lang w:eastAsia="en-AU"/>
        </w:rPr>
        <w:t xml:space="preserve"> outcomes</w:t>
      </w:r>
      <w:r>
        <w:rPr>
          <w:rFonts w:ascii="Segoe UI" w:eastAsia="Times New Roman" w:hAnsi="Segoe UI" w:cs="Segoe UI"/>
          <w:color w:val="313131"/>
          <w:sz w:val="24"/>
          <w:szCs w:val="24"/>
          <w:lang w:eastAsia="en-AU"/>
        </w:rPr>
        <w:t xml:space="preserve"> </w:t>
      </w:r>
      <w:r w:rsidR="003973A7">
        <w:rPr>
          <w:rFonts w:ascii="Segoe UI" w:eastAsia="Times New Roman" w:hAnsi="Segoe UI" w:cs="Segoe UI"/>
          <w:color w:val="313131"/>
          <w:sz w:val="24"/>
          <w:szCs w:val="24"/>
          <w:lang w:eastAsia="en-AU"/>
        </w:rPr>
        <w:t xml:space="preserve">and </w:t>
      </w:r>
      <w:r w:rsidR="001445AB">
        <w:rPr>
          <w:rFonts w:ascii="Segoe UI" w:eastAsia="Times New Roman" w:hAnsi="Segoe UI" w:cs="Segoe UI"/>
          <w:color w:val="313131"/>
          <w:sz w:val="24"/>
          <w:szCs w:val="24"/>
          <w:lang w:eastAsia="en-AU"/>
        </w:rPr>
        <w:t>impact</w:t>
      </w:r>
      <w:r w:rsidR="003973A7">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DFAT considers that t</w:t>
      </w:r>
      <w:r w:rsidR="00B36852" w:rsidRPr="00B36852">
        <w:rPr>
          <w:rFonts w:ascii="Segoe UI" w:eastAsia="Times New Roman" w:hAnsi="Segoe UI" w:cs="Segoe UI"/>
          <w:color w:val="313131"/>
          <w:sz w:val="24"/>
          <w:szCs w:val="24"/>
          <w:lang w:eastAsia="en-AU"/>
        </w:rPr>
        <w:t>he level of ambition on GEDSI should be clear</w:t>
      </w:r>
      <w:r w:rsidR="00974E57">
        <w:rPr>
          <w:rFonts w:ascii="Segoe UI" w:eastAsia="Times New Roman" w:hAnsi="Segoe UI" w:cs="Segoe UI"/>
          <w:color w:val="313131"/>
          <w:sz w:val="24"/>
          <w:szCs w:val="24"/>
          <w:lang w:eastAsia="en-AU"/>
        </w:rPr>
        <w:t xml:space="preserve"> </w:t>
      </w:r>
      <w:r w:rsidR="00B36852" w:rsidRPr="00B36852">
        <w:rPr>
          <w:rFonts w:ascii="Segoe UI" w:eastAsia="Times New Roman" w:hAnsi="Segoe UI" w:cs="Segoe UI"/>
          <w:color w:val="313131"/>
          <w:sz w:val="24"/>
          <w:szCs w:val="24"/>
          <w:lang w:eastAsia="en-AU"/>
        </w:rPr>
        <w:t>in program design</w:t>
      </w:r>
      <w:r w:rsidR="001257BD">
        <w:rPr>
          <w:rFonts w:ascii="Segoe UI" w:eastAsia="Times New Roman" w:hAnsi="Segoe UI" w:cs="Segoe UI"/>
          <w:color w:val="313131"/>
          <w:sz w:val="24"/>
          <w:szCs w:val="24"/>
          <w:lang w:eastAsia="en-AU"/>
        </w:rPr>
        <w:t>s</w:t>
      </w:r>
      <w:r w:rsidR="00B36852" w:rsidRPr="00B36852">
        <w:rPr>
          <w:rFonts w:ascii="Segoe UI" w:eastAsia="Times New Roman" w:hAnsi="Segoe UI" w:cs="Segoe UI"/>
          <w:color w:val="313131"/>
          <w:sz w:val="24"/>
          <w:szCs w:val="24"/>
          <w:lang w:eastAsia="en-AU"/>
        </w:rPr>
        <w:t xml:space="preserve"> and integrated into MEL frameworks from commencement.</w:t>
      </w:r>
      <w:r w:rsidR="00974E57">
        <w:rPr>
          <w:rFonts w:ascii="Segoe UI" w:eastAsia="Times New Roman" w:hAnsi="Segoe UI" w:cs="Segoe UI"/>
          <w:color w:val="313131"/>
          <w:sz w:val="24"/>
          <w:szCs w:val="24"/>
          <w:lang w:eastAsia="en-AU"/>
        </w:rPr>
        <w:t xml:space="preserve"> I</w:t>
      </w:r>
      <w:r w:rsidR="00F03DBF">
        <w:rPr>
          <w:rFonts w:ascii="Segoe UI" w:eastAsia="Times New Roman" w:hAnsi="Segoe UI" w:cs="Segoe UI"/>
          <w:color w:val="313131"/>
          <w:sz w:val="24"/>
          <w:szCs w:val="24"/>
          <w:lang w:eastAsia="en-AU"/>
        </w:rPr>
        <w:t xml:space="preserve">t took at least two years </w:t>
      </w:r>
      <w:r w:rsidR="00E030BC">
        <w:rPr>
          <w:rFonts w:ascii="Segoe UI" w:eastAsia="Times New Roman" w:hAnsi="Segoe UI" w:cs="Segoe UI"/>
          <w:color w:val="313131"/>
          <w:sz w:val="24"/>
          <w:szCs w:val="24"/>
          <w:lang w:eastAsia="en-AU"/>
        </w:rPr>
        <w:t xml:space="preserve">for </w:t>
      </w:r>
      <w:r w:rsidR="001445AB">
        <w:rPr>
          <w:rFonts w:ascii="Segoe UI" w:eastAsia="Times New Roman" w:hAnsi="Segoe UI" w:cs="Segoe UI"/>
          <w:color w:val="313131"/>
          <w:sz w:val="24"/>
          <w:szCs w:val="24"/>
          <w:lang w:eastAsia="en-AU"/>
        </w:rPr>
        <w:t xml:space="preserve">appropriate </w:t>
      </w:r>
      <w:r w:rsidR="00974E57" w:rsidRPr="00B36852">
        <w:rPr>
          <w:rFonts w:ascii="Segoe UI" w:eastAsia="Times New Roman" w:hAnsi="Segoe UI" w:cs="Segoe UI"/>
          <w:color w:val="313131"/>
          <w:sz w:val="24"/>
          <w:szCs w:val="24"/>
          <w:lang w:eastAsia="en-AU"/>
        </w:rPr>
        <w:t xml:space="preserve">GEDSI </w:t>
      </w:r>
      <w:r w:rsidR="001445AB">
        <w:rPr>
          <w:rFonts w:ascii="Segoe UI" w:eastAsia="Times New Roman" w:hAnsi="Segoe UI" w:cs="Segoe UI"/>
          <w:color w:val="313131"/>
          <w:sz w:val="24"/>
          <w:szCs w:val="24"/>
          <w:lang w:eastAsia="en-AU"/>
        </w:rPr>
        <w:t>prioritisation</w:t>
      </w:r>
      <w:r w:rsidR="00671806">
        <w:rPr>
          <w:rFonts w:ascii="Segoe UI" w:eastAsia="Times New Roman" w:hAnsi="Segoe UI" w:cs="Segoe UI"/>
          <w:color w:val="313131"/>
          <w:sz w:val="24"/>
          <w:szCs w:val="24"/>
          <w:lang w:eastAsia="en-AU"/>
        </w:rPr>
        <w:t xml:space="preserve"> under the PAGP, resulting in missed opportunities</w:t>
      </w:r>
      <w:r w:rsidR="00974E57">
        <w:rPr>
          <w:rFonts w:ascii="Segoe UI" w:eastAsia="Times New Roman" w:hAnsi="Segoe UI" w:cs="Segoe UI"/>
          <w:color w:val="313131"/>
          <w:sz w:val="24"/>
          <w:szCs w:val="24"/>
          <w:lang w:eastAsia="en-AU"/>
        </w:rPr>
        <w:t xml:space="preserve">. </w:t>
      </w:r>
      <w:r w:rsidR="00671806">
        <w:rPr>
          <w:rFonts w:ascii="Segoe UI" w:eastAsia="Times New Roman" w:hAnsi="Segoe UI" w:cs="Segoe UI"/>
          <w:color w:val="313131"/>
          <w:sz w:val="24"/>
          <w:szCs w:val="24"/>
          <w:lang w:eastAsia="en-AU"/>
        </w:rPr>
        <w:t xml:space="preserve">Resourcing </w:t>
      </w:r>
      <w:r w:rsidR="00974E57">
        <w:rPr>
          <w:rFonts w:ascii="Segoe UI" w:eastAsia="Times New Roman" w:hAnsi="Segoe UI" w:cs="Segoe UI"/>
          <w:color w:val="313131"/>
          <w:sz w:val="24"/>
          <w:szCs w:val="24"/>
          <w:lang w:eastAsia="en-AU"/>
        </w:rPr>
        <w:t>should be compl</w:t>
      </w:r>
      <w:r w:rsidR="004E1AD4">
        <w:rPr>
          <w:rFonts w:ascii="Segoe UI" w:eastAsia="Times New Roman" w:hAnsi="Segoe UI" w:cs="Segoe UI"/>
          <w:color w:val="313131"/>
          <w:sz w:val="24"/>
          <w:szCs w:val="24"/>
          <w:lang w:eastAsia="en-AU"/>
        </w:rPr>
        <w:t>e</w:t>
      </w:r>
      <w:r w:rsidR="00974E57">
        <w:rPr>
          <w:rFonts w:ascii="Segoe UI" w:eastAsia="Times New Roman" w:hAnsi="Segoe UI" w:cs="Segoe UI"/>
          <w:color w:val="313131"/>
          <w:sz w:val="24"/>
          <w:szCs w:val="24"/>
          <w:lang w:eastAsia="en-AU"/>
        </w:rPr>
        <w:t xml:space="preserve">mented </w:t>
      </w:r>
      <w:r w:rsidR="001445AB">
        <w:rPr>
          <w:rFonts w:ascii="Segoe UI" w:eastAsia="Times New Roman" w:hAnsi="Segoe UI" w:cs="Segoe UI"/>
          <w:color w:val="313131"/>
          <w:sz w:val="24"/>
          <w:szCs w:val="24"/>
          <w:lang w:eastAsia="en-AU"/>
        </w:rPr>
        <w:t>by</w:t>
      </w:r>
      <w:r w:rsidR="00E030BC">
        <w:rPr>
          <w:rFonts w:ascii="Segoe UI" w:eastAsia="Times New Roman" w:hAnsi="Segoe UI" w:cs="Segoe UI"/>
          <w:color w:val="313131"/>
          <w:sz w:val="24"/>
          <w:szCs w:val="24"/>
          <w:lang w:eastAsia="en-AU"/>
        </w:rPr>
        <w:t xml:space="preserve"> </w:t>
      </w:r>
      <w:r w:rsidR="005C7ABE">
        <w:rPr>
          <w:rFonts w:ascii="Segoe UI" w:eastAsia="Times New Roman" w:hAnsi="Segoe UI" w:cs="Segoe UI"/>
          <w:color w:val="313131"/>
          <w:sz w:val="24"/>
          <w:szCs w:val="24"/>
          <w:lang w:eastAsia="en-AU"/>
        </w:rPr>
        <w:t xml:space="preserve">baseline assessments, </w:t>
      </w:r>
      <w:r w:rsidR="00974E57">
        <w:rPr>
          <w:rFonts w:ascii="Segoe UI" w:eastAsia="Times New Roman" w:hAnsi="Segoe UI" w:cs="Segoe UI"/>
          <w:color w:val="313131"/>
          <w:sz w:val="24"/>
          <w:szCs w:val="24"/>
          <w:lang w:eastAsia="en-AU"/>
        </w:rPr>
        <w:t xml:space="preserve">development of a </w:t>
      </w:r>
      <w:r w:rsidR="00E030BC">
        <w:rPr>
          <w:rFonts w:ascii="Segoe UI" w:eastAsia="Times New Roman" w:hAnsi="Segoe UI" w:cs="Segoe UI"/>
          <w:color w:val="313131"/>
          <w:sz w:val="24"/>
          <w:szCs w:val="24"/>
          <w:lang w:eastAsia="en-AU"/>
        </w:rPr>
        <w:t xml:space="preserve">GEDSI strategy </w:t>
      </w:r>
      <w:r w:rsidR="00671806">
        <w:rPr>
          <w:rFonts w:ascii="Segoe UI" w:eastAsia="Times New Roman" w:hAnsi="Segoe UI" w:cs="Segoe UI"/>
          <w:color w:val="313131"/>
          <w:sz w:val="24"/>
          <w:szCs w:val="24"/>
          <w:lang w:eastAsia="en-AU"/>
        </w:rPr>
        <w:t xml:space="preserve">and </w:t>
      </w:r>
      <w:r w:rsidR="00974E57">
        <w:rPr>
          <w:rFonts w:ascii="Segoe UI" w:eastAsia="Times New Roman" w:hAnsi="Segoe UI" w:cs="Segoe UI"/>
          <w:color w:val="313131"/>
          <w:sz w:val="24"/>
          <w:szCs w:val="24"/>
          <w:lang w:eastAsia="en-AU"/>
        </w:rPr>
        <w:t>GEDSI-</w:t>
      </w:r>
      <w:r w:rsidR="00556A1C">
        <w:rPr>
          <w:rFonts w:ascii="Segoe UI" w:eastAsia="Times New Roman" w:hAnsi="Segoe UI" w:cs="Segoe UI"/>
          <w:color w:val="313131"/>
          <w:sz w:val="24"/>
          <w:szCs w:val="24"/>
          <w:lang w:eastAsia="en-AU"/>
        </w:rPr>
        <w:t>principal</w:t>
      </w:r>
      <w:r w:rsidR="00974E57">
        <w:rPr>
          <w:rFonts w:ascii="Segoe UI" w:eastAsia="Times New Roman" w:hAnsi="Segoe UI" w:cs="Segoe UI"/>
          <w:color w:val="313131"/>
          <w:sz w:val="24"/>
          <w:szCs w:val="24"/>
          <w:lang w:eastAsia="en-AU"/>
        </w:rPr>
        <w:t xml:space="preserve"> programming</w:t>
      </w:r>
      <w:r w:rsidR="001445AB">
        <w:rPr>
          <w:rFonts w:ascii="Segoe UI" w:eastAsia="Times New Roman" w:hAnsi="Segoe UI" w:cs="Segoe UI"/>
          <w:color w:val="313131"/>
          <w:sz w:val="24"/>
          <w:szCs w:val="24"/>
          <w:lang w:eastAsia="en-AU"/>
        </w:rPr>
        <w:t>.</w:t>
      </w:r>
    </w:p>
    <w:p w14:paraId="6D8DF4F5" w14:textId="79FB4925" w:rsidR="00E44979" w:rsidRDefault="00E44979"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3832113E" w14:textId="419E8468" w:rsidR="00E44979" w:rsidRDefault="00090F92"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In response to COVID-19, the </w:t>
      </w:r>
      <w:r w:rsidR="002D07CC">
        <w:rPr>
          <w:rFonts w:ascii="Segoe UI" w:eastAsia="Times New Roman" w:hAnsi="Segoe UI" w:cs="Segoe UI"/>
          <w:color w:val="313131"/>
          <w:sz w:val="24"/>
          <w:szCs w:val="24"/>
          <w:lang w:eastAsia="en-AU"/>
        </w:rPr>
        <w:t>PAGP</w:t>
      </w:r>
      <w:r>
        <w:rPr>
          <w:rFonts w:ascii="Segoe UI" w:eastAsia="Times New Roman" w:hAnsi="Segoe UI" w:cs="Segoe UI"/>
          <w:color w:val="313131"/>
          <w:sz w:val="24"/>
          <w:szCs w:val="24"/>
          <w:lang w:eastAsia="en-AU"/>
        </w:rPr>
        <w:t xml:space="preserve"> </w:t>
      </w:r>
      <w:r w:rsidR="002D07CC">
        <w:rPr>
          <w:rFonts w:ascii="Segoe UI" w:eastAsia="Times New Roman" w:hAnsi="Segoe UI" w:cs="Segoe UI"/>
          <w:color w:val="313131"/>
          <w:sz w:val="24"/>
          <w:szCs w:val="24"/>
          <w:lang w:eastAsia="en-AU"/>
        </w:rPr>
        <w:t xml:space="preserve">demonstrated </w:t>
      </w:r>
      <w:r w:rsidR="00B706D7">
        <w:rPr>
          <w:rFonts w:ascii="Segoe UI" w:eastAsia="Times New Roman" w:hAnsi="Segoe UI" w:cs="Segoe UI"/>
          <w:color w:val="313131"/>
          <w:sz w:val="24"/>
          <w:szCs w:val="24"/>
          <w:lang w:eastAsia="en-AU"/>
        </w:rPr>
        <w:t>highly responsive</w:t>
      </w:r>
      <w:r w:rsidR="00AC5CFC">
        <w:rPr>
          <w:rFonts w:ascii="Segoe UI" w:eastAsia="Times New Roman" w:hAnsi="Segoe UI" w:cs="Segoe UI"/>
          <w:color w:val="313131"/>
          <w:sz w:val="24"/>
          <w:szCs w:val="24"/>
          <w:lang w:eastAsia="en-AU"/>
        </w:rPr>
        <w:t xml:space="preserve"> programmin</w:t>
      </w:r>
      <w:r>
        <w:rPr>
          <w:rFonts w:ascii="Segoe UI" w:eastAsia="Times New Roman" w:hAnsi="Segoe UI" w:cs="Segoe UI"/>
          <w:color w:val="313131"/>
          <w:sz w:val="24"/>
          <w:szCs w:val="24"/>
          <w:lang w:eastAsia="en-AU"/>
        </w:rPr>
        <w:t>g</w:t>
      </w:r>
      <w:r w:rsidR="00974E57">
        <w:rPr>
          <w:rFonts w:ascii="Segoe UI" w:eastAsia="Times New Roman" w:hAnsi="Segoe UI" w:cs="Segoe UI"/>
          <w:color w:val="313131"/>
          <w:sz w:val="24"/>
          <w:szCs w:val="24"/>
          <w:lang w:eastAsia="en-AU"/>
        </w:rPr>
        <w:t xml:space="preserve"> that was able to </w:t>
      </w:r>
      <w:r>
        <w:rPr>
          <w:rFonts w:ascii="Segoe UI" w:eastAsia="Times New Roman" w:hAnsi="Segoe UI" w:cs="Segoe UI"/>
          <w:color w:val="313131"/>
          <w:sz w:val="24"/>
          <w:szCs w:val="24"/>
          <w:lang w:eastAsia="en-AU"/>
        </w:rPr>
        <w:t xml:space="preserve">leverage a </w:t>
      </w:r>
      <w:r w:rsidR="00B706D7">
        <w:rPr>
          <w:rFonts w:ascii="Segoe UI" w:eastAsia="Times New Roman" w:hAnsi="Segoe UI" w:cs="Segoe UI"/>
          <w:color w:val="313131"/>
          <w:sz w:val="24"/>
          <w:szCs w:val="24"/>
          <w:lang w:eastAsia="en-AU"/>
        </w:rPr>
        <w:t>breadth of partners</w:t>
      </w:r>
      <w:r>
        <w:rPr>
          <w:rFonts w:ascii="Segoe UI" w:eastAsia="Times New Roman" w:hAnsi="Segoe UI" w:cs="Segoe UI"/>
          <w:color w:val="313131"/>
          <w:sz w:val="24"/>
          <w:szCs w:val="24"/>
          <w:lang w:eastAsia="en-AU"/>
        </w:rPr>
        <w:t xml:space="preserve"> and external </w:t>
      </w:r>
      <w:r w:rsidR="00AC5CFC">
        <w:rPr>
          <w:rFonts w:ascii="Segoe UI" w:eastAsia="Times New Roman" w:hAnsi="Segoe UI" w:cs="Segoe UI"/>
          <w:color w:val="313131"/>
          <w:sz w:val="24"/>
          <w:szCs w:val="24"/>
          <w:lang w:eastAsia="en-AU"/>
        </w:rPr>
        <w:t>contacts</w:t>
      </w:r>
      <w:r w:rsidR="00B706D7">
        <w:rPr>
          <w:rFonts w:ascii="Segoe UI" w:eastAsia="Times New Roman" w:hAnsi="Segoe UI" w:cs="Segoe UI"/>
          <w:color w:val="313131"/>
          <w:sz w:val="24"/>
          <w:szCs w:val="24"/>
          <w:lang w:eastAsia="en-AU"/>
        </w:rPr>
        <w:t xml:space="preserve">, </w:t>
      </w:r>
      <w:r w:rsidR="001257BD">
        <w:rPr>
          <w:rFonts w:ascii="Segoe UI" w:eastAsia="Times New Roman" w:hAnsi="Segoe UI" w:cs="Segoe UI"/>
          <w:color w:val="313131"/>
          <w:sz w:val="24"/>
          <w:szCs w:val="24"/>
          <w:lang w:eastAsia="en-AU"/>
        </w:rPr>
        <w:t xml:space="preserve">and </w:t>
      </w:r>
      <w:r w:rsidR="00AC5CFC">
        <w:rPr>
          <w:rFonts w:ascii="Segoe UI" w:eastAsia="Times New Roman" w:hAnsi="Segoe UI" w:cs="Segoe UI"/>
          <w:color w:val="313131"/>
          <w:sz w:val="24"/>
          <w:szCs w:val="24"/>
          <w:lang w:eastAsia="en-AU"/>
        </w:rPr>
        <w:t xml:space="preserve">adaptive work arrangements (across </w:t>
      </w:r>
      <w:r w:rsidR="00974E57">
        <w:rPr>
          <w:rFonts w:ascii="Segoe UI" w:eastAsia="Times New Roman" w:hAnsi="Segoe UI" w:cs="Segoe UI"/>
          <w:color w:val="313131"/>
          <w:sz w:val="24"/>
          <w:szCs w:val="24"/>
          <w:lang w:eastAsia="en-AU"/>
        </w:rPr>
        <w:t xml:space="preserve">programs and </w:t>
      </w:r>
      <w:r w:rsidR="00AC5CFC">
        <w:rPr>
          <w:rFonts w:ascii="Segoe UI" w:eastAsia="Times New Roman" w:hAnsi="Segoe UI" w:cs="Segoe UI"/>
          <w:color w:val="313131"/>
          <w:sz w:val="24"/>
          <w:szCs w:val="24"/>
          <w:lang w:eastAsia="en-AU"/>
        </w:rPr>
        <w:t>remote</w:t>
      </w:r>
      <w:r w:rsidR="00974E57">
        <w:rPr>
          <w:rFonts w:ascii="Segoe UI" w:eastAsia="Times New Roman" w:hAnsi="Segoe UI" w:cs="Segoe UI"/>
          <w:color w:val="313131"/>
          <w:sz w:val="24"/>
          <w:szCs w:val="24"/>
          <w:lang w:eastAsia="en-AU"/>
        </w:rPr>
        <w:t xml:space="preserve"> arrangements</w:t>
      </w:r>
      <w:r w:rsidR="00AC5CFC">
        <w:rPr>
          <w:rFonts w:ascii="Segoe UI" w:eastAsia="Times New Roman" w:hAnsi="Segoe UI" w:cs="Segoe UI"/>
          <w:color w:val="313131"/>
          <w:sz w:val="24"/>
          <w:szCs w:val="24"/>
          <w:lang w:eastAsia="en-AU"/>
        </w:rPr>
        <w:t>)</w:t>
      </w:r>
      <w:r w:rsidR="00E70422">
        <w:rPr>
          <w:rFonts w:ascii="Segoe UI" w:eastAsia="Times New Roman" w:hAnsi="Segoe UI" w:cs="Segoe UI"/>
          <w:color w:val="313131"/>
          <w:sz w:val="24"/>
          <w:szCs w:val="24"/>
          <w:lang w:eastAsia="en-AU"/>
        </w:rPr>
        <w:t>.</w:t>
      </w:r>
      <w:r w:rsidR="001257BD">
        <w:rPr>
          <w:rFonts w:ascii="Segoe UI" w:eastAsia="Times New Roman" w:hAnsi="Segoe UI" w:cs="Segoe UI"/>
          <w:color w:val="313131"/>
          <w:sz w:val="24"/>
          <w:szCs w:val="24"/>
          <w:lang w:eastAsia="en-AU"/>
        </w:rPr>
        <w:t xml:space="preserve"> DFAT concurs wit</w:t>
      </w:r>
      <w:r w:rsidR="005D1C3F">
        <w:rPr>
          <w:rFonts w:ascii="Segoe UI" w:eastAsia="Times New Roman" w:hAnsi="Segoe UI" w:cs="Segoe UI"/>
          <w:color w:val="313131"/>
          <w:sz w:val="24"/>
          <w:szCs w:val="24"/>
          <w:lang w:eastAsia="en-AU"/>
        </w:rPr>
        <w:t xml:space="preserve">h the reviewer’s assessment that the strength of individual partnerships </w:t>
      </w:r>
      <w:r w:rsidR="00D206A9">
        <w:rPr>
          <w:rFonts w:ascii="Segoe UI" w:eastAsia="Times New Roman" w:hAnsi="Segoe UI" w:cs="Segoe UI"/>
          <w:color w:val="313131"/>
          <w:sz w:val="24"/>
          <w:szCs w:val="24"/>
          <w:lang w:eastAsia="en-AU"/>
        </w:rPr>
        <w:t>enabled strong understanding of the needs of government counterparts, while a broad</w:t>
      </w:r>
      <w:r w:rsidR="00EE5EE2">
        <w:rPr>
          <w:rFonts w:ascii="Segoe UI" w:eastAsia="Times New Roman" w:hAnsi="Segoe UI" w:cs="Segoe UI"/>
          <w:color w:val="313131"/>
          <w:sz w:val="24"/>
          <w:szCs w:val="24"/>
          <w:lang w:eastAsia="en-AU"/>
        </w:rPr>
        <w:t xml:space="preserve">er ‘flex’ across </w:t>
      </w:r>
      <w:r w:rsidR="00F52081">
        <w:rPr>
          <w:rFonts w:ascii="Segoe UI" w:eastAsia="Times New Roman" w:hAnsi="Segoe UI" w:cs="Segoe UI"/>
          <w:color w:val="313131"/>
          <w:sz w:val="24"/>
          <w:szCs w:val="24"/>
          <w:lang w:eastAsia="en-AU"/>
        </w:rPr>
        <w:t>PAGP</w:t>
      </w:r>
      <w:r w:rsidR="00EE5EE2">
        <w:rPr>
          <w:rFonts w:ascii="Segoe UI" w:eastAsia="Times New Roman" w:hAnsi="Segoe UI" w:cs="Segoe UI"/>
          <w:color w:val="313131"/>
          <w:sz w:val="24"/>
          <w:szCs w:val="24"/>
          <w:lang w:eastAsia="en-AU"/>
        </w:rPr>
        <w:t xml:space="preserve"> components </w:t>
      </w:r>
      <w:r w:rsidR="00CC423B">
        <w:rPr>
          <w:rFonts w:ascii="Segoe UI" w:eastAsia="Times New Roman" w:hAnsi="Segoe UI" w:cs="Segoe UI"/>
          <w:color w:val="313131"/>
          <w:sz w:val="24"/>
          <w:szCs w:val="24"/>
          <w:lang w:eastAsia="en-AU"/>
        </w:rPr>
        <w:t>was occurring in parallel</w:t>
      </w:r>
      <w:r w:rsidR="00050181">
        <w:rPr>
          <w:rFonts w:ascii="Segoe UI" w:eastAsia="Times New Roman" w:hAnsi="Segoe UI" w:cs="Segoe UI"/>
          <w:color w:val="313131"/>
          <w:sz w:val="24"/>
          <w:szCs w:val="24"/>
          <w:lang w:eastAsia="en-AU"/>
        </w:rPr>
        <w:t xml:space="preserve"> to </w:t>
      </w:r>
      <w:r w:rsidR="00F52081">
        <w:rPr>
          <w:rFonts w:ascii="Segoe UI" w:eastAsia="Times New Roman" w:hAnsi="Segoe UI" w:cs="Segoe UI"/>
          <w:color w:val="313131"/>
          <w:sz w:val="24"/>
          <w:szCs w:val="24"/>
          <w:lang w:eastAsia="en-AU"/>
        </w:rPr>
        <w:t xml:space="preserve">effectively resource </w:t>
      </w:r>
      <w:r w:rsidR="00974E57">
        <w:rPr>
          <w:rFonts w:ascii="Segoe UI" w:eastAsia="Times New Roman" w:hAnsi="Segoe UI" w:cs="Segoe UI"/>
          <w:color w:val="313131"/>
          <w:sz w:val="24"/>
          <w:szCs w:val="24"/>
          <w:lang w:eastAsia="en-AU"/>
        </w:rPr>
        <w:t xml:space="preserve">the overall investment </w:t>
      </w:r>
      <w:r w:rsidR="00F52081">
        <w:rPr>
          <w:rFonts w:ascii="Segoe UI" w:eastAsia="Times New Roman" w:hAnsi="Segoe UI" w:cs="Segoe UI"/>
          <w:color w:val="313131"/>
          <w:sz w:val="24"/>
          <w:szCs w:val="24"/>
          <w:lang w:eastAsia="en-AU"/>
        </w:rPr>
        <w:t xml:space="preserve">contributions to </w:t>
      </w:r>
      <w:r w:rsidR="00974E57">
        <w:rPr>
          <w:rFonts w:ascii="Segoe UI" w:eastAsia="Times New Roman" w:hAnsi="Segoe UI" w:cs="Segoe UI"/>
          <w:color w:val="313131"/>
          <w:sz w:val="24"/>
          <w:szCs w:val="24"/>
          <w:lang w:eastAsia="en-AU"/>
        </w:rPr>
        <w:t>supporting the Government of PNG (</w:t>
      </w:r>
      <w:proofErr w:type="spellStart"/>
      <w:r w:rsidR="00974E57">
        <w:rPr>
          <w:rFonts w:ascii="Segoe UI" w:eastAsia="Times New Roman" w:hAnsi="Segoe UI" w:cs="Segoe UI"/>
          <w:color w:val="313131"/>
          <w:sz w:val="24"/>
          <w:szCs w:val="24"/>
          <w:lang w:eastAsia="en-AU"/>
        </w:rPr>
        <w:t>GoPNG</w:t>
      </w:r>
      <w:proofErr w:type="spellEnd"/>
      <w:r w:rsidR="00974E57">
        <w:rPr>
          <w:rFonts w:ascii="Segoe UI" w:eastAsia="Times New Roman" w:hAnsi="Segoe UI" w:cs="Segoe UI"/>
          <w:color w:val="313131"/>
          <w:sz w:val="24"/>
          <w:szCs w:val="24"/>
          <w:lang w:eastAsia="en-AU"/>
        </w:rPr>
        <w:t xml:space="preserve">) </w:t>
      </w:r>
      <w:r w:rsidR="00F52081">
        <w:rPr>
          <w:rFonts w:ascii="Segoe UI" w:eastAsia="Times New Roman" w:hAnsi="Segoe UI" w:cs="Segoe UI"/>
          <w:color w:val="313131"/>
          <w:sz w:val="24"/>
          <w:szCs w:val="24"/>
          <w:lang w:eastAsia="en-AU"/>
        </w:rPr>
        <w:t>COVID-19 response</w:t>
      </w:r>
      <w:r w:rsidR="00D206A9">
        <w:rPr>
          <w:rFonts w:ascii="Segoe UI" w:eastAsia="Times New Roman" w:hAnsi="Segoe UI" w:cs="Segoe UI"/>
          <w:color w:val="313131"/>
          <w:sz w:val="24"/>
          <w:szCs w:val="24"/>
          <w:lang w:eastAsia="en-AU"/>
        </w:rPr>
        <w:t>.</w:t>
      </w:r>
      <w:r w:rsidR="00E70422">
        <w:rPr>
          <w:rFonts w:ascii="Segoe UI" w:eastAsia="Times New Roman" w:hAnsi="Segoe UI" w:cs="Segoe UI"/>
          <w:color w:val="313131"/>
          <w:sz w:val="24"/>
          <w:szCs w:val="24"/>
          <w:lang w:eastAsia="en-AU"/>
        </w:rPr>
        <w:t xml:space="preserve"> </w:t>
      </w:r>
      <w:r w:rsidR="008D0344">
        <w:rPr>
          <w:rFonts w:ascii="Segoe UI" w:eastAsia="Times New Roman" w:hAnsi="Segoe UI" w:cs="Segoe UI"/>
          <w:color w:val="313131"/>
          <w:sz w:val="24"/>
          <w:szCs w:val="24"/>
          <w:lang w:eastAsia="en-AU"/>
        </w:rPr>
        <w:t xml:space="preserve"> </w:t>
      </w:r>
    </w:p>
    <w:p w14:paraId="16775237" w14:textId="7A99C62B" w:rsidR="00236378" w:rsidRDefault="00236378"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67D89499" w14:textId="3EC163D8" w:rsidR="0066632B" w:rsidRPr="00B6743B" w:rsidRDefault="0092565A"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Overall, </w:t>
      </w:r>
      <w:r w:rsidR="00974E57">
        <w:rPr>
          <w:rFonts w:ascii="Segoe UI" w:eastAsia="Times New Roman" w:hAnsi="Segoe UI" w:cs="Segoe UI"/>
          <w:color w:val="313131"/>
          <w:sz w:val="24"/>
          <w:szCs w:val="24"/>
          <w:lang w:eastAsia="en-AU"/>
        </w:rPr>
        <w:t>however</w:t>
      </w:r>
      <w:r w:rsidR="001E3B7B">
        <w:rPr>
          <w:rFonts w:ascii="Segoe UI" w:eastAsia="Times New Roman" w:hAnsi="Segoe UI" w:cs="Segoe UI"/>
          <w:color w:val="313131"/>
          <w:sz w:val="24"/>
          <w:szCs w:val="24"/>
          <w:lang w:eastAsia="en-AU"/>
        </w:rPr>
        <w:t>,</w:t>
      </w:r>
      <w:r w:rsidR="00974E57">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it was considered that the PAGP resulted in m</w:t>
      </w:r>
      <w:r w:rsidR="00236378">
        <w:rPr>
          <w:rFonts w:ascii="Segoe UI" w:eastAsia="Times New Roman" w:hAnsi="Segoe UI" w:cs="Segoe UI"/>
          <w:color w:val="313131"/>
          <w:sz w:val="24"/>
          <w:szCs w:val="24"/>
          <w:lang w:eastAsia="en-AU"/>
        </w:rPr>
        <w:t xml:space="preserve">inimal </w:t>
      </w:r>
      <w:r w:rsidR="00AC5CFC">
        <w:rPr>
          <w:rFonts w:ascii="Segoe UI" w:eastAsia="Times New Roman" w:hAnsi="Segoe UI" w:cs="Segoe UI"/>
          <w:color w:val="313131"/>
          <w:sz w:val="24"/>
          <w:szCs w:val="24"/>
          <w:lang w:eastAsia="en-AU"/>
        </w:rPr>
        <w:t xml:space="preserve">management </w:t>
      </w:r>
      <w:r w:rsidR="00236378">
        <w:rPr>
          <w:rFonts w:ascii="Segoe UI" w:eastAsia="Times New Roman" w:hAnsi="Segoe UI" w:cs="Segoe UI"/>
          <w:color w:val="313131"/>
          <w:sz w:val="24"/>
          <w:szCs w:val="24"/>
          <w:lang w:eastAsia="en-AU"/>
        </w:rPr>
        <w:t xml:space="preserve">efficiencies for </w:t>
      </w:r>
      <w:r w:rsidR="0001058E">
        <w:rPr>
          <w:rFonts w:ascii="Segoe UI" w:eastAsia="Times New Roman" w:hAnsi="Segoe UI" w:cs="Segoe UI"/>
          <w:color w:val="313131"/>
          <w:sz w:val="24"/>
          <w:szCs w:val="24"/>
          <w:lang w:eastAsia="en-AU"/>
        </w:rPr>
        <w:t>DFAT</w:t>
      </w:r>
      <w:r w:rsidR="003254ED">
        <w:rPr>
          <w:rFonts w:ascii="Segoe UI" w:eastAsia="Times New Roman" w:hAnsi="Segoe UI" w:cs="Segoe UI"/>
          <w:color w:val="313131"/>
          <w:sz w:val="24"/>
          <w:szCs w:val="24"/>
          <w:lang w:eastAsia="en-AU"/>
        </w:rPr>
        <w:t>, with various governance arrangements</w:t>
      </w:r>
      <w:r w:rsidR="002F1680">
        <w:rPr>
          <w:rFonts w:ascii="Segoe UI" w:eastAsia="Times New Roman" w:hAnsi="Segoe UI" w:cs="Segoe UI"/>
          <w:color w:val="313131"/>
          <w:sz w:val="24"/>
          <w:szCs w:val="24"/>
          <w:lang w:eastAsia="en-AU"/>
        </w:rPr>
        <w:t xml:space="preserve"> overlapping</w:t>
      </w:r>
      <w:r w:rsidR="00974E57">
        <w:rPr>
          <w:rFonts w:ascii="Segoe UI" w:eastAsia="Times New Roman" w:hAnsi="Segoe UI" w:cs="Segoe UI"/>
          <w:color w:val="313131"/>
          <w:sz w:val="24"/>
          <w:szCs w:val="24"/>
          <w:lang w:eastAsia="en-AU"/>
        </w:rPr>
        <w:t xml:space="preserve">, which was </w:t>
      </w:r>
      <w:r w:rsidR="003254ED">
        <w:rPr>
          <w:rFonts w:ascii="Segoe UI" w:eastAsia="Times New Roman" w:hAnsi="Segoe UI" w:cs="Segoe UI"/>
          <w:color w:val="313131"/>
          <w:sz w:val="24"/>
          <w:szCs w:val="24"/>
          <w:lang w:eastAsia="en-AU"/>
        </w:rPr>
        <w:t>confusing for external partners at times</w:t>
      </w:r>
      <w:r w:rsidR="0009536D">
        <w:rPr>
          <w:rFonts w:ascii="Segoe UI" w:eastAsia="Times New Roman" w:hAnsi="Segoe UI" w:cs="Segoe UI"/>
          <w:color w:val="313131"/>
          <w:sz w:val="24"/>
          <w:szCs w:val="24"/>
          <w:lang w:eastAsia="en-AU"/>
        </w:rPr>
        <w:t xml:space="preserve">. </w:t>
      </w:r>
      <w:r w:rsidR="003254ED">
        <w:rPr>
          <w:rFonts w:ascii="Segoe UI" w:eastAsia="Times New Roman" w:hAnsi="Segoe UI" w:cs="Segoe UI"/>
          <w:color w:val="313131"/>
          <w:sz w:val="24"/>
          <w:szCs w:val="24"/>
          <w:lang w:eastAsia="en-AU"/>
        </w:rPr>
        <w:t xml:space="preserve">A </w:t>
      </w:r>
      <w:r w:rsidR="00B96CE4" w:rsidRPr="00B96CE4">
        <w:rPr>
          <w:rFonts w:ascii="Segoe UI" w:eastAsia="Times New Roman" w:hAnsi="Segoe UI" w:cs="Segoe UI"/>
          <w:color w:val="313131"/>
          <w:sz w:val="24"/>
          <w:szCs w:val="24"/>
          <w:lang w:eastAsia="en-AU"/>
        </w:rPr>
        <w:t>central point</w:t>
      </w:r>
      <w:r w:rsidR="003254ED">
        <w:rPr>
          <w:rFonts w:ascii="Segoe UI" w:eastAsia="Times New Roman" w:hAnsi="Segoe UI" w:cs="Segoe UI"/>
          <w:color w:val="313131"/>
          <w:sz w:val="24"/>
          <w:szCs w:val="24"/>
          <w:lang w:eastAsia="en-AU"/>
        </w:rPr>
        <w:t xml:space="preserve"> of contact</w:t>
      </w:r>
      <w:r w:rsidR="00B96CE4" w:rsidRPr="00B96CE4">
        <w:rPr>
          <w:rFonts w:ascii="Segoe UI" w:eastAsia="Times New Roman" w:hAnsi="Segoe UI" w:cs="Segoe UI"/>
          <w:color w:val="313131"/>
          <w:sz w:val="24"/>
          <w:szCs w:val="24"/>
          <w:lang w:eastAsia="en-AU"/>
        </w:rPr>
        <w:t xml:space="preserve"> for </w:t>
      </w:r>
      <w:proofErr w:type="spellStart"/>
      <w:r w:rsidR="00B96CE4" w:rsidRPr="00B96CE4">
        <w:rPr>
          <w:rFonts w:ascii="Segoe UI" w:eastAsia="Times New Roman" w:hAnsi="Segoe UI" w:cs="Segoe UI"/>
          <w:color w:val="313131"/>
          <w:sz w:val="24"/>
          <w:szCs w:val="24"/>
          <w:lang w:eastAsia="en-AU"/>
        </w:rPr>
        <w:t>GoPNG</w:t>
      </w:r>
      <w:proofErr w:type="spellEnd"/>
      <w:r w:rsidR="00B96CE4" w:rsidRPr="00B96CE4">
        <w:rPr>
          <w:rFonts w:ascii="Segoe UI" w:eastAsia="Times New Roman" w:hAnsi="Segoe UI" w:cs="Segoe UI"/>
          <w:color w:val="313131"/>
          <w:sz w:val="24"/>
          <w:szCs w:val="24"/>
          <w:lang w:eastAsia="en-AU"/>
        </w:rPr>
        <w:t xml:space="preserve"> to understand and engage with the </w:t>
      </w:r>
      <w:r w:rsidR="00974E57">
        <w:rPr>
          <w:rFonts w:ascii="Segoe UI" w:eastAsia="Times New Roman" w:hAnsi="Segoe UI" w:cs="Segoe UI"/>
          <w:color w:val="313131"/>
          <w:sz w:val="24"/>
          <w:szCs w:val="24"/>
          <w:lang w:eastAsia="en-AU"/>
        </w:rPr>
        <w:t xml:space="preserve">investment </w:t>
      </w:r>
      <w:r w:rsidR="003254ED">
        <w:rPr>
          <w:rFonts w:ascii="Segoe UI" w:eastAsia="Times New Roman" w:hAnsi="Segoe UI" w:cs="Segoe UI"/>
          <w:color w:val="313131"/>
          <w:sz w:val="24"/>
          <w:szCs w:val="24"/>
          <w:lang w:eastAsia="en-AU"/>
        </w:rPr>
        <w:t>would have</w:t>
      </w:r>
      <w:r w:rsidR="002A165C">
        <w:rPr>
          <w:rFonts w:ascii="Segoe UI" w:eastAsia="Times New Roman" w:hAnsi="Segoe UI" w:cs="Segoe UI"/>
          <w:color w:val="313131"/>
          <w:sz w:val="24"/>
          <w:szCs w:val="24"/>
          <w:lang w:eastAsia="en-AU"/>
        </w:rPr>
        <w:t xml:space="preserve"> </w:t>
      </w:r>
      <w:r w:rsidR="003254ED">
        <w:rPr>
          <w:rFonts w:ascii="Segoe UI" w:eastAsia="Times New Roman" w:hAnsi="Segoe UI" w:cs="Segoe UI"/>
          <w:color w:val="313131"/>
          <w:sz w:val="24"/>
          <w:szCs w:val="24"/>
          <w:lang w:eastAsia="en-AU"/>
        </w:rPr>
        <w:t xml:space="preserve">been </w:t>
      </w:r>
      <w:r w:rsidR="006F44F2">
        <w:rPr>
          <w:rFonts w:ascii="Segoe UI" w:eastAsia="Times New Roman" w:hAnsi="Segoe UI" w:cs="Segoe UI"/>
          <w:color w:val="313131"/>
          <w:sz w:val="24"/>
          <w:szCs w:val="24"/>
          <w:lang w:eastAsia="en-AU"/>
        </w:rPr>
        <w:t>useful for program profile</w:t>
      </w:r>
      <w:r w:rsidR="005544BF">
        <w:rPr>
          <w:rFonts w:ascii="Segoe UI" w:eastAsia="Times New Roman" w:hAnsi="Segoe UI" w:cs="Segoe UI"/>
          <w:color w:val="313131"/>
          <w:sz w:val="24"/>
          <w:szCs w:val="24"/>
          <w:lang w:eastAsia="en-AU"/>
        </w:rPr>
        <w:t>, accountability</w:t>
      </w:r>
      <w:r w:rsidR="006F44F2">
        <w:rPr>
          <w:rFonts w:ascii="Segoe UI" w:eastAsia="Times New Roman" w:hAnsi="Segoe UI" w:cs="Segoe UI"/>
          <w:color w:val="313131"/>
          <w:sz w:val="24"/>
          <w:szCs w:val="24"/>
          <w:lang w:eastAsia="en-AU"/>
        </w:rPr>
        <w:t xml:space="preserve"> and strategic engagement</w:t>
      </w:r>
      <w:r w:rsidR="00B96CE4" w:rsidRPr="00B96CE4">
        <w:rPr>
          <w:rFonts w:ascii="Segoe UI" w:eastAsia="Times New Roman" w:hAnsi="Segoe UI" w:cs="Segoe UI"/>
          <w:color w:val="313131"/>
          <w:sz w:val="24"/>
          <w:szCs w:val="24"/>
          <w:lang w:eastAsia="en-AU"/>
        </w:rPr>
        <w:t xml:space="preserve">. </w:t>
      </w:r>
    </w:p>
    <w:p w14:paraId="22D96A2E" w14:textId="03A62C81" w:rsidR="0066632B" w:rsidRDefault="0066632B" w:rsidP="00B6743B">
      <w:pPr>
        <w:pStyle w:val="Heading2"/>
      </w:pPr>
      <w:r>
        <w:t xml:space="preserve">Future </w:t>
      </w:r>
      <w:r w:rsidR="007F1853">
        <w:t>p</w:t>
      </w:r>
      <w:r>
        <w:t>rogramming</w:t>
      </w:r>
      <w:r w:rsidR="006569AD">
        <w:t xml:space="preserve"> in </w:t>
      </w:r>
      <w:r w:rsidR="007F1853">
        <w:t>the g</w:t>
      </w:r>
      <w:r w:rsidR="006569AD">
        <w:t>overnan</w:t>
      </w:r>
      <w:r w:rsidR="00BC3898">
        <w:t>ce</w:t>
      </w:r>
      <w:r w:rsidR="007F1853">
        <w:t xml:space="preserve"> sector</w:t>
      </w:r>
    </w:p>
    <w:p w14:paraId="47B3580F" w14:textId="085EAE6D" w:rsidR="00BC3898" w:rsidRDefault="002F1680"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Within the governance</w:t>
      </w:r>
      <w:r w:rsidR="002F4D23">
        <w:rPr>
          <w:rFonts w:ascii="Segoe UI" w:eastAsia="Times New Roman" w:hAnsi="Segoe UI" w:cs="Segoe UI"/>
          <w:color w:val="313131"/>
          <w:sz w:val="24"/>
          <w:szCs w:val="24"/>
          <w:lang w:eastAsia="en-AU"/>
        </w:rPr>
        <w:t xml:space="preserve"> sector, a</w:t>
      </w:r>
      <w:r w:rsidR="008E69F2">
        <w:rPr>
          <w:rFonts w:ascii="Segoe UI" w:eastAsia="Times New Roman" w:hAnsi="Segoe UI" w:cs="Segoe UI"/>
          <w:color w:val="313131"/>
          <w:sz w:val="24"/>
          <w:szCs w:val="24"/>
          <w:lang w:eastAsia="en-AU"/>
        </w:rPr>
        <w:t>daptive programming is essential</w:t>
      </w:r>
      <w:r w:rsidR="000000E6">
        <w:rPr>
          <w:rFonts w:ascii="Segoe UI" w:eastAsia="Times New Roman" w:hAnsi="Segoe UI" w:cs="Segoe UI"/>
          <w:color w:val="313131"/>
          <w:sz w:val="24"/>
          <w:szCs w:val="24"/>
          <w:lang w:eastAsia="en-AU"/>
        </w:rPr>
        <w:t xml:space="preserve">, particularly </w:t>
      </w:r>
      <w:r w:rsidR="002F4D23">
        <w:rPr>
          <w:rFonts w:ascii="Segoe UI" w:eastAsia="Times New Roman" w:hAnsi="Segoe UI" w:cs="Segoe UI"/>
          <w:color w:val="313131"/>
          <w:sz w:val="24"/>
          <w:szCs w:val="24"/>
          <w:lang w:eastAsia="en-AU"/>
        </w:rPr>
        <w:t>in the PNG co</w:t>
      </w:r>
      <w:r w:rsidR="002F4D23" w:rsidRPr="00453AAA">
        <w:rPr>
          <w:rFonts w:ascii="Segoe UI" w:eastAsia="Times New Roman" w:hAnsi="Segoe UI" w:cs="Segoe UI"/>
          <w:color w:val="313131"/>
          <w:sz w:val="24"/>
          <w:szCs w:val="24"/>
          <w:lang w:eastAsia="en-AU"/>
        </w:rPr>
        <w:t>ntext</w:t>
      </w:r>
      <w:r w:rsidR="008E69F2" w:rsidRPr="00C95230">
        <w:rPr>
          <w:rFonts w:ascii="Segoe UI" w:eastAsia="Times New Roman" w:hAnsi="Segoe UI" w:cs="Segoe UI"/>
          <w:color w:val="313131"/>
          <w:sz w:val="24"/>
          <w:szCs w:val="24"/>
          <w:lang w:eastAsia="en-AU"/>
        </w:rPr>
        <w:t>.</w:t>
      </w:r>
      <w:r w:rsidR="00897B95" w:rsidRPr="00C95230">
        <w:rPr>
          <w:rFonts w:ascii="Segoe UI" w:eastAsia="Times New Roman" w:hAnsi="Segoe UI" w:cs="Segoe UI"/>
          <w:color w:val="313131"/>
          <w:sz w:val="24"/>
          <w:szCs w:val="24"/>
          <w:lang w:eastAsia="en-AU"/>
        </w:rPr>
        <w:t xml:space="preserve"> </w:t>
      </w:r>
      <w:r w:rsidR="00B40BDD" w:rsidRPr="00C95230">
        <w:rPr>
          <w:rFonts w:ascii="Segoe UI" w:eastAsia="Times New Roman" w:hAnsi="Segoe UI" w:cs="Segoe UI"/>
          <w:color w:val="313131"/>
          <w:sz w:val="24"/>
          <w:szCs w:val="24"/>
          <w:lang w:eastAsia="en-AU"/>
        </w:rPr>
        <w:t>A p</w:t>
      </w:r>
      <w:r w:rsidR="00897B95" w:rsidRPr="00C95230">
        <w:rPr>
          <w:rFonts w:ascii="Segoe UI" w:eastAsia="Times New Roman" w:hAnsi="Segoe UI" w:cs="Segoe UI"/>
          <w:color w:val="313131"/>
          <w:sz w:val="24"/>
          <w:szCs w:val="24"/>
          <w:lang w:eastAsia="en-AU"/>
        </w:rPr>
        <w:t>ortfolio approach</w:t>
      </w:r>
      <w:r w:rsidR="00B40BDD" w:rsidRPr="007D0300">
        <w:rPr>
          <w:rFonts w:ascii="Segoe UI" w:eastAsia="Times New Roman" w:hAnsi="Segoe UI" w:cs="Segoe UI"/>
          <w:color w:val="313131"/>
          <w:sz w:val="24"/>
          <w:szCs w:val="24"/>
          <w:lang w:eastAsia="en-AU"/>
        </w:rPr>
        <w:t xml:space="preserve"> taken by many components of the PAGP </w:t>
      </w:r>
      <w:r w:rsidR="00897B95" w:rsidRPr="00556A1C">
        <w:rPr>
          <w:rFonts w:ascii="Segoe UI" w:eastAsia="Times New Roman" w:hAnsi="Segoe UI" w:cs="Segoe UI"/>
          <w:color w:val="313131"/>
          <w:sz w:val="24"/>
          <w:szCs w:val="24"/>
          <w:lang w:eastAsia="en-AU"/>
        </w:rPr>
        <w:t>provide</w:t>
      </w:r>
      <w:r w:rsidR="000000E6" w:rsidRPr="00556A1C">
        <w:rPr>
          <w:rFonts w:ascii="Segoe UI" w:eastAsia="Times New Roman" w:hAnsi="Segoe UI" w:cs="Segoe UI"/>
          <w:color w:val="313131"/>
          <w:sz w:val="24"/>
          <w:szCs w:val="24"/>
          <w:lang w:eastAsia="en-AU"/>
        </w:rPr>
        <w:t>d</w:t>
      </w:r>
      <w:r w:rsidR="00897B95" w:rsidRPr="00556A1C">
        <w:rPr>
          <w:rFonts w:ascii="Segoe UI" w:eastAsia="Times New Roman" w:hAnsi="Segoe UI" w:cs="Segoe UI"/>
          <w:color w:val="313131"/>
          <w:sz w:val="24"/>
          <w:szCs w:val="24"/>
          <w:lang w:eastAsia="en-AU"/>
        </w:rPr>
        <w:t xml:space="preserve"> opportunities for ongoing </w:t>
      </w:r>
      <w:r w:rsidR="00F9052D" w:rsidRPr="00556A1C">
        <w:rPr>
          <w:rFonts w:ascii="Segoe UI" w:eastAsia="Times New Roman" w:hAnsi="Segoe UI" w:cs="Segoe UI"/>
          <w:color w:val="313131"/>
          <w:sz w:val="24"/>
          <w:szCs w:val="24"/>
          <w:lang w:eastAsia="en-AU"/>
        </w:rPr>
        <w:t>progress towards high</w:t>
      </w:r>
      <w:r w:rsidR="004A054C" w:rsidRPr="00556A1C">
        <w:rPr>
          <w:rFonts w:ascii="Segoe UI" w:eastAsia="Times New Roman" w:hAnsi="Segoe UI" w:cs="Segoe UI"/>
          <w:color w:val="313131"/>
          <w:sz w:val="24"/>
          <w:szCs w:val="24"/>
          <w:lang w:eastAsia="en-AU"/>
        </w:rPr>
        <w:t xml:space="preserve">-level program objectives. </w:t>
      </w:r>
      <w:r w:rsidR="00E25A0A" w:rsidRPr="00556A1C">
        <w:rPr>
          <w:rFonts w:ascii="Segoe UI" w:eastAsia="Times New Roman" w:hAnsi="Segoe UI" w:cs="Segoe UI"/>
          <w:color w:val="313131"/>
          <w:sz w:val="24"/>
          <w:szCs w:val="24"/>
          <w:lang w:eastAsia="en-AU"/>
        </w:rPr>
        <w:t xml:space="preserve"> </w:t>
      </w:r>
      <w:r w:rsidR="00453AAA" w:rsidRPr="00556A1C">
        <w:rPr>
          <w:rFonts w:ascii="Segoe UI" w:eastAsia="Times New Roman" w:hAnsi="Segoe UI" w:cs="Segoe UI"/>
          <w:color w:val="313131"/>
          <w:sz w:val="24"/>
          <w:szCs w:val="24"/>
          <w:lang w:eastAsia="en-AU"/>
        </w:rPr>
        <w:t xml:space="preserve">It is </w:t>
      </w:r>
      <w:r w:rsidR="00C95230">
        <w:rPr>
          <w:rFonts w:ascii="Segoe UI" w:eastAsia="Times New Roman" w:hAnsi="Segoe UI" w:cs="Segoe UI"/>
          <w:color w:val="313131"/>
          <w:sz w:val="24"/>
          <w:szCs w:val="24"/>
          <w:lang w:eastAsia="en-AU"/>
        </w:rPr>
        <w:t xml:space="preserve">generally </w:t>
      </w:r>
      <w:r w:rsidR="00453AAA" w:rsidRPr="00556A1C">
        <w:rPr>
          <w:rFonts w:ascii="Segoe UI" w:eastAsia="Times New Roman" w:hAnsi="Segoe UI" w:cs="Segoe UI"/>
          <w:color w:val="313131"/>
          <w:sz w:val="24"/>
          <w:szCs w:val="24"/>
          <w:lang w:eastAsia="en-AU"/>
        </w:rPr>
        <w:t>expected that</w:t>
      </w:r>
      <w:r w:rsidR="00453AAA" w:rsidRPr="00453AAA">
        <w:rPr>
          <w:rFonts w:ascii="Segoe UI" w:eastAsia="Times New Roman" w:hAnsi="Segoe UI" w:cs="Segoe UI"/>
          <w:color w:val="313131"/>
          <w:sz w:val="24"/>
          <w:szCs w:val="24"/>
          <w:lang w:eastAsia="en-AU"/>
        </w:rPr>
        <w:t xml:space="preserve"> </w:t>
      </w:r>
      <w:r w:rsidR="00453AAA" w:rsidRPr="00556A1C">
        <w:rPr>
          <w:rFonts w:ascii="Segoe UI" w:eastAsia="Times New Roman" w:hAnsi="Segoe UI" w:cs="Segoe UI"/>
          <w:color w:val="313131"/>
          <w:sz w:val="24"/>
          <w:szCs w:val="24"/>
          <w:lang w:eastAsia="en-AU"/>
        </w:rPr>
        <w:t>many</w:t>
      </w:r>
      <w:r w:rsidR="00453AAA" w:rsidRPr="00453AAA">
        <w:rPr>
          <w:rFonts w:ascii="Segoe UI" w:eastAsia="Times New Roman" w:hAnsi="Segoe UI" w:cs="Segoe UI"/>
          <w:color w:val="313131"/>
          <w:sz w:val="24"/>
          <w:szCs w:val="24"/>
          <w:lang w:eastAsia="en-AU"/>
        </w:rPr>
        <w:t xml:space="preserve"> </w:t>
      </w:r>
      <w:r w:rsidR="00E25A0A" w:rsidRPr="00C95230">
        <w:rPr>
          <w:rFonts w:ascii="Segoe UI" w:eastAsia="Times New Roman" w:hAnsi="Segoe UI" w:cs="Segoe UI"/>
          <w:color w:val="313131"/>
          <w:sz w:val="24"/>
          <w:szCs w:val="24"/>
          <w:lang w:eastAsia="en-AU"/>
        </w:rPr>
        <w:t xml:space="preserve">activities </w:t>
      </w:r>
      <w:r w:rsidR="00453AAA" w:rsidRPr="00556A1C">
        <w:rPr>
          <w:rFonts w:ascii="Segoe UI" w:eastAsia="Times New Roman" w:hAnsi="Segoe UI" w:cs="Segoe UI"/>
          <w:color w:val="313131"/>
          <w:sz w:val="24"/>
          <w:szCs w:val="24"/>
          <w:lang w:eastAsia="en-AU"/>
        </w:rPr>
        <w:t xml:space="preserve">may </w:t>
      </w:r>
      <w:r w:rsidR="00E25A0A" w:rsidRPr="00453AAA">
        <w:rPr>
          <w:rFonts w:ascii="Segoe UI" w:eastAsia="Times New Roman" w:hAnsi="Segoe UI" w:cs="Segoe UI"/>
          <w:color w:val="313131"/>
          <w:sz w:val="24"/>
          <w:szCs w:val="24"/>
          <w:lang w:eastAsia="en-AU"/>
        </w:rPr>
        <w:t xml:space="preserve">stall or slow </w:t>
      </w:r>
      <w:r w:rsidR="00453AAA" w:rsidRPr="00556A1C">
        <w:rPr>
          <w:rFonts w:ascii="Segoe UI" w:eastAsia="Times New Roman" w:hAnsi="Segoe UI" w:cs="Segoe UI"/>
          <w:color w:val="313131"/>
          <w:sz w:val="24"/>
          <w:szCs w:val="24"/>
          <w:lang w:eastAsia="en-AU"/>
        </w:rPr>
        <w:t xml:space="preserve">at various points in time </w:t>
      </w:r>
      <w:r w:rsidR="00E25A0A" w:rsidRPr="00453AAA">
        <w:rPr>
          <w:rFonts w:ascii="Segoe UI" w:eastAsia="Times New Roman" w:hAnsi="Segoe UI" w:cs="Segoe UI"/>
          <w:color w:val="313131"/>
          <w:sz w:val="24"/>
          <w:szCs w:val="24"/>
          <w:lang w:eastAsia="en-AU"/>
        </w:rPr>
        <w:t>due to factors outside of the control of DFAT, the managing contractor and other sub-partners</w:t>
      </w:r>
      <w:r w:rsidR="00897B95" w:rsidRPr="00C95230">
        <w:rPr>
          <w:rFonts w:ascii="Segoe UI" w:eastAsia="Times New Roman" w:hAnsi="Segoe UI" w:cs="Segoe UI"/>
          <w:color w:val="313131"/>
          <w:sz w:val="24"/>
          <w:szCs w:val="24"/>
          <w:lang w:eastAsia="en-AU"/>
        </w:rPr>
        <w:t>.</w:t>
      </w:r>
      <w:r w:rsidR="00AA5C1A" w:rsidRPr="00C95230">
        <w:rPr>
          <w:rFonts w:ascii="Segoe UI" w:eastAsia="Times New Roman" w:hAnsi="Segoe UI" w:cs="Segoe UI"/>
          <w:color w:val="313131"/>
          <w:sz w:val="24"/>
          <w:szCs w:val="24"/>
          <w:lang w:eastAsia="en-AU"/>
        </w:rPr>
        <w:t xml:space="preserve"> The r</w:t>
      </w:r>
      <w:r w:rsidR="00AA5C1A">
        <w:rPr>
          <w:rFonts w:ascii="Segoe UI" w:eastAsia="Times New Roman" w:hAnsi="Segoe UI" w:cs="Segoe UI"/>
          <w:color w:val="313131"/>
          <w:sz w:val="24"/>
          <w:szCs w:val="24"/>
          <w:lang w:eastAsia="en-AU"/>
        </w:rPr>
        <w:t xml:space="preserve">eview found that </w:t>
      </w:r>
      <w:r w:rsidR="00AA5C1A" w:rsidRPr="00E70422">
        <w:rPr>
          <w:rFonts w:ascii="Segoe UI" w:eastAsia="Times New Roman" w:hAnsi="Segoe UI" w:cs="Segoe UI"/>
          <w:color w:val="313131"/>
          <w:sz w:val="24"/>
          <w:szCs w:val="24"/>
          <w:lang w:eastAsia="en-AU"/>
        </w:rPr>
        <w:t xml:space="preserve">PAGP led to some good examples of networking but it </w:t>
      </w:r>
      <w:r w:rsidR="000000E6">
        <w:rPr>
          <w:rFonts w:ascii="Segoe UI" w:eastAsia="Times New Roman" w:hAnsi="Segoe UI" w:cs="Segoe UI"/>
          <w:color w:val="313131"/>
          <w:sz w:val="24"/>
          <w:szCs w:val="24"/>
          <w:lang w:eastAsia="en-AU"/>
        </w:rPr>
        <w:t>was</w:t>
      </w:r>
      <w:r w:rsidR="000000E6" w:rsidRPr="00E70422">
        <w:rPr>
          <w:rFonts w:ascii="Segoe UI" w:eastAsia="Times New Roman" w:hAnsi="Segoe UI" w:cs="Segoe UI"/>
          <w:color w:val="313131"/>
          <w:sz w:val="24"/>
          <w:szCs w:val="24"/>
          <w:lang w:eastAsia="en-AU"/>
        </w:rPr>
        <w:t xml:space="preserve"> </w:t>
      </w:r>
      <w:r w:rsidR="00AA5C1A" w:rsidRPr="00E70422">
        <w:rPr>
          <w:rFonts w:ascii="Segoe UI" w:eastAsia="Times New Roman" w:hAnsi="Segoe UI" w:cs="Segoe UI"/>
          <w:color w:val="313131"/>
          <w:sz w:val="24"/>
          <w:szCs w:val="24"/>
          <w:lang w:eastAsia="en-AU"/>
        </w:rPr>
        <w:t xml:space="preserve">not clear </w:t>
      </w:r>
      <w:r w:rsidR="000000E6">
        <w:rPr>
          <w:rFonts w:ascii="Segoe UI" w:eastAsia="Times New Roman" w:hAnsi="Segoe UI" w:cs="Segoe UI"/>
          <w:color w:val="313131"/>
          <w:sz w:val="24"/>
          <w:szCs w:val="24"/>
          <w:lang w:eastAsia="en-AU"/>
        </w:rPr>
        <w:t xml:space="preserve">if </w:t>
      </w:r>
      <w:r w:rsidR="00AA5C1A" w:rsidRPr="00E70422">
        <w:rPr>
          <w:rFonts w:ascii="Segoe UI" w:eastAsia="Times New Roman" w:hAnsi="Segoe UI" w:cs="Segoe UI"/>
          <w:color w:val="313131"/>
          <w:sz w:val="24"/>
          <w:szCs w:val="24"/>
          <w:lang w:eastAsia="en-AU"/>
        </w:rPr>
        <w:t xml:space="preserve">opportunities were </w:t>
      </w:r>
      <w:r w:rsidR="000000E6">
        <w:rPr>
          <w:rFonts w:ascii="Segoe UI" w:eastAsia="Times New Roman" w:hAnsi="Segoe UI" w:cs="Segoe UI"/>
          <w:color w:val="313131"/>
          <w:sz w:val="24"/>
          <w:szCs w:val="24"/>
          <w:lang w:eastAsia="en-AU"/>
        </w:rPr>
        <w:t xml:space="preserve">fully </w:t>
      </w:r>
      <w:r w:rsidR="00AA5C1A" w:rsidRPr="00E70422">
        <w:rPr>
          <w:rFonts w:ascii="Segoe UI" w:eastAsia="Times New Roman" w:hAnsi="Segoe UI" w:cs="Segoe UI"/>
          <w:color w:val="313131"/>
          <w:sz w:val="24"/>
          <w:szCs w:val="24"/>
          <w:lang w:eastAsia="en-AU"/>
        </w:rPr>
        <w:t>exploited</w:t>
      </w:r>
      <w:r w:rsidR="00AA5C1A">
        <w:rPr>
          <w:rFonts w:ascii="Segoe UI" w:eastAsia="Times New Roman" w:hAnsi="Segoe UI" w:cs="Segoe UI"/>
          <w:color w:val="313131"/>
          <w:sz w:val="24"/>
          <w:szCs w:val="24"/>
          <w:lang w:eastAsia="en-AU"/>
        </w:rPr>
        <w:t>– to the extent of facilitating</w:t>
      </w:r>
      <w:r w:rsidR="00AA5C1A" w:rsidRPr="00E70422">
        <w:rPr>
          <w:rFonts w:ascii="Segoe UI" w:eastAsia="Times New Roman" w:hAnsi="Segoe UI" w:cs="Segoe UI"/>
          <w:color w:val="313131"/>
          <w:sz w:val="24"/>
          <w:szCs w:val="24"/>
          <w:lang w:eastAsia="en-AU"/>
        </w:rPr>
        <w:t xml:space="preserve"> coalitions for change</w:t>
      </w:r>
      <w:r w:rsidR="00AA5C1A">
        <w:rPr>
          <w:rFonts w:ascii="Segoe UI" w:eastAsia="Times New Roman" w:hAnsi="Segoe UI" w:cs="Segoe UI"/>
          <w:color w:val="313131"/>
          <w:sz w:val="24"/>
          <w:szCs w:val="24"/>
          <w:lang w:eastAsia="en-AU"/>
        </w:rPr>
        <w:t xml:space="preserve"> and learning</w:t>
      </w:r>
      <w:r w:rsidR="00AA5C1A" w:rsidRPr="00E70422">
        <w:rPr>
          <w:rFonts w:ascii="Segoe UI" w:eastAsia="Times New Roman" w:hAnsi="Segoe UI" w:cs="Segoe UI"/>
          <w:color w:val="313131"/>
          <w:sz w:val="24"/>
          <w:szCs w:val="24"/>
          <w:lang w:eastAsia="en-AU"/>
        </w:rPr>
        <w:t xml:space="preserve"> across </w:t>
      </w:r>
      <w:r w:rsidR="000000E6">
        <w:rPr>
          <w:rFonts w:ascii="Segoe UI" w:eastAsia="Times New Roman" w:hAnsi="Segoe UI" w:cs="Segoe UI"/>
          <w:color w:val="313131"/>
          <w:sz w:val="24"/>
          <w:szCs w:val="24"/>
          <w:lang w:eastAsia="en-AU"/>
        </w:rPr>
        <w:t xml:space="preserve">program </w:t>
      </w:r>
      <w:r w:rsidR="00AA5C1A" w:rsidRPr="00E70422">
        <w:rPr>
          <w:rFonts w:ascii="Segoe UI" w:eastAsia="Times New Roman" w:hAnsi="Segoe UI" w:cs="Segoe UI"/>
          <w:color w:val="313131"/>
          <w:sz w:val="24"/>
          <w:szCs w:val="24"/>
          <w:lang w:eastAsia="en-AU"/>
        </w:rPr>
        <w:t>component</w:t>
      </w:r>
      <w:r w:rsidR="000000E6">
        <w:rPr>
          <w:rFonts w:ascii="Segoe UI" w:eastAsia="Times New Roman" w:hAnsi="Segoe UI" w:cs="Segoe UI"/>
          <w:color w:val="313131"/>
          <w:sz w:val="24"/>
          <w:szCs w:val="24"/>
          <w:lang w:eastAsia="en-AU"/>
        </w:rPr>
        <w:t>s</w:t>
      </w:r>
      <w:r w:rsidR="00AA5C1A">
        <w:rPr>
          <w:rFonts w:ascii="Segoe UI" w:eastAsia="Times New Roman" w:hAnsi="Segoe UI" w:cs="Segoe UI"/>
          <w:color w:val="313131"/>
          <w:sz w:val="24"/>
          <w:szCs w:val="24"/>
          <w:lang w:eastAsia="en-AU"/>
        </w:rPr>
        <w:t xml:space="preserve">. </w:t>
      </w:r>
      <w:r w:rsidR="003C2EA6">
        <w:rPr>
          <w:rFonts w:ascii="Segoe UI" w:eastAsia="Times New Roman" w:hAnsi="Segoe UI" w:cs="Segoe UI"/>
          <w:color w:val="313131"/>
          <w:sz w:val="24"/>
          <w:szCs w:val="24"/>
          <w:lang w:eastAsia="en-AU"/>
        </w:rPr>
        <w:t>Further to this,</w:t>
      </w:r>
      <w:r w:rsidR="00897B95">
        <w:rPr>
          <w:rFonts w:ascii="Segoe UI" w:eastAsia="Times New Roman" w:hAnsi="Segoe UI" w:cs="Segoe UI"/>
          <w:color w:val="313131"/>
          <w:sz w:val="24"/>
          <w:szCs w:val="24"/>
          <w:lang w:eastAsia="en-AU"/>
        </w:rPr>
        <w:t xml:space="preserve"> </w:t>
      </w:r>
      <w:r w:rsidR="003C2EA6">
        <w:rPr>
          <w:rFonts w:ascii="Segoe UI" w:eastAsia="Times New Roman" w:hAnsi="Segoe UI" w:cs="Segoe UI"/>
          <w:color w:val="313131"/>
          <w:sz w:val="24"/>
          <w:szCs w:val="24"/>
          <w:lang w:eastAsia="en-AU"/>
        </w:rPr>
        <w:t>c</w:t>
      </w:r>
      <w:r w:rsidR="00B83F19">
        <w:rPr>
          <w:rFonts w:ascii="Segoe UI" w:eastAsia="Times New Roman" w:hAnsi="Segoe UI" w:cs="Segoe UI"/>
          <w:color w:val="313131"/>
          <w:sz w:val="24"/>
          <w:szCs w:val="24"/>
          <w:lang w:eastAsia="en-AU"/>
        </w:rPr>
        <w:t xml:space="preserve">lear indicators and targets </w:t>
      </w:r>
      <w:r w:rsidR="00AA5C1A">
        <w:rPr>
          <w:rFonts w:ascii="Segoe UI" w:eastAsia="Times New Roman" w:hAnsi="Segoe UI" w:cs="Segoe UI"/>
          <w:color w:val="313131"/>
          <w:sz w:val="24"/>
          <w:szCs w:val="24"/>
          <w:lang w:eastAsia="en-AU"/>
        </w:rPr>
        <w:t xml:space="preserve">are also </w:t>
      </w:r>
      <w:r w:rsidR="00B83F19">
        <w:rPr>
          <w:rFonts w:ascii="Segoe UI" w:eastAsia="Times New Roman" w:hAnsi="Segoe UI" w:cs="Segoe UI"/>
          <w:color w:val="313131"/>
          <w:sz w:val="24"/>
          <w:szCs w:val="24"/>
          <w:lang w:eastAsia="en-AU"/>
        </w:rPr>
        <w:t>important</w:t>
      </w:r>
      <w:r w:rsidR="003C2EA6">
        <w:rPr>
          <w:rFonts w:ascii="Segoe UI" w:eastAsia="Times New Roman" w:hAnsi="Segoe UI" w:cs="Segoe UI"/>
          <w:color w:val="313131"/>
          <w:sz w:val="24"/>
          <w:szCs w:val="24"/>
          <w:lang w:eastAsia="en-AU"/>
        </w:rPr>
        <w:t xml:space="preserve"> for measuring progress towards</w:t>
      </w:r>
      <w:r w:rsidR="00DA7BAA">
        <w:rPr>
          <w:rFonts w:ascii="Segoe UI" w:eastAsia="Times New Roman" w:hAnsi="Segoe UI" w:cs="Segoe UI"/>
          <w:color w:val="313131"/>
          <w:sz w:val="24"/>
          <w:szCs w:val="24"/>
          <w:lang w:eastAsia="en-AU"/>
        </w:rPr>
        <w:t xml:space="preserve"> long-term governance outcomes. </w:t>
      </w:r>
    </w:p>
    <w:p w14:paraId="6F8CF69E" w14:textId="0DDE0BAE" w:rsidR="00EB3CB5" w:rsidRDefault="00EB3CB5"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1A72C47E" w14:textId="7ADCE812" w:rsidR="00EB3CB5" w:rsidRDefault="005C5093"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Resourcing to support</w:t>
      </w:r>
      <w:r w:rsidR="00A96483">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joint-organisational assessments</w:t>
      </w:r>
      <w:r w:rsidR="00A96483">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partner</w:t>
      </w:r>
      <w:r w:rsidR="00A96483">
        <w:rPr>
          <w:rFonts w:ascii="Segoe UI" w:eastAsia="Times New Roman" w:hAnsi="Segoe UI" w:cs="Segoe UI"/>
          <w:color w:val="313131"/>
          <w:sz w:val="24"/>
          <w:szCs w:val="24"/>
          <w:lang w:eastAsia="en-AU"/>
        </w:rPr>
        <w:t xml:space="preserve"> capacity</w:t>
      </w:r>
      <w:r w:rsidR="00BF55CB">
        <w:rPr>
          <w:rFonts w:ascii="Segoe UI" w:eastAsia="Times New Roman" w:hAnsi="Segoe UI" w:cs="Segoe UI"/>
          <w:color w:val="313131"/>
          <w:sz w:val="24"/>
          <w:szCs w:val="24"/>
          <w:lang w:eastAsia="en-AU"/>
        </w:rPr>
        <w:t xml:space="preserve"> development</w:t>
      </w:r>
      <w:r>
        <w:rPr>
          <w:rFonts w:ascii="Segoe UI" w:eastAsia="Times New Roman" w:hAnsi="Segoe UI" w:cs="Segoe UI"/>
          <w:color w:val="313131"/>
          <w:sz w:val="24"/>
          <w:szCs w:val="24"/>
          <w:lang w:eastAsia="en-AU"/>
        </w:rPr>
        <w:t xml:space="preserve"> and </w:t>
      </w:r>
      <w:r w:rsidR="00BF55CB">
        <w:rPr>
          <w:rFonts w:ascii="Segoe UI" w:eastAsia="Times New Roman" w:hAnsi="Segoe UI" w:cs="Segoe UI"/>
          <w:color w:val="313131"/>
          <w:sz w:val="24"/>
          <w:szCs w:val="24"/>
          <w:lang w:eastAsia="en-AU"/>
        </w:rPr>
        <w:t>subnational adviser coordination</w:t>
      </w:r>
      <w:r>
        <w:rPr>
          <w:rFonts w:ascii="Segoe UI" w:eastAsia="Times New Roman" w:hAnsi="Segoe UI" w:cs="Segoe UI"/>
          <w:color w:val="313131"/>
          <w:sz w:val="24"/>
          <w:szCs w:val="24"/>
          <w:lang w:eastAsia="en-AU"/>
        </w:rPr>
        <w:t xml:space="preserve"> </w:t>
      </w:r>
      <w:r w:rsidR="000000E6">
        <w:rPr>
          <w:rFonts w:ascii="Segoe UI" w:eastAsia="Times New Roman" w:hAnsi="Segoe UI" w:cs="Segoe UI"/>
          <w:color w:val="313131"/>
          <w:sz w:val="24"/>
          <w:szCs w:val="24"/>
          <w:lang w:eastAsia="en-AU"/>
        </w:rPr>
        <w:t xml:space="preserve">was </w:t>
      </w:r>
      <w:r w:rsidR="00CD5942">
        <w:rPr>
          <w:rFonts w:ascii="Segoe UI" w:eastAsia="Times New Roman" w:hAnsi="Segoe UI" w:cs="Segoe UI"/>
          <w:color w:val="313131"/>
          <w:sz w:val="24"/>
          <w:szCs w:val="24"/>
          <w:lang w:eastAsia="en-AU"/>
        </w:rPr>
        <w:t xml:space="preserve">considered </w:t>
      </w:r>
      <w:r>
        <w:rPr>
          <w:rFonts w:ascii="Segoe UI" w:eastAsia="Times New Roman" w:hAnsi="Segoe UI" w:cs="Segoe UI"/>
          <w:color w:val="313131"/>
          <w:sz w:val="24"/>
          <w:szCs w:val="24"/>
          <w:lang w:eastAsia="en-AU"/>
        </w:rPr>
        <w:t>highly effective</w:t>
      </w:r>
      <w:r w:rsidR="00801C4F">
        <w:rPr>
          <w:rFonts w:ascii="Segoe UI" w:eastAsia="Times New Roman" w:hAnsi="Segoe UI" w:cs="Segoe UI"/>
          <w:color w:val="313131"/>
          <w:sz w:val="24"/>
          <w:szCs w:val="24"/>
          <w:lang w:eastAsia="en-AU"/>
        </w:rPr>
        <w:t xml:space="preserve"> </w:t>
      </w:r>
      <w:r w:rsidR="00C669B4">
        <w:rPr>
          <w:rFonts w:ascii="Segoe UI" w:eastAsia="Times New Roman" w:hAnsi="Segoe UI" w:cs="Segoe UI"/>
          <w:color w:val="313131"/>
          <w:sz w:val="24"/>
          <w:szCs w:val="24"/>
          <w:lang w:eastAsia="en-AU"/>
        </w:rPr>
        <w:t xml:space="preserve">for setting up responsive </w:t>
      </w:r>
      <w:r w:rsidR="008D0EC4">
        <w:rPr>
          <w:rFonts w:ascii="Segoe UI" w:eastAsia="Times New Roman" w:hAnsi="Segoe UI" w:cs="Segoe UI"/>
          <w:color w:val="313131"/>
          <w:sz w:val="24"/>
          <w:szCs w:val="24"/>
          <w:lang w:eastAsia="en-AU"/>
        </w:rPr>
        <w:t xml:space="preserve">and sustainable </w:t>
      </w:r>
      <w:r w:rsidR="00C669B4">
        <w:rPr>
          <w:rFonts w:ascii="Segoe UI" w:eastAsia="Times New Roman" w:hAnsi="Segoe UI" w:cs="Segoe UI"/>
          <w:color w:val="313131"/>
          <w:sz w:val="24"/>
          <w:szCs w:val="24"/>
          <w:lang w:eastAsia="en-AU"/>
        </w:rPr>
        <w:t>program interventions</w:t>
      </w:r>
      <w:r w:rsidR="00BF55CB">
        <w:rPr>
          <w:rFonts w:ascii="Segoe UI" w:eastAsia="Times New Roman" w:hAnsi="Segoe UI" w:cs="Segoe UI"/>
          <w:color w:val="313131"/>
          <w:sz w:val="24"/>
          <w:szCs w:val="24"/>
          <w:lang w:eastAsia="en-AU"/>
        </w:rPr>
        <w:t>.</w:t>
      </w:r>
      <w:r w:rsidR="00373279">
        <w:rPr>
          <w:rFonts w:ascii="Segoe UI" w:eastAsia="Times New Roman" w:hAnsi="Segoe UI" w:cs="Segoe UI"/>
          <w:color w:val="313131"/>
          <w:sz w:val="24"/>
          <w:szCs w:val="24"/>
          <w:lang w:eastAsia="en-AU"/>
        </w:rPr>
        <w:t xml:space="preserve"> </w:t>
      </w:r>
      <w:r w:rsidR="00BB7825" w:rsidRPr="00937845">
        <w:rPr>
          <w:rFonts w:ascii="Segoe UI" w:eastAsia="Times New Roman" w:hAnsi="Segoe UI" w:cs="Segoe UI"/>
          <w:color w:val="313131"/>
          <w:sz w:val="24"/>
          <w:szCs w:val="24"/>
          <w:lang w:eastAsia="en-AU"/>
        </w:rPr>
        <w:t xml:space="preserve">DFAT notes the review </w:t>
      </w:r>
      <w:r w:rsidR="00CF30D5" w:rsidRPr="00937845">
        <w:rPr>
          <w:rFonts w:ascii="Segoe UI" w:eastAsia="Times New Roman" w:hAnsi="Segoe UI" w:cs="Segoe UI"/>
          <w:color w:val="313131"/>
          <w:sz w:val="24"/>
          <w:szCs w:val="24"/>
          <w:lang w:eastAsia="en-AU"/>
        </w:rPr>
        <w:t>finding</w:t>
      </w:r>
      <w:r w:rsidR="0011399E" w:rsidRPr="00937845">
        <w:rPr>
          <w:rFonts w:ascii="Segoe UI" w:eastAsia="Times New Roman" w:hAnsi="Segoe UI" w:cs="Segoe UI"/>
          <w:color w:val="313131"/>
          <w:sz w:val="24"/>
          <w:szCs w:val="24"/>
          <w:lang w:eastAsia="en-AU"/>
        </w:rPr>
        <w:t xml:space="preserve"> </w:t>
      </w:r>
      <w:r w:rsidR="00CF30D5" w:rsidRPr="00937845">
        <w:rPr>
          <w:rFonts w:ascii="Segoe UI" w:eastAsia="Times New Roman" w:hAnsi="Segoe UI" w:cs="Segoe UI"/>
          <w:color w:val="313131"/>
          <w:sz w:val="24"/>
          <w:szCs w:val="24"/>
          <w:lang w:eastAsia="en-AU"/>
        </w:rPr>
        <w:t>that more successful activities often incorporate</w:t>
      </w:r>
      <w:r w:rsidR="000000E6" w:rsidRPr="00937845">
        <w:rPr>
          <w:rFonts w:ascii="Segoe UI" w:eastAsia="Times New Roman" w:hAnsi="Segoe UI" w:cs="Segoe UI"/>
          <w:color w:val="313131"/>
          <w:sz w:val="24"/>
          <w:szCs w:val="24"/>
          <w:lang w:eastAsia="en-AU"/>
        </w:rPr>
        <w:t xml:space="preserve"> </w:t>
      </w:r>
      <w:r w:rsidR="00373279" w:rsidRPr="00937845">
        <w:rPr>
          <w:rFonts w:ascii="Segoe UI" w:eastAsia="Times New Roman" w:hAnsi="Segoe UI" w:cs="Segoe UI"/>
          <w:color w:val="313131"/>
          <w:sz w:val="24"/>
          <w:szCs w:val="24"/>
          <w:lang w:eastAsia="en-AU"/>
        </w:rPr>
        <w:t>elements that will have visible and recognised benefits</w:t>
      </w:r>
      <w:r w:rsidR="004D496F" w:rsidRPr="00937845">
        <w:rPr>
          <w:rFonts w:ascii="Segoe UI" w:eastAsia="Times New Roman" w:hAnsi="Segoe UI" w:cs="Segoe UI"/>
          <w:color w:val="313131"/>
          <w:sz w:val="24"/>
          <w:szCs w:val="24"/>
          <w:lang w:eastAsia="en-AU"/>
        </w:rPr>
        <w:t xml:space="preserve"> </w:t>
      </w:r>
      <w:r w:rsidR="000000E6" w:rsidRPr="00937845">
        <w:rPr>
          <w:rFonts w:ascii="Segoe UI" w:eastAsia="Times New Roman" w:hAnsi="Segoe UI" w:cs="Segoe UI"/>
          <w:color w:val="313131"/>
          <w:sz w:val="24"/>
          <w:szCs w:val="24"/>
          <w:lang w:eastAsia="en-AU"/>
        </w:rPr>
        <w:t>for investment</w:t>
      </w:r>
      <w:r w:rsidR="007D0300" w:rsidRPr="00937845">
        <w:rPr>
          <w:rFonts w:ascii="Segoe UI" w:eastAsia="Times New Roman" w:hAnsi="Segoe UI" w:cs="Segoe UI"/>
          <w:color w:val="313131"/>
          <w:sz w:val="24"/>
          <w:szCs w:val="24"/>
          <w:lang w:eastAsia="en-AU"/>
        </w:rPr>
        <w:t>s</w:t>
      </w:r>
      <w:r w:rsidR="00F329E2" w:rsidRPr="00937845">
        <w:rPr>
          <w:rFonts w:ascii="Segoe UI" w:eastAsia="Times New Roman" w:hAnsi="Segoe UI" w:cs="Segoe UI"/>
          <w:color w:val="313131"/>
          <w:sz w:val="24"/>
          <w:szCs w:val="24"/>
          <w:lang w:eastAsia="en-AU"/>
        </w:rPr>
        <w:t>.</w:t>
      </w:r>
      <w:r w:rsidR="000000E6" w:rsidRPr="00937845">
        <w:rPr>
          <w:rFonts w:ascii="Segoe UI" w:eastAsia="Times New Roman" w:hAnsi="Segoe UI" w:cs="Segoe UI"/>
          <w:color w:val="313131"/>
          <w:sz w:val="24"/>
          <w:szCs w:val="24"/>
          <w:lang w:eastAsia="en-AU"/>
        </w:rPr>
        <w:t xml:space="preserve"> </w:t>
      </w:r>
      <w:r w:rsidR="00F329E2" w:rsidRPr="00DC3774">
        <w:rPr>
          <w:rFonts w:ascii="Segoe UI" w:eastAsia="Times New Roman" w:hAnsi="Segoe UI" w:cs="Segoe UI"/>
          <w:color w:val="313131"/>
          <w:sz w:val="24"/>
          <w:szCs w:val="24"/>
          <w:lang w:eastAsia="en-AU"/>
        </w:rPr>
        <w:t>This</w:t>
      </w:r>
      <w:r w:rsidR="00171F03" w:rsidRPr="00DC3774">
        <w:rPr>
          <w:rFonts w:ascii="Segoe UI" w:eastAsia="Times New Roman" w:hAnsi="Segoe UI" w:cs="Segoe UI"/>
          <w:color w:val="313131"/>
          <w:sz w:val="24"/>
          <w:szCs w:val="24"/>
          <w:lang w:eastAsia="en-AU"/>
        </w:rPr>
        <w:t xml:space="preserve"> approach</w:t>
      </w:r>
      <w:r w:rsidR="000000E6" w:rsidRPr="00DC3774">
        <w:rPr>
          <w:rFonts w:ascii="Segoe UI" w:eastAsia="Times New Roman" w:hAnsi="Segoe UI" w:cs="Segoe UI"/>
          <w:color w:val="313131"/>
          <w:sz w:val="24"/>
          <w:szCs w:val="24"/>
          <w:lang w:eastAsia="en-AU"/>
        </w:rPr>
        <w:t xml:space="preserve"> </w:t>
      </w:r>
      <w:r w:rsidR="004C112D" w:rsidRPr="00DC3774">
        <w:rPr>
          <w:rFonts w:ascii="Segoe UI" w:eastAsia="Times New Roman" w:hAnsi="Segoe UI" w:cs="Segoe UI"/>
          <w:color w:val="313131"/>
          <w:sz w:val="24"/>
          <w:szCs w:val="24"/>
          <w:lang w:eastAsia="en-AU"/>
        </w:rPr>
        <w:t xml:space="preserve">might </w:t>
      </w:r>
      <w:r w:rsidR="00DC3774" w:rsidRPr="00DC3774">
        <w:rPr>
          <w:rFonts w:ascii="Segoe UI" w:eastAsia="Times New Roman" w:hAnsi="Segoe UI" w:cs="Segoe UI"/>
          <w:color w:val="313131"/>
          <w:sz w:val="24"/>
          <w:szCs w:val="24"/>
          <w:lang w:eastAsia="en-AU"/>
        </w:rPr>
        <w:t xml:space="preserve">serve to </w:t>
      </w:r>
      <w:r w:rsidR="000000E6" w:rsidRPr="00DC3774">
        <w:rPr>
          <w:rFonts w:ascii="Segoe UI" w:eastAsia="Times New Roman" w:hAnsi="Segoe UI" w:cs="Segoe UI"/>
          <w:color w:val="313131"/>
          <w:sz w:val="24"/>
          <w:szCs w:val="24"/>
          <w:lang w:eastAsia="en-AU"/>
        </w:rPr>
        <w:lastRenderedPageBreak/>
        <w:t xml:space="preserve">inform </w:t>
      </w:r>
      <w:r w:rsidR="00373279" w:rsidRPr="00DC3774">
        <w:rPr>
          <w:rFonts w:ascii="Segoe UI" w:eastAsia="Times New Roman" w:hAnsi="Segoe UI" w:cs="Segoe UI"/>
          <w:color w:val="313131"/>
          <w:sz w:val="24"/>
          <w:szCs w:val="24"/>
          <w:lang w:eastAsia="en-AU"/>
        </w:rPr>
        <w:t>and deepen engagement with stakeholders</w:t>
      </w:r>
      <w:r w:rsidR="004D496F" w:rsidRPr="00DC3774">
        <w:rPr>
          <w:rFonts w:ascii="Segoe UI" w:eastAsia="Times New Roman" w:hAnsi="Segoe UI" w:cs="Segoe UI"/>
          <w:color w:val="313131"/>
          <w:sz w:val="24"/>
          <w:szCs w:val="24"/>
          <w:lang w:eastAsia="en-AU"/>
        </w:rPr>
        <w:t xml:space="preserve">, </w:t>
      </w:r>
      <w:r w:rsidR="003820B4">
        <w:rPr>
          <w:rFonts w:ascii="Segoe UI" w:eastAsia="Times New Roman" w:hAnsi="Segoe UI" w:cs="Segoe UI"/>
          <w:color w:val="313131"/>
          <w:sz w:val="24"/>
          <w:szCs w:val="24"/>
          <w:lang w:eastAsia="en-AU"/>
        </w:rPr>
        <w:t xml:space="preserve">in order </w:t>
      </w:r>
      <w:r w:rsidR="000000E6" w:rsidRPr="00DC3774">
        <w:rPr>
          <w:rFonts w:ascii="Segoe UI" w:eastAsia="Times New Roman" w:hAnsi="Segoe UI" w:cs="Segoe UI"/>
          <w:color w:val="313131"/>
          <w:sz w:val="24"/>
          <w:szCs w:val="24"/>
          <w:lang w:eastAsia="en-AU"/>
        </w:rPr>
        <w:t xml:space="preserve">to </w:t>
      </w:r>
      <w:r w:rsidR="00373279" w:rsidRPr="00DC3774">
        <w:rPr>
          <w:rFonts w:ascii="Segoe UI" w:eastAsia="Times New Roman" w:hAnsi="Segoe UI" w:cs="Segoe UI"/>
          <w:color w:val="313131"/>
          <w:sz w:val="24"/>
          <w:szCs w:val="24"/>
          <w:lang w:eastAsia="en-AU"/>
        </w:rPr>
        <w:t>increase institutional changes.</w:t>
      </w:r>
    </w:p>
    <w:p w14:paraId="20629B95" w14:textId="01F77960" w:rsidR="00BF55CB" w:rsidRDefault="00BF55CB"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0DF80DFA" w14:textId="47C4A6F6" w:rsidR="00BF55CB" w:rsidRDefault="000367F2" w:rsidP="00953486">
      <w:pPr>
        <w:shd w:val="clear" w:color="auto" w:fill="FFFFFF"/>
        <w:spacing w:after="12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Num</w:t>
      </w:r>
      <w:r w:rsidR="0018305C">
        <w:rPr>
          <w:rFonts w:ascii="Segoe UI" w:eastAsia="Times New Roman" w:hAnsi="Segoe UI" w:cs="Segoe UI"/>
          <w:color w:val="313131"/>
          <w:sz w:val="24"/>
          <w:szCs w:val="24"/>
          <w:lang w:eastAsia="en-AU"/>
        </w:rPr>
        <w:t>e</w:t>
      </w:r>
      <w:r w:rsidR="008D0EC4">
        <w:rPr>
          <w:rFonts w:ascii="Segoe UI" w:eastAsia="Times New Roman" w:hAnsi="Segoe UI" w:cs="Segoe UI"/>
          <w:color w:val="313131"/>
          <w:sz w:val="24"/>
          <w:szCs w:val="24"/>
          <w:lang w:eastAsia="en-AU"/>
        </w:rPr>
        <w:t>rous e</w:t>
      </w:r>
      <w:r w:rsidR="0018305C">
        <w:rPr>
          <w:rFonts w:ascii="Segoe UI" w:eastAsia="Times New Roman" w:hAnsi="Segoe UI" w:cs="Segoe UI"/>
          <w:color w:val="313131"/>
          <w:sz w:val="24"/>
          <w:szCs w:val="24"/>
          <w:lang w:eastAsia="en-AU"/>
        </w:rPr>
        <w:t xml:space="preserve">xamples </w:t>
      </w:r>
      <w:r w:rsidR="000000E6">
        <w:rPr>
          <w:rFonts w:ascii="Segoe UI" w:eastAsia="Times New Roman" w:hAnsi="Segoe UI" w:cs="Segoe UI"/>
          <w:color w:val="313131"/>
          <w:sz w:val="24"/>
          <w:szCs w:val="24"/>
          <w:lang w:eastAsia="en-AU"/>
        </w:rPr>
        <w:t xml:space="preserve">from the investment </w:t>
      </w:r>
      <w:r w:rsidR="0018305C">
        <w:rPr>
          <w:rFonts w:ascii="Segoe UI" w:eastAsia="Times New Roman" w:hAnsi="Segoe UI" w:cs="Segoe UI"/>
          <w:color w:val="313131"/>
          <w:sz w:val="24"/>
          <w:szCs w:val="24"/>
          <w:lang w:eastAsia="en-AU"/>
        </w:rPr>
        <w:t>learnings</w:t>
      </w:r>
      <w:r w:rsidR="000770ED">
        <w:rPr>
          <w:rFonts w:ascii="Segoe UI" w:eastAsia="Times New Roman" w:hAnsi="Segoe UI" w:cs="Segoe UI"/>
          <w:color w:val="313131"/>
          <w:sz w:val="24"/>
          <w:szCs w:val="24"/>
          <w:lang w:eastAsia="en-AU"/>
        </w:rPr>
        <w:t xml:space="preserve"> have occurred in successor programs to PAGP</w:t>
      </w:r>
      <w:r w:rsidR="00953486">
        <w:rPr>
          <w:rFonts w:ascii="Segoe UI" w:eastAsia="Times New Roman" w:hAnsi="Segoe UI" w:cs="Segoe UI"/>
          <w:color w:val="313131"/>
          <w:sz w:val="24"/>
          <w:szCs w:val="24"/>
          <w:lang w:eastAsia="en-AU"/>
        </w:rPr>
        <w:t>, including:</w:t>
      </w:r>
    </w:p>
    <w:p w14:paraId="7B4AC962" w14:textId="6630DDFE" w:rsidR="001A62C6" w:rsidRDefault="001A62C6" w:rsidP="00821E8C">
      <w:pPr>
        <w:pStyle w:val="ListParagraph"/>
        <w:numPr>
          <w:ilvl w:val="0"/>
          <w:numId w:val="6"/>
        </w:numPr>
        <w:shd w:val="clear" w:color="auto" w:fill="FFFFFF"/>
        <w:spacing w:after="60" w:line="240" w:lineRule="auto"/>
        <w:ind w:left="714" w:hanging="357"/>
        <w:contextualSpacing w:val="0"/>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The </w:t>
      </w:r>
      <w:r>
        <w:rPr>
          <w:rFonts w:ascii="Segoe UI" w:eastAsia="Times New Roman" w:hAnsi="Segoe UI" w:cs="Segoe UI"/>
          <w:i/>
          <w:iCs/>
          <w:color w:val="313131"/>
          <w:sz w:val="24"/>
          <w:szCs w:val="24"/>
          <w:lang w:eastAsia="en-AU"/>
        </w:rPr>
        <w:t xml:space="preserve">Building Community Engagement in PNG </w:t>
      </w:r>
      <w:r w:rsidRPr="00F73BE3">
        <w:rPr>
          <w:rFonts w:ascii="Segoe UI" w:eastAsia="Times New Roman" w:hAnsi="Segoe UI" w:cs="Segoe UI"/>
          <w:i/>
          <w:iCs/>
          <w:color w:val="313131"/>
          <w:sz w:val="24"/>
          <w:szCs w:val="24"/>
          <w:lang w:eastAsia="en-AU"/>
        </w:rPr>
        <w:t>program</w:t>
      </w:r>
      <w:r w:rsidR="00462805">
        <w:rPr>
          <w:rFonts w:ascii="Segoe UI" w:eastAsia="Times New Roman" w:hAnsi="Segoe UI" w:cs="Segoe UI"/>
          <w:color w:val="313131"/>
          <w:sz w:val="24"/>
          <w:szCs w:val="24"/>
          <w:lang w:eastAsia="en-AU"/>
        </w:rPr>
        <w:t xml:space="preserve"> has taken a more targeted </w:t>
      </w:r>
      <w:r w:rsidR="00EB1D80">
        <w:rPr>
          <w:rFonts w:ascii="Segoe UI" w:eastAsia="Times New Roman" w:hAnsi="Segoe UI" w:cs="Segoe UI"/>
          <w:color w:val="313131"/>
          <w:sz w:val="24"/>
          <w:szCs w:val="24"/>
          <w:lang w:eastAsia="en-AU"/>
        </w:rPr>
        <w:t>‘coalitions for change’ and ‘social accountability’ approach through focusing on advocacy platform development and communication capabilities.</w:t>
      </w:r>
    </w:p>
    <w:p w14:paraId="56589F23" w14:textId="627063AF" w:rsidR="00F73BE3" w:rsidRDefault="00F73BE3" w:rsidP="00821E8C">
      <w:pPr>
        <w:pStyle w:val="ListParagraph"/>
        <w:numPr>
          <w:ilvl w:val="0"/>
          <w:numId w:val="6"/>
        </w:numPr>
        <w:shd w:val="clear" w:color="auto" w:fill="FFFFFF"/>
        <w:spacing w:after="60" w:line="240" w:lineRule="auto"/>
        <w:ind w:left="714" w:hanging="357"/>
        <w:contextualSpacing w:val="0"/>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The </w:t>
      </w:r>
      <w:r>
        <w:rPr>
          <w:rFonts w:ascii="Segoe UI" w:eastAsia="Times New Roman" w:hAnsi="Segoe UI" w:cs="Segoe UI"/>
          <w:i/>
          <w:iCs/>
          <w:color w:val="313131"/>
          <w:sz w:val="24"/>
          <w:szCs w:val="24"/>
          <w:lang w:eastAsia="en-AU"/>
        </w:rPr>
        <w:t>Australia-PNG Subnational Program</w:t>
      </w:r>
      <w:r>
        <w:rPr>
          <w:rFonts w:ascii="Segoe UI" w:eastAsia="Times New Roman" w:hAnsi="Segoe UI" w:cs="Segoe UI"/>
          <w:color w:val="313131"/>
          <w:sz w:val="24"/>
          <w:szCs w:val="24"/>
          <w:lang w:eastAsia="en-AU"/>
        </w:rPr>
        <w:t xml:space="preserve"> </w:t>
      </w:r>
      <w:r w:rsidR="00A1408B">
        <w:rPr>
          <w:rFonts w:ascii="Segoe UI" w:eastAsia="Times New Roman" w:hAnsi="Segoe UI" w:cs="Segoe UI"/>
          <w:color w:val="313131"/>
          <w:sz w:val="24"/>
          <w:szCs w:val="24"/>
          <w:lang w:eastAsia="en-AU"/>
        </w:rPr>
        <w:t>will expand</w:t>
      </w:r>
      <w:r w:rsidR="00D70CBE">
        <w:rPr>
          <w:rFonts w:ascii="Segoe UI" w:eastAsia="Times New Roman" w:hAnsi="Segoe UI" w:cs="Segoe UI"/>
          <w:color w:val="313131"/>
          <w:sz w:val="24"/>
          <w:szCs w:val="24"/>
          <w:lang w:eastAsia="en-AU"/>
        </w:rPr>
        <w:t xml:space="preserve"> the </w:t>
      </w:r>
      <w:r w:rsidR="00821E8C">
        <w:rPr>
          <w:rFonts w:ascii="Segoe UI" w:eastAsia="Times New Roman" w:hAnsi="Segoe UI" w:cs="Segoe UI"/>
          <w:color w:val="313131"/>
          <w:sz w:val="24"/>
          <w:szCs w:val="24"/>
          <w:lang w:eastAsia="en-AU"/>
        </w:rPr>
        <w:t>role</w:t>
      </w:r>
      <w:r w:rsidR="00D70CBE">
        <w:rPr>
          <w:rFonts w:ascii="Segoe UI" w:eastAsia="Times New Roman" w:hAnsi="Segoe UI" w:cs="Segoe UI"/>
          <w:color w:val="313131"/>
          <w:sz w:val="24"/>
          <w:szCs w:val="24"/>
          <w:lang w:eastAsia="en-AU"/>
        </w:rPr>
        <w:t xml:space="preserve"> of subnational advisers to </w:t>
      </w:r>
      <w:r w:rsidR="00953486">
        <w:rPr>
          <w:rFonts w:ascii="Segoe UI" w:eastAsia="Times New Roman" w:hAnsi="Segoe UI" w:cs="Segoe UI"/>
          <w:color w:val="313131"/>
          <w:sz w:val="24"/>
          <w:szCs w:val="24"/>
          <w:lang w:eastAsia="en-AU"/>
        </w:rPr>
        <w:t>deliver</w:t>
      </w:r>
      <w:r w:rsidR="00D70CBE">
        <w:rPr>
          <w:rFonts w:ascii="Segoe UI" w:eastAsia="Times New Roman" w:hAnsi="Segoe UI" w:cs="Segoe UI"/>
          <w:color w:val="313131"/>
          <w:sz w:val="24"/>
          <w:szCs w:val="24"/>
          <w:lang w:eastAsia="en-AU"/>
        </w:rPr>
        <w:t xml:space="preserve"> ‘place-based’ approaches in </w:t>
      </w:r>
      <w:r w:rsidR="006C08DC">
        <w:rPr>
          <w:rFonts w:ascii="Segoe UI" w:eastAsia="Times New Roman" w:hAnsi="Segoe UI" w:cs="Segoe UI"/>
          <w:color w:val="313131"/>
          <w:sz w:val="24"/>
          <w:szCs w:val="24"/>
          <w:lang w:eastAsia="en-AU"/>
        </w:rPr>
        <w:t>target provinces</w:t>
      </w:r>
      <w:r w:rsidR="007A38AC">
        <w:rPr>
          <w:rFonts w:ascii="Segoe UI" w:eastAsia="Times New Roman" w:hAnsi="Segoe UI" w:cs="Segoe UI"/>
          <w:color w:val="313131"/>
          <w:sz w:val="24"/>
          <w:szCs w:val="24"/>
          <w:lang w:eastAsia="en-AU"/>
        </w:rPr>
        <w:t xml:space="preserve">, coordinating across </w:t>
      </w:r>
      <w:r w:rsidR="00953486">
        <w:rPr>
          <w:rFonts w:ascii="Segoe UI" w:eastAsia="Times New Roman" w:hAnsi="Segoe UI" w:cs="Segoe UI"/>
          <w:color w:val="313131"/>
          <w:sz w:val="24"/>
          <w:szCs w:val="24"/>
          <w:lang w:eastAsia="en-AU"/>
        </w:rPr>
        <w:t xml:space="preserve">a range of </w:t>
      </w:r>
      <w:r w:rsidR="007A38AC">
        <w:rPr>
          <w:rFonts w:ascii="Segoe UI" w:eastAsia="Times New Roman" w:hAnsi="Segoe UI" w:cs="Segoe UI"/>
          <w:color w:val="313131"/>
          <w:sz w:val="24"/>
          <w:szCs w:val="24"/>
          <w:lang w:eastAsia="en-AU"/>
        </w:rPr>
        <w:t>program activities and external actor</w:t>
      </w:r>
      <w:r w:rsidR="00953486">
        <w:rPr>
          <w:rFonts w:ascii="Segoe UI" w:eastAsia="Times New Roman" w:hAnsi="Segoe UI" w:cs="Segoe UI"/>
          <w:color w:val="313131"/>
          <w:sz w:val="24"/>
          <w:szCs w:val="24"/>
          <w:lang w:eastAsia="en-AU"/>
        </w:rPr>
        <w:t xml:space="preserve"> interests.</w:t>
      </w:r>
    </w:p>
    <w:p w14:paraId="08D24D41" w14:textId="45E14C06" w:rsidR="006C08DC" w:rsidRPr="00F614E5" w:rsidRDefault="00216D35" w:rsidP="00821E8C">
      <w:pPr>
        <w:pStyle w:val="ListParagraph"/>
        <w:numPr>
          <w:ilvl w:val="0"/>
          <w:numId w:val="6"/>
        </w:numPr>
        <w:shd w:val="clear" w:color="auto" w:fill="FFFFFF"/>
        <w:spacing w:after="60" w:line="240" w:lineRule="auto"/>
        <w:ind w:left="714" w:hanging="357"/>
        <w:contextualSpacing w:val="0"/>
        <w:outlineLvl w:val="1"/>
        <w:rPr>
          <w:rFonts w:ascii="Segoe UI" w:eastAsia="Times New Roman" w:hAnsi="Segoe UI" w:cs="Segoe UI"/>
          <w:color w:val="313131"/>
          <w:sz w:val="24"/>
          <w:szCs w:val="24"/>
          <w:lang w:eastAsia="en-AU"/>
        </w:rPr>
      </w:pPr>
      <w:r w:rsidRPr="00F614E5">
        <w:rPr>
          <w:rFonts w:ascii="Segoe UI" w:eastAsia="Times New Roman" w:hAnsi="Segoe UI" w:cs="Segoe UI"/>
          <w:color w:val="313131"/>
          <w:sz w:val="24"/>
          <w:szCs w:val="24"/>
          <w:lang w:eastAsia="en-AU"/>
        </w:rPr>
        <w:t xml:space="preserve">The </w:t>
      </w:r>
      <w:r w:rsidRPr="00F614E5">
        <w:rPr>
          <w:rFonts w:ascii="Segoe UI" w:eastAsia="Times New Roman" w:hAnsi="Segoe UI" w:cs="Segoe UI"/>
          <w:i/>
          <w:iCs/>
          <w:color w:val="313131"/>
          <w:sz w:val="24"/>
          <w:szCs w:val="24"/>
          <w:lang w:eastAsia="en-AU"/>
        </w:rPr>
        <w:t>Economic Partnership</w:t>
      </w:r>
      <w:r w:rsidRPr="00F614E5">
        <w:rPr>
          <w:rFonts w:ascii="Segoe UI" w:eastAsia="Times New Roman" w:hAnsi="Segoe UI" w:cs="Segoe UI"/>
          <w:color w:val="313131"/>
          <w:sz w:val="24"/>
          <w:szCs w:val="24"/>
          <w:lang w:eastAsia="en-AU"/>
        </w:rPr>
        <w:t xml:space="preserve"> </w:t>
      </w:r>
      <w:r w:rsidR="005A449E">
        <w:rPr>
          <w:rFonts w:ascii="Segoe UI" w:eastAsia="Times New Roman" w:hAnsi="Segoe UI" w:cs="Segoe UI"/>
          <w:color w:val="313131"/>
          <w:sz w:val="24"/>
          <w:szCs w:val="24"/>
          <w:lang w:eastAsia="en-AU"/>
        </w:rPr>
        <w:t>is placing greater</w:t>
      </w:r>
      <w:r w:rsidR="005575CB" w:rsidRPr="00F614E5">
        <w:rPr>
          <w:rFonts w:ascii="Segoe UI" w:eastAsia="Times New Roman" w:hAnsi="Segoe UI" w:cs="Segoe UI"/>
          <w:color w:val="313131"/>
          <w:sz w:val="24"/>
          <w:szCs w:val="24"/>
          <w:lang w:eastAsia="en-AU"/>
        </w:rPr>
        <w:t xml:space="preserve"> focus on </w:t>
      </w:r>
      <w:r w:rsidR="00930BF0" w:rsidRPr="00F614E5">
        <w:rPr>
          <w:rFonts w:ascii="Segoe UI" w:eastAsia="Times New Roman" w:hAnsi="Segoe UI" w:cs="Segoe UI"/>
          <w:color w:val="313131"/>
          <w:sz w:val="24"/>
          <w:szCs w:val="24"/>
          <w:lang w:eastAsia="en-AU"/>
        </w:rPr>
        <w:t xml:space="preserve">long-term capacity building workplans for officials within central </w:t>
      </w:r>
      <w:proofErr w:type="spellStart"/>
      <w:r w:rsidR="00930BF0" w:rsidRPr="00F614E5">
        <w:rPr>
          <w:rFonts w:ascii="Segoe UI" w:eastAsia="Times New Roman" w:hAnsi="Segoe UI" w:cs="Segoe UI"/>
          <w:color w:val="313131"/>
          <w:sz w:val="24"/>
          <w:szCs w:val="24"/>
          <w:lang w:eastAsia="en-AU"/>
        </w:rPr>
        <w:t>GoPNG</w:t>
      </w:r>
      <w:proofErr w:type="spellEnd"/>
      <w:r w:rsidR="00930BF0" w:rsidRPr="00F614E5">
        <w:rPr>
          <w:rFonts w:ascii="Segoe UI" w:eastAsia="Times New Roman" w:hAnsi="Segoe UI" w:cs="Segoe UI"/>
          <w:color w:val="313131"/>
          <w:sz w:val="24"/>
          <w:szCs w:val="24"/>
          <w:lang w:eastAsia="en-AU"/>
        </w:rPr>
        <w:t xml:space="preserve"> agencies.</w:t>
      </w:r>
    </w:p>
    <w:p w14:paraId="66DE7B88" w14:textId="56099189" w:rsidR="00BC3898" w:rsidRDefault="00BC3898" w:rsidP="00A16DD7">
      <w:pPr>
        <w:shd w:val="clear" w:color="auto" w:fill="FFFFFF"/>
        <w:spacing w:after="0" w:line="240" w:lineRule="auto"/>
        <w:outlineLvl w:val="1"/>
        <w:rPr>
          <w:rFonts w:ascii="Segoe UI" w:eastAsia="Times New Roman" w:hAnsi="Segoe UI" w:cs="Segoe UI"/>
          <w:b/>
          <w:bCs/>
          <w:color w:val="313131"/>
          <w:sz w:val="24"/>
          <w:szCs w:val="24"/>
          <w:lang w:eastAsia="en-AU"/>
        </w:rPr>
      </w:pPr>
    </w:p>
    <w:p w14:paraId="4E921A58" w14:textId="017348ED" w:rsidR="00D51D92" w:rsidRPr="00B6743B" w:rsidRDefault="00D51D92"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A more detailed breakdown of key lessons </w:t>
      </w:r>
      <w:r w:rsidR="003B3736">
        <w:rPr>
          <w:rFonts w:ascii="Segoe UI" w:eastAsia="Times New Roman" w:hAnsi="Segoe UI" w:cs="Segoe UI"/>
          <w:color w:val="313131"/>
          <w:sz w:val="24"/>
          <w:szCs w:val="24"/>
          <w:lang w:eastAsia="en-AU"/>
        </w:rPr>
        <w:t xml:space="preserve">for implementation under major new programs in PNG is included in </w:t>
      </w:r>
      <w:r w:rsidR="003B3736" w:rsidRPr="0023791F">
        <w:rPr>
          <w:rFonts w:ascii="Segoe UI" w:eastAsia="Times New Roman" w:hAnsi="Segoe UI" w:cs="Segoe UI"/>
          <w:color w:val="313131"/>
          <w:sz w:val="24"/>
          <w:szCs w:val="24"/>
          <w:u w:val="single"/>
          <w:lang w:eastAsia="en-AU"/>
        </w:rPr>
        <w:t>Annex 1</w:t>
      </w:r>
      <w:r w:rsidR="003B3736">
        <w:rPr>
          <w:rFonts w:ascii="Segoe UI" w:eastAsia="Times New Roman" w:hAnsi="Segoe UI" w:cs="Segoe UI"/>
          <w:color w:val="313131"/>
          <w:sz w:val="24"/>
          <w:szCs w:val="24"/>
          <w:lang w:eastAsia="en-AU"/>
        </w:rPr>
        <w:t>.</w:t>
      </w:r>
    </w:p>
    <w:p w14:paraId="5BC88F1B" w14:textId="1B816DF2" w:rsidR="00BC3898" w:rsidRPr="00F5120E" w:rsidRDefault="00BC3898" w:rsidP="00B6743B">
      <w:pPr>
        <w:pStyle w:val="Heading2"/>
      </w:pPr>
      <w:r>
        <w:t xml:space="preserve">Future </w:t>
      </w:r>
      <w:r w:rsidR="007F1853">
        <w:t>p</w:t>
      </w:r>
      <w:r>
        <w:t>rogramming through ‘facilities’</w:t>
      </w:r>
    </w:p>
    <w:p w14:paraId="5344B285" w14:textId="603E1C6C" w:rsidR="005103A5" w:rsidRDefault="00BF3E48" w:rsidP="005103A5">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Appropriate r</w:t>
      </w:r>
      <w:r w:rsidR="00D34A6B">
        <w:rPr>
          <w:rFonts w:ascii="Segoe UI" w:eastAsia="Times New Roman" w:hAnsi="Segoe UI" w:cs="Segoe UI"/>
          <w:color w:val="313131"/>
          <w:sz w:val="24"/>
          <w:szCs w:val="24"/>
          <w:lang w:eastAsia="en-AU"/>
        </w:rPr>
        <w:t>esourcing</w:t>
      </w:r>
      <w:r w:rsidR="0049162A">
        <w:rPr>
          <w:rFonts w:ascii="Segoe UI" w:eastAsia="Times New Roman" w:hAnsi="Segoe UI" w:cs="Segoe UI"/>
          <w:color w:val="313131"/>
          <w:sz w:val="24"/>
          <w:szCs w:val="24"/>
          <w:lang w:eastAsia="en-AU"/>
        </w:rPr>
        <w:t xml:space="preserve"> and expertise to support</w:t>
      </w:r>
      <w:r w:rsidR="00A718E4">
        <w:rPr>
          <w:rFonts w:ascii="Segoe UI" w:eastAsia="Times New Roman" w:hAnsi="Segoe UI" w:cs="Segoe UI"/>
          <w:color w:val="313131"/>
          <w:sz w:val="24"/>
          <w:szCs w:val="24"/>
          <w:lang w:eastAsia="en-AU"/>
        </w:rPr>
        <w:t xml:space="preserve"> DFAT</w:t>
      </w:r>
      <w:r w:rsidR="000000E6">
        <w:rPr>
          <w:rFonts w:ascii="Segoe UI" w:eastAsia="Times New Roman" w:hAnsi="Segoe UI" w:cs="Segoe UI"/>
          <w:color w:val="313131"/>
          <w:sz w:val="24"/>
          <w:szCs w:val="24"/>
          <w:lang w:eastAsia="en-AU"/>
        </w:rPr>
        <w:t>’s</w:t>
      </w:r>
      <w:r w:rsidR="00A718E4">
        <w:rPr>
          <w:rFonts w:ascii="Segoe UI" w:eastAsia="Times New Roman" w:hAnsi="Segoe UI" w:cs="Segoe UI"/>
          <w:color w:val="313131"/>
          <w:sz w:val="24"/>
          <w:szCs w:val="24"/>
          <w:lang w:eastAsia="en-AU"/>
        </w:rPr>
        <w:t xml:space="preserve"> m</w:t>
      </w:r>
      <w:r w:rsidR="0092721D">
        <w:rPr>
          <w:rFonts w:ascii="Segoe UI" w:eastAsia="Times New Roman" w:hAnsi="Segoe UI" w:cs="Segoe UI"/>
          <w:color w:val="313131"/>
          <w:sz w:val="24"/>
          <w:szCs w:val="24"/>
          <w:lang w:eastAsia="en-AU"/>
        </w:rPr>
        <w:t>anagement</w:t>
      </w:r>
      <w:r w:rsidR="00F35509">
        <w:rPr>
          <w:rFonts w:ascii="Segoe UI" w:eastAsia="Times New Roman" w:hAnsi="Segoe UI" w:cs="Segoe UI"/>
          <w:color w:val="313131"/>
          <w:sz w:val="24"/>
          <w:szCs w:val="24"/>
          <w:lang w:eastAsia="en-AU"/>
        </w:rPr>
        <w:t xml:space="preserve"> </w:t>
      </w:r>
      <w:proofErr w:type="gramStart"/>
      <w:r w:rsidR="00F35509">
        <w:rPr>
          <w:rFonts w:ascii="Segoe UI" w:eastAsia="Times New Roman" w:hAnsi="Segoe UI" w:cs="Segoe UI"/>
          <w:color w:val="313131"/>
          <w:sz w:val="24"/>
          <w:szCs w:val="24"/>
          <w:lang w:eastAsia="en-AU"/>
        </w:rPr>
        <w:t xml:space="preserve">of </w:t>
      </w:r>
      <w:r w:rsidR="007F1853">
        <w:rPr>
          <w:rFonts w:ascii="Segoe UI" w:eastAsia="Times New Roman" w:hAnsi="Segoe UI" w:cs="Segoe UI"/>
          <w:color w:val="313131"/>
          <w:sz w:val="24"/>
          <w:szCs w:val="24"/>
          <w:lang w:eastAsia="en-AU"/>
        </w:rPr>
        <w:t xml:space="preserve"> </w:t>
      </w:r>
      <w:r w:rsidR="0001058E">
        <w:rPr>
          <w:rFonts w:ascii="Segoe UI" w:eastAsia="Times New Roman" w:hAnsi="Segoe UI" w:cs="Segoe UI"/>
          <w:color w:val="313131"/>
          <w:sz w:val="24"/>
          <w:szCs w:val="24"/>
          <w:lang w:eastAsia="en-AU"/>
        </w:rPr>
        <w:t>any</w:t>
      </w:r>
      <w:proofErr w:type="gramEnd"/>
      <w:r w:rsidR="0001058E">
        <w:rPr>
          <w:rFonts w:ascii="Segoe UI" w:eastAsia="Times New Roman" w:hAnsi="Segoe UI" w:cs="Segoe UI"/>
          <w:color w:val="313131"/>
          <w:sz w:val="24"/>
          <w:szCs w:val="24"/>
          <w:lang w:eastAsia="en-AU"/>
        </w:rPr>
        <w:t xml:space="preserve"> future </w:t>
      </w:r>
      <w:r w:rsidR="007F1853">
        <w:rPr>
          <w:rFonts w:ascii="Segoe UI" w:eastAsia="Times New Roman" w:hAnsi="Segoe UI" w:cs="Segoe UI"/>
          <w:color w:val="313131"/>
          <w:sz w:val="24"/>
          <w:szCs w:val="24"/>
          <w:lang w:eastAsia="en-AU"/>
        </w:rPr>
        <w:t xml:space="preserve"> </w:t>
      </w:r>
      <w:r w:rsidR="00F35509">
        <w:rPr>
          <w:rFonts w:ascii="Segoe UI" w:eastAsia="Times New Roman" w:hAnsi="Segoe UI" w:cs="Segoe UI"/>
          <w:color w:val="313131"/>
          <w:sz w:val="24"/>
          <w:szCs w:val="24"/>
          <w:lang w:eastAsia="en-AU"/>
        </w:rPr>
        <w:t>facilities</w:t>
      </w:r>
      <w:r w:rsidR="0049162A">
        <w:rPr>
          <w:rFonts w:ascii="Segoe UI" w:eastAsia="Times New Roman" w:hAnsi="Segoe UI" w:cs="Segoe UI"/>
          <w:color w:val="313131"/>
          <w:sz w:val="24"/>
          <w:szCs w:val="24"/>
          <w:lang w:eastAsia="en-AU"/>
        </w:rPr>
        <w:t xml:space="preserve"> is considered essential</w:t>
      </w:r>
      <w:r w:rsidR="00C53711">
        <w:rPr>
          <w:rFonts w:ascii="Segoe UI" w:eastAsia="Times New Roman" w:hAnsi="Segoe UI" w:cs="Segoe UI"/>
          <w:color w:val="313131"/>
          <w:sz w:val="24"/>
          <w:szCs w:val="24"/>
          <w:lang w:eastAsia="en-AU"/>
        </w:rPr>
        <w:t xml:space="preserve">, </w:t>
      </w:r>
      <w:r w:rsidR="000B630E">
        <w:rPr>
          <w:rFonts w:ascii="Segoe UI" w:eastAsia="Times New Roman" w:hAnsi="Segoe UI" w:cs="Segoe UI"/>
          <w:color w:val="313131"/>
          <w:sz w:val="24"/>
          <w:szCs w:val="24"/>
          <w:lang w:eastAsia="en-AU"/>
        </w:rPr>
        <w:t>particularly</w:t>
      </w:r>
      <w:r w:rsidR="00C53711">
        <w:rPr>
          <w:rFonts w:ascii="Segoe UI" w:eastAsia="Times New Roman" w:hAnsi="Segoe UI" w:cs="Segoe UI"/>
          <w:color w:val="313131"/>
          <w:sz w:val="24"/>
          <w:szCs w:val="24"/>
          <w:lang w:eastAsia="en-AU"/>
        </w:rPr>
        <w:t xml:space="preserve"> </w:t>
      </w:r>
      <w:r w:rsidR="000B630E">
        <w:rPr>
          <w:rFonts w:ascii="Segoe UI" w:eastAsia="Times New Roman" w:hAnsi="Segoe UI" w:cs="Segoe UI"/>
          <w:color w:val="313131"/>
          <w:sz w:val="24"/>
          <w:szCs w:val="24"/>
          <w:lang w:eastAsia="en-AU"/>
        </w:rPr>
        <w:t xml:space="preserve">for ongoing </w:t>
      </w:r>
      <w:r w:rsidR="00C53711">
        <w:rPr>
          <w:rFonts w:ascii="Segoe UI" w:eastAsia="Times New Roman" w:hAnsi="Segoe UI" w:cs="Segoe UI"/>
          <w:color w:val="313131"/>
          <w:sz w:val="24"/>
          <w:szCs w:val="24"/>
          <w:lang w:eastAsia="en-AU"/>
        </w:rPr>
        <w:t>monitoring</w:t>
      </w:r>
      <w:r w:rsidR="000B630E">
        <w:rPr>
          <w:rFonts w:ascii="Segoe UI" w:eastAsia="Times New Roman" w:hAnsi="Segoe UI" w:cs="Segoe UI"/>
          <w:color w:val="313131"/>
          <w:sz w:val="24"/>
          <w:szCs w:val="24"/>
          <w:lang w:eastAsia="en-AU"/>
        </w:rPr>
        <w:t xml:space="preserve"> and structural ana</w:t>
      </w:r>
      <w:r w:rsidR="00786A7A">
        <w:rPr>
          <w:rFonts w:ascii="Segoe UI" w:eastAsia="Times New Roman" w:hAnsi="Segoe UI" w:cs="Segoe UI"/>
          <w:color w:val="313131"/>
          <w:sz w:val="24"/>
          <w:szCs w:val="24"/>
          <w:lang w:eastAsia="en-AU"/>
        </w:rPr>
        <w:t>l</w:t>
      </w:r>
      <w:r w:rsidR="000B630E">
        <w:rPr>
          <w:rFonts w:ascii="Segoe UI" w:eastAsia="Times New Roman" w:hAnsi="Segoe UI" w:cs="Segoe UI"/>
          <w:color w:val="313131"/>
          <w:sz w:val="24"/>
          <w:szCs w:val="24"/>
          <w:lang w:eastAsia="en-AU"/>
        </w:rPr>
        <w:t>y</w:t>
      </w:r>
      <w:r w:rsidR="00786A7A">
        <w:rPr>
          <w:rFonts w:ascii="Segoe UI" w:eastAsia="Times New Roman" w:hAnsi="Segoe UI" w:cs="Segoe UI"/>
          <w:color w:val="313131"/>
          <w:sz w:val="24"/>
          <w:szCs w:val="24"/>
          <w:lang w:eastAsia="en-AU"/>
        </w:rPr>
        <w:t>sis</w:t>
      </w:r>
      <w:r w:rsidR="00C53711">
        <w:rPr>
          <w:rFonts w:ascii="Segoe UI" w:eastAsia="Times New Roman" w:hAnsi="Segoe UI" w:cs="Segoe UI"/>
          <w:color w:val="313131"/>
          <w:sz w:val="24"/>
          <w:szCs w:val="24"/>
          <w:lang w:eastAsia="en-AU"/>
        </w:rPr>
        <w:t>. A mechanism like QTAG could play a</w:t>
      </w:r>
      <w:r w:rsidR="006C2665">
        <w:rPr>
          <w:rFonts w:ascii="Segoe UI" w:eastAsia="Times New Roman" w:hAnsi="Segoe UI" w:cs="Segoe UI"/>
          <w:color w:val="313131"/>
          <w:sz w:val="24"/>
          <w:szCs w:val="24"/>
          <w:lang w:eastAsia="en-AU"/>
        </w:rPr>
        <w:t xml:space="preserve">n enhanced </w:t>
      </w:r>
      <w:r w:rsidR="00C53711">
        <w:rPr>
          <w:rFonts w:ascii="Segoe UI" w:eastAsia="Times New Roman" w:hAnsi="Segoe UI" w:cs="Segoe UI"/>
          <w:color w:val="313131"/>
          <w:sz w:val="24"/>
          <w:szCs w:val="24"/>
          <w:lang w:eastAsia="en-AU"/>
        </w:rPr>
        <w:t>supporting role</w:t>
      </w:r>
      <w:r w:rsidR="006C2665">
        <w:rPr>
          <w:rFonts w:ascii="Segoe UI" w:eastAsia="Times New Roman" w:hAnsi="Segoe UI" w:cs="Segoe UI"/>
          <w:color w:val="313131"/>
          <w:sz w:val="24"/>
          <w:szCs w:val="24"/>
          <w:lang w:eastAsia="en-AU"/>
        </w:rPr>
        <w:t xml:space="preserve"> in this</w:t>
      </w:r>
      <w:r w:rsidR="0001058E">
        <w:rPr>
          <w:rFonts w:ascii="Segoe UI" w:eastAsia="Times New Roman" w:hAnsi="Segoe UI" w:cs="Segoe UI"/>
          <w:color w:val="313131"/>
          <w:sz w:val="24"/>
          <w:szCs w:val="24"/>
          <w:lang w:eastAsia="en-AU"/>
        </w:rPr>
        <w:t xml:space="preserve"> given the complexity typically involved in such modalities</w:t>
      </w:r>
      <w:r w:rsidR="00C53711">
        <w:rPr>
          <w:rFonts w:ascii="Segoe UI" w:eastAsia="Times New Roman" w:hAnsi="Segoe UI" w:cs="Segoe UI"/>
          <w:color w:val="313131"/>
          <w:sz w:val="24"/>
          <w:szCs w:val="24"/>
          <w:lang w:eastAsia="en-AU"/>
        </w:rPr>
        <w:t>.</w:t>
      </w:r>
      <w:r w:rsidR="005103A5">
        <w:rPr>
          <w:rFonts w:ascii="Segoe UI" w:eastAsia="Times New Roman" w:hAnsi="Segoe UI" w:cs="Segoe UI"/>
          <w:color w:val="313131"/>
          <w:sz w:val="24"/>
          <w:szCs w:val="24"/>
          <w:lang w:eastAsia="en-AU"/>
        </w:rPr>
        <w:t xml:space="preserve"> </w:t>
      </w:r>
      <w:r w:rsidR="00786A7A">
        <w:rPr>
          <w:rFonts w:ascii="Segoe UI" w:eastAsia="Times New Roman" w:hAnsi="Segoe UI" w:cs="Segoe UI"/>
          <w:color w:val="313131"/>
          <w:sz w:val="24"/>
          <w:szCs w:val="24"/>
          <w:lang w:eastAsia="en-AU"/>
        </w:rPr>
        <w:t>The review identified that g</w:t>
      </w:r>
      <w:r w:rsidR="006C2665">
        <w:rPr>
          <w:rFonts w:ascii="Segoe UI" w:eastAsia="Times New Roman" w:hAnsi="Segoe UI" w:cs="Segoe UI"/>
          <w:color w:val="313131"/>
          <w:sz w:val="24"/>
          <w:szCs w:val="24"/>
          <w:lang w:eastAsia="en-AU"/>
        </w:rPr>
        <w:t xml:space="preserve">reater </w:t>
      </w:r>
      <w:r w:rsidR="005103A5" w:rsidRPr="00971B9E">
        <w:rPr>
          <w:rFonts w:ascii="Segoe UI" w:eastAsia="Times New Roman" w:hAnsi="Segoe UI" w:cs="Segoe UI"/>
          <w:color w:val="313131"/>
          <w:sz w:val="24"/>
          <w:szCs w:val="24"/>
          <w:lang w:eastAsia="en-AU"/>
        </w:rPr>
        <w:t>clarity on roles and responsibilities</w:t>
      </w:r>
      <w:r w:rsidR="00C54CFC">
        <w:rPr>
          <w:rFonts w:ascii="Segoe UI" w:eastAsia="Times New Roman" w:hAnsi="Segoe UI" w:cs="Segoe UI"/>
          <w:color w:val="313131"/>
          <w:sz w:val="24"/>
          <w:szCs w:val="24"/>
          <w:lang w:eastAsia="en-AU"/>
        </w:rPr>
        <w:t xml:space="preserve"> for program governance</w:t>
      </w:r>
      <w:r w:rsidR="005103A5" w:rsidRPr="00971B9E">
        <w:rPr>
          <w:rFonts w:ascii="Segoe UI" w:eastAsia="Times New Roman" w:hAnsi="Segoe UI" w:cs="Segoe UI"/>
          <w:color w:val="313131"/>
          <w:sz w:val="24"/>
          <w:szCs w:val="24"/>
          <w:lang w:eastAsia="en-AU"/>
        </w:rPr>
        <w:t xml:space="preserve">, clear targets, and </w:t>
      </w:r>
      <w:r w:rsidR="00041B68">
        <w:rPr>
          <w:rFonts w:ascii="Segoe UI" w:eastAsia="Times New Roman" w:hAnsi="Segoe UI" w:cs="Segoe UI"/>
          <w:color w:val="313131"/>
          <w:sz w:val="24"/>
          <w:szCs w:val="24"/>
          <w:lang w:eastAsia="en-AU"/>
        </w:rPr>
        <w:t xml:space="preserve">a stronger </w:t>
      </w:r>
      <w:r w:rsidR="00084E05">
        <w:rPr>
          <w:rFonts w:ascii="Segoe UI" w:eastAsia="Times New Roman" w:hAnsi="Segoe UI" w:cs="Segoe UI"/>
          <w:color w:val="313131"/>
          <w:sz w:val="24"/>
          <w:szCs w:val="24"/>
          <w:lang w:eastAsia="en-AU"/>
        </w:rPr>
        <w:t xml:space="preserve">directive for </w:t>
      </w:r>
      <w:r w:rsidR="006C2665">
        <w:rPr>
          <w:rFonts w:ascii="Segoe UI" w:eastAsia="Times New Roman" w:hAnsi="Segoe UI" w:cs="Segoe UI"/>
          <w:color w:val="313131"/>
          <w:sz w:val="24"/>
          <w:szCs w:val="24"/>
          <w:lang w:eastAsia="en-AU"/>
        </w:rPr>
        <w:t>the managing contractor</w:t>
      </w:r>
      <w:r w:rsidR="005103A5" w:rsidRPr="00971B9E">
        <w:rPr>
          <w:rFonts w:ascii="Segoe UI" w:eastAsia="Times New Roman" w:hAnsi="Segoe UI" w:cs="Segoe UI"/>
          <w:color w:val="313131"/>
          <w:sz w:val="24"/>
          <w:szCs w:val="24"/>
          <w:lang w:eastAsia="en-AU"/>
        </w:rPr>
        <w:t xml:space="preserve"> to reallocate resources based on performance</w:t>
      </w:r>
      <w:r w:rsidR="00084E05">
        <w:rPr>
          <w:rFonts w:ascii="Segoe UI" w:eastAsia="Times New Roman" w:hAnsi="Segoe UI" w:cs="Segoe UI"/>
          <w:color w:val="313131"/>
          <w:sz w:val="24"/>
          <w:szCs w:val="24"/>
          <w:lang w:eastAsia="en-AU"/>
        </w:rPr>
        <w:t xml:space="preserve"> </w:t>
      </w:r>
      <w:r w:rsidR="000D6DC3">
        <w:rPr>
          <w:rFonts w:ascii="Segoe UI" w:eastAsia="Times New Roman" w:hAnsi="Segoe UI" w:cs="Segoe UI"/>
          <w:color w:val="313131"/>
          <w:sz w:val="24"/>
          <w:szCs w:val="24"/>
          <w:lang w:eastAsia="en-AU"/>
        </w:rPr>
        <w:t xml:space="preserve">can </w:t>
      </w:r>
      <w:r w:rsidR="00041B68">
        <w:rPr>
          <w:rFonts w:ascii="Segoe UI" w:eastAsia="Times New Roman" w:hAnsi="Segoe UI" w:cs="Segoe UI"/>
          <w:color w:val="313131"/>
          <w:sz w:val="24"/>
          <w:szCs w:val="24"/>
          <w:lang w:eastAsia="en-AU"/>
        </w:rPr>
        <w:t>lead to improved outcomes.</w:t>
      </w:r>
    </w:p>
    <w:p w14:paraId="62B3D615" w14:textId="77777777" w:rsidR="00C53711" w:rsidRDefault="00C53711"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7B159B0C" w14:textId="49D54F00" w:rsidR="00D34A6B" w:rsidRDefault="0037298B" w:rsidP="00A16DD7">
      <w:pPr>
        <w:shd w:val="clear" w:color="auto" w:fill="FFFFFF"/>
        <w:spacing w:after="0" w:line="240" w:lineRule="auto"/>
        <w:outlineLvl w:val="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The operational and political complexities of working in PNG, and across provincial contexts, is a significant limiting factor for a broad facility approach. </w:t>
      </w:r>
      <w:r w:rsidR="00F74160">
        <w:rPr>
          <w:rFonts w:ascii="Segoe UI" w:eastAsia="Times New Roman" w:hAnsi="Segoe UI" w:cs="Segoe UI"/>
          <w:color w:val="313131"/>
          <w:sz w:val="24"/>
          <w:szCs w:val="24"/>
          <w:lang w:eastAsia="en-AU"/>
        </w:rPr>
        <w:t xml:space="preserve">Establishing </w:t>
      </w:r>
      <w:r w:rsidR="000C5AF2">
        <w:rPr>
          <w:rFonts w:ascii="Segoe UI" w:eastAsia="Times New Roman" w:hAnsi="Segoe UI" w:cs="Segoe UI"/>
          <w:color w:val="313131"/>
          <w:sz w:val="24"/>
          <w:szCs w:val="24"/>
          <w:lang w:eastAsia="en-AU"/>
        </w:rPr>
        <w:t>a</w:t>
      </w:r>
      <w:r w:rsidR="004471F8">
        <w:rPr>
          <w:rFonts w:ascii="Segoe UI" w:eastAsia="Times New Roman" w:hAnsi="Segoe UI" w:cs="Segoe UI"/>
          <w:color w:val="313131"/>
          <w:sz w:val="24"/>
          <w:szCs w:val="24"/>
          <w:lang w:eastAsia="en-AU"/>
        </w:rPr>
        <w:t xml:space="preserve"> </w:t>
      </w:r>
      <w:r w:rsidR="005F7137">
        <w:rPr>
          <w:rFonts w:ascii="Segoe UI" w:eastAsia="Times New Roman" w:hAnsi="Segoe UI" w:cs="Segoe UI"/>
          <w:color w:val="313131"/>
          <w:sz w:val="24"/>
          <w:szCs w:val="24"/>
          <w:lang w:eastAsia="en-AU"/>
        </w:rPr>
        <w:t>modest</w:t>
      </w:r>
      <w:r w:rsidR="000D6DC3">
        <w:rPr>
          <w:rFonts w:ascii="Segoe UI" w:eastAsia="Times New Roman" w:hAnsi="Segoe UI" w:cs="Segoe UI"/>
          <w:color w:val="313131"/>
          <w:sz w:val="24"/>
          <w:szCs w:val="24"/>
          <w:lang w:eastAsia="en-AU"/>
        </w:rPr>
        <w:t xml:space="preserve"> </w:t>
      </w:r>
      <w:r w:rsidR="000C5AF2">
        <w:rPr>
          <w:rFonts w:ascii="Segoe UI" w:eastAsia="Times New Roman" w:hAnsi="Segoe UI" w:cs="Segoe UI"/>
          <w:color w:val="313131"/>
          <w:sz w:val="24"/>
          <w:szCs w:val="24"/>
          <w:lang w:eastAsia="en-AU"/>
        </w:rPr>
        <w:t>balance of s</w:t>
      </w:r>
      <w:r w:rsidR="00D34A6B">
        <w:rPr>
          <w:rFonts w:ascii="Segoe UI" w:eastAsia="Times New Roman" w:hAnsi="Segoe UI" w:cs="Segoe UI"/>
          <w:color w:val="313131"/>
          <w:sz w:val="24"/>
          <w:szCs w:val="24"/>
          <w:lang w:eastAsia="en-AU"/>
        </w:rPr>
        <w:t>trategic intent</w:t>
      </w:r>
      <w:r w:rsidR="000C5AF2">
        <w:rPr>
          <w:rFonts w:ascii="Segoe UI" w:eastAsia="Times New Roman" w:hAnsi="Segoe UI" w:cs="Segoe UI"/>
          <w:color w:val="313131"/>
          <w:sz w:val="24"/>
          <w:szCs w:val="24"/>
          <w:lang w:eastAsia="en-AU"/>
        </w:rPr>
        <w:t xml:space="preserve"> </w:t>
      </w:r>
      <w:r w:rsidR="004471F8">
        <w:rPr>
          <w:rFonts w:ascii="Segoe UI" w:eastAsia="Times New Roman" w:hAnsi="Segoe UI" w:cs="Segoe UI"/>
          <w:color w:val="313131"/>
          <w:sz w:val="24"/>
          <w:szCs w:val="24"/>
          <w:lang w:eastAsia="en-AU"/>
        </w:rPr>
        <w:t xml:space="preserve">and </w:t>
      </w:r>
      <w:r w:rsidR="00247893">
        <w:rPr>
          <w:rFonts w:ascii="Segoe UI" w:eastAsia="Times New Roman" w:hAnsi="Segoe UI" w:cs="Segoe UI"/>
          <w:color w:val="313131"/>
          <w:sz w:val="24"/>
          <w:szCs w:val="24"/>
          <w:lang w:eastAsia="en-AU"/>
        </w:rPr>
        <w:t>sectoral spread</w:t>
      </w:r>
      <w:r w:rsidR="00C82238">
        <w:rPr>
          <w:rFonts w:ascii="Segoe UI" w:eastAsia="Times New Roman" w:hAnsi="Segoe UI" w:cs="Segoe UI"/>
          <w:color w:val="313131"/>
          <w:sz w:val="24"/>
          <w:szCs w:val="24"/>
          <w:lang w:eastAsia="en-AU"/>
        </w:rPr>
        <w:t xml:space="preserve"> for </w:t>
      </w:r>
      <w:r w:rsidR="009D7A8F">
        <w:rPr>
          <w:rFonts w:ascii="Segoe UI" w:eastAsia="Times New Roman" w:hAnsi="Segoe UI" w:cs="Segoe UI"/>
          <w:color w:val="313131"/>
          <w:sz w:val="24"/>
          <w:szCs w:val="24"/>
          <w:lang w:eastAsia="en-AU"/>
        </w:rPr>
        <w:t>a facility</w:t>
      </w:r>
      <w:r w:rsidR="000D6DC3">
        <w:rPr>
          <w:rFonts w:ascii="Segoe UI" w:eastAsia="Times New Roman" w:hAnsi="Segoe UI" w:cs="Segoe UI"/>
          <w:color w:val="313131"/>
          <w:sz w:val="24"/>
          <w:szCs w:val="24"/>
          <w:lang w:eastAsia="en-AU"/>
        </w:rPr>
        <w:t xml:space="preserve"> such as PAGP</w:t>
      </w:r>
      <w:r w:rsidR="003C3BED">
        <w:rPr>
          <w:rFonts w:ascii="Segoe UI" w:eastAsia="Times New Roman" w:hAnsi="Segoe UI" w:cs="Segoe UI"/>
          <w:color w:val="313131"/>
          <w:sz w:val="24"/>
          <w:szCs w:val="24"/>
          <w:lang w:eastAsia="en-AU"/>
        </w:rPr>
        <w:t xml:space="preserve"> </w:t>
      </w:r>
      <w:r w:rsidR="0001058E">
        <w:rPr>
          <w:rFonts w:ascii="Segoe UI" w:eastAsia="Times New Roman" w:hAnsi="Segoe UI" w:cs="Segoe UI"/>
          <w:color w:val="313131"/>
          <w:sz w:val="24"/>
          <w:szCs w:val="24"/>
          <w:lang w:eastAsia="en-AU"/>
        </w:rPr>
        <w:t>would have</w:t>
      </w:r>
      <w:r>
        <w:rPr>
          <w:rFonts w:ascii="Segoe UI" w:eastAsia="Times New Roman" w:hAnsi="Segoe UI" w:cs="Segoe UI"/>
          <w:color w:val="313131"/>
          <w:sz w:val="24"/>
          <w:szCs w:val="24"/>
          <w:lang w:eastAsia="en-AU"/>
        </w:rPr>
        <w:t xml:space="preserve"> potential</w:t>
      </w:r>
      <w:r w:rsidR="003C3BED">
        <w:rPr>
          <w:rFonts w:ascii="Segoe UI" w:eastAsia="Times New Roman" w:hAnsi="Segoe UI" w:cs="Segoe UI"/>
          <w:color w:val="313131"/>
          <w:sz w:val="24"/>
          <w:szCs w:val="24"/>
          <w:lang w:eastAsia="en-AU"/>
        </w:rPr>
        <w:t xml:space="preserve"> </w:t>
      </w:r>
      <w:r>
        <w:rPr>
          <w:rFonts w:ascii="Segoe UI" w:eastAsia="Times New Roman" w:hAnsi="Segoe UI" w:cs="Segoe UI"/>
          <w:color w:val="313131"/>
          <w:sz w:val="24"/>
          <w:szCs w:val="24"/>
          <w:lang w:eastAsia="en-AU"/>
        </w:rPr>
        <w:t xml:space="preserve">for </w:t>
      </w:r>
      <w:r w:rsidR="003C3BED">
        <w:rPr>
          <w:rFonts w:ascii="Segoe UI" w:eastAsia="Times New Roman" w:hAnsi="Segoe UI" w:cs="Segoe UI"/>
          <w:color w:val="313131"/>
          <w:sz w:val="24"/>
          <w:szCs w:val="24"/>
          <w:lang w:eastAsia="en-AU"/>
        </w:rPr>
        <w:t>greater impact.</w:t>
      </w:r>
      <w:r w:rsidR="00992E3A">
        <w:rPr>
          <w:rFonts w:ascii="Segoe UI" w:eastAsia="Times New Roman" w:hAnsi="Segoe UI" w:cs="Segoe UI"/>
          <w:color w:val="313131"/>
          <w:sz w:val="24"/>
          <w:szCs w:val="24"/>
          <w:lang w:eastAsia="en-AU"/>
        </w:rPr>
        <w:t xml:space="preserve"> </w:t>
      </w:r>
      <w:r w:rsidR="00EB71B0">
        <w:rPr>
          <w:rFonts w:ascii="Segoe UI" w:eastAsia="Times New Roman" w:hAnsi="Segoe UI" w:cs="Segoe UI"/>
          <w:color w:val="313131"/>
          <w:sz w:val="24"/>
          <w:szCs w:val="24"/>
          <w:lang w:eastAsia="en-AU"/>
        </w:rPr>
        <w:t>Th</w:t>
      </w:r>
      <w:r w:rsidR="00B2512B">
        <w:rPr>
          <w:rFonts w:ascii="Segoe UI" w:eastAsia="Times New Roman" w:hAnsi="Segoe UI" w:cs="Segoe UI"/>
          <w:color w:val="313131"/>
          <w:sz w:val="24"/>
          <w:szCs w:val="24"/>
          <w:lang w:eastAsia="en-AU"/>
        </w:rPr>
        <w:t>is complements the</w:t>
      </w:r>
      <w:r w:rsidR="00EB71B0">
        <w:rPr>
          <w:rFonts w:ascii="Segoe UI" w:eastAsia="Times New Roman" w:hAnsi="Segoe UI" w:cs="Segoe UI"/>
          <w:color w:val="313131"/>
          <w:sz w:val="24"/>
          <w:szCs w:val="24"/>
          <w:lang w:eastAsia="en-AU"/>
        </w:rPr>
        <w:t xml:space="preserve"> review </w:t>
      </w:r>
      <w:r w:rsidR="00B2512B">
        <w:rPr>
          <w:rFonts w:ascii="Segoe UI" w:eastAsia="Times New Roman" w:hAnsi="Segoe UI" w:cs="Segoe UI"/>
          <w:color w:val="313131"/>
          <w:sz w:val="24"/>
          <w:szCs w:val="24"/>
          <w:lang w:eastAsia="en-AU"/>
        </w:rPr>
        <w:t>finding</w:t>
      </w:r>
      <w:r w:rsidR="00EB71B0">
        <w:rPr>
          <w:rFonts w:ascii="Segoe UI" w:eastAsia="Times New Roman" w:hAnsi="Segoe UI" w:cs="Segoe UI"/>
          <w:color w:val="313131"/>
          <w:sz w:val="24"/>
          <w:szCs w:val="24"/>
          <w:lang w:eastAsia="en-AU"/>
        </w:rPr>
        <w:t xml:space="preserve"> that s</w:t>
      </w:r>
      <w:r w:rsidR="003F0E30" w:rsidRPr="003F0E30">
        <w:rPr>
          <w:rFonts w:ascii="Segoe UI" w:eastAsia="Times New Roman" w:hAnsi="Segoe UI" w:cs="Segoe UI"/>
          <w:color w:val="313131"/>
          <w:sz w:val="24"/>
          <w:szCs w:val="24"/>
          <w:lang w:eastAsia="en-AU"/>
        </w:rPr>
        <w:t>maller</w:t>
      </w:r>
      <w:r w:rsidR="00EB71B0">
        <w:rPr>
          <w:rFonts w:ascii="Segoe UI" w:eastAsia="Times New Roman" w:hAnsi="Segoe UI" w:cs="Segoe UI"/>
          <w:color w:val="313131"/>
          <w:sz w:val="24"/>
          <w:szCs w:val="24"/>
          <w:lang w:eastAsia="en-AU"/>
        </w:rPr>
        <w:t xml:space="preserve"> and more-focused</w:t>
      </w:r>
      <w:r w:rsidR="003F0E30" w:rsidRPr="003F0E30">
        <w:rPr>
          <w:rFonts w:ascii="Segoe UI" w:eastAsia="Times New Roman" w:hAnsi="Segoe UI" w:cs="Segoe UI"/>
          <w:color w:val="313131"/>
          <w:sz w:val="24"/>
          <w:szCs w:val="24"/>
          <w:lang w:eastAsia="en-AU"/>
        </w:rPr>
        <w:t xml:space="preserve"> </w:t>
      </w:r>
      <w:r w:rsidR="000D6DC3">
        <w:rPr>
          <w:rFonts w:ascii="Segoe UI" w:eastAsia="Times New Roman" w:hAnsi="Segoe UI" w:cs="Segoe UI"/>
          <w:color w:val="313131"/>
          <w:sz w:val="24"/>
          <w:szCs w:val="24"/>
          <w:lang w:eastAsia="en-AU"/>
        </w:rPr>
        <w:t xml:space="preserve">investment programming </w:t>
      </w:r>
      <w:r w:rsidR="003F0E30" w:rsidRPr="003F0E30">
        <w:rPr>
          <w:rFonts w:ascii="Segoe UI" w:eastAsia="Times New Roman" w:hAnsi="Segoe UI" w:cs="Segoe UI"/>
          <w:color w:val="313131"/>
          <w:sz w:val="24"/>
          <w:szCs w:val="24"/>
          <w:lang w:eastAsia="en-AU"/>
        </w:rPr>
        <w:t>allow</w:t>
      </w:r>
      <w:r w:rsidR="000D6DC3">
        <w:rPr>
          <w:rFonts w:ascii="Segoe UI" w:eastAsia="Times New Roman" w:hAnsi="Segoe UI" w:cs="Segoe UI"/>
          <w:color w:val="313131"/>
          <w:sz w:val="24"/>
          <w:szCs w:val="24"/>
          <w:lang w:eastAsia="en-AU"/>
        </w:rPr>
        <w:t>s</w:t>
      </w:r>
      <w:r w:rsidR="003F0E30" w:rsidRPr="003F0E30">
        <w:rPr>
          <w:rFonts w:ascii="Segoe UI" w:eastAsia="Times New Roman" w:hAnsi="Segoe UI" w:cs="Segoe UI"/>
          <w:color w:val="313131"/>
          <w:sz w:val="24"/>
          <w:szCs w:val="24"/>
          <w:lang w:eastAsia="en-AU"/>
        </w:rPr>
        <w:t xml:space="preserve"> for easier management, greater diversity </w:t>
      </w:r>
      <w:r w:rsidR="00B2512B">
        <w:rPr>
          <w:rFonts w:ascii="Segoe UI" w:eastAsia="Times New Roman" w:hAnsi="Segoe UI" w:cs="Segoe UI"/>
          <w:color w:val="313131"/>
          <w:sz w:val="24"/>
          <w:szCs w:val="24"/>
          <w:lang w:eastAsia="en-AU"/>
        </w:rPr>
        <w:t xml:space="preserve">of managing contractor </w:t>
      </w:r>
      <w:r w:rsidR="00934697">
        <w:rPr>
          <w:rFonts w:ascii="Segoe UI" w:eastAsia="Times New Roman" w:hAnsi="Segoe UI" w:cs="Segoe UI"/>
          <w:color w:val="313131"/>
          <w:sz w:val="24"/>
          <w:szCs w:val="24"/>
          <w:lang w:eastAsia="en-AU"/>
        </w:rPr>
        <w:t xml:space="preserve">experience, </w:t>
      </w:r>
      <w:r w:rsidR="003F0E30" w:rsidRPr="003F0E30">
        <w:rPr>
          <w:rFonts w:ascii="Segoe UI" w:eastAsia="Times New Roman" w:hAnsi="Segoe UI" w:cs="Segoe UI"/>
          <w:color w:val="313131"/>
          <w:sz w:val="24"/>
          <w:szCs w:val="24"/>
          <w:lang w:eastAsia="en-AU"/>
        </w:rPr>
        <w:t>and reduce</w:t>
      </w:r>
      <w:r w:rsidR="000D6DC3">
        <w:rPr>
          <w:rFonts w:ascii="Segoe UI" w:eastAsia="Times New Roman" w:hAnsi="Segoe UI" w:cs="Segoe UI"/>
          <w:color w:val="313131"/>
          <w:sz w:val="24"/>
          <w:szCs w:val="24"/>
          <w:lang w:eastAsia="en-AU"/>
        </w:rPr>
        <w:t xml:space="preserve">s </w:t>
      </w:r>
      <w:r w:rsidR="003F0E30" w:rsidRPr="003F0E30">
        <w:rPr>
          <w:rFonts w:ascii="Segoe UI" w:eastAsia="Times New Roman" w:hAnsi="Segoe UI" w:cs="Segoe UI"/>
          <w:color w:val="313131"/>
          <w:sz w:val="24"/>
          <w:szCs w:val="24"/>
          <w:lang w:eastAsia="en-AU"/>
        </w:rPr>
        <w:t>risk for DFAT.</w:t>
      </w:r>
    </w:p>
    <w:p w14:paraId="7BA70BD8" w14:textId="0EEB15B1" w:rsidR="003E7190" w:rsidRDefault="003E7190" w:rsidP="00A16DD7">
      <w:pPr>
        <w:shd w:val="clear" w:color="auto" w:fill="FFFFFF"/>
        <w:spacing w:after="0" w:line="240" w:lineRule="auto"/>
        <w:outlineLvl w:val="1"/>
        <w:rPr>
          <w:rFonts w:ascii="Segoe UI" w:eastAsia="Times New Roman" w:hAnsi="Segoe UI" w:cs="Segoe UI"/>
          <w:color w:val="313131"/>
          <w:sz w:val="24"/>
          <w:szCs w:val="24"/>
          <w:lang w:eastAsia="en-AU"/>
        </w:rPr>
      </w:pPr>
    </w:p>
    <w:p w14:paraId="577C8F6B" w14:textId="5F8300D7" w:rsidR="00177502" w:rsidRDefault="00A30387" w:rsidP="00A16DD7">
      <w:pPr>
        <w:shd w:val="clear" w:color="auto" w:fill="FFFFFF"/>
        <w:spacing w:after="0" w:line="240" w:lineRule="auto"/>
        <w:outlineLvl w:val="1"/>
        <w:rPr>
          <w:rFonts w:ascii="Segoe UI" w:eastAsia="Times New Roman" w:hAnsi="Segoe UI" w:cs="Segoe UI"/>
          <w:color w:val="313131"/>
          <w:sz w:val="24"/>
          <w:szCs w:val="24"/>
          <w:lang w:eastAsia="en-AU"/>
        </w:rPr>
      </w:pPr>
      <w:r w:rsidRPr="005B414E">
        <w:rPr>
          <w:rFonts w:ascii="Segoe UI" w:eastAsia="Times New Roman" w:hAnsi="Segoe UI" w:cs="Segoe UI"/>
          <w:color w:val="313131"/>
          <w:sz w:val="24"/>
          <w:szCs w:val="24"/>
          <w:lang w:eastAsia="en-AU"/>
        </w:rPr>
        <w:t>F</w:t>
      </w:r>
      <w:r w:rsidR="004D0684" w:rsidRPr="005B414E">
        <w:rPr>
          <w:rFonts w:ascii="Segoe UI" w:eastAsia="Times New Roman" w:hAnsi="Segoe UI" w:cs="Segoe UI"/>
          <w:color w:val="313131"/>
          <w:sz w:val="24"/>
          <w:szCs w:val="24"/>
          <w:lang w:eastAsia="en-AU"/>
        </w:rPr>
        <w:t>it for purpose</w:t>
      </w:r>
      <w:r w:rsidR="00040447" w:rsidRPr="005B414E">
        <w:rPr>
          <w:rFonts w:ascii="Segoe UI" w:eastAsia="Times New Roman" w:hAnsi="Segoe UI" w:cs="Segoe UI"/>
          <w:color w:val="313131"/>
          <w:sz w:val="24"/>
          <w:szCs w:val="24"/>
          <w:lang w:eastAsia="en-AU"/>
        </w:rPr>
        <w:t xml:space="preserve"> frameworks for</w:t>
      </w:r>
      <w:r w:rsidR="004D0684" w:rsidRPr="005B414E">
        <w:rPr>
          <w:rFonts w:ascii="Segoe UI" w:eastAsia="Times New Roman" w:hAnsi="Segoe UI" w:cs="Segoe UI"/>
          <w:color w:val="313131"/>
          <w:sz w:val="24"/>
          <w:szCs w:val="24"/>
          <w:lang w:eastAsia="en-AU"/>
        </w:rPr>
        <w:t xml:space="preserve"> </w:t>
      </w:r>
      <w:r w:rsidR="00040447" w:rsidRPr="005B414E">
        <w:rPr>
          <w:rFonts w:ascii="Segoe UI" w:eastAsia="Times New Roman" w:hAnsi="Segoe UI" w:cs="Segoe UI"/>
          <w:color w:val="313131"/>
          <w:sz w:val="24"/>
          <w:szCs w:val="24"/>
          <w:lang w:eastAsia="en-AU"/>
        </w:rPr>
        <w:t xml:space="preserve">performance assessment </w:t>
      </w:r>
      <w:r w:rsidR="004D0684" w:rsidRPr="005B414E">
        <w:rPr>
          <w:rFonts w:ascii="Segoe UI" w:eastAsia="Times New Roman" w:hAnsi="Segoe UI" w:cs="Segoe UI"/>
          <w:color w:val="313131"/>
          <w:sz w:val="24"/>
          <w:szCs w:val="24"/>
          <w:lang w:eastAsia="en-AU"/>
        </w:rPr>
        <w:t xml:space="preserve">and </w:t>
      </w:r>
      <w:r w:rsidR="00040447" w:rsidRPr="005B414E">
        <w:rPr>
          <w:rFonts w:ascii="Segoe UI" w:eastAsia="Times New Roman" w:hAnsi="Segoe UI" w:cs="Segoe UI"/>
          <w:color w:val="313131"/>
          <w:sz w:val="24"/>
          <w:szCs w:val="24"/>
          <w:lang w:eastAsia="en-AU"/>
        </w:rPr>
        <w:t>value-for-money</w:t>
      </w:r>
      <w:r w:rsidR="004D0684" w:rsidRPr="005B414E">
        <w:rPr>
          <w:rFonts w:ascii="Segoe UI" w:eastAsia="Times New Roman" w:hAnsi="Segoe UI" w:cs="Segoe UI"/>
          <w:color w:val="313131"/>
          <w:sz w:val="24"/>
          <w:szCs w:val="24"/>
          <w:lang w:eastAsia="en-AU"/>
        </w:rPr>
        <w:t xml:space="preserve"> </w:t>
      </w:r>
      <w:r w:rsidR="00040447" w:rsidRPr="005B414E">
        <w:rPr>
          <w:rFonts w:ascii="Segoe UI" w:eastAsia="Times New Roman" w:hAnsi="Segoe UI" w:cs="Segoe UI"/>
          <w:color w:val="313131"/>
          <w:sz w:val="24"/>
          <w:szCs w:val="24"/>
          <w:lang w:eastAsia="en-AU"/>
        </w:rPr>
        <w:t>are highly</w:t>
      </w:r>
      <w:r w:rsidR="004D0684" w:rsidRPr="005B414E">
        <w:rPr>
          <w:rFonts w:ascii="Segoe UI" w:eastAsia="Times New Roman" w:hAnsi="Segoe UI" w:cs="Segoe UI"/>
          <w:color w:val="313131"/>
          <w:sz w:val="24"/>
          <w:szCs w:val="24"/>
          <w:lang w:eastAsia="en-AU"/>
        </w:rPr>
        <w:t xml:space="preserve"> important. </w:t>
      </w:r>
      <w:r w:rsidR="00A450C8" w:rsidRPr="005B414E">
        <w:rPr>
          <w:rFonts w:ascii="Segoe UI" w:eastAsia="Times New Roman" w:hAnsi="Segoe UI" w:cs="Segoe UI"/>
          <w:color w:val="313131"/>
          <w:sz w:val="24"/>
          <w:szCs w:val="24"/>
          <w:lang w:eastAsia="en-AU"/>
        </w:rPr>
        <w:t xml:space="preserve">While </w:t>
      </w:r>
      <w:r w:rsidR="00EB413D" w:rsidRPr="005B414E">
        <w:rPr>
          <w:rFonts w:ascii="Segoe UI" w:eastAsia="Times New Roman" w:hAnsi="Segoe UI" w:cs="Segoe UI"/>
          <w:color w:val="313131"/>
          <w:sz w:val="24"/>
          <w:szCs w:val="24"/>
          <w:lang w:eastAsia="en-AU"/>
        </w:rPr>
        <w:t xml:space="preserve">the </w:t>
      </w:r>
      <w:r w:rsidR="00A450C8" w:rsidRPr="005B414E">
        <w:rPr>
          <w:rFonts w:ascii="Segoe UI" w:eastAsia="Times New Roman" w:hAnsi="Segoe UI" w:cs="Segoe UI"/>
          <w:color w:val="313131"/>
          <w:sz w:val="24"/>
          <w:szCs w:val="24"/>
          <w:lang w:eastAsia="en-AU"/>
        </w:rPr>
        <w:t xml:space="preserve">PAGP </w:t>
      </w:r>
      <w:r w:rsidR="002A69F8" w:rsidRPr="005B414E">
        <w:rPr>
          <w:rFonts w:ascii="Segoe UI" w:eastAsia="Times New Roman" w:hAnsi="Segoe UI" w:cs="Segoe UI"/>
          <w:color w:val="313131"/>
          <w:sz w:val="24"/>
          <w:szCs w:val="24"/>
          <w:lang w:eastAsia="en-AU"/>
        </w:rPr>
        <w:t>high-level</w:t>
      </w:r>
      <w:r w:rsidR="00A450C8" w:rsidRPr="005B414E">
        <w:rPr>
          <w:rFonts w:ascii="Segoe UI" w:eastAsia="Times New Roman" w:hAnsi="Segoe UI" w:cs="Segoe UI"/>
          <w:color w:val="313131"/>
          <w:sz w:val="24"/>
          <w:szCs w:val="24"/>
          <w:lang w:eastAsia="en-AU"/>
        </w:rPr>
        <w:t xml:space="preserve"> </w:t>
      </w:r>
      <w:r w:rsidR="000D6DC3" w:rsidRPr="005B414E">
        <w:rPr>
          <w:rFonts w:ascii="Segoe UI" w:eastAsia="Times New Roman" w:hAnsi="Segoe UI" w:cs="Segoe UI"/>
          <w:color w:val="313131"/>
          <w:sz w:val="24"/>
          <w:szCs w:val="24"/>
          <w:lang w:eastAsia="en-AU"/>
        </w:rPr>
        <w:t>PAF</w:t>
      </w:r>
      <w:r w:rsidR="00131932" w:rsidRPr="005B414E">
        <w:rPr>
          <w:rFonts w:ascii="Segoe UI" w:eastAsia="Times New Roman" w:hAnsi="Segoe UI" w:cs="Segoe UI"/>
          <w:color w:val="313131"/>
          <w:sz w:val="24"/>
          <w:szCs w:val="24"/>
          <w:lang w:eastAsia="en-AU"/>
        </w:rPr>
        <w:t xml:space="preserve"> generally focused on </w:t>
      </w:r>
      <w:r w:rsidR="002A69F8" w:rsidRPr="005B414E">
        <w:rPr>
          <w:rFonts w:ascii="Segoe UI" w:eastAsia="Times New Roman" w:hAnsi="Segoe UI" w:cs="Segoe UI"/>
          <w:color w:val="313131"/>
          <w:sz w:val="24"/>
          <w:szCs w:val="24"/>
          <w:lang w:eastAsia="en-AU"/>
        </w:rPr>
        <w:t>corporate efficiencies</w:t>
      </w:r>
      <w:r w:rsidR="00C51C06" w:rsidRPr="005B414E">
        <w:rPr>
          <w:rFonts w:ascii="Segoe UI" w:eastAsia="Times New Roman" w:hAnsi="Segoe UI" w:cs="Segoe UI"/>
          <w:color w:val="313131"/>
          <w:sz w:val="24"/>
          <w:szCs w:val="24"/>
          <w:lang w:eastAsia="en-AU"/>
        </w:rPr>
        <w:t>,</w:t>
      </w:r>
      <w:r w:rsidR="00AC3EA4" w:rsidRPr="005B414E">
        <w:rPr>
          <w:rFonts w:ascii="Segoe UI" w:eastAsia="Times New Roman" w:hAnsi="Segoe UI" w:cs="Segoe UI"/>
          <w:color w:val="313131"/>
          <w:sz w:val="24"/>
          <w:szCs w:val="24"/>
          <w:lang w:eastAsia="en-AU"/>
        </w:rPr>
        <w:t xml:space="preserve"> </w:t>
      </w:r>
      <w:r w:rsidR="00C51C06" w:rsidRPr="005B414E">
        <w:rPr>
          <w:rFonts w:ascii="Segoe UI" w:eastAsia="Times New Roman" w:hAnsi="Segoe UI" w:cs="Segoe UI"/>
          <w:color w:val="313131"/>
          <w:sz w:val="24"/>
          <w:szCs w:val="24"/>
          <w:lang w:eastAsia="en-AU"/>
        </w:rPr>
        <w:t>the review recommended that f</w:t>
      </w:r>
      <w:r w:rsidR="005544BF" w:rsidRPr="005B414E">
        <w:rPr>
          <w:rFonts w:ascii="Segoe UI" w:eastAsia="Times New Roman" w:hAnsi="Segoe UI" w:cs="Segoe UI"/>
          <w:color w:val="313131"/>
          <w:sz w:val="24"/>
          <w:szCs w:val="24"/>
          <w:lang w:eastAsia="en-AU"/>
        </w:rPr>
        <w:t xml:space="preserve">uture </w:t>
      </w:r>
      <w:r w:rsidR="00C51C06" w:rsidRPr="005B414E">
        <w:rPr>
          <w:rFonts w:ascii="Segoe UI" w:eastAsia="Times New Roman" w:hAnsi="Segoe UI" w:cs="Segoe UI"/>
          <w:color w:val="313131"/>
          <w:sz w:val="24"/>
          <w:szCs w:val="24"/>
          <w:lang w:eastAsia="en-AU"/>
        </w:rPr>
        <w:t>DFAT-funded facilities</w:t>
      </w:r>
      <w:r w:rsidR="005544BF" w:rsidRPr="005B414E">
        <w:rPr>
          <w:rFonts w:ascii="Segoe UI" w:eastAsia="Times New Roman" w:hAnsi="Segoe UI" w:cs="Segoe UI"/>
          <w:color w:val="313131"/>
          <w:sz w:val="24"/>
          <w:szCs w:val="24"/>
          <w:lang w:eastAsia="en-AU"/>
        </w:rPr>
        <w:t xml:space="preserve"> should </w:t>
      </w:r>
      <w:r w:rsidR="00C51C06" w:rsidRPr="005B414E">
        <w:rPr>
          <w:rFonts w:ascii="Segoe UI" w:eastAsia="Times New Roman" w:hAnsi="Segoe UI" w:cs="Segoe UI"/>
          <w:color w:val="313131"/>
          <w:sz w:val="24"/>
          <w:szCs w:val="24"/>
          <w:lang w:eastAsia="en-AU"/>
        </w:rPr>
        <w:t xml:space="preserve">consider </w:t>
      </w:r>
      <w:r w:rsidR="005544BF" w:rsidRPr="005B414E">
        <w:rPr>
          <w:rFonts w:ascii="Segoe UI" w:eastAsia="Times New Roman" w:hAnsi="Segoe UI" w:cs="Segoe UI"/>
          <w:color w:val="313131"/>
          <w:sz w:val="24"/>
          <w:szCs w:val="24"/>
          <w:lang w:eastAsia="en-AU"/>
        </w:rPr>
        <w:t>incorporat</w:t>
      </w:r>
      <w:r w:rsidR="00C51C06" w:rsidRPr="005B414E">
        <w:rPr>
          <w:rFonts w:ascii="Segoe UI" w:eastAsia="Times New Roman" w:hAnsi="Segoe UI" w:cs="Segoe UI"/>
          <w:color w:val="313131"/>
          <w:sz w:val="24"/>
          <w:szCs w:val="24"/>
          <w:lang w:eastAsia="en-AU"/>
        </w:rPr>
        <w:t>ing</w:t>
      </w:r>
      <w:r w:rsidR="005544BF" w:rsidRPr="005B414E">
        <w:rPr>
          <w:rFonts w:ascii="Segoe UI" w:eastAsia="Times New Roman" w:hAnsi="Segoe UI" w:cs="Segoe UI"/>
          <w:color w:val="313131"/>
          <w:sz w:val="24"/>
          <w:szCs w:val="24"/>
          <w:lang w:eastAsia="en-AU"/>
        </w:rPr>
        <w:t xml:space="preserve"> development outcomes</w:t>
      </w:r>
      <w:r w:rsidR="002A69F8" w:rsidRPr="005B414E">
        <w:rPr>
          <w:rFonts w:ascii="Segoe UI" w:eastAsia="Times New Roman" w:hAnsi="Segoe UI" w:cs="Segoe UI"/>
          <w:color w:val="313131"/>
          <w:sz w:val="24"/>
          <w:szCs w:val="24"/>
          <w:lang w:eastAsia="en-AU"/>
        </w:rPr>
        <w:t>.</w:t>
      </w:r>
      <w:r w:rsidR="005544BF" w:rsidRPr="005B414E">
        <w:rPr>
          <w:rFonts w:ascii="Segoe UI" w:eastAsia="Times New Roman" w:hAnsi="Segoe UI" w:cs="Segoe UI"/>
          <w:color w:val="313131"/>
          <w:sz w:val="24"/>
          <w:szCs w:val="24"/>
          <w:lang w:eastAsia="en-AU"/>
        </w:rPr>
        <w:t xml:space="preserve"> </w:t>
      </w:r>
      <w:r w:rsidR="00853650" w:rsidRPr="005B414E">
        <w:rPr>
          <w:rFonts w:ascii="Segoe UI" w:eastAsia="Times New Roman" w:hAnsi="Segoe UI" w:cs="Segoe UI"/>
          <w:color w:val="313131"/>
          <w:sz w:val="24"/>
          <w:szCs w:val="24"/>
          <w:lang w:eastAsia="en-AU"/>
        </w:rPr>
        <w:t>In addition,</w:t>
      </w:r>
      <w:r w:rsidR="00200970" w:rsidRPr="005B414E">
        <w:rPr>
          <w:rFonts w:ascii="Segoe UI" w:eastAsia="Times New Roman" w:hAnsi="Segoe UI" w:cs="Segoe UI"/>
          <w:color w:val="313131"/>
          <w:sz w:val="24"/>
          <w:szCs w:val="24"/>
          <w:lang w:eastAsia="en-AU"/>
        </w:rPr>
        <w:t xml:space="preserve"> </w:t>
      </w:r>
      <w:r w:rsidR="005544BF" w:rsidRPr="005B414E">
        <w:rPr>
          <w:rFonts w:ascii="Segoe UI" w:eastAsia="Times New Roman" w:hAnsi="Segoe UI" w:cs="Segoe UI"/>
          <w:color w:val="313131"/>
          <w:sz w:val="24"/>
          <w:szCs w:val="24"/>
          <w:lang w:eastAsia="en-AU"/>
        </w:rPr>
        <w:t>present</w:t>
      </w:r>
      <w:r w:rsidR="00853650" w:rsidRPr="005B414E">
        <w:rPr>
          <w:rFonts w:ascii="Segoe UI" w:eastAsia="Times New Roman" w:hAnsi="Segoe UI" w:cs="Segoe UI"/>
          <w:color w:val="313131"/>
          <w:sz w:val="24"/>
          <w:szCs w:val="24"/>
          <w:lang w:eastAsia="en-AU"/>
        </w:rPr>
        <w:t>ation of high-level results</w:t>
      </w:r>
      <w:r w:rsidR="005544BF" w:rsidRPr="005B414E">
        <w:rPr>
          <w:rFonts w:ascii="Segoe UI" w:eastAsia="Times New Roman" w:hAnsi="Segoe UI" w:cs="Segoe UI"/>
          <w:color w:val="313131"/>
          <w:sz w:val="24"/>
          <w:szCs w:val="24"/>
          <w:lang w:eastAsia="en-AU"/>
        </w:rPr>
        <w:t xml:space="preserve"> </w:t>
      </w:r>
      <w:r w:rsidR="005B414E" w:rsidRPr="005B414E">
        <w:rPr>
          <w:rFonts w:ascii="Segoe UI" w:eastAsia="Times New Roman" w:hAnsi="Segoe UI" w:cs="Segoe UI"/>
          <w:color w:val="313131"/>
          <w:sz w:val="24"/>
          <w:szCs w:val="24"/>
          <w:lang w:eastAsia="en-AU"/>
        </w:rPr>
        <w:t xml:space="preserve">should be </w:t>
      </w:r>
      <w:r w:rsidR="005544BF" w:rsidRPr="005B414E">
        <w:rPr>
          <w:rFonts w:ascii="Segoe UI" w:eastAsia="Times New Roman" w:hAnsi="Segoe UI" w:cs="Segoe UI"/>
          <w:color w:val="313131"/>
          <w:sz w:val="24"/>
          <w:szCs w:val="24"/>
          <w:lang w:eastAsia="en-AU"/>
        </w:rPr>
        <w:t>in a form that senior decision-makers can easily access</w:t>
      </w:r>
      <w:r w:rsidR="000D6DC3" w:rsidRPr="005B414E">
        <w:rPr>
          <w:rFonts w:ascii="Segoe UI" w:eastAsia="Times New Roman" w:hAnsi="Segoe UI" w:cs="Segoe UI"/>
          <w:color w:val="313131"/>
          <w:sz w:val="24"/>
          <w:szCs w:val="24"/>
          <w:lang w:eastAsia="en-AU"/>
        </w:rPr>
        <w:t xml:space="preserve"> and understand</w:t>
      </w:r>
      <w:r w:rsidR="005544BF" w:rsidRPr="005B414E">
        <w:rPr>
          <w:rFonts w:ascii="Segoe UI" w:eastAsia="Times New Roman" w:hAnsi="Segoe UI" w:cs="Segoe UI"/>
          <w:color w:val="313131"/>
          <w:sz w:val="24"/>
          <w:szCs w:val="24"/>
          <w:lang w:eastAsia="en-AU"/>
        </w:rPr>
        <w:t>.</w:t>
      </w:r>
      <w:r w:rsidR="00AC3EA4">
        <w:rPr>
          <w:rFonts w:ascii="Segoe UI" w:eastAsia="Times New Roman" w:hAnsi="Segoe UI" w:cs="Segoe UI"/>
          <w:color w:val="313131"/>
          <w:sz w:val="24"/>
          <w:szCs w:val="24"/>
          <w:lang w:eastAsia="en-AU"/>
        </w:rPr>
        <w:t xml:space="preserve"> </w:t>
      </w:r>
    </w:p>
    <w:p w14:paraId="36397BCB" w14:textId="77777777" w:rsidR="00EA2FD3" w:rsidRDefault="00EA2FD3">
      <w:pPr>
        <w:rPr>
          <w:rFonts w:ascii="Segoe UI" w:hAnsi="Segoe UI" w:cs="Segoe UI"/>
          <w:b/>
          <w:bCs/>
          <w:sz w:val="24"/>
          <w:szCs w:val="24"/>
        </w:rPr>
      </w:pPr>
      <w:r>
        <w:rPr>
          <w:rFonts w:ascii="Segoe UI" w:hAnsi="Segoe UI" w:cs="Segoe UI"/>
          <w:b/>
          <w:bCs/>
          <w:sz w:val="24"/>
          <w:szCs w:val="24"/>
        </w:rPr>
        <w:br w:type="page"/>
      </w:r>
    </w:p>
    <w:p w14:paraId="721F020D" w14:textId="7900FEBC" w:rsidR="006C4B13" w:rsidRPr="00452C5B" w:rsidRDefault="006C4B13" w:rsidP="006C4B13">
      <w:pPr>
        <w:rPr>
          <w:rFonts w:ascii="Segoe UI" w:hAnsi="Segoe UI" w:cs="Segoe UI"/>
          <w:sz w:val="24"/>
          <w:szCs w:val="24"/>
        </w:rPr>
      </w:pPr>
      <w:r w:rsidRPr="00452C5B">
        <w:rPr>
          <w:rFonts w:ascii="Segoe UI" w:hAnsi="Segoe UI" w:cs="Segoe UI"/>
          <w:b/>
          <w:bCs/>
          <w:sz w:val="24"/>
          <w:szCs w:val="24"/>
        </w:rPr>
        <w:lastRenderedPageBreak/>
        <w:t>Annex 1:</w:t>
      </w:r>
      <w:r w:rsidRPr="00452C5B">
        <w:rPr>
          <w:rFonts w:ascii="Segoe UI" w:hAnsi="Segoe UI" w:cs="Segoe UI"/>
          <w:sz w:val="24"/>
          <w:szCs w:val="24"/>
        </w:rPr>
        <w:t xml:space="preserve"> Key lessons from the PAGP Final Review for implementation under major new DFAT programs in PNG</w:t>
      </w:r>
    </w:p>
    <w:tbl>
      <w:tblPr>
        <w:tblStyle w:val="TableGrid"/>
        <w:tblW w:w="0" w:type="auto"/>
        <w:tblLook w:val="04A0" w:firstRow="1" w:lastRow="0" w:firstColumn="1" w:lastColumn="0" w:noHBand="0" w:noVBand="1"/>
      </w:tblPr>
      <w:tblGrid>
        <w:gridCol w:w="1980"/>
        <w:gridCol w:w="4785"/>
        <w:gridCol w:w="2251"/>
      </w:tblGrid>
      <w:tr w:rsidR="006C4B13" w:rsidRPr="00452C5B" w14:paraId="185A3CAF" w14:textId="77777777" w:rsidTr="003E32EE">
        <w:tc>
          <w:tcPr>
            <w:tcW w:w="1980" w:type="dxa"/>
          </w:tcPr>
          <w:p w14:paraId="2A9EA67C" w14:textId="77777777" w:rsidR="006C4B13" w:rsidRPr="003E32EE" w:rsidRDefault="006C4B13" w:rsidP="00660453">
            <w:pPr>
              <w:rPr>
                <w:rFonts w:ascii="Segoe UI" w:hAnsi="Segoe UI" w:cs="Segoe UI"/>
                <w:sz w:val="20"/>
                <w:szCs w:val="20"/>
                <w:u w:val="single"/>
              </w:rPr>
            </w:pPr>
            <w:r w:rsidRPr="003E32EE">
              <w:rPr>
                <w:rFonts w:ascii="Segoe UI" w:hAnsi="Segoe UI" w:cs="Segoe UI"/>
                <w:sz w:val="20"/>
                <w:szCs w:val="20"/>
                <w:u w:val="single"/>
              </w:rPr>
              <w:t>PAGP sub-program</w:t>
            </w:r>
          </w:p>
        </w:tc>
        <w:tc>
          <w:tcPr>
            <w:tcW w:w="4785" w:type="dxa"/>
          </w:tcPr>
          <w:p w14:paraId="23659CF8" w14:textId="77777777" w:rsidR="006C4B13" w:rsidRPr="003E32EE" w:rsidRDefault="006C4B13" w:rsidP="00660453">
            <w:pPr>
              <w:rPr>
                <w:rFonts w:ascii="Segoe UI" w:hAnsi="Segoe UI" w:cs="Segoe UI"/>
                <w:sz w:val="20"/>
                <w:szCs w:val="20"/>
                <w:u w:val="single"/>
              </w:rPr>
            </w:pPr>
            <w:r w:rsidRPr="003E32EE">
              <w:rPr>
                <w:rFonts w:ascii="Segoe UI" w:hAnsi="Segoe UI" w:cs="Segoe UI"/>
                <w:sz w:val="20"/>
                <w:szCs w:val="20"/>
                <w:u w:val="single"/>
              </w:rPr>
              <w:t>Key Lessons</w:t>
            </w:r>
          </w:p>
        </w:tc>
        <w:tc>
          <w:tcPr>
            <w:tcW w:w="2251" w:type="dxa"/>
          </w:tcPr>
          <w:p w14:paraId="0C43993C" w14:textId="77777777" w:rsidR="006C4B13" w:rsidRPr="003E32EE" w:rsidRDefault="006C4B13" w:rsidP="00660453">
            <w:pPr>
              <w:rPr>
                <w:rFonts w:ascii="Segoe UI" w:hAnsi="Segoe UI" w:cs="Segoe UI"/>
                <w:sz w:val="20"/>
                <w:szCs w:val="20"/>
                <w:u w:val="single"/>
              </w:rPr>
            </w:pPr>
            <w:r w:rsidRPr="003E32EE">
              <w:rPr>
                <w:rFonts w:ascii="Segoe UI" w:hAnsi="Segoe UI" w:cs="Segoe UI"/>
                <w:sz w:val="20"/>
                <w:szCs w:val="20"/>
                <w:u w:val="single"/>
              </w:rPr>
              <w:t>New DFAT program</w:t>
            </w:r>
          </w:p>
        </w:tc>
      </w:tr>
      <w:tr w:rsidR="006C4B13" w:rsidRPr="00452C5B" w14:paraId="0636D4BC" w14:textId="77777777" w:rsidTr="003E32EE">
        <w:tc>
          <w:tcPr>
            <w:tcW w:w="1980" w:type="dxa"/>
          </w:tcPr>
          <w:p w14:paraId="58D6CDA7" w14:textId="77777777" w:rsidR="006C4B13" w:rsidRPr="00452C5B" w:rsidRDefault="006C4B13" w:rsidP="00660453">
            <w:pPr>
              <w:rPr>
                <w:rFonts w:ascii="Segoe UI" w:hAnsi="Segoe UI" w:cs="Segoe UI"/>
                <w:sz w:val="20"/>
                <w:szCs w:val="20"/>
              </w:rPr>
            </w:pPr>
            <w:r w:rsidRPr="00452C5B">
              <w:rPr>
                <w:rFonts w:ascii="Segoe UI" w:hAnsi="Segoe UI" w:cs="Segoe UI"/>
                <w:sz w:val="20"/>
                <w:szCs w:val="20"/>
              </w:rPr>
              <w:t>Decentralisation and Citizen Participation (DCP)</w:t>
            </w:r>
          </w:p>
        </w:tc>
        <w:tc>
          <w:tcPr>
            <w:tcW w:w="4785" w:type="dxa"/>
          </w:tcPr>
          <w:p w14:paraId="439C75D4" w14:textId="77777777" w:rsidR="006C4B13" w:rsidRPr="00452C5B" w:rsidRDefault="006C4B13" w:rsidP="006C4B13">
            <w:pPr>
              <w:pStyle w:val="ListParagraph"/>
              <w:numPr>
                <w:ilvl w:val="0"/>
                <w:numId w:val="7"/>
              </w:numPr>
              <w:rPr>
                <w:rFonts w:ascii="Segoe UI" w:hAnsi="Segoe UI" w:cs="Segoe UI"/>
                <w:b/>
                <w:bCs/>
                <w:sz w:val="20"/>
                <w:szCs w:val="20"/>
              </w:rPr>
            </w:pPr>
            <w:r w:rsidRPr="00452C5B">
              <w:rPr>
                <w:rFonts w:ascii="Segoe UI" w:hAnsi="Segoe UI" w:cs="Segoe UI"/>
                <w:b/>
                <w:bCs/>
                <w:sz w:val="20"/>
                <w:szCs w:val="20"/>
              </w:rPr>
              <w:t xml:space="preserve">Multiple partnerships made the program less vulnerable. </w:t>
            </w:r>
            <w:r w:rsidRPr="00452C5B">
              <w:rPr>
                <w:rFonts w:ascii="Segoe UI" w:hAnsi="Segoe UI" w:cs="Segoe UI"/>
                <w:sz w:val="20"/>
                <w:szCs w:val="20"/>
              </w:rPr>
              <w:t>Investing in these relationships and</w:t>
            </w:r>
            <w:r w:rsidRPr="00452C5B">
              <w:rPr>
                <w:rFonts w:ascii="Segoe UI" w:hAnsi="Segoe UI" w:cs="Segoe UI"/>
                <w:b/>
                <w:bCs/>
                <w:sz w:val="20"/>
                <w:szCs w:val="20"/>
              </w:rPr>
              <w:t xml:space="preserve"> having the </w:t>
            </w:r>
            <w:proofErr w:type="spellStart"/>
            <w:r w:rsidRPr="00452C5B">
              <w:rPr>
                <w:rFonts w:ascii="Segoe UI" w:hAnsi="Segoe UI" w:cs="Segoe UI"/>
                <w:b/>
                <w:bCs/>
                <w:sz w:val="20"/>
                <w:szCs w:val="20"/>
              </w:rPr>
              <w:t>GoPNG</w:t>
            </w:r>
            <w:proofErr w:type="spellEnd"/>
            <w:r w:rsidRPr="00452C5B">
              <w:rPr>
                <w:rFonts w:ascii="Segoe UI" w:hAnsi="Segoe UI" w:cs="Segoe UI"/>
                <w:b/>
                <w:bCs/>
                <w:sz w:val="20"/>
                <w:szCs w:val="20"/>
              </w:rPr>
              <w:t xml:space="preserve"> in the driving seat</w:t>
            </w:r>
            <w:r w:rsidRPr="00452C5B">
              <w:rPr>
                <w:rFonts w:ascii="Segoe UI" w:hAnsi="Segoe UI" w:cs="Segoe UI"/>
                <w:sz w:val="20"/>
                <w:szCs w:val="20"/>
              </w:rPr>
              <w:t xml:space="preserve"> makes the delivery of outputs more likely.</w:t>
            </w:r>
          </w:p>
          <w:p w14:paraId="64613103" w14:textId="77777777" w:rsidR="006C4B13" w:rsidRPr="00452C5B" w:rsidRDefault="006C4B13" w:rsidP="006C4B13">
            <w:pPr>
              <w:pStyle w:val="Default"/>
              <w:numPr>
                <w:ilvl w:val="0"/>
                <w:numId w:val="7"/>
              </w:numPr>
              <w:rPr>
                <w:rFonts w:ascii="Segoe UI" w:hAnsi="Segoe UI" w:cs="Segoe UI"/>
                <w:sz w:val="20"/>
                <w:szCs w:val="20"/>
              </w:rPr>
            </w:pPr>
            <w:r w:rsidRPr="00452C5B">
              <w:rPr>
                <w:rFonts w:ascii="Segoe UI" w:hAnsi="Segoe UI" w:cs="Segoe UI"/>
                <w:sz w:val="20"/>
                <w:szCs w:val="20"/>
              </w:rPr>
              <w:t xml:space="preserve">DCP inherited legacy projects that limited scope to achieve coherence across, and even within, workstreams. </w:t>
            </w:r>
            <w:r w:rsidRPr="00452C5B">
              <w:rPr>
                <w:rFonts w:ascii="Segoe UI" w:hAnsi="Segoe UI" w:cs="Segoe UI"/>
                <w:b/>
                <w:bCs/>
                <w:sz w:val="20"/>
                <w:szCs w:val="20"/>
              </w:rPr>
              <w:t>Moving quickly to achieve strategic coherence</w:t>
            </w:r>
            <w:r w:rsidRPr="00452C5B">
              <w:rPr>
                <w:rFonts w:ascii="Segoe UI" w:hAnsi="Segoe UI" w:cs="Segoe UI"/>
                <w:sz w:val="20"/>
                <w:szCs w:val="20"/>
              </w:rPr>
              <w:t xml:space="preserve"> and avoid being overly constrained by legacy investments is important.</w:t>
            </w:r>
          </w:p>
          <w:p w14:paraId="7FA2289C" w14:textId="77777777" w:rsidR="006C4B13" w:rsidRPr="00452C5B" w:rsidRDefault="006C4B13" w:rsidP="006C4B13">
            <w:pPr>
              <w:pStyle w:val="Default"/>
              <w:numPr>
                <w:ilvl w:val="0"/>
                <w:numId w:val="7"/>
              </w:numPr>
              <w:rPr>
                <w:rFonts w:ascii="Segoe UI" w:hAnsi="Segoe UI" w:cs="Segoe UI"/>
                <w:sz w:val="20"/>
                <w:szCs w:val="20"/>
              </w:rPr>
            </w:pPr>
            <w:r w:rsidRPr="00452C5B">
              <w:rPr>
                <w:rFonts w:ascii="Segoe UI" w:hAnsi="Segoe UI" w:cs="Segoe UI"/>
                <w:sz w:val="20"/>
                <w:szCs w:val="20"/>
              </w:rPr>
              <w:t xml:space="preserve">With large and semi-independent components such as MDI and CPP, BCEP will also resemble a facility with components’ work strongly determined with reference to their own partners’ priorities rather than being solely by the program leadership. Nevertheless, </w:t>
            </w:r>
            <w:r w:rsidRPr="00452C5B">
              <w:rPr>
                <w:rFonts w:ascii="Segoe UI" w:hAnsi="Segoe UI" w:cs="Segoe UI"/>
                <w:b/>
                <w:bCs/>
                <w:sz w:val="20"/>
                <w:szCs w:val="20"/>
              </w:rPr>
              <w:t>there is space for cross-program collaboration.</w:t>
            </w:r>
          </w:p>
          <w:p w14:paraId="0AFCF7CA" w14:textId="77777777" w:rsidR="006C4B13" w:rsidRPr="00452C5B" w:rsidRDefault="006C4B13" w:rsidP="006C4B13">
            <w:pPr>
              <w:pStyle w:val="Default"/>
              <w:numPr>
                <w:ilvl w:val="0"/>
                <w:numId w:val="7"/>
              </w:numPr>
              <w:rPr>
                <w:rFonts w:ascii="Segoe UI" w:hAnsi="Segoe UI" w:cs="Segoe UI"/>
                <w:sz w:val="20"/>
                <w:szCs w:val="20"/>
              </w:rPr>
            </w:pPr>
            <w:r w:rsidRPr="00452C5B">
              <w:rPr>
                <w:rFonts w:ascii="Segoe UI" w:hAnsi="Segoe UI" w:cs="Segoe UI"/>
                <w:sz w:val="20"/>
                <w:szCs w:val="20"/>
              </w:rPr>
              <w:t xml:space="preserve">The </w:t>
            </w:r>
            <w:r w:rsidRPr="00452C5B">
              <w:rPr>
                <w:rFonts w:ascii="Segoe UI" w:hAnsi="Segoe UI" w:cs="Segoe UI"/>
                <w:b/>
                <w:bCs/>
                <w:sz w:val="20"/>
                <w:szCs w:val="20"/>
              </w:rPr>
              <w:t>importance of gender equality to wider goals</w:t>
            </w:r>
            <w:r w:rsidRPr="00452C5B">
              <w:rPr>
                <w:rFonts w:ascii="Segoe UI" w:hAnsi="Segoe UI" w:cs="Segoe UI"/>
                <w:sz w:val="20"/>
                <w:szCs w:val="20"/>
              </w:rPr>
              <w:t xml:space="preserve"> was not well </w:t>
            </w:r>
            <w:r w:rsidRPr="00452C5B">
              <w:rPr>
                <w:rFonts w:ascii="Segoe UI" w:hAnsi="Segoe UI" w:cs="Segoe UI"/>
                <w:color w:val="auto"/>
                <w:sz w:val="20"/>
                <w:szCs w:val="20"/>
              </w:rPr>
              <w:t>articulated in the partnership theory of change and this appears to have limited the scope of ambition.</w:t>
            </w:r>
          </w:p>
        </w:tc>
        <w:tc>
          <w:tcPr>
            <w:tcW w:w="2251" w:type="dxa"/>
          </w:tcPr>
          <w:p w14:paraId="25BAB176" w14:textId="77777777" w:rsidR="006C4B13" w:rsidRPr="00452C5B" w:rsidRDefault="006C4B13" w:rsidP="00660453">
            <w:pPr>
              <w:rPr>
                <w:rFonts w:ascii="Segoe UI" w:hAnsi="Segoe UI" w:cs="Segoe UI"/>
                <w:sz w:val="20"/>
                <w:szCs w:val="20"/>
              </w:rPr>
            </w:pPr>
            <w:r w:rsidRPr="00452C5B">
              <w:rPr>
                <w:rFonts w:ascii="Segoe UI" w:hAnsi="Segoe UI" w:cs="Segoe UI"/>
                <w:sz w:val="20"/>
                <w:szCs w:val="20"/>
              </w:rPr>
              <w:t>Building Community Engagement in PNG (BCEP)</w:t>
            </w:r>
          </w:p>
        </w:tc>
      </w:tr>
      <w:tr w:rsidR="00190FEE" w:rsidRPr="00452C5B" w14:paraId="6D9E8FE5" w14:textId="77777777" w:rsidTr="003E32EE">
        <w:tc>
          <w:tcPr>
            <w:tcW w:w="1980" w:type="dxa"/>
          </w:tcPr>
          <w:p w14:paraId="008BF41C" w14:textId="77777777" w:rsidR="00190FEE" w:rsidRPr="00452C5B" w:rsidRDefault="00190FEE" w:rsidP="00660453">
            <w:pPr>
              <w:rPr>
                <w:rFonts w:ascii="Segoe UI" w:hAnsi="Segoe UI" w:cs="Segoe UI"/>
                <w:sz w:val="20"/>
                <w:szCs w:val="20"/>
              </w:rPr>
            </w:pPr>
            <w:r w:rsidRPr="00452C5B">
              <w:rPr>
                <w:rFonts w:ascii="Segoe UI" w:hAnsi="Segoe UI" w:cs="Segoe UI"/>
                <w:sz w:val="20"/>
                <w:szCs w:val="20"/>
              </w:rPr>
              <w:t>Decentralisation and Citizen Participation (DCP)</w:t>
            </w:r>
          </w:p>
        </w:tc>
        <w:tc>
          <w:tcPr>
            <w:tcW w:w="4785" w:type="dxa"/>
          </w:tcPr>
          <w:p w14:paraId="14209869" w14:textId="77777777" w:rsidR="00190FEE" w:rsidRPr="00452C5B" w:rsidRDefault="00190FEE" w:rsidP="006C4B13">
            <w:pPr>
              <w:pStyle w:val="Default"/>
              <w:numPr>
                <w:ilvl w:val="0"/>
                <w:numId w:val="7"/>
              </w:numPr>
              <w:rPr>
                <w:rFonts w:ascii="Segoe UI" w:hAnsi="Segoe UI" w:cs="Segoe UI"/>
                <w:sz w:val="20"/>
                <w:szCs w:val="20"/>
              </w:rPr>
            </w:pPr>
            <w:r w:rsidRPr="00452C5B">
              <w:rPr>
                <w:rFonts w:ascii="Segoe UI" w:hAnsi="Segoe UI" w:cs="Segoe UI"/>
                <w:sz w:val="20"/>
                <w:szCs w:val="20"/>
              </w:rPr>
              <w:t xml:space="preserve">The </w:t>
            </w:r>
            <w:r w:rsidRPr="00452C5B">
              <w:rPr>
                <w:rFonts w:ascii="Segoe UI" w:hAnsi="Segoe UI" w:cs="Segoe UI"/>
                <w:b/>
                <w:bCs/>
                <w:sz w:val="20"/>
                <w:szCs w:val="20"/>
              </w:rPr>
              <w:t>trade-offs in the role and mode of operation of subnational advisers</w:t>
            </w:r>
            <w:r w:rsidRPr="00452C5B">
              <w:rPr>
                <w:rFonts w:ascii="Segoe UI" w:hAnsi="Segoe UI" w:cs="Segoe UI"/>
                <w:sz w:val="20"/>
                <w:szCs w:val="20"/>
              </w:rPr>
              <w:t xml:space="preserve"> as a key program resource</w:t>
            </w:r>
            <w:r w:rsidRPr="00452C5B">
              <w:rPr>
                <w:rFonts w:ascii="Segoe UI" w:hAnsi="Segoe UI" w:cs="Segoe UI"/>
                <w:b/>
                <w:bCs/>
                <w:sz w:val="20"/>
                <w:szCs w:val="20"/>
              </w:rPr>
              <w:t xml:space="preserve"> </w:t>
            </w:r>
            <w:r w:rsidRPr="00452C5B">
              <w:rPr>
                <w:rFonts w:ascii="Segoe UI" w:hAnsi="Segoe UI" w:cs="Segoe UI"/>
                <w:sz w:val="20"/>
                <w:szCs w:val="20"/>
              </w:rPr>
              <w:t>will need to be carefully considered going forward.</w:t>
            </w:r>
          </w:p>
          <w:p w14:paraId="4183BD80" w14:textId="77777777" w:rsidR="00190FEE" w:rsidRPr="00452C5B" w:rsidRDefault="00190FEE" w:rsidP="006C4B13">
            <w:pPr>
              <w:pStyle w:val="Default"/>
              <w:numPr>
                <w:ilvl w:val="0"/>
                <w:numId w:val="7"/>
              </w:numPr>
              <w:rPr>
                <w:rFonts w:ascii="Segoe UI" w:hAnsi="Segoe UI" w:cs="Segoe UI"/>
                <w:sz w:val="20"/>
                <w:szCs w:val="20"/>
              </w:rPr>
            </w:pPr>
            <w:r w:rsidRPr="00452C5B">
              <w:rPr>
                <w:rFonts w:ascii="Segoe UI" w:hAnsi="Segoe UI" w:cs="Segoe UI"/>
                <w:sz w:val="20"/>
                <w:szCs w:val="20"/>
              </w:rPr>
              <w:t xml:space="preserve">The main lesson from MERI is that </w:t>
            </w:r>
            <w:r w:rsidRPr="00452C5B">
              <w:rPr>
                <w:rFonts w:ascii="Segoe UI" w:hAnsi="Segoe UI" w:cs="Segoe UI"/>
                <w:b/>
                <w:bCs/>
                <w:sz w:val="20"/>
                <w:szCs w:val="20"/>
              </w:rPr>
              <w:t>a well-managed issues-based approach to implementation</w:t>
            </w:r>
            <w:r w:rsidRPr="00452C5B">
              <w:rPr>
                <w:rFonts w:ascii="Segoe UI" w:hAnsi="Segoe UI" w:cs="Segoe UI"/>
                <w:sz w:val="20"/>
                <w:szCs w:val="20"/>
              </w:rPr>
              <w:t xml:space="preserve"> can deliver tangible benefits together with institutional change.</w:t>
            </w:r>
          </w:p>
        </w:tc>
        <w:tc>
          <w:tcPr>
            <w:tcW w:w="2251" w:type="dxa"/>
            <w:vMerge w:val="restart"/>
          </w:tcPr>
          <w:p w14:paraId="7609B62B" w14:textId="77777777" w:rsidR="00190FEE" w:rsidRPr="00452C5B" w:rsidRDefault="00190FEE" w:rsidP="00660453">
            <w:pPr>
              <w:rPr>
                <w:rFonts w:ascii="Segoe UI" w:hAnsi="Segoe UI" w:cs="Segoe UI"/>
                <w:sz w:val="20"/>
                <w:szCs w:val="20"/>
              </w:rPr>
            </w:pPr>
            <w:r w:rsidRPr="00452C5B">
              <w:rPr>
                <w:rFonts w:ascii="Segoe UI" w:hAnsi="Segoe UI" w:cs="Segoe UI"/>
                <w:sz w:val="20"/>
                <w:szCs w:val="20"/>
              </w:rPr>
              <w:t>Australia-PNG Subnational Program (APSP)</w:t>
            </w:r>
          </w:p>
        </w:tc>
      </w:tr>
      <w:tr w:rsidR="00190FEE" w:rsidRPr="00452C5B" w14:paraId="60DD4309" w14:textId="77777777" w:rsidTr="003E32EE">
        <w:trPr>
          <w:trHeight w:val="4526"/>
        </w:trPr>
        <w:tc>
          <w:tcPr>
            <w:tcW w:w="1980" w:type="dxa"/>
          </w:tcPr>
          <w:p w14:paraId="20A51CE8" w14:textId="1110B535" w:rsidR="00190FEE" w:rsidRPr="00452C5B" w:rsidRDefault="00190FEE" w:rsidP="003E32EE">
            <w:pPr>
              <w:rPr>
                <w:rFonts w:ascii="Segoe UI" w:hAnsi="Segoe UI" w:cs="Segoe UI"/>
                <w:sz w:val="20"/>
                <w:szCs w:val="20"/>
              </w:rPr>
            </w:pPr>
            <w:r w:rsidRPr="00452C5B">
              <w:rPr>
                <w:rFonts w:ascii="Segoe UI" w:hAnsi="Segoe UI" w:cs="Segoe UI"/>
                <w:sz w:val="20"/>
                <w:szCs w:val="20"/>
              </w:rPr>
              <w:t>Kokoda Initiative Partnership (KIP)</w:t>
            </w:r>
          </w:p>
        </w:tc>
        <w:tc>
          <w:tcPr>
            <w:tcW w:w="4785" w:type="dxa"/>
          </w:tcPr>
          <w:p w14:paraId="165A0A25" w14:textId="77777777" w:rsidR="00190FEE" w:rsidRPr="00452C5B" w:rsidRDefault="00190FEE" w:rsidP="003E32EE">
            <w:pPr>
              <w:pStyle w:val="ListParagraph"/>
              <w:numPr>
                <w:ilvl w:val="0"/>
                <w:numId w:val="7"/>
              </w:numPr>
              <w:rPr>
                <w:rFonts w:ascii="Segoe UI" w:hAnsi="Segoe UI" w:cs="Segoe UI"/>
                <w:sz w:val="20"/>
                <w:szCs w:val="20"/>
              </w:rPr>
            </w:pPr>
            <w:r w:rsidRPr="00452C5B">
              <w:rPr>
                <w:rFonts w:ascii="Segoe UI" w:hAnsi="Segoe UI" w:cs="Segoe UI"/>
                <w:sz w:val="20"/>
                <w:szCs w:val="20"/>
              </w:rPr>
              <w:t xml:space="preserve">The utilisation of existing community-level and local governance structures to engage and mobilise both community support and local suppliers was effective. KIP should </w:t>
            </w:r>
            <w:r w:rsidRPr="00452C5B">
              <w:rPr>
                <w:rFonts w:ascii="Segoe UI" w:hAnsi="Segoe UI" w:cs="Segoe UI"/>
                <w:b/>
                <w:bCs/>
                <w:sz w:val="20"/>
                <w:szCs w:val="20"/>
              </w:rPr>
              <w:t>replicate this kind of integrated model and the social capital that supports it</w:t>
            </w:r>
            <w:r w:rsidRPr="00452C5B">
              <w:rPr>
                <w:rFonts w:ascii="Segoe UI" w:hAnsi="Segoe UI" w:cs="Segoe UI"/>
                <w:sz w:val="20"/>
                <w:szCs w:val="20"/>
              </w:rPr>
              <w:t xml:space="preserve">. </w:t>
            </w:r>
          </w:p>
          <w:p w14:paraId="1743EE08" w14:textId="77777777" w:rsidR="00190FEE" w:rsidRPr="00452C5B" w:rsidRDefault="00190FEE" w:rsidP="003E32EE">
            <w:pPr>
              <w:pStyle w:val="ListParagraph"/>
              <w:numPr>
                <w:ilvl w:val="0"/>
                <w:numId w:val="7"/>
              </w:numPr>
              <w:rPr>
                <w:rFonts w:ascii="Segoe UI" w:hAnsi="Segoe UI" w:cs="Segoe UI"/>
                <w:sz w:val="20"/>
                <w:szCs w:val="20"/>
              </w:rPr>
            </w:pPr>
            <w:r w:rsidRPr="00452C5B">
              <w:rPr>
                <w:rFonts w:ascii="Segoe UI" w:hAnsi="Segoe UI" w:cs="Segoe UI"/>
                <w:sz w:val="20"/>
                <w:szCs w:val="20"/>
              </w:rPr>
              <w:t xml:space="preserve">At the same time, a concerted effort should be made to utilise this momentum to </w:t>
            </w:r>
            <w:r w:rsidRPr="00452C5B">
              <w:rPr>
                <w:rFonts w:ascii="Segoe UI" w:hAnsi="Segoe UI" w:cs="Segoe UI"/>
                <w:b/>
                <w:bCs/>
                <w:sz w:val="20"/>
                <w:szCs w:val="20"/>
              </w:rPr>
              <w:t>progress essential community-level engagement and policy progress in support of Pillar 3: The Environment</w:t>
            </w:r>
            <w:r w:rsidRPr="00452C5B">
              <w:rPr>
                <w:rFonts w:ascii="Segoe UI" w:hAnsi="Segoe UI" w:cs="Segoe UI"/>
                <w:sz w:val="20"/>
                <w:szCs w:val="20"/>
              </w:rPr>
              <w:t>.</w:t>
            </w:r>
          </w:p>
          <w:p w14:paraId="7952AE3E" w14:textId="240F726A" w:rsidR="00190FEE" w:rsidRPr="00452C5B" w:rsidRDefault="00190FEE" w:rsidP="003E32EE">
            <w:pPr>
              <w:pStyle w:val="ListParagraph"/>
              <w:numPr>
                <w:ilvl w:val="0"/>
                <w:numId w:val="8"/>
              </w:numPr>
              <w:rPr>
                <w:rFonts w:ascii="Segoe UI" w:hAnsi="Segoe UI" w:cs="Segoe UI"/>
                <w:sz w:val="20"/>
                <w:szCs w:val="20"/>
              </w:rPr>
            </w:pPr>
            <w:r w:rsidRPr="00452C5B">
              <w:rPr>
                <w:rFonts w:ascii="Segoe UI" w:hAnsi="Segoe UI" w:cs="Segoe UI"/>
                <w:sz w:val="20"/>
                <w:szCs w:val="20"/>
              </w:rPr>
              <w:t xml:space="preserve">Ensure that </w:t>
            </w:r>
            <w:r w:rsidRPr="00452C5B">
              <w:rPr>
                <w:rFonts w:ascii="Segoe UI" w:hAnsi="Segoe UI" w:cs="Segoe UI"/>
                <w:b/>
                <w:bCs/>
                <w:sz w:val="20"/>
                <w:szCs w:val="20"/>
              </w:rPr>
              <w:t>sufficient resources are allocated to KIP to re-engage the range of government institutions</w:t>
            </w:r>
            <w:r w:rsidRPr="00452C5B">
              <w:rPr>
                <w:rFonts w:ascii="Segoe UI" w:hAnsi="Segoe UI" w:cs="Segoe UI"/>
                <w:sz w:val="20"/>
                <w:szCs w:val="20"/>
              </w:rPr>
              <w:t xml:space="preserve"> effectively, using this post-COVID transition as an opportunity to overcome broader institutional challenges.</w:t>
            </w:r>
          </w:p>
        </w:tc>
        <w:tc>
          <w:tcPr>
            <w:tcW w:w="2251" w:type="dxa"/>
            <w:vMerge/>
          </w:tcPr>
          <w:p w14:paraId="73F3890A" w14:textId="77777777" w:rsidR="00190FEE" w:rsidRPr="00452C5B" w:rsidRDefault="00190FEE" w:rsidP="003E32EE">
            <w:pPr>
              <w:rPr>
                <w:rFonts w:ascii="Segoe UI" w:hAnsi="Segoe UI" w:cs="Segoe UI"/>
                <w:sz w:val="20"/>
                <w:szCs w:val="20"/>
              </w:rPr>
            </w:pPr>
          </w:p>
        </w:tc>
      </w:tr>
      <w:tr w:rsidR="003E32EE" w:rsidRPr="00452C5B" w14:paraId="59290C58" w14:textId="77777777" w:rsidTr="003E32EE">
        <w:trPr>
          <w:trHeight w:val="5862"/>
        </w:trPr>
        <w:tc>
          <w:tcPr>
            <w:tcW w:w="1980" w:type="dxa"/>
          </w:tcPr>
          <w:p w14:paraId="4DF86876" w14:textId="77777777" w:rsidR="003E32EE" w:rsidRPr="00452C5B" w:rsidRDefault="003E32EE" w:rsidP="003E32EE">
            <w:pPr>
              <w:rPr>
                <w:rFonts w:ascii="Segoe UI" w:hAnsi="Segoe UI" w:cs="Segoe UI"/>
                <w:sz w:val="20"/>
                <w:szCs w:val="20"/>
              </w:rPr>
            </w:pPr>
            <w:r w:rsidRPr="00452C5B">
              <w:rPr>
                <w:rFonts w:ascii="Segoe UI" w:hAnsi="Segoe UI" w:cs="Segoe UI"/>
                <w:sz w:val="20"/>
                <w:szCs w:val="20"/>
              </w:rPr>
              <w:lastRenderedPageBreak/>
              <w:t>Bougainville Partnership (BP)</w:t>
            </w:r>
          </w:p>
          <w:p w14:paraId="77034331" w14:textId="4DCC519B" w:rsidR="003E32EE" w:rsidRPr="00452C5B" w:rsidRDefault="003E32EE" w:rsidP="003E32EE">
            <w:pPr>
              <w:rPr>
                <w:rFonts w:ascii="Segoe UI" w:hAnsi="Segoe UI" w:cs="Segoe UI"/>
                <w:sz w:val="20"/>
                <w:szCs w:val="20"/>
              </w:rPr>
            </w:pPr>
          </w:p>
        </w:tc>
        <w:tc>
          <w:tcPr>
            <w:tcW w:w="4785" w:type="dxa"/>
          </w:tcPr>
          <w:p w14:paraId="5335AA82" w14:textId="77777777" w:rsidR="003E32EE" w:rsidRPr="00452C5B" w:rsidRDefault="003E32EE" w:rsidP="003E32EE">
            <w:pPr>
              <w:pStyle w:val="ListParagraph"/>
              <w:numPr>
                <w:ilvl w:val="0"/>
                <w:numId w:val="8"/>
              </w:numPr>
              <w:rPr>
                <w:rFonts w:ascii="Segoe UI" w:hAnsi="Segoe UI" w:cs="Segoe UI"/>
                <w:sz w:val="20"/>
                <w:szCs w:val="20"/>
              </w:rPr>
            </w:pPr>
            <w:r w:rsidRPr="00452C5B">
              <w:rPr>
                <w:rFonts w:ascii="Segoe UI" w:hAnsi="Segoe UI" w:cs="Segoe UI"/>
                <w:sz w:val="20"/>
                <w:szCs w:val="20"/>
              </w:rPr>
              <w:t>Ensure that all tangible development projects</w:t>
            </w:r>
            <w:r w:rsidRPr="00452C5B">
              <w:rPr>
                <w:rFonts w:ascii="Segoe UI" w:hAnsi="Segoe UI" w:cs="Segoe UI"/>
                <w:b/>
                <w:bCs/>
                <w:sz w:val="20"/>
                <w:szCs w:val="20"/>
              </w:rPr>
              <w:t xml:space="preserve"> effectively engage communities</w:t>
            </w:r>
            <w:r w:rsidRPr="00452C5B">
              <w:rPr>
                <w:rFonts w:ascii="Segoe UI" w:hAnsi="Segoe UI" w:cs="Segoe UI"/>
                <w:sz w:val="20"/>
                <w:szCs w:val="20"/>
              </w:rPr>
              <w:t xml:space="preserve"> to build buy-in as well as maximising local benefits through needs-based design, local employment and aligning educational and behaviour change efforts with tangible changes.</w:t>
            </w:r>
          </w:p>
          <w:p w14:paraId="39316C65" w14:textId="77777777" w:rsidR="003E32EE" w:rsidRPr="00452C5B" w:rsidRDefault="003E32EE" w:rsidP="003E32EE">
            <w:pPr>
              <w:pStyle w:val="Default"/>
              <w:numPr>
                <w:ilvl w:val="0"/>
                <w:numId w:val="7"/>
              </w:numPr>
              <w:rPr>
                <w:rFonts w:ascii="Segoe UI" w:hAnsi="Segoe UI" w:cs="Segoe UI"/>
                <w:sz w:val="20"/>
                <w:szCs w:val="20"/>
              </w:rPr>
            </w:pPr>
            <w:r w:rsidRPr="00452C5B">
              <w:rPr>
                <w:rFonts w:ascii="Segoe UI" w:hAnsi="Segoe UI" w:cs="Segoe UI"/>
                <w:sz w:val="20"/>
                <w:szCs w:val="20"/>
              </w:rPr>
              <w:t xml:space="preserve">A greater focus on </w:t>
            </w:r>
            <w:r w:rsidRPr="00452C5B">
              <w:rPr>
                <w:rFonts w:ascii="Segoe UI" w:hAnsi="Segoe UI" w:cs="Segoe UI"/>
                <w:b/>
                <w:bCs/>
                <w:sz w:val="20"/>
                <w:szCs w:val="20"/>
              </w:rPr>
              <w:t>adding value to women’s leadership</w:t>
            </w:r>
            <w:r w:rsidRPr="00452C5B">
              <w:rPr>
                <w:rFonts w:ascii="Segoe UI" w:hAnsi="Segoe UI" w:cs="Segoe UI"/>
                <w:sz w:val="20"/>
                <w:szCs w:val="20"/>
              </w:rPr>
              <w:t xml:space="preserve"> would be a good idea to ensure that women broadly are able to engage differently with women elected to positions of responsibility so that benefits are for women across the community, not solely for those who benefit directly from employment or opportunities to undertake community leadership.</w:t>
            </w:r>
          </w:p>
          <w:p w14:paraId="4CDB12DF" w14:textId="38182952" w:rsidR="003E32EE" w:rsidRPr="00452C5B" w:rsidRDefault="003E32EE" w:rsidP="003E32EE">
            <w:pPr>
              <w:pStyle w:val="ListParagraph"/>
              <w:numPr>
                <w:ilvl w:val="0"/>
                <w:numId w:val="7"/>
              </w:numPr>
              <w:rPr>
                <w:rFonts w:ascii="Segoe UI" w:hAnsi="Segoe UI" w:cs="Segoe UI"/>
                <w:sz w:val="20"/>
                <w:szCs w:val="20"/>
              </w:rPr>
            </w:pPr>
            <w:r w:rsidRPr="00452C5B">
              <w:rPr>
                <w:rFonts w:ascii="Segoe UI" w:hAnsi="Segoe UI" w:cs="Segoe UI"/>
                <w:sz w:val="20"/>
                <w:szCs w:val="20"/>
              </w:rPr>
              <w:t xml:space="preserve">As elsewhere, there was a notable slowdown in the intangible side of accompaniment with ABG institutions (due to COVID, challenges in the post-referendum context and advisor deployment challenges). This highlighted the vulnerability of the accompaniment model and the importance of </w:t>
            </w:r>
            <w:r w:rsidRPr="00452C5B">
              <w:rPr>
                <w:rFonts w:ascii="Segoe UI" w:hAnsi="Segoe UI" w:cs="Segoe UI"/>
                <w:b/>
                <w:bCs/>
                <w:sz w:val="20"/>
                <w:szCs w:val="20"/>
              </w:rPr>
              <w:t>creating capacity building plans that enable greater sustainability</w:t>
            </w:r>
            <w:r w:rsidRPr="00452C5B">
              <w:rPr>
                <w:rFonts w:ascii="Segoe UI" w:hAnsi="Segoe UI" w:cs="Segoe UI"/>
                <w:sz w:val="20"/>
                <w:szCs w:val="20"/>
              </w:rPr>
              <w:t>.</w:t>
            </w:r>
          </w:p>
        </w:tc>
        <w:tc>
          <w:tcPr>
            <w:tcW w:w="2251" w:type="dxa"/>
          </w:tcPr>
          <w:p w14:paraId="0B6FC018" w14:textId="447C7433" w:rsidR="003E32EE" w:rsidRPr="00452C5B" w:rsidRDefault="00190FEE" w:rsidP="003E32EE">
            <w:pPr>
              <w:rPr>
                <w:rFonts w:ascii="Segoe UI" w:hAnsi="Segoe UI" w:cs="Segoe UI"/>
                <w:sz w:val="20"/>
                <w:szCs w:val="20"/>
              </w:rPr>
            </w:pPr>
            <w:r w:rsidRPr="00452C5B">
              <w:rPr>
                <w:rFonts w:ascii="Segoe UI" w:hAnsi="Segoe UI" w:cs="Segoe UI"/>
                <w:sz w:val="20"/>
                <w:szCs w:val="20"/>
              </w:rPr>
              <w:t>Australia-PNG Subnational Program (APSP)</w:t>
            </w:r>
          </w:p>
        </w:tc>
      </w:tr>
      <w:tr w:rsidR="003E32EE" w:rsidRPr="00452C5B" w14:paraId="209FFB92" w14:textId="77777777" w:rsidTr="003E32EE">
        <w:tc>
          <w:tcPr>
            <w:tcW w:w="1980" w:type="dxa"/>
          </w:tcPr>
          <w:p w14:paraId="7E0D4F35" w14:textId="77777777" w:rsidR="003E32EE" w:rsidRPr="00452C5B" w:rsidRDefault="003E32EE" w:rsidP="003E32EE">
            <w:pPr>
              <w:rPr>
                <w:rFonts w:ascii="Segoe UI" w:hAnsi="Segoe UI" w:cs="Segoe UI"/>
                <w:sz w:val="20"/>
                <w:szCs w:val="20"/>
              </w:rPr>
            </w:pPr>
            <w:r w:rsidRPr="00452C5B">
              <w:rPr>
                <w:rFonts w:ascii="Segoe UI" w:hAnsi="Segoe UI" w:cs="Segoe UI"/>
                <w:sz w:val="20"/>
                <w:szCs w:val="20"/>
              </w:rPr>
              <w:t>Economic Governance and Inclusive Growth (EGIG)</w:t>
            </w:r>
          </w:p>
        </w:tc>
        <w:tc>
          <w:tcPr>
            <w:tcW w:w="4785" w:type="dxa"/>
          </w:tcPr>
          <w:p w14:paraId="5FA4ACB2" w14:textId="77777777" w:rsidR="003E32EE" w:rsidRPr="00452C5B" w:rsidRDefault="003E32EE" w:rsidP="003E32EE">
            <w:pPr>
              <w:pStyle w:val="Default"/>
              <w:numPr>
                <w:ilvl w:val="0"/>
                <w:numId w:val="9"/>
              </w:numPr>
              <w:rPr>
                <w:rFonts w:ascii="Segoe UI" w:hAnsi="Segoe UI" w:cs="Segoe UI"/>
                <w:sz w:val="20"/>
                <w:szCs w:val="20"/>
              </w:rPr>
            </w:pPr>
            <w:r w:rsidRPr="00452C5B">
              <w:rPr>
                <w:rFonts w:ascii="Segoe UI" w:hAnsi="Segoe UI" w:cs="Segoe UI"/>
                <w:b/>
                <w:bCs/>
                <w:sz w:val="20"/>
                <w:szCs w:val="20"/>
              </w:rPr>
              <w:t>Clear, high-level agreements</w:t>
            </w:r>
            <w:r w:rsidRPr="00452C5B">
              <w:rPr>
                <w:rFonts w:ascii="Segoe UI" w:hAnsi="Segoe UI" w:cs="Segoe UI"/>
                <w:sz w:val="20"/>
                <w:szCs w:val="20"/>
              </w:rPr>
              <w:t xml:space="preserve"> on intended areas of support should be developed in partnership with recipient departments, in addition to Tasking Orders for specific pieces of work at the commencement of the next program. </w:t>
            </w:r>
          </w:p>
          <w:p w14:paraId="4B822006" w14:textId="77777777" w:rsidR="003E32EE" w:rsidRPr="00452C5B" w:rsidRDefault="003E32EE" w:rsidP="003E32EE">
            <w:pPr>
              <w:pStyle w:val="Default"/>
              <w:numPr>
                <w:ilvl w:val="0"/>
                <w:numId w:val="9"/>
              </w:numPr>
              <w:rPr>
                <w:rFonts w:ascii="Segoe UI" w:hAnsi="Segoe UI" w:cs="Segoe UI"/>
                <w:sz w:val="20"/>
                <w:szCs w:val="20"/>
              </w:rPr>
            </w:pPr>
            <w:r w:rsidRPr="00452C5B">
              <w:rPr>
                <w:rFonts w:ascii="Segoe UI" w:hAnsi="Segoe UI" w:cs="Segoe UI"/>
                <w:b/>
                <w:bCs/>
                <w:sz w:val="20"/>
                <w:szCs w:val="20"/>
              </w:rPr>
              <w:t>Relationships between technical advisors</w:t>
            </w:r>
            <w:r w:rsidRPr="00452C5B">
              <w:rPr>
                <w:rFonts w:ascii="Segoe UI" w:hAnsi="Segoe UI" w:cs="Segoe UI"/>
                <w:sz w:val="20"/>
                <w:szCs w:val="20"/>
              </w:rPr>
              <w:t xml:space="preserve"> is one way to ensure that knowledge is transferred across the partnership. Consideration should be given in the future to how these informal relationships can be created organically in the future to increase learning and adaptation. </w:t>
            </w:r>
          </w:p>
          <w:p w14:paraId="5A136D94" w14:textId="77777777" w:rsidR="003E32EE" w:rsidRPr="00452C5B" w:rsidRDefault="003E32EE" w:rsidP="003E32EE">
            <w:pPr>
              <w:pStyle w:val="Default"/>
              <w:numPr>
                <w:ilvl w:val="0"/>
                <w:numId w:val="9"/>
              </w:numPr>
              <w:rPr>
                <w:rFonts w:ascii="Segoe UI" w:hAnsi="Segoe UI" w:cs="Segoe UI"/>
                <w:sz w:val="20"/>
                <w:szCs w:val="20"/>
              </w:rPr>
            </w:pPr>
            <w:r w:rsidRPr="00452C5B">
              <w:rPr>
                <w:rFonts w:ascii="Segoe UI" w:hAnsi="Segoe UI" w:cs="Segoe UI"/>
                <w:sz w:val="20"/>
                <w:szCs w:val="20"/>
              </w:rPr>
              <w:t xml:space="preserve">Capacity building should be a priority for future programming. Training should take place over an extended period, as opposed to short and sharp training sessions, to ensure that </w:t>
            </w:r>
            <w:r w:rsidRPr="00452C5B">
              <w:rPr>
                <w:rFonts w:ascii="Segoe UI" w:hAnsi="Segoe UI" w:cs="Segoe UI"/>
                <w:b/>
                <w:bCs/>
                <w:sz w:val="20"/>
                <w:szCs w:val="20"/>
              </w:rPr>
              <w:t>knowledge transfer</w:t>
            </w:r>
            <w:r w:rsidRPr="00452C5B">
              <w:rPr>
                <w:rFonts w:ascii="Segoe UI" w:hAnsi="Segoe UI" w:cs="Segoe UI"/>
                <w:sz w:val="20"/>
                <w:szCs w:val="20"/>
              </w:rPr>
              <w:t xml:space="preserve"> is taking place. </w:t>
            </w:r>
          </w:p>
          <w:p w14:paraId="365FBA15" w14:textId="77777777" w:rsidR="003E32EE" w:rsidRPr="00452C5B" w:rsidRDefault="003E32EE" w:rsidP="003E32EE">
            <w:pPr>
              <w:pStyle w:val="Default"/>
              <w:numPr>
                <w:ilvl w:val="0"/>
                <w:numId w:val="9"/>
              </w:numPr>
              <w:rPr>
                <w:rFonts w:ascii="Segoe UI" w:hAnsi="Segoe UI" w:cs="Segoe UI"/>
                <w:sz w:val="20"/>
                <w:szCs w:val="20"/>
              </w:rPr>
            </w:pPr>
            <w:r w:rsidRPr="00452C5B">
              <w:rPr>
                <w:rFonts w:ascii="Segoe UI" w:hAnsi="Segoe UI" w:cs="Segoe UI"/>
                <w:b/>
                <w:bCs/>
                <w:sz w:val="20"/>
                <w:szCs w:val="20"/>
              </w:rPr>
              <w:t>Articulating the role of GEDSI</w:t>
            </w:r>
            <w:r w:rsidRPr="00452C5B">
              <w:rPr>
                <w:rFonts w:ascii="Segoe UI" w:hAnsi="Segoe UI" w:cs="Segoe UI"/>
                <w:sz w:val="20"/>
                <w:szCs w:val="20"/>
              </w:rPr>
              <w:t xml:space="preserve"> in economic governance and inclusive growth early within a programme cycle is essential to ensure GEDSI mainstreaming. </w:t>
            </w:r>
          </w:p>
          <w:p w14:paraId="11728003" w14:textId="77777777" w:rsidR="003E32EE" w:rsidRPr="00452C5B" w:rsidRDefault="003E32EE" w:rsidP="003E32EE">
            <w:pPr>
              <w:pStyle w:val="Default"/>
              <w:numPr>
                <w:ilvl w:val="0"/>
                <w:numId w:val="9"/>
              </w:numPr>
              <w:rPr>
                <w:rFonts w:ascii="Segoe UI" w:hAnsi="Segoe UI" w:cs="Segoe UI"/>
                <w:sz w:val="20"/>
                <w:szCs w:val="20"/>
              </w:rPr>
            </w:pPr>
            <w:r w:rsidRPr="00452C5B">
              <w:rPr>
                <w:rFonts w:ascii="Segoe UI" w:hAnsi="Segoe UI" w:cs="Segoe UI"/>
                <w:b/>
                <w:bCs/>
                <w:sz w:val="20"/>
                <w:szCs w:val="20"/>
              </w:rPr>
              <w:t>Realistic outcomes</w:t>
            </w:r>
            <w:r w:rsidRPr="00452C5B">
              <w:rPr>
                <w:rFonts w:ascii="Segoe UI" w:hAnsi="Segoe UI" w:cs="Segoe UI"/>
                <w:sz w:val="20"/>
                <w:szCs w:val="20"/>
              </w:rPr>
              <w:t xml:space="preserve"> should be developed for the next phase of support which considers the speed at which outcomes can be achieved given recent progress and the political economy of the relevant support area. </w:t>
            </w:r>
          </w:p>
        </w:tc>
        <w:tc>
          <w:tcPr>
            <w:tcW w:w="2251" w:type="dxa"/>
          </w:tcPr>
          <w:p w14:paraId="70A5B865" w14:textId="77777777" w:rsidR="003E32EE" w:rsidRPr="00452C5B" w:rsidRDefault="003E32EE" w:rsidP="003E32EE">
            <w:pPr>
              <w:rPr>
                <w:rFonts w:ascii="Segoe UI" w:hAnsi="Segoe UI" w:cs="Segoe UI"/>
                <w:sz w:val="20"/>
                <w:szCs w:val="20"/>
              </w:rPr>
            </w:pPr>
            <w:r w:rsidRPr="00452C5B">
              <w:rPr>
                <w:rFonts w:ascii="Segoe UI" w:hAnsi="Segoe UI" w:cs="Segoe UI"/>
                <w:sz w:val="20"/>
                <w:szCs w:val="20"/>
              </w:rPr>
              <w:t>Australia-PNG Economic Partnership (APEP)</w:t>
            </w:r>
          </w:p>
        </w:tc>
      </w:tr>
    </w:tbl>
    <w:p w14:paraId="1A20F4B8" w14:textId="77777777" w:rsidR="00D34A6B" w:rsidRPr="00F5120E" w:rsidRDefault="00D34A6B" w:rsidP="00A16DD7">
      <w:pPr>
        <w:shd w:val="clear" w:color="auto" w:fill="FFFFFF"/>
        <w:spacing w:after="0" w:line="240" w:lineRule="auto"/>
        <w:outlineLvl w:val="1"/>
        <w:rPr>
          <w:rFonts w:ascii="Segoe UI" w:eastAsia="Times New Roman" w:hAnsi="Segoe UI" w:cs="Segoe UI"/>
          <w:color w:val="313131"/>
          <w:sz w:val="24"/>
          <w:szCs w:val="24"/>
          <w:lang w:eastAsia="en-AU"/>
        </w:rPr>
      </w:pPr>
    </w:p>
    <w:sectPr w:rsidR="00D34A6B" w:rsidRPr="00F512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4333" w14:textId="77777777" w:rsidR="00272CC8" w:rsidRDefault="00272CC8" w:rsidP="00FC4CF3">
      <w:pPr>
        <w:spacing w:after="0" w:line="240" w:lineRule="auto"/>
      </w:pPr>
      <w:r>
        <w:separator/>
      </w:r>
    </w:p>
  </w:endnote>
  <w:endnote w:type="continuationSeparator" w:id="0">
    <w:p w14:paraId="05D2EBAC" w14:textId="77777777" w:rsidR="00272CC8" w:rsidRDefault="00272CC8" w:rsidP="00FC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7DB5" w14:textId="77777777" w:rsidR="00272CC8" w:rsidRDefault="00272CC8" w:rsidP="00FC4CF3">
      <w:pPr>
        <w:spacing w:after="0" w:line="240" w:lineRule="auto"/>
      </w:pPr>
      <w:r>
        <w:separator/>
      </w:r>
    </w:p>
  </w:footnote>
  <w:footnote w:type="continuationSeparator" w:id="0">
    <w:p w14:paraId="67223A32" w14:textId="77777777" w:rsidR="00272CC8" w:rsidRDefault="00272CC8" w:rsidP="00FC4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885"/>
    <w:multiLevelType w:val="multilevel"/>
    <w:tmpl w:val="99D0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C2717"/>
    <w:multiLevelType w:val="hybridMultilevel"/>
    <w:tmpl w:val="EDE4EB3E"/>
    <w:lvl w:ilvl="0" w:tplc="29CA9844">
      <w:numFmt w:val="bullet"/>
      <w:lvlText w:val="•"/>
      <w:lvlJc w:val="left"/>
      <w:pPr>
        <w:ind w:left="720" w:hanging="720"/>
      </w:pPr>
      <w:rPr>
        <w:rFonts w:ascii="Segoe UI" w:eastAsia="Times New Roman"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C95628"/>
    <w:multiLevelType w:val="multilevel"/>
    <w:tmpl w:val="0836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1378D"/>
    <w:multiLevelType w:val="hybridMultilevel"/>
    <w:tmpl w:val="B06A8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641B7C"/>
    <w:multiLevelType w:val="multilevel"/>
    <w:tmpl w:val="3F9A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C14AC"/>
    <w:multiLevelType w:val="hybridMultilevel"/>
    <w:tmpl w:val="6BA0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0A43D6"/>
    <w:multiLevelType w:val="hybridMultilevel"/>
    <w:tmpl w:val="6F72C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296876"/>
    <w:multiLevelType w:val="hybridMultilevel"/>
    <w:tmpl w:val="D78A5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F1B0B3F"/>
    <w:multiLevelType w:val="hybridMultilevel"/>
    <w:tmpl w:val="55D0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D7"/>
    <w:rsid w:val="000000E6"/>
    <w:rsid w:val="0000557A"/>
    <w:rsid w:val="00010007"/>
    <w:rsid w:val="0001058E"/>
    <w:rsid w:val="000367F2"/>
    <w:rsid w:val="00040447"/>
    <w:rsid w:val="00041B68"/>
    <w:rsid w:val="00050181"/>
    <w:rsid w:val="000544EC"/>
    <w:rsid w:val="00055067"/>
    <w:rsid w:val="000770ED"/>
    <w:rsid w:val="00084E05"/>
    <w:rsid w:val="00085107"/>
    <w:rsid w:val="00090F92"/>
    <w:rsid w:val="0009536D"/>
    <w:rsid w:val="000A1F5B"/>
    <w:rsid w:val="000B630E"/>
    <w:rsid w:val="000B6731"/>
    <w:rsid w:val="000C5AF2"/>
    <w:rsid w:val="000D11DB"/>
    <w:rsid w:val="000D6DC3"/>
    <w:rsid w:val="000F0C63"/>
    <w:rsid w:val="00106BA7"/>
    <w:rsid w:val="0011399E"/>
    <w:rsid w:val="001257BD"/>
    <w:rsid w:val="00131932"/>
    <w:rsid w:val="00133FE9"/>
    <w:rsid w:val="00143856"/>
    <w:rsid w:val="001445AB"/>
    <w:rsid w:val="00151C60"/>
    <w:rsid w:val="00162787"/>
    <w:rsid w:val="00171F03"/>
    <w:rsid w:val="00176C10"/>
    <w:rsid w:val="00177502"/>
    <w:rsid w:val="0018305C"/>
    <w:rsid w:val="00190FEE"/>
    <w:rsid w:val="001A62C6"/>
    <w:rsid w:val="001E3B7B"/>
    <w:rsid w:val="002000C2"/>
    <w:rsid w:val="00200970"/>
    <w:rsid w:val="0021066F"/>
    <w:rsid w:val="00216D35"/>
    <w:rsid w:val="002203B8"/>
    <w:rsid w:val="00236378"/>
    <w:rsid w:val="0023791F"/>
    <w:rsid w:val="002466BF"/>
    <w:rsid w:val="00247893"/>
    <w:rsid w:val="00271BCF"/>
    <w:rsid w:val="00272CC8"/>
    <w:rsid w:val="002A165C"/>
    <w:rsid w:val="002A4073"/>
    <w:rsid w:val="002A69F8"/>
    <w:rsid w:val="002D07CC"/>
    <w:rsid w:val="002D6856"/>
    <w:rsid w:val="002F1680"/>
    <w:rsid w:val="002F4D23"/>
    <w:rsid w:val="00320CAC"/>
    <w:rsid w:val="003254ED"/>
    <w:rsid w:val="0037298B"/>
    <w:rsid w:val="00373279"/>
    <w:rsid w:val="003820B4"/>
    <w:rsid w:val="00384D1B"/>
    <w:rsid w:val="003973A7"/>
    <w:rsid w:val="003A32AA"/>
    <w:rsid w:val="003B3736"/>
    <w:rsid w:val="003B75B1"/>
    <w:rsid w:val="003C2EA6"/>
    <w:rsid w:val="003C3BED"/>
    <w:rsid w:val="003E32EE"/>
    <w:rsid w:val="003E39E8"/>
    <w:rsid w:val="003E7190"/>
    <w:rsid w:val="003F0E30"/>
    <w:rsid w:val="003F5789"/>
    <w:rsid w:val="0044223A"/>
    <w:rsid w:val="004439C1"/>
    <w:rsid w:val="004471F8"/>
    <w:rsid w:val="00453AAA"/>
    <w:rsid w:val="00462805"/>
    <w:rsid w:val="0049162A"/>
    <w:rsid w:val="004A054C"/>
    <w:rsid w:val="004A5292"/>
    <w:rsid w:val="004B2602"/>
    <w:rsid w:val="004C112D"/>
    <w:rsid w:val="004D0684"/>
    <w:rsid w:val="004D496F"/>
    <w:rsid w:val="004E1AD4"/>
    <w:rsid w:val="004E5053"/>
    <w:rsid w:val="005103A5"/>
    <w:rsid w:val="00526B4C"/>
    <w:rsid w:val="005400FF"/>
    <w:rsid w:val="00547DB9"/>
    <w:rsid w:val="005534E3"/>
    <w:rsid w:val="005544BF"/>
    <w:rsid w:val="00556A1C"/>
    <w:rsid w:val="005575CB"/>
    <w:rsid w:val="0056281A"/>
    <w:rsid w:val="00575898"/>
    <w:rsid w:val="00580C54"/>
    <w:rsid w:val="005A05B3"/>
    <w:rsid w:val="005A449E"/>
    <w:rsid w:val="005B2BF6"/>
    <w:rsid w:val="005B414E"/>
    <w:rsid w:val="005C5093"/>
    <w:rsid w:val="005C7ABE"/>
    <w:rsid w:val="005D1C3F"/>
    <w:rsid w:val="005F7137"/>
    <w:rsid w:val="00610CCA"/>
    <w:rsid w:val="00624DF1"/>
    <w:rsid w:val="006569AD"/>
    <w:rsid w:val="0066632B"/>
    <w:rsid w:val="00667A7C"/>
    <w:rsid w:val="00671806"/>
    <w:rsid w:val="006A6D73"/>
    <w:rsid w:val="006B11DD"/>
    <w:rsid w:val="006B6A71"/>
    <w:rsid w:val="006C08DC"/>
    <w:rsid w:val="006C2665"/>
    <w:rsid w:val="006C4B13"/>
    <w:rsid w:val="006D262F"/>
    <w:rsid w:val="006F44F2"/>
    <w:rsid w:val="00706612"/>
    <w:rsid w:val="00712266"/>
    <w:rsid w:val="0073221C"/>
    <w:rsid w:val="0077248D"/>
    <w:rsid w:val="00786A7A"/>
    <w:rsid w:val="00791E3A"/>
    <w:rsid w:val="007A38AC"/>
    <w:rsid w:val="007D0300"/>
    <w:rsid w:val="007F1853"/>
    <w:rsid w:val="00801C4F"/>
    <w:rsid w:val="0081034D"/>
    <w:rsid w:val="00811313"/>
    <w:rsid w:val="00821E8C"/>
    <w:rsid w:val="00837D39"/>
    <w:rsid w:val="00853650"/>
    <w:rsid w:val="0085606A"/>
    <w:rsid w:val="008722AA"/>
    <w:rsid w:val="008863EE"/>
    <w:rsid w:val="00897B95"/>
    <w:rsid w:val="008C1E85"/>
    <w:rsid w:val="008D0344"/>
    <w:rsid w:val="008D0EC4"/>
    <w:rsid w:val="008E69F2"/>
    <w:rsid w:val="009000B6"/>
    <w:rsid w:val="0092565A"/>
    <w:rsid w:val="00925AD6"/>
    <w:rsid w:val="0092721D"/>
    <w:rsid w:val="00930BF0"/>
    <w:rsid w:val="0093274A"/>
    <w:rsid w:val="00934697"/>
    <w:rsid w:val="00937845"/>
    <w:rsid w:val="00944E68"/>
    <w:rsid w:val="00946B7F"/>
    <w:rsid w:val="00953486"/>
    <w:rsid w:val="00971B9E"/>
    <w:rsid w:val="00974E57"/>
    <w:rsid w:val="00992E3A"/>
    <w:rsid w:val="009C7108"/>
    <w:rsid w:val="009D7A8F"/>
    <w:rsid w:val="009E2844"/>
    <w:rsid w:val="00A1408B"/>
    <w:rsid w:val="00A16DD7"/>
    <w:rsid w:val="00A30387"/>
    <w:rsid w:val="00A36D25"/>
    <w:rsid w:val="00A450C8"/>
    <w:rsid w:val="00A718E4"/>
    <w:rsid w:val="00A771BB"/>
    <w:rsid w:val="00A96483"/>
    <w:rsid w:val="00AA2C97"/>
    <w:rsid w:val="00AA5C1A"/>
    <w:rsid w:val="00AC3EA4"/>
    <w:rsid w:val="00AC5CFC"/>
    <w:rsid w:val="00B05EF1"/>
    <w:rsid w:val="00B2447C"/>
    <w:rsid w:val="00B2512B"/>
    <w:rsid w:val="00B31A22"/>
    <w:rsid w:val="00B36852"/>
    <w:rsid w:val="00B40BDD"/>
    <w:rsid w:val="00B6743B"/>
    <w:rsid w:val="00B706D7"/>
    <w:rsid w:val="00B83F19"/>
    <w:rsid w:val="00B96CE4"/>
    <w:rsid w:val="00BB2090"/>
    <w:rsid w:val="00BB7825"/>
    <w:rsid w:val="00BC3857"/>
    <w:rsid w:val="00BC3898"/>
    <w:rsid w:val="00BD5D69"/>
    <w:rsid w:val="00BF10B5"/>
    <w:rsid w:val="00BF3E48"/>
    <w:rsid w:val="00BF55CB"/>
    <w:rsid w:val="00C05A0D"/>
    <w:rsid w:val="00C3563F"/>
    <w:rsid w:val="00C51C06"/>
    <w:rsid w:val="00C52990"/>
    <w:rsid w:val="00C53711"/>
    <w:rsid w:val="00C54302"/>
    <w:rsid w:val="00C54CFC"/>
    <w:rsid w:val="00C669B4"/>
    <w:rsid w:val="00C73496"/>
    <w:rsid w:val="00C82238"/>
    <w:rsid w:val="00C876A4"/>
    <w:rsid w:val="00C95230"/>
    <w:rsid w:val="00CC4217"/>
    <w:rsid w:val="00CC423B"/>
    <w:rsid w:val="00CD5942"/>
    <w:rsid w:val="00CF30D5"/>
    <w:rsid w:val="00CF7AEB"/>
    <w:rsid w:val="00D177C2"/>
    <w:rsid w:val="00D206A9"/>
    <w:rsid w:val="00D27353"/>
    <w:rsid w:val="00D31B01"/>
    <w:rsid w:val="00D34A6B"/>
    <w:rsid w:val="00D51B29"/>
    <w:rsid w:val="00D51D92"/>
    <w:rsid w:val="00D70CBE"/>
    <w:rsid w:val="00D97105"/>
    <w:rsid w:val="00DA7BAA"/>
    <w:rsid w:val="00DC3774"/>
    <w:rsid w:val="00E030BC"/>
    <w:rsid w:val="00E05439"/>
    <w:rsid w:val="00E25A0A"/>
    <w:rsid w:val="00E35B0F"/>
    <w:rsid w:val="00E370ED"/>
    <w:rsid w:val="00E44979"/>
    <w:rsid w:val="00E45067"/>
    <w:rsid w:val="00E70422"/>
    <w:rsid w:val="00EA2FD3"/>
    <w:rsid w:val="00EB1D80"/>
    <w:rsid w:val="00EB33DB"/>
    <w:rsid w:val="00EB3CB5"/>
    <w:rsid w:val="00EB413D"/>
    <w:rsid w:val="00EB71B0"/>
    <w:rsid w:val="00EE5EE2"/>
    <w:rsid w:val="00F03DBF"/>
    <w:rsid w:val="00F11E0F"/>
    <w:rsid w:val="00F329E2"/>
    <w:rsid w:val="00F35509"/>
    <w:rsid w:val="00F5120E"/>
    <w:rsid w:val="00F52081"/>
    <w:rsid w:val="00F614E5"/>
    <w:rsid w:val="00F73BE3"/>
    <w:rsid w:val="00F74160"/>
    <w:rsid w:val="00F80273"/>
    <w:rsid w:val="00F9052D"/>
    <w:rsid w:val="00FB1F14"/>
    <w:rsid w:val="00FC4CF3"/>
    <w:rsid w:val="00FC6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6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4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16DD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6DD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A16DD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7248D"/>
    <w:pPr>
      <w:ind w:left="720"/>
      <w:contextualSpacing/>
    </w:pPr>
  </w:style>
  <w:style w:type="character" w:styleId="CommentReference">
    <w:name w:val="annotation reference"/>
    <w:basedOn w:val="DefaultParagraphFont"/>
    <w:uiPriority w:val="99"/>
    <w:semiHidden/>
    <w:unhideWhenUsed/>
    <w:rsid w:val="00974E57"/>
    <w:rPr>
      <w:sz w:val="16"/>
      <w:szCs w:val="16"/>
    </w:rPr>
  </w:style>
  <w:style w:type="paragraph" w:styleId="CommentText">
    <w:name w:val="annotation text"/>
    <w:basedOn w:val="Normal"/>
    <w:link w:val="CommentTextChar"/>
    <w:uiPriority w:val="99"/>
    <w:semiHidden/>
    <w:unhideWhenUsed/>
    <w:rsid w:val="00974E57"/>
    <w:pPr>
      <w:spacing w:line="240" w:lineRule="auto"/>
    </w:pPr>
    <w:rPr>
      <w:sz w:val="20"/>
      <w:szCs w:val="20"/>
    </w:rPr>
  </w:style>
  <w:style w:type="character" w:customStyle="1" w:styleId="CommentTextChar">
    <w:name w:val="Comment Text Char"/>
    <w:basedOn w:val="DefaultParagraphFont"/>
    <w:link w:val="CommentText"/>
    <w:uiPriority w:val="99"/>
    <w:semiHidden/>
    <w:rsid w:val="00974E57"/>
    <w:rPr>
      <w:sz w:val="20"/>
      <w:szCs w:val="20"/>
    </w:rPr>
  </w:style>
  <w:style w:type="paragraph" w:styleId="CommentSubject">
    <w:name w:val="annotation subject"/>
    <w:basedOn w:val="CommentText"/>
    <w:next w:val="CommentText"/>
    <w:link w:val="CommentSubjectChar"/>
    <w:uiPriority w:val="99"/>
    <w:semiHidden/>
    <w:unhideWhenUsed/>
    <w:rsid w:val="00974E57"/>
    <w:rPr>
      <w:b/>
      <w:bCs/>
    </w:rPr>
  </w:style>
  <w:style w:type="character" w:customStyle="1" w:styleId="CommentSubjectChar">
    <w:name w:val="Comment Subject Char"/>
    <w:basedOn w:val="CommentTextChar"/>
    <w:link w:val="CommentSubject"/>
    <w:uiPriority w:val="99"/>
    <w:semiHidden/>
    <w:rsid w:val="00974E57"/>
    <w:rPr>
      <w:b/>
      <w:bCs/>
      <w:sz w:val="20"/>
      <w:szCs w:val="20"/>
    </w:rPr>
  </w:style>
  <w:style w:type="paragraph" w:styleId="Header">
    <w:name w:val="header"/>
    <w:basedOn w:val="Normal"/>
    <w:link w:val="HeaderChar"/>
    <w:uiPriority w:val="99"/>
    <w:unhideWhenUsed/>
    <w:rsid w:val="00944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E68"/>
  </w:style>
  <w:style w:type="paragraph" w:styleId="Footer">
    <w:name w:val="footer"/>
    <w:basedOn w:val="Normal"/>
    <w:link w:val="FooterChar"/>
    <w:uiPriority w:val="99"/>
    <w:unhideWhenUsed/>
    <w:rsid w:val="00944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E68"/>
  </w:style>
  <w:style w:type="table" w:styleId="TableGrid">
    <w:name w:val="Table Grid"/>
    <w:basedOn w:val="TableNormal"/>
    <w:uiPriority w:val="39"/>
    <w:rsid w:val="006C4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4B1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674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5250">
      <w:bodyDiv w:val="1"/>
      <w:marLeft w:val="0"/>
      <w:marRight w:val="0"/>
      <w:marTop w:val="0"/>
      <w:marBottom w:val="0"/>
      <w:divBdr>
        <w:top w:val="none" w:sz="0" w:space="0" w:color="auto"/>
        <w:left w:val="none" w:sz="0" w:space="0" w:color="auto"/>
        <w:bottom w:val="none" w:sz="0" w:space="0" w:color="auto"/>
        <w:right w:val="none" w:sz="0" w:space="0" w:color="auto"/>
      </w:divBdr>
    </w:div>
    <w:div w:id="152987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11847</Characters>
  <Application>Microsoft Office Word</Application>
  <DocSecurity>0</DocSecurity>
  <Lines>283</Lines>
  <Paragraphs>69</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Final Review of the PNG-Australia Governance Partnership – 2022</dc:title>
  <dc:subject/>
  <dc:creator/>
  <cp:keywords/>
  <dc:description/>
  <cp:lastModifiedBy/>
  <cp:revision>1</cp:revision>
  <dcterms:created xsi:type="dcterms:W3CDTF">2022-10-04T04:28:00Z</dcterms:created>
  <dcterms:modified xsi:type="dcterms:W3CDTF">2022-10-04T04:28:00Z</dcterms:modified>
  <cp:category/>
</cp:coreProperties>
</file>