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65B" w:rsidRPr="00C616BF" w:rsidRDefault="00A96EC8" w:rsidP="00C616BF">
      <w:pPr>
        <w:pStyle w:val="Title"/>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7560310" cy="3232785"/>
            <wp:effectExtent l="0" t="0" r="2540" b="5715"/>
            <wp:wrapNone/>
            <wp:docPr id="1198" name="Picture 1198" descr="AusAID_facsheet_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8" descr="AusAID_facsheet_A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560310" cy="3232785"/>
                    </a:xfrm>
                    <a:prstGeom prst="rect">
                      <a:avLst/>
                    </a:prstGeom>
                    <a:noFill/>
                    <a:ln>
                      <a:noFill/>
                    </a:ln>
                  </pic:spPr>
                </pic:pic>
              </a:graphicData>
            </a:graphic>
            <wp14:sizeRelH relativeFrom="page">
              <wp14:pctWidth>0</wp14:pctWidth>
            </wp14:sizeRelH>
            <wp14:sizeRelV relativeFrom="page">
              <wp14:pctHeight>0</wp14:pctHeight>
            </wp14:sizeRelV>
          </wp:anchor>
        </w:drawing>
      </w:r>
      <w:r w:rsidR="00450994">
        <w:t xml:space="preserve">                                                                                                                    </w:t>
      </w:r>
      <w:r w:rsidR="00221E99" w:rsidRPr="00C616BF">
        <w:t>Palestinian Territories</w:t>
      </w:r>
      <w:r w:rsidR="0035177E" w:rsidRPr="00C616BF">
        <w:t xml:space="preserve"> </w:t>
      </w:r>
      <w:r w:rsidR="001B2E34" w:rsidRPr="00C616BF">
        <w:br/>
      </w:r>
      <w:r w:rsidR="00DC09CC" w:rsidRPr="0090049B">
        <w:rPr>
          <w:color w:val="943634"/>
        </w:rPr>
        <w:t>Annual Program Performance Report</w:t>
      </w:r>
      <w:r w:rsidR="0035177E" w:rsidRPr="0090049B">
        <w:rPr>
          <w:color w:val="943634"/>
        </w:rPr>
        <w:t xml:space="preserve"> </w:t>
      </w:r>
      <w:r w:rsidR="00574E74" w:rsidRPr="0090049B">
        <w:rPr>
          <w:color w:val="943634"/>
        </w:rPr>
        <w:t>2011</w:t>
      </w:r>
    </w:p>
    <w:p w:rsidR="0094365B" w:rsidRPr="0090049B" w:rsidRDefault="001B2E34" w:rsidP="00C616BF">
      <w:pPr>
        <w:pStyle w:val="Date"/>
        <w:rPr>
          <w:color w:val="595959"/>
        </w:rPr>
      </w:pPr>
      <w:r w:rsidRPr="0090049B">
        <w:rPr>
          <w:color w:val="595959"/>
        </w:rPr>
        <w:t>December</w:t>
      </w:r>
      <w:r w:rsidR="00F2415D" w:rsidRPr="0090049B">
        <w:rPr>
          <w:color w:val="595959"/>
        </w:rPr>
        <w:t xml:space="preserve"> 2012</w:t>
      </w:r>
    </w:p>
    <w:p w:rsidR="00E16823" w:rsidRPr="00E16823" w:rsidRDefault="00E16823" w:rsidP="00C616BF">
      <w:pPr>
        <w:pStyle w:val="Heading2"/>
        <w:rPr>
          <w:rFonts w:ascii="Times New Roman" w:hAnsi="Times New Roman"/>
          <w:color w:val="0070C0"/>
        </w:rPr>
      </w:pPr>
    </w:p>
    <w:p w:rsidR="00CF68C0" w:rsidRDefault="00CF68C0" w:rsidP="005945EA">
      <w:pPr>
        <w:spacing w:before="80" w:after="80" w:line="280" w:lineRule="atLeast"/>
        <w:jc w:val="both"/>
        <w:rPr>
          <w:sz w:val="24"/>
        </w:rPr>
      </w:pPr>
    </w:p>
    <w:p w:rsidR="00083811" w:rsidRDefault="0035177E" w:rsidP="005945EA">
      <w:pPr>
        <w:spacing w:before="80" w:after="80" w:line="280" w:lineRule="atLeast"/>
        <w:jc w:val="both"/>
        <w:rPr>
          <w:sz w:val="24"/>
        </w:rPr>
      </w:pPr>
      <w:r w:rsidRPr="005945EA">
        <w:rPr>
          <w:sz w:val="24"/>
        </w:rPr>
        <w:t xml:space="preserve">This report summarises </w:t>
      </w:r>
      <w:r w:rsidR="00F2415D" w:rsidRPr="005945EA">
        <w:rPr>
          <w:sz w:val="24"/>
        </w:rPr>
        <w:t xml:space="preserve">AusAID’s </w:t>
      </w:r>
      <w:r w:rsidR="00DC09CC" w:rsidRPr="005945EA">
        <w:rPr>
          <w:sz w:val="24"/>
        </w:rPr>
        <w:t xml:space="preserve">progress </w:t>
      </w:r>
      <w:r w:rsidR="001B2E34" w:rsidRPr="005945EA">
        <w:rPr>
          <w:sz w:val="24"/>
        </w:rPr>
        <w:t xml:space="preserve">in the </w:t>
      </w:r>
      <w:r w:rsidR="00083811" w:rsidRPr="005945EA">
        <w:rPr>
          <w:sz w:val="24"/>
        </w:rPr>
        <w:t>Palestinian</w:t>
      </w:r>
      <w:r w:rsidR="001B2E34" w:rsidRPr="005945EA">
        <w:rPr>
          <w:sz w:val="24"/>
        </w:rPr>
        <w:t xml:space="preserve"> Ter</w:t>
      </w:r>
      <w:r w:rsidR="00083811" w:rsidRPr="005945EA">
        <w:rPr>
          <w:sz w:val="24"/>
        </w:rPr>
        <w:t>ritories</w:t>
      </w:r>
      <w:r w:rsidR="00C1709E">
        <w:rPr>
          <w:sz w:val="24"/>
        </w:rPr>
        <w:t xml:space="preserve"> for 2011</w:t>
      </w:r>
      <w:r w:rsidR="00083811" w:rsidRPr="005945EA">
        <w:rPr>
          <w:sz w:val="24"/>
        </w:rPr>
        <w:t>.</w:t>
      </w:r>
    </w:p>
    <w:p w:rsidR="00403E53" w:rsidRPr="005945EA" w:rsidRDefault="00403E53" w:rsidP="005945EA">
      <w:pPr>
        <w:spacing w:before="80" w:after="80" w:line="280" w:lineRule="atLeast"/>
        <w:jc w:val="both"/>
        <w:rPr>
          <w:sz w:val="24"/>
        </w:rPr>
      </w:pPr>
    </w:p>
    <w:p w:rsidR="00083811" w:rsidRPr="00C616BF" w:rsidRDefault="00083811" w:rsidP="00C616BF">
      <w:pPr>
        <w:pStyle w:val="Heading1"/>
      </w:pPr>
      <w:r w:rsidRPr="00C616BF">
        <w:t>Context</w:t>
      </w:r>
    </w:p>
    <w:p w:rsidR="00B90D2F" w:rsidRPr="00C1709E" w:rsidRDefault="00B90D2F" w:rsidP="000F626F">
      <w:pPr>
        <w:jc w:val="both"/>
        <w:rPr>
          <w:sz w:val="24"/>
        </w:rPr>
      </w:pPr>
      <w:r w:rsidRPr="00C1709E">
        <w:rPr>
          <w:sz w:val="24"/>
        </w:rPr>
        <w:t>Resol</w:t>
      </w:r>
      <w:r w:rsidR="00DA7926">
        <w:rPr>
          <w:sz w:val="24"/>
        </w:rPr>
        <w:t xml:space="preserve">ving the </w:t>
      </w:r>
      <w:r w:rsidRPr="00C1709E">
        <w:rPr>
          <w:sz w:val="24"/>
        </w:rPr>
        <w:t xml:space="preserve">Israeli/Palestinian conflict is a longstanding priority for the Australian Government. Australia </w:t>
      </w:r>
      <w:r w:rsidR="00DA7926">
        <w:rPr>
          <w:sz w:val="24"/>
        </w:rPr>
        <w:t xml:space="preserve">prefers a solution </w:t>
      </w:r>
      <w:r w:rsidRPr="00C1709E">
        <w:rPr>
          <w:sz w:val="24"/>
        </w:rPr>
        <w:t>that leads to a viable and democratic Palestinian state alongside a secure and prosperous Israel.</w:t>
      </w:r>
      <w:r w:rsidR="00AE1C29">
        <w:rPr>
          <w:sz w:val="24"/>
        </w:rPr>
        <w:t xml:space="preserve">  </w:t>
      </w:r>
      <w:r w:rsidRPr="00C1709E">
        <w:rPr>
          <w:sz w:val="24"/>
        </w:rPr>
        <w:t xml:space="preserve">Two conflicts have shaped the international development response for the Palestinian people. The first is the long-standing conflict with Israel, arising from continuing territorial dispute. The second </w:t>
      </w:r>
      <w:r w:rsidR="00DA7926">
        <w:rPr>
          <w:sz w:val="24"/>
        </w:rPr>
        <w:t xml:space="preserve">is </w:t>
      </w:r>
      <w:r w:rsidRPr="00C1709E">
        <w:rPr>
          <w:sz w:val="24"/>
        </w:rPr>
        <w:t xml:space="preserve">the division between the two main Palestinian </w:t>
      </w:r>
      <w:r w:rsidR="00C61471">
        <w:rPr>
          <w:sz w:val="24"/>
        </w:rPr>
        <w:t>political rivals, Hamas and Fata</w:t>
      </w:r>
      <w:r w:rsidRPr="00C1709E">
        <w:rPr>
          <w:sz w:val="24"/>
        </w:rPr>
        <w:t>h. The pol</w:t>
      </w:r>
      <w:r w:rsidR="00707639">
        <w:rPr>
          <w:sz w:val="24"/>
        </w:rPr>
        <w:t>itical standoff between the Fata</w:t>
      </w:r>
      <w:r w:rsidRPr="00C1709E">
        <w:rPr>
          <w:sz w:val="24"/>
        </w:rPr>
        <w:t>h-controlled West Bank and Hamas-controlled Gaza has hindered progress to</w:t>
      </w:r>
      <w:r w:rsidR="001062BE">
        <w:rPr>
          <w:sz w:val="24"/>
        </w:rPr>
        <w:t>wards a two-state solution, stunting development and increasing</w:t>
      </w:r>
      <w:r w:rsidRPr="00C1709E">
        <w:rPr>
          <w:sz w:val="24"/>
        </w:rPr>
        <w:t xml:space="preserve"> humanitarian </w:t>
      </w:r>
      <w:r w:rsidR="001062BE">
        <w:rPr>
          <w:sz w:val="24"/>
        </w:rPr>
        <w:t>need</w:t>
      </w:r>
      <w:r w:rsidRPr="00C1709E">
        <w:rPr>
          <w:sz w:val="24"/>
        </w:rPr>
        <w:t>.</w:t>
      </w:r>
    </w:p>
    <w:p w:rsidR="000F626F" w:rsidRDefault="000F626F" w:rsidP="000F626F">
      <w:pPr>
        <w:jc w:val="both"/>
        <w:rPr>
          <w:sz w:val="24"/>
        </w:rPr>
      </w:pPr>
    </w:p>
    <w:p w:rsidR="000F626F" w:rsidRDefault="00B90D2F" w:rsidP="000F626F">
      <w:pPr>
        <w:jc w:val="both"/>
        <w:rPr>
          <w:sz w:val="24"/>
        </w:rPr>
      </w:pPr>
      <w:r w:rsidRPr="00C1709E">
        <w:rPr>
          <w:sz w:val="24"/>
        </w:rPr>
        <w:t>Seven million Palestinian</w:t>
      </w:r>
      <w:r w:rsidR="001062BE">
        <w:rPr>
          <w:sz w:val="24"/>
        </w:rPr>
        <w:t>s</w:t>
      </w:r>
      <w:r w:rsidRPr="00C1709E">
        <w:rPr>
          <w:sz w:val="24"/>
        </w:rPr>
        <w:t xml:space="preserve"> are scattered across five locations</w:t>
      </w:r>
      <w:r w:rsidR="001062BE">
        <w:rPr>
          <w:sz w:val="24"/>
        </w:rPr>
        <w:t xml:space="preserve">: </w:t>
      </w:r>
      <w:r w:rsidR="001062BE" w:rsidRPr="00C1709E">
        <w:rPr>
          <w:sz w:val="24"/>
        </w:rPr>
        <w:t>West Bank, Gaza, Jordan, Lebanon and Syria</w:t>
      </w:r>
      <w:r w:rsidRPr="00C1709E">
        <w:rPr>
          <w:sz w:val="24"/>
        </w:rPr>
        <w:t>.</w:t>
      </w:r>
      <w:r w:rsidR="001062BE">
        <w:rPr>
          <w:sz w:val="24"/>
        </w:rPr>
        <w:t xml:space="preserve"> </w:t>
      </w:r>
      <w:r w:rsidRPr="00C1709E">
        <w:rPr>
          <w:sz w:val="24"/>
        </w:rPr>
        <w:t xml:space="preserve"> Over four million live in the Palestinian Territories of Gaza and the West Bank (including East Jerusalem), with Gaza having the highest proportion registered as refugees.  Many of the refugees in the Palestinian Territories live in </w:t>
      </w:r>
      <w:r w:rsidR="00C61471">
        <w:rPr>
          <w:sz w:val="24"/>
        </w:rPr>
        <w:t xml:space="preserve">official refugee camps (492,000 </w:t>
      </w:r>
      <w:r w:rsidRPr="00C1709E">
        <w:rPr>
          <w:sz w:val="24"/>
        </w:rPr>
        <w:t xml:space="preserve">in Gaza, 191,000 in the West Bank), with the rest living in cities, villages and unofficial camps.   The West Bank is a landlocked area </w:t>
      </w:r>
      <w:r w:rsidR="00F43CA7">
        <w:rPr>
          <w:sz w:val="24"/>
        </w:rPr>
        <w:t>of about</w:t>
      </w:r>
      <w:r w:rsidRPr="00C1709E">
        <w:rPr>
          <w:sz w:val="24"/>
        </w:rPr>
        <w:t xml:space="preserve"> 5640 square kilometres.  The Gaza Strip is a narrow coastal plain of 360 square kilometres. With its population of 1.6 million, Gaza is one of the most densely populated areas in the world. The Palestinian Territories of Gaza and the West Bank are highly fragmented, with movements of people and g</w:t>
      </w:r>
      <w:r w:rsidR="00F43CA7">
        <w:rPr>
          <w:sz w:val="24"/>
        </w:rPr>
        <w:t xml:space="preserve">oods subject to </w:t>
      </w:r>
      <w:r w:rsidRPr="00C1709E">
        <w:rPr>
          <w:sz w:val="24"/>
        </w:rPr>
        <w:t xml:space="preserve">Israeli control.  </w:t>
      </w:r>
      <w:r w:rsidR="001062BE" w:rsidRPr="00C1709E">
        <w:rPr>
          <w:sz w:val="24"/>
        </w:rPr>
        <w:t>50 per cent of Gazans are under 18 and 38 per cent live in poverty. Thirty-one per cent of the workforce is unemployed and 47 per cent of youths are out of work. Over 90 per cent of the water from the Gaza aquifer is undrinkable</w:t>
      </w:r>
      <w:r w:rsidR="00033213">
        <w:rPr>
          <w:sz w:val="24"/>
        </w:rPr>
        <w:t>.</w:t>
      </w:r>
    </w:p>
    <w:p w:rsidR="00033213" w:rsidRDefault="00033213" w:rsidP="000F626F">
      <w:pPr>
        <w:jc w:val="both"/>
        <w:rPr>
          <w:sz w:val="24"/>
        </w:rPr>
      </w:pPr>
    </w:p>
    <w:p w:rsidR="00B90D2F" w:rsidRPr="00C1709E" w:rsidRDefault="00B90D2F" w:rsidP="000F626F">
      <w:pPr>
        <w:jc w:val="both"/>
        <w:rPr>
          <w:sz w:val="24"/>
        </w:rPr>
      </w:pPr>
      <w:r w:rsidRPr="00C1709E">
        <w:rPr>
          <w:sz w:val="24"/>
        </w:rPr>
        <w:t>The P</w:t>
      </w:r>
      <w:r w:rsidR="00DA7926">
        <w:rPr>
          <w:sz w:val="24"/>
        </w:rPr>
        <w:t>alestinian Authority (PA)</w:t>
      </w:r>
      <w:r w:rsidRPr="00C1709E">
        <w:rPr>
          <w:sz w:val="24"/>
        </w:rPr>
        <w:t xml:space="preserve"> depends on </w:t>
      </w:r>
      <w:r w:rsidR="001062BE">
        <w:rPr>
          <w:sz w:val="24"/>
        </w:rPr>
        <w:t>aid</w:t>
      </w:r>
      <w:r w:rsidRPr="00C1709E">
        <w:rPr>
          <w:sz w:val="24"/>
        </w:rPr>
        <w:t xml:space="preserve"> f</w:t>
      </w:r>
      <w:r w:rsidR="001062BE">
        <w:rPr>
          <w:sz w:val="24"/>
        </w:rPr>
        <w:t xml:space="preserve">or 40 per cent of its budget.  </w:t>
      </w:r>
      <w:r w:rsidRPr="00C1709E">
        <w:rPr>
          <w:sz w:val="24"/>
        </w:rPr>
        <w:t xml:space="preserve">Future financial requirements are expected to increase, particularly for public infrastructure (water, roads, health, and education).  The administration provides a functioning police service, some basic services such as schools and hospitals, and oversight of NGOs. </w:t>
      </w:r>
    </w:p>
    <w:p w:rsidR="000F626F" w:rsidRDefault="000F626F" w:rsidP="000F626F">
      <w:pPr>
        <w:jc w:val="both"/>
        <w:rPr>
          <w:sz w:val="24"/>
        </w:rPr>
      </w:pPr>
    </w:p>
    <w:p w:rsidR="00DA7926" w:rsidRDefault="00B90D2F" w:rsidP="000F626F">
      <w:pPr>
        <w:jc w:val="both"/>
        <w:rPr>
          <w:sz w:val="24"/>
        </w:rPr>
      </w:pPr>
      <w:r w:rsidRPr="00C1709E">
        <w:rPr>
          <w:sz w:val="24"/>
        </w:rPr>
        <w:t xml:space="preserve">The socio-economic situation in Gaza has been in steady decline. Years of conflict have left around 80 per cent of 1.6 million Gazans dependent on international humanitarian assistance </w:t>
      </w:r>
      <w:r w:rsidRPr="00C1709E">
        <w:rPr>
          <w:sz w:val="24"/>
        </w:rPr>
        <w:lastRenderedPageBreak/>
        <w:t>for survival</w:t>
      </w:r>
      <w:r w:rsidRPr="00DA7926">
        <w:rPr>
          <w:sz w:val="24"/>
          <w:vertAlign w:val="superscript"/>
        </w:rPr>
        <w:footnoteReference w:id="2"/>
      </w:r>
      <w:r w:rsidRPr="00C1709E">
        <w:rPr>
          <w:sz w:val="24"/>
        </w:rPr>
        <w:t xml:space="preserve">. The blockade, imposed following the Hamas takeover of Gaza in June 2007, has </w:t>
      </w:r>
      <w:r w:rsidR="001062BE">
        <w:rPr>
          <w:sz w:val="24"/>
        </w:rPr>
        <w:t xml:space="preserve">affected </w:t>
      </w:r>
      <w:r w:rsidRPr="00C1709E">
        <w:rPr>
          <w:sz w:val="24"/>
        </w:rPr>
        <w:t xml:space="preserve">livelihoods, resulting in </w:t>
      </w:r>
      <w:r w:rsidR="001062BE">
        <w:rPr>
          <w:sz w:val="24"/>
        </w:rPr>
        <w:t>an insufficient</w:t>
      </w:r>
      <w:r w:rsidRPr="00C1709E">
        <w:rPr>
          <w:sz w:val="24"/>
        </w:rPr>
        <w:t xml:space="preserve"> skilled workforce and educated society. </w:t>
      </w:r>
      <w:r w:rsidR="00033213">
        <w:rPr>
          <w:sz w:val="24"/>
        </w:rPr>
        <w:t>Ov</w:t>
      </w:r>
      <w:r w:rsidR="001B099C">
        <w:rPr>
          <w:sz w:val="24"/>
        </w:rPr>
        <w:t xml:space="preserve">er </w:t>
      </w:r>
      <w:r w:rsidRPr="00C1709E">
        <w:rPr>
          <w:sz w:val="24"/>
        </w:rPr>
        <w:t xml:space="preserve">1,500 NGOs operate in </w:t>
      </w:r>
      <w:r w:rsidR="00AE1C29">
        <w:rPr>
          <w:sz w:val="24"/>
        </w:rPr>
        <w:t xml:space="preserve">the Palestinian Territories in </w:t>
      </w:r>
      <w:r w:rsidRPr="00C1709E">
        <w:rPr>
          <w:sz w:val="24"/>
        </w:rPr>
        <w:t xml:space="preserve">every sector of society, including health, education, agriculture, the environment, social affairs and gender. </w:t>
      </w:r>
    </w:p>
    <w:p w:rsidR="000F626F" w:rsidRDefault="000F626F" w:rsidP="000F626F">
      <w:pPr>
        <w:jc w:val="both"/>
        <w:rPr>
          <w:sz w:val="24"/>
        </w:rPr>
      </w:pPr>
    </w:p>
    <w:p w:rsidR="00B90D2F" w:rsidRPr="00C1709E" w:rsidDel="00C00EA1" w:rsidRDefault="00937B4B" w:rsidP="000F626F">
      <w:pPr>
        <w:jc w:val="both"/>
        <w:rPr>
          <w:sz w:val="24"/>
        </w:rPr>
      </w:pPr>
      <w:r>
        <w:rPr>
          <w:sz w:val="24"/>
        </w:rPr>
        <w:t xml:space="preserve">The </w:t>
      </w:r>
      <w:r w:rsidRPr="00493816">
        <w:rPr>
          <w:sz w:val="24"/>
        </w:rPr>
        <w:t>U</w:t>
      </w:r>
      <w:r>
        <w:rPr>
          <w:sz w:val="24"/>
        </w:rPr>
        <w:t>nited Nations</w:t>
      </w:r>
      <w:r w:rsidRPr="00493816">
        <w:rPr>
          <w:sz w:val="24"/>
        </w:rPr>
        <w:t xml:space="preserve"> Relief and Works Agency for Palestinian Refugees (UNWRA)</w:t>
      </w:r>
      <w:r w:rsidR="00B90D2F" w:rsidRPr="00C1709E">
        <w:rPr>
          <w:sz w:val="24"/>
        </w:rPr>
        <w:t>, is the chief provider of basic services for Palestinian refugees in the West Bank, Gaza,</w:t>
      </w:r>
      <w:r w:rsidR="001B099C">
        <w:rPr>
          <w:sz w:val="24"/>
        </w:rPr>
        <w:t xml:space="preserve"> Jordan, Lebanon and Syria.  It provides</w:t>
      </w:r>
      <w:r w:rsidR="00B90D2F" w:rsidRPr="00C1709E">
        <w:rPr>
          <w:sz w:val="24"/>
        </w:rPr>
        <w:t xml:space="preserve"> education, health care, relief, camp infrastructure, community support, microfinance, and emergency response</w:t>
      </w:r>
      <w:r w:rsidR="001B099C">
        <w:rPr>
          <w:sz w:val="24"/>
        </w:rPr>
        <w:t xml:space="preserve"> services</w:t>
      </w:r>
      <w:r w:rsidR="00B90D2F" w:rsidRPr="00C1709E">
        <w:rPr>
          <w:sz w:val="24"/>
        </w:rPr>
        <w:t xml:space="preserve">. </w:t>
      </w:r>
      <w:r>
        <w:rPr>
          <w:sz w:val="24"/>
        </w:rPr>
        <w:t>This makes</w:t>
      </w:r>
      <w:r w:rsidR="00B90D2F" w:rsidRPr="00C1709E">
        <w:rPr>
          <w:sz w:val="24"/>
        </w:rPr>
        <w:t xml:space="preserve"> UNRWA a major </w:t>
      </w:r>
      <w:r w:rsidR="001B099C">
        <w:rPr>
          <w:sz w:val="24"/>
        </w:rPr>
        <w:t>contributor to</w:t>
      </w:r>
      <w:r w:rsidR="00B90D2F" w:rsidRPr="00C1709E">
        <w:rPr>
          <w:sz w:val="24"/>
        </w:rPr>
        <w:t xml:space="preserve"> the lives of most Palestinians.  </w:t>
      </w:r>
      <w:r>
        <w:rPr>
          <w:sz w:val="24"/>
        </w:rPr>
        <w:t>UNWRA</w:t>
      </w:r>
      <w:r w:rsidR="00B90D2F" w:rsidRPr="00C1709E">
        <w:rPr>
          <w:sz w:val="24"/>
        </w:rPr>
        <w:t xml:space="preserve"> employs over 28,000 staff, the vast majority of whom are Palestinian refugees.  </w:t>
      </w:r>
      <w:r w:rsidR="00033213">
        <w:rPr>
          <w:sz w:val="24"/>
        </w:rPr>
        <w:t>It</w:t>
      </w:r>
      <w:r w:rsidR="00B90D2F" w:rsidRPr="00C1709E">
        <w:rPr>
          <w:sz w:val="24"/>
        </w:rPr>
        <w:t xml:space="preserve"> primarily relies on donors to fund its budget (US$1.2 billion in 2009)</w:t>
      </w:r>
      <w:r w:rsidR="001B2229">
        <w:rPr>
          <w:sz w:val="24"/>
        </w:rPr>
        <w:t>.</w:t>
      </w:r>
    </w:p>
    <w:p w:rsidR="000F626F" w:rsidRDefault="000F626F" w:rsidP="000F626F">
      <w:pPr>
        <w:jc w:val="both"/>
        <w:rPr>
          <w:sz w:val="24"/>
        </w:rPr>
      </w:pPr>
    </w:p>
    <w:p w:rsidR="001B2229" w:rsidRPr="00704336" w:rsidRDefault="00704336" w:rsidP="000F626F">
      <w:pPr>
        <w:jc w:val="both"/>
        <w:rPr>
          <w:sz w:val="24"/>
        </w:rPr>
      </w:pPr>
      <w:r>
        <w:rPr>
          <w:sz w:val="24"/>
        </w:rPr>
        <w:t xml:space="preserve">In 2010 </w:t>
      </w:r>
      <w:r w:rsidR="001B2229" w:rsidRPr="00704336">
        <w:rPr>
          <w:sz w:val="24"/>
        </w:rPr>
        <w:t>Australia</w:t>
      </w:r>
      <w:r>
        <w:rPr>
          <w:sz w:val="24"/>
        </w:rPr>
        <w:t xml:space="preserve"> was the thirteenth largest donor to the </w:t>
      </w:r>
      <w:r w:rsidRPr="00704336">
        <w:rPr>
          <w:sz w:val="24"/>
        </w:rPr>
        <w:t>Palestinian Territories</w:t>
      </w:r>
      <w:r>
        <w:rPr>
          <w:sz w:val="24"/>
        </w:rPr>
        <w:t xml:space="preserve"> providing</w:t>
      </w:r>
      <w:r w:rsidR="001B2229" w:rsidRPr="00704336">
        <w:rPr>
          <w:sz w:val="24"/>
        </w:rPr>
        <w:t xml:space="preserve"> $38.1 million in development assistance.  This was 1.5 per cent of </w:t>
      </w:r>
      <w:r>
        <w:rPr>
          <w:sz w:val="24"/>
        </w:rPr>
        <w:t xml:space="preserve">the estimated </w:t>
      </w:r>
      <w:r w:rsidRPr="00704336">
        <w:rPr>
          <w:sz w:val="24"/>
        </w:rPr>
        <w:t xml:space="preserve">2.5 billion in </w:t>
      </w:r>
      <w:r w:rsidR="001B2229" w:rsidRPr="00704336">
        <w:rPr>
          <w:sz w:val="24"/>
        </w:rPr>
        <w:t xml:space="preserve">Official Development Assistance (ODA) provided by </w:t>
      </w:r>
      <w:r>
        <w:rPr>
          <w:sz w:val="24"/>
        </w:rPr>
        <w:t xml:space="preserve">all </w:t>
      </w:r>
      <w:r w:rsidR="001B2229" w:rsidRPr="00704336">
        <w:rPr>
          <w:sz w:val="24"/>
        </w:rPr>
        <w:t>donors</w:t>
      </w:r>
      <w:r w:rsidRPr="00704336">
        <w:rPr>
          <w:sz w:val="24"/>
        </w:rPr>
        <w:t>.</w:t>
      </w:r>
    </w:p>
    <w:p w:rsidR="00704336" w:rsidRDefault="00704336" w:rsidP="005945EA">
      <w:pPr>
        <w:keepNext/>
        <w:spacing w:after="100" w:line="320" w:lineRule="atLeast"/>
        <w:jc w:val="both"/>
        <w:outlineLvl w:val="0"/>
        <w:rPr>
          <w:rFonts w:ascii="Franklin Gothic Demi" w:hAnsi="Franklin Gothic Demi"/>
          <w:color w:val="AD495D"/>
          <w:kern w:val="28"/>
          <w:sz w:val="28"/>
          <w:szCs w:val="28"/>
        </w:rPr>
      </w:pPr>
    </w:p>
    <w:p w:rsidR="00083811" w:rsidRDefault="00B90D2F" w:rsidP="00C616BF">
      <w:pPr>
        <w:pStyle w:val="Heading1"/>
      </w:pPr>
      <w:r>
        <w:t>Palestinian Territories</w:t>
      </w:r>
      <w:r w:rsidR="00083811" w:rsidRPr="004D5650">
        <w:t xml:space="preserve"> Program objectives and strategy</w:t>
      </w:r>
    </w:p>
    <w:p w:rsidR="00704336" w:rsidRDefault="001B2229" w:rsidP="000F626F">
      <w:pPr>
        <w:jc w:val="both"/>
        <w:rPr>
          <w:sz w:val="24"/>
        </w:rPr>
      </w:pPr>
      <w:r w:rsidRPr="00C1709E">
        <w:rPr>
          <w:sz w:val="24"/>
        </w:rPr>
        <w:t xml:space="preserve">In March 2011 Australia agreed to an expanded program of </w:t>
      </w:r>
      <w:r w:rsidR="00704336">
        <w:rPr>
          <w:sz w:val="24"/>
        </w:rPr>
        <w:t xml:space="preserve">$300 million in </w:t>
      </w:r>
      <w:r w:rsidRPr="00C1709E">
        <w:rPr>
          <w:sz w:val="24"/>
        </w:rPr>
        <w:t>development assistance to th</w:t>
      </w:r>
      <w:r w:rsidR="00704336">
        <w:rPr>
          <w:sz w:val="24"/>
        </w:rPr>
        <w:t>e Palestinian Territories over five years from 2011 to 2016</w:t>
      </w:r>
      <w:r w:rsidRPr="00C1709E">
        <w:rPr>
          <w:sz w:val="24"/>
        </w:rPr>
        <w:t>.</w:t>
      </w:r>
      <w:r>
        <w:rPr>
          <w:sz w:val="24"/>
        </w:rPr>
        <w:t xml:space="preserve">  This will place </w:t>
      </w:r>
      <w:r w:rsidRPr="00C1709E">
        <w:rPr>
          <w:sz w:val="24"/>
        </w:rPr>
        <w:t>Australia among the top ten donors to the Palestinian Territories.</w:t>
      </w:r>
      <w:r w:rsidR="00704336">
        <w:rPr>
          <w:sz w:val="24"/>
        </w:rPr>
        <w:t xml:space="preserve">  Australia</w:t>
      </w:r>
      <w:r w:rsidR="00713F5D">
        <w:rPr>
          <w:sz w:val="24"/>
        </w:rPr>
        <w:t xml:space="preserve"> </w:t>
      </w:r>
      <w:r w:rsidR="00704336">
        <w:rPr>
          <w:sz w:val="24"/>
        </w:rPr>
        <w:t>provide</w:t>
      </w:r>
      <w:r w:rsidR="00713F5D">
        <w:rPr>
          <w:sz w:val="24"/>
        </w:rPr>
        <w:t>d</w:t>
      </w:r>
      <w:r w:rsidR="00704336">
        <w:rPr>
          <w:sz w:val="24"/>
        </w:rPr>
        <w:t xml:space="preserve"> </w:t>
      </w:r>
      <w:r w:rsidR="001B099C">
        <w:rPr>
          <w:sz w:val="24"/>
        </w:rPr>
        <w:t xml:space="preserve">      </w:t>
      </w:r>
      <w:r w:rsidR="00704336">
        <w:rPr>
          <w:sz w:val="24"/>
        </w:rPr>
        <w:t>$48.5 million du</w:t>
      </w:r>
      <w:r w:rsidR="00411DDF">
        <w:rPr>
          <w:sz w:val="24"/>
        </w:rPr>
        <w:t>ring 2011-12 as part of the expa</w:t>
      </w:r>
      <w:r w:rsidR="00704336">
        <w:rPr>
          <w:sz w:val="24"/>
        </w:rPr>
        <w:t>nded program (see table 1)</w:t>
      </w:r>
      <w:r w:rsidR="00937B4B">
        <w:rPr>
          <w:sz w:val="24"/>
        </w:rPr>
        <w:t>.</w:t>
      </w:r>
    </w:p>
    <w:p w:rsidR="001B099C" w:rsidRDefault="001B099C" w:rsidP="000F626F">
      <w:pPr>
        <w:jc w:val="both"/>
        <w:rPr>
          <w:sz w:val="24"/>
        </w:rPr>
      </w:pPr>
    </w:p>
    <w:p w:rsidR="001B099C" w:rsidRPr="007411A7" w:rsidRDefault="00A00ED6" w:rsidP="001B099C">
      <w:pPr>
        <w:jc w:val="both"/>
        <w:rPr>
          <w:sz w:val="24"/>
        </w:rPr>
      </w:pPr>
      <w:r w:rsidRPr="007411A7">
        <w:rPr>
          <w:sz w:val="24"/>
        </w:rPr>
        <w:t>Australia’s</w:t>
      </w:r>
      <w:r w:rsidR="001B099C" w:rsidRPr="007411A7">
        <w:rPr>
          <w:sz w:val="24"/>
        </w:rPr>
        <w:t xml:space="preserve"> key obj</w:t>
      </w:r>
      <w:r w:rsidRPr="007411A7">
        <w:rPr>
          <w:sz w:val="24"/>
        </w:rPr>
        <w:t>ectives for the PT program</w:t>
      </w:r>
      <w:r w:rsidR="006F38DB" w:rsidRPr="007411A7">
        <w:rPr>
          <w:sz w:val="24"/>
        </w:rPr>
        <w:t xml:space="preserve"> </w:t>
      </w:r>
      <w:r w:rsidR="005E1A45" w:rsidRPr="007411A7">
        <w:rPr>
          <w:sz w:val="24"/>
        </w:rPr>
        <w:t xml:space="preserve">were consolidated </w:t>
      </w:r>
      <w:r w:rsidRPr="007411A7">
        <w:rPr>
          <w:sz w:val="24"/>
        </w:rPr>
        <w:t xml:space="preserve">from three to two during the reporting period of this report. Streamlining our objectives reduces duplication and </w:t>
      </w:r>
      <w:r w:rsidR="002F796F" w:rsidRPr="007411A7">
        <w:rPr>
          <w:sz w:val="24"/>
        </w:rPr>
        <w:t>reflects the reality of the current operating environment. It will</w:t>
      </w:r>
      <w:r w:rsidRPr="007411A7">
        <w:rPr>
          <w:sz w:val="24"/>
        </w:rPr>
        <w:t xml:space="preserve"> enable us to</w:t>
      </w:r>
      <w:r w:rsidR="00464B35" w:rsidRPr="007411A7">
        <w:rPr>
          <w:sz w:val="24"/>
        </w:rPr>
        <w:t xml:space="preserve"> </w:t>
      </w:r>
      <w:r w:rsidRPr="007411A7">
        <w:rPr>
          <w:sz w:val="24"/>
        </w:rPr>
        <w:t xml:space="preserve">more </w:t>
      </w:r>
      <w:r w:rsidR="002F796F" w:rsidRPr="007411A7">
        <w:rPr>
          <w:sz w:val="24"/>
        </w:rPr>
        <w:t>clearly define our aims,</w:t>
      </w:r>
      <w:r w:rsidR="00464B35" w:rsidRPr="007411A7">
        <w:rPr>
          <w:sz w:val="24"/>
        </w:rPr>
        <w:t xml:space="preserve"> direct our funding appropriately</w:t>
      </w:r>
      <w:r w:rsidR="002F796F" w:rsidRPr="007411A7">
        <w:rPr>
          <w:sz w:val="24"/>
        </w:rPr>
        <w:t xml:space="preserve"> and measure results</w:t>
      </w:r>
      <w:r w:rsidR="00C45F61" w:rsidRPr="007411A7">
        <w:rPr>
          <w:sz w:val="24"/>
        </w:rPr>
        <w:t>.</w:t>
      </w:r>
      <w:r w:rsidR="002F796F" w:rsidRPr="007411A7">
        <w:rPr>
          <w:sz w:val="24"/>
        </w:rPr>
        <w:t xml:space="preserve"> </w:t>
      </w:r>
      <w:r w:rsidR="00464B35" w:rsidRPr="007411A7">
        <w:rPr>
          <w:sz w:val="24"/>
        </w:rPr>
        <w:t>Our objectives</w:t>
      </w:r>
      <w:r w:rsidR="00C45F61" w:rsidRPr="007411A7">
        <w:rPr>
          <w:sz w:val="24"/>
        </w:rPr>
        <w:t xml:space="preserve"> are</w:t>
      </w:r>
      <w:r w:rsidR="00464B35" w:rsidRPr="007411A7">
        <w:rPr>
          <w:sz w:val="24"/>
        </w:rPr>
        <w:t xml:space="preserve"> to</w:t>
      </w:r>
      <w:r w:rsidR="00EF7481" w:rsidRPr="007411A7">
        <w:rPr>
          <w:sz w:val="24"/>
        </w:rPr>
        <w:t>:</w:t>
      </w:r>
    </w:p>
    <w:p w:rsidR="002F796F" w:rsidRPr="002F796F" w:rsidRDefault="002F796F" w:rsidP="001B099C">
      <w:pPr>
        <w:jc w:val="both"/>
        <w:rPr>
          <w:sz w:val="24"/>
          <w:highlight w:val="yellow"/>
        </w:rPr>
      </w:pPr>
    </w:p>
    <w:p w:rsidR="001B099C" w:rsidRPr="001B099C" w:rsidRDefault="00464B35" w:rsidP="001B099C">
      <w:pPr>
        <w:numPr>
          <w:ilvl w:val="0"/>
          <w:numId w:val="44"/>
        </w:numPr>
        <w:jc w:val="both"/>
        <w:rPr>
          <w:sz w:val="24"/>
        </w:rPr>
      </w:pPr>
      <w:r>
        <w:rPr>
          <w:sz w:val="24"/>
        </w:rPr>
        <w:t>support</w:t>
      </w:r>
      <w:r w:rsidR="00C45F61">
        <w:rPr>
          <w:sz w:val="24"/>
        </w:rPr>
        <w:t xml:space="preserve"> </w:t>
      </w:r>
      <w:r w:rsidR="001B099C" w:rsidRPr="001B099C">
        <w:rPr>
          <w:sz w:val="24"/>
        </w:rPr>
        <w:t>sustainable growth including helping rural communities and vulnerable groups overcome poverty</w:t>
      </w:r>
    </w:p>
    <w:p w:rsidR="006F38DB" w:rsidRPr="006F38DB" w:rsidRDefault="00464B35" w:rsidP="006F38DB">
      <w:pPr>
        <w:numPr>
          <w:ilvl w:val="0"/>
          <w:numId w:val="44"/>
        </w:numPr>
        <w:jc w:val="both"/>
        <w:rPr>
          <w:sz w:val="24"/>
        </w:rPr>
      </w:pPr>
      <w:r>
        <w:rPr>
          <w:sz w:val="24"/>
        </w:rPr>
        <w:t>support</w:t>
      </w:r>
      <w:r w:rsidR="00C45F61">
        <w:rPr>
          <w:sz w:val="24"/>
        </w:rPr>
        <w:t xml:space="preserve"> </w:t>
      </w:r>
      <w:r w:rsidR="001B099C" w:rsidRPr="001B099C">
        <w:rPr>
          <w:sz w:val="24"/>
        </w:rPr>
        <w:t>state-building and the peace process</w:t>
      </w:r>
    </w:p>
    <w:p w:rsidR="00704336" w:rsidRPr="00704336" w:rsidRDefault="00704336" w:rsidP="00704336">
      <w:pPr>
        <w:pStyle w:val="Caption"/>
        <w:jc w:val="both"/>
      </w:pPr>
      <w:r w:rsidRPr="00704336">
        <w:t>Table 1 – Estimated Program Expenditure in 2011-12</w:t>
      </w:r>
    </w:p>
    <w:tbl>
      <w:tblPr>
        <w:tblW w:w="9243" w:type="dxa"/>
        <w:tblLayout w:type="fixed"/>
        <w:tblLook w:val="0000" w:firstRow="0" w:lastRow="0" w:firstColumn="0" w:lastColumn="0" w:noHBand="0" w:noVBand="0"/>
      </w:tblPr>
      <w:tblGrid>
        <w:gridCol w:w="6860"/>
        <w:gridCol w:w="1071"/>
        <w:gridCol w:w="1312"/>
      </w:tblGrid>
      <w:tr w:rsidR="00704336" w:rsidRPr="009823EC" w:rsidTr="00A9634C">
        <w:tc>
          <w:tcPr>
            <w:tcW w:w="6860" w:type="dxa"/>
            <w:tcBorders>
              <w:top w:val="single" w:sz="12" w:space="0" w:color="auto"/>
              <w:bottom w:val="single" w:sz="2" w:space="0" w:color="auto"/>
            </w:tcBorders>
          </w:tcPr>
          <w:p w:rsidR="00704336" w:rsidRPr="009823EC" w:rsidRDefault="00704336" w:rsidP="00704336">
            <w:pPr>
              <w:keepLines/>
              <w:spacing w:before="80" w:line="200" w:lineRule="atLeast"/>
              <w:rPr>
                <w:rFonts w:ascii="Franklin Gothic Medium" w:hAnsi="Franklin Gothic Medium"/>
                <w:sz w:val="17"/>
                <w:szCs w:val="17"/>
              </w:rPr>
            </w:pPr>
            <w:r w:rsidRPr="009823EC">
              <w:rPr>
                <w:rFonts w:ascii="Franklin Gothic Medium" w:hAnsi="Franklin Gothic Medium"/>
                <w:sz w:val="17"/>
                <w:szCs w:val="17"/>
              </w:rPr>
              <w:t>Objective</w:t>
            </w:r>
          </w:p>
        </w:tc>
        <w:tc>
          <w:tcPr>
            <w:tcW w:w="1071" w:type="dxa"/>
            <w:tcBorders>
              <w:top w:val="single" w:sz="12" w:space="0" w:color="auto"/>
              <w:bottom w:val="single" w:sz="2" w:space="0" w:color="auto"/>
            </w:tcBorders>
            <w:shd w:val="clear" w:color="auto" w:fill="auto"/>
            <w:tcMar>
              <w:left w:w="57" w:type="dxa"/>
              <w:right w:w="57" w:type="dxa"/>
            </w:tcMar>
          </w:tcPr>
          <w:p w:rsidR="00704336" w:rsidRPr="009823EC" w:rsidRDefault="00704336" w:rsidP="00704336">
            <w:pPr>
              <w:keepLines/>
              <w:spacing w:before="80" w:line="200" w:lineRule="atLeast"/>
              <w:rPr>
                <w:rFonts w:ascii="Franklin Gothic Medium" w:hAnsi="Franklin Gothic Medium"/>
                <w:sz w:val="17"/>
                <w:szCs w:val="17"/>
              </w:rPr>
            </w:pPr>
            <w:r w:rsidRPr="009823EC">
              <w:rPr>
                <w:rFonts w:ascii="Franklin Gothic Medium" w:hAnsi="Franklin Gothic Medium"/>
                <w:sz w:val="17"/>
                <w:szCs w:val="17"/>
              </w:rPr>
              <w:t>A$ million</w:t>
            </w:r>
          </w:p>
        </w:tc>
        <w:tc>
          <w:tcPr>
            <w:tcW w:w="1312" w:type="dxa"/>
            <w:tcBorders>
              <w:top w:val="single" w:sz="12" w:space="0" w:color="auto"/>
              <w:bottom w:val="single" w:sz="2" w:space="0" w:color="auto"/>
            </w:tcBorders>
            <w:shd w:val="clear" w:color="auto" w:fill="auto"/>
            <w:tcMar>
              <w:left w:w="57" w:type="dxa"/>
              <w:right w:w="57" w:type="dxa"/>
            </w:tcMar>
          </w:tcPr>
          <w:p w:rsidR="00704336" w:rsidRPr="009823EC" w:rsidRDefault="00704336" w:rsidP="00704336">
            <w:pPr>
              <w:keepLines/>
              <w:spacing w:before="80" w:line="200" w:lineRule="atLeast"/>
              <w:rPr>
                <w:rFonts w:ascii="Franklin Gothic Medium" w:hAnsi="Franklin Gothic Medium"/>
                <w:sz w:val="17"/>
                <w:szCs w:val="17"/>
              </w:rPr>
            </w:pPr>
            <w:r w:rsidRPr="009823EC">
              <w:rPr>
                <w:rFonts w:ascii="Franklin Gothic Medium" w:hAnsi="Franklin Gothic Medium"/>
                <w:sz w:val="17"/>
                <w:szCs w:val="17"/>
              </w:rPr>
              <w:t>% of program</w:t>
            </w:r>
          </w:p>
        </w:tc>
      </w:tr>
      <w:tr w:rsidR="00704336" w:rsidRPr="009823EC" w:rsidTr="00A9634C">
        <w:tc>
          <w:tcPr>
            <w:tcW w:w="6860" w:type="dxa"/>
          </w:tcPr>
          <w:p w:rsidR="00937B4B" w:rsidRDefault="00937B4B" w:rsidP="00937B4B">
            <w:pPr>
              <w:keepLines/>
              <w:spacing w:before="40" w:after="40" w:line="200" w:lineRule="atLeast"/>
              <w:jc w:val="both"/>
              <w:rPr>
                <w:rFonts w:ascii="Franklin Gothic Book" w:hAnsi="Franklin Gothic Book"/>
                <w:sz w:val="17"/>
                <w:szCs w:val="17"/>
              </w:rPr>
            </w:pPr>
            <w:r w:rsidRPr="00411DDF">
              <w:rPr>
                <w:rFonts w:ascii="Franklin Gothic Book" w:hAnsi="Franklin Gothic Book"/>
                <w:sz w:val="17"/>
                <w:szCs w:val="17"/>
              </w:rPr>
              <w:t>Supporting sustainable growth including helping vulnerable groups and rural communities overcome poverty</w:t>
            </w:r>
          </w:p>
          <w:p w:rsidR="00704336" w:rsidRPr="009823EC" w:rsidRDefault="00704336" w:rsidP="00704336">
            <w:pPr>
              <w:keepLines/>
              <w:spacing w:before="40" w:after="40" w:line="200" w:lineRule="atLeast"/>
              <w:rPr>
                <w:rFonts w:ascii="Franklin Gothic Book" w:hAnsi="Franklin Gothic Book"/>
                <w:sz w:val="17"/>
                <w:szCs w:val="17"/>
              </w:rPr>
            </w:pPr>
          </w:p>
        </w:tc>
        <w:tc>
          <w:tcPr>
            <w:tcW w:w="1071" w:type="dxa"/>
            <w:shd w:val="clear" w:color="auto" w:fill="auto"/>
            <w:tcMar>
              <w:left w:w="57" w:type="dxa"/>
              <w:right w:w="57" w:type="dxa"/>
            </w:tcMar>
          </w:tcPr>
          <w:p w:rsidR="00704336" w:rsidRPr="009823EC" w:rsidRDefault="00704336" w:rsidP="00704336">
            <w:pPr>
              <w:keepLines/>
              <w:spacing w:before="40" w:after="40" w:line="200" w:lineRule="atLeast"/>
              <w:rPr>
                <w:rFonts w:ascii="Franklin Gothic Book" w:hAnsi="Franklin Gothic Book"/>
                <w:sz w:val="17"/>
                <w:szCs w:val="17"/>
              </w:rPr>
            </w:pPr>
            <w:r w:rsidRPr="009823EC">
              <w:rPr>
                <w:rFonts w:ascii="Franklin Gothic Book" w:hAnsi="Franklin Gothic Book"/>
                <w:sz w:val="17"/>
                <w:szCs w:val="17"/>
              </w:rPr>
              <w:t>16</w:t>
            </w:r>
          </w:p>
        </w:tc>
        <w:tc>
          <w:tcPr>
            <w:tcW w:w="1312" w:type="dxa"/>
            <w:shd w:val="clear" w:color="auto" w:fill="auto"/>
            <w:tcMar>
              <w:left w:w="57" w:type="dxa"/>
              <w:right w:w="57" w:type="dxa"/>
            </w:tcMar>
          </w:tcPr>
          <w:p w:rsidR="00704336" w:rsidRPr="009823EC" w:rsidRDefault="00704336" w:rsidP="00704336">
            <w:pPr>
              <w:rPr>
                <w:rFonts w:ascii="Arial" w:eastAsia="Calibri" w:hAnsi="Arial" w:cs="Arial"/>
                <w:szCs w:val="20"/>
              </w:rPr>
            </w:pPr>
            <w:r>
              <w:t>46</w:t>
            </w:r>
            <w:r w:rsidRPr="009823EC">
              <w:t>%</w:t>
            </w:r>
          </w:p>
        </w:tc>
      </w:tr>
      <w:tr w:rsidR="00704336" w:rsidRPr="009823EC" w:rsidTr="00A9634C">
        <w:tc>
          <w:tcPr>
            <w:tcW w:w="6860" w:type="dxa"/>
          </w:tcPr>
          <w:p w:rsidR="00704336" w:rsidRPr="009823EC" w:rsidRDefault="00704336" w:rsidP="00704336">
            <w:pPr>
              <w:keepLines/>
              <w:spacing w:before="40" w:after="40" w:line="200" w:lineRule="atLeast"/>
              <w:rPr>
                <w:rFonts w:ascii="Franklin Gothic Book" w:hAnsi="Franklin Gothic Book"/>
                <w:sz w:val="17"/>
                <w:szCs w:val="17"/>
              </w:rPr>
            </w:pPr>
            <w:r w:rsidRPr="009823EC">
              <w:rPr>
                <w:rFonts w:ascii="Franklin Gothic Book" w:hAnsi="Franklin Gothic Book"/>
                <w:sz w:val="17"/>
                <w:szCs w:val="17"/>
              </w:rPr>
              <w:t>Supporting state-building and the peace process</w:t>
            </w:r>
          </w:p>
          <w:p w:rsidR="00704336" w:rsidRPr="009823EC" w:rsidRDefault="00704336" w:rsidP="00704336">
            <w:pPr>
              <w:keepLines/>
              <w:spacing w:before="40" w:after="40" w:line="200" w:lineRule="atLeast"/>
              <w:rPr>
                <w:rFonts w:ascii="Franklin Gothic Book" w:hAnsi="Franklin Gothic Book"/>
                <w:sz w:val="17"/>
                <w:szCs w:val="17"/>
              </w:rPr>
            </w:pPr>
          </w:p>
        </w:tc>
        <w:tc>
          <w:tcPr>
            <w:tcW w:w="1071" w:type="dxa"/>
            <w:shd w:val="clear" w:color="auto" w:fill="auto"/>
            <w:tcMar>
              <w:left w:w="57" w:type="dxa"/>
              <w:right w:w="57" w:type="dxa"/>
            </w:tcMar>
          </w:tcPr>
          <w:p w:rsidR="00704336" w:rsidRPr="009823EC" w:rsidRDefault="00704336" w:rsidP="00704336">
            <w:pPr>
              <w:keepLines/>
              <w:spacing w:before="40" w:after="40" w:line="200" w:lineRule="atLeast"/>
              <w:rPr>
                <w:rFonts w:ascii="Arial" w:eastAsia="Calibri" w:hAnsi="Arial" w:cs="Arial"/>
                <w:sz w:val="17"/>
                <w:szCs w:val="20"/>
              </w:rPr>
            </w:pPr>
            <w:r w:rsidRPr="009823EC">
              <w:rPr>
                <w:rFonts w:ascii="Franklin Gothic Book" w:hAnsi="Franklin Gothic Book"/>
                <w:sz w:val="17"/>
                <w:szCs w:val="17"/>
              </w:rPr>
              <w:t>26.3</w:t>
            </w:r>
          </w:p>
        </w:tc>
        <w:tc>
          <w:tcPr>
            <w:tcW w:w="1312" w:type="dxa"/>
            <w:shd w:val="clear" w:color="auto" w:fill="auto"/>
            <w:tcMar>
              <w:left w:w="57" w:type="dxa"/>
              <w:right w:w="57" w:type="dxa"/>
            </w:tcMar>
          </w:tcPr>
          <w:p w:rsidR="00704336" w:rsidRPr="009823EC" w:rsidRDefault="00704336" w:rsidP="00704336">
            <w:pPr>
              <w:rPr>
                <w:rFonts w:ascii="Arial" w:eastAsia="Calibri" w:hAnsi="Arial" w:cs="Arial"/>
                <w:szCs w:val="20"/>
              </w:rPr>
            </w:pPr>
            <w:r w:rsidRPr="009823EC">
              <w:rPr>
                <w:rFonts w:ascii="Arial" w:hAnsi="Arial" w:cs="Arial"/>
                <w:szCs w:val="20"/>
              </w:rPr>
              <w:t>54%</w:t>
            </w:r>
          </w:p>
        </w:tc>
      </w:tr>
      <w:tr w:rsidR="00704336" w:rsidRPr="009823EC" w:rsidTr="00A9634C">
        <w:tc>
          <w:tcPr>
            <w:tcW w:w="6860" w:type="dxa"/>
            <w:tcBorders>
              <w:bottom w:val="single" w:sz="12" w:space="0" w:color="auto"/>
            </w:tcBorders>
          </w:tcPr>
          <w:p w:rsidR="00704336" w:rsidRPr="009823EC" w:rsidRDefault="00704336" w:rsidP="00704336">
            <w:pPr>
              <w:keepLines/>
              <w:spacing w:before="40" w:after="40" w:line="200" w:lineRule="atLeast"/>
              <w:rPr>
                <w:rFonts w:ascii="Franklin Gothic Book" w:hAnsi="Franklin Gothic Book"/>
                <w:sz w:val="17"/>
                <w:szCs w:val="17"/>
              </w:rPr>
            </w:pPr>
            <w:r w:rsidRPr="009823EC">
              <w:rPr>
                <w:rFonts w:ascii="Franklin Gothic Book" w:hAnsi="Franklin Gothic Book"/>
                <w:sz w:val="17"/>
                <w:szCs w:val="17"/>
              </w:rPr>
              <w:t>Total</w:t>
            </w:r>
          </w:p>
        </w:tc>
        <w:tc>
          <w:tcPr>
            <w:tcW w:w="1071" w:type="dxa"/>
            <w:tcBorders>
              <w:bottom w:val="single" w:sz="12" w:space="0" w:color="auto"/>
            </w:tcBorders>
            <w:shd w:val="clear" w:color="auto" w:fill="auto"/>
            <w:tcMar>
              <w:left w:w="57" w:type="dxa"/>
              <w:right w:w="57" w:type="dxa"/>
            </w:tcMar>
          </w:tcPr>
          <w:p w:rsidR="00704336" w:rsidRPr="009823EC" w:rsidRDefault="00704336" w:rsidP="00704336">
            <w:pPr>
              <w:rPr>
                <w:rFonts w:ascii="Arial" w:hAnsi="Arial" w:cs="Arial"/>
                <w:szCs w:val="20"/>
              </w:rPr>
            </w:pPr>
            <w:r w:rsidRPr="009823EC">
              <w:t>48.5</w:t>
            </w:r>
          </w:p>
        </w:tc>
        <w:tc>
          <w:tcPr>
            <w:tcW w:w="1312" w:type="dxa"/>
            <w:tcBorders>
              <w:bottom w:val="single" w:sz="12" w:space="0" w:color="auto"/>
            </w:tcBorders>
            <w:shd w:val="clear" w:color="auto" w:fill="auto"/>
            <w:tcMar>
              <w:left w:w="57" w:type="dxa"/>
              <w:right w:w="57" w:type="dxa"/>
            </w:tcMar>
          </w:tcPr>
          <w:p w:rsidR="00704336" w:rsidRPr="009823EC" w:rsidRDefault="00704336" w:rsidP="00704336">
            <w:pPr>
              <w:rPr>
                <w:rFonts w:ascii="Arial" w:hAnsi="Arial" w:cs="Arial"/>
                <w:szCs w:val="20"/>
              </w:rPr>
            </w:pPr>
            <w:r w:rsidRPr="009823EC">
              <w:rPr>
                <w:rFonts w:ascii="Arial" w:hAnsi="Arial" w:cs="Arial"/>
                <w:szCs w:val="20"/>
              </w:rPr>
              <w:t>100%</w:t>
            </w:r>
          </w:p>
        </w:tc>
      </w:tr>
    </w:tbl>
    <w:p w:rsidR="006F38DB" w:rsidRDefault="006F38DB" w:rsidP="000F626F">
      <w:pPr>
        <w:jc w:val="both"/>
        <w:rPr>
          <w:sz w:val="24"/>
        </w:rPr>
      </w:pPr>
    </w:p>
    <w:p w:rsidR="006F38DB" w:rsidRDefault="006F38DB" w:rsidP="000F626F">
      <w:pPr>
        <w:jc w:val="both"/>
        <w:rPr>
          <w:sz w:val="24"/>
        </w:rPr>
      </w:pPr>
    </w:p>
    <w:p w:rsidR="00B90D2F" w:rsidRPr="00C1709E" w:rsidRDefault="00B90D2F" w:rsidP="000F626F">
      <w:pPr>
        <w:jc w:val="both"/>
        <w:rPr>
          <w:sz w:val="24"/>
        </w:rPr>
      </w:pPr>
      <w:r w:rsidRPr="00C1709E">
        <w:rPr>
          <w:sz w:val="24"/>
        </w:rPr>
        <w:t>The cornerstone of the AusAID PT program for 2011-</w:t>
      </w:r>
      <w:r w:rsidR="00AE1C29">
        <w:rPr>
          <w:sz w:val="24"/>
        </w:rPr>
        <w:t>2016 is multi-year partnerships</w:t>
      </w:r>
      <w:r w:rsidRPr="00C1709E">
        <w:rPr>
          <w:sz w:val="24"/>
        </w:rPr>
        <w:t xml:space="preserve"> with trusted multilateral institutions and Australian NGOs. </w:t>
      </w:r>
      <w:r w:rsidR="001B099C">
        <w:rPr>
          <w:sz w:val="24"/>
        </w:rPr>
        <w:t xml:space="preserve">These </w:t>
      </w:r>
      <w:r w:rsidRPr="00C1709E">
        <w:rPr>
          <w:sz w:val="24"/>
        </w:rPr>
        <w:t>Agreements ensure that</w:t>
      </w:r>
      <w:r w:rsidR="001B099C">
        <w:rPr>
          <w:sz w:val="24"/>
        </w:rPr>
        <w:t xml:space="preserve"> AusAID works with partners whose</w:t>
      </w:r>
      <w:r w:rsidRPr="00C1709E">
        <w:rPr>
          <w:sz w:val="24"/>
        </w:rPr>
        <w:t xml:space="preserve"> long term experience in </w:t>
      </w:r>
      <w:r w:rsidR="00A9634C">
        <w:rPr>
          <w:sz w:val="24"/>
        </w:rPr>
        <w:t>navigating</w:t>
      </w:r>
      <w:r w:rsidR="00172D37">
        <w:rPr>
          <w:sz w:val="24"/>
        </w:rPr>
        <w:t xml:space="preserve"> the complex</w:t>
      </w:r>
      <w:r w:rsidRPr="00C1709E">
        <w:rPr>
          <w:sz w:val="24"/>
        </w:rPr>
        <w:t xml:space="preserve"> development challenges of the </w:t>
      </w:r>
      <w:r w:rsidR="001B099C">
        <w:rPr>
          <w:sz w:val="24"/>
        </w:rPr>
        <w:t>PTs</w:t>
      </w:r>
      <w:r w:rsidR="00A51264">
        <w:rPr>
          <w:sz w:val="24"/>
        </w:rPr>
        <w:t xml:space="preserve"> help </w:t>
      </w:r>
      <w:r w:rsidR="001B099C">
        <w:rPr>
          <w:sz w:val="24"/>
        </w:rPr>
        <w:t>deliver</w:t>
      </w:r>
      <w:r w:rsidR="00A51264">
        <w:rPr>
          <w:sz w:val="24"/>
        </w:rPr>
        <w:t xml:space="preserve"> </w:t>
      </w:r>
      <w:r w:rsidR="00AE1C29">
        <w:rPr>
          <w:sz w:val="24"/>
        </w:rPr>
        <w:t xml:space="preserve">targeted and effective </w:t>
      </w:r>
      <w:r w:rsidR="001B099C">
        <w:rPr>
          <w:sz w:val="24"/>
        </w:rPr>
        <w:t>aid</w:t>
      </w:r>
      <w:r w:rsidRPr="00C1709E">
        <w:rPr>
          <w:sz w:val="24"/>
        </w:rPr>
        <w:t>.</w:t>
      </w:r>
    </w:p>
    <w:p w:rsidR="000F626F" w:rsidRDefault="000F626F" w:rsidP="000F626F">
      <w:pPr>
        <w:jc w:val="both"/>
        <w:rPr>
          <w:sz w:val="24"/>
        </w:rPr>
      </w:pPr>
    </w:p>
    <w:p w:rsidR="00083811" w:rsidRDefault="002E32B5" w:rsidP="000F626F">
      <w:pPr>
        <w:jc w:val="both"/>
        <w:rPr>
          <w:sz w:val="24"/>
        </w:rPr>
      </w:pPr>
      <w:r w:rsidRPr="002E32B5">
        <w:rPr>
          <w:sz w:val="24"/>
        </w:rPr>
        <w:t>Multi-year partnerships with UNRWA, the World Bank, the Palestinian Authority (PA) and UNICEF will</w:t>
      </w:r>
      <w:r>
        <w:rPr>
          <w:sz w:val="24"/>
        </w:rPr>
        <w:t xml:space="preserve"> underpin the</w:t>
      </w:r>
      <w:r w:rsidRPr="002E32B5">
        <w:rPr>
          <w:sz w:val="24"/>
        </w:rPr>
        <w:t xml:space="preserve"> program.</w:t>
      </w:r>
      <w:r w:rsidRPr="00836F6C">
        <w:rPr>
          <w:rFonts w:ascii="Calibri" w:hAnsi="Calibri" w:cs="Calibri"/>
          <w:sz w:val="22"/>
          <w:szCs w:val="22"/>
        </w:rPr>
        <w:t xml:space="preserve"> </w:t>
      </w:r>
      <w:r w:rsidR="00B90D2F" w:rsidRPr="00C1709E">
        <w:rPr>
          <w:sz w:val="24"/>
        </w:rPr>
        <w:t>These activities involve approximately 80 per</w:t>
      </w:r>
      <w:r w:rsidR="001B099C">
        <w:rPr>
          <w:sz w:val="24"/>
        </w:rPr>
        <w:t xml:space="preserve"> cent of the program. A</w:t>
      </w:r>
      <w:r w:rsidR="00B90D2F" w:rsidRPr="00C1709E">
        <w:rPr>
          <w:sz w:val="24"/>
        </w:rPr>
        <w:t xml:space="preserve"> large proportion </w:t>
      </w:r>
      <w:r w:rsidR="001B099C">
        <w:rPr>
          <w:sz w:val="24"/>
        </w:rPr>
        <w:t xml:space="preserve">of the program budget </w:t>
      </w:r>
      <w:r w:rsidR="00B90D2F" w:rsidRPr="00C1709E">
        <w:rPr>
          <w:sz w:val="24"/>
        </w:rPr>
        <w:t xml:space="preserve">is disbursed through pooled core funding and budget support mechanisms. The multiyear/multilateral strategic choices incorporated into the PT program are consistent with </w:t>
      </w:r>
      <w:r w:rsidR="00411DDF">
        <w:rPr>
          <w:sz w:val="24"/>
        </w:rPr>
        <w:t>Australia’s</w:t>
      </w:r>
      <w:r w:rsidR="00CE6E24">
        <w:rPr>
          <w:sz w:val="24"/>
        </w:rPr>
        <w:t xml:space="preserve"> aid policy</w:t>
      </w:r>
      <w:r w:rsidR="00B90D2F" w:rsidRPr="00C1709E">
        <w:rPr>
          <w:sz w:val="24"/>
        </w:rPr>
        <w:t xml:space="preserve"> as outlined in, ‘</w:t>
      </w:r>
      <w:r w:rsidR="00411DDF">
        <w:rPr>
          <w:sz w:val="24"/>
        </w:rPr>
        <w:t>An Effective Aid Program’</w:t>
      </w:r>
      <w:r w:rsidR="00B90D2F" w:rsidRPr="00C1709E">
        <w:rPr>
          <w:sz w:val="24"/>
        </w:rPr>
        <w:t>. AusAID also works collaboratively with Palestinian rural communities, through Australia</w:t>
      </w:r>
      <w:r w:rsidR="00172D37">
        <w:rPr>
          <w:sz w:val="24"/>
        </w:rPr>
        <w:t>n and Pa</w:t>
      </w:r>
      <w:r w:rsidR="00AE1C29">
        <w:rPr>
          <w:sz w:val="24"/>
        </w:rPr>
        <w:t>lestinian NGOs. This helps</w:t>
      </w:r>
      <w:r w:rsidR="00172D37">
        <w:rPr>
          <w:sz w:val="24"/>
        </w:rPr>
        <w:t xml:space="preserve"> </w:t>
      </w:r>
      <w:r w:rsidR="00B90D2F" w:rsidRPr="00C1709E">
        <w:rPr>
          <w:sz w:val="24"/>
        </w:rPr>
        <w:t>to</w:t>
      </w:r>
      <w:r w:rsidR="00172D37">
        <w:rPr>
          <w:sz w:val="24"/>
        </w:rPr>
        <w:t xml:space="preserve"> foster relationships </w:t>
      </w:r>
      <w:r w:rsidR="00B90D2F" w:rsidRPr="00C1709E">
        <w:rPr>
          <w:sz w:val="24"/>
        </w:rPr>
        <w:t>be</w:t>
      </w:r>
      <w:r w:rsidR="00411DDF">
        <w:rPr>
          <w:sz w:val="24"/>
        </w:rPr>
        <w:t>tween Australia and Palestinian people</w:t>
      </w:r>
      <w:r w:rsidR="00172D37">
        <w:rPr>
          <w:sz w:val="24"/>
        </w:rPr>
        <w:t xml:space="preserve"> and by improving livelihoods and </w:t>
      </w:r>
      <w:r w:rsidR="00AE1C29">
        <w:rPr>
          <w:sz w:val="24"/>
        </w:rPr>
        <w:t xml:space="preserve">improving </w:t>
      </w:r>
      <w:r w:rsidR="00172D37" w:rsidRPr="00172D37">
        <w:rPr>
          <w:sz w:val="24"/>
        </w:rPr>
        <w:t>access to basic services</w:t>
      </w:r>
      <w:r w:rsidR="00B90D2F" w:rsidRPr="00C1709E">
        <w:rPr>
          <w:sz w:val="24"/>
        </w:rPr>
        <w:t>.</w:t>
      </w:r>
    </w:p>
    <w:p w:rsidR="000F626F" w:rsidRPr="000F626F" w:rsidRDefault="000F626F" w:rsidP="000F626F">
      <w:pPr>
        <w:jc w:val="both"/>
        <w:rPr>
          <w:sz w:val="24"/>
        </w:rPr>
      </w:pPr>
    </w:p>
    <w:p w:rsidR="00083811" w:rsidRPr="00F53958" w:rsidRDefault="00083811" w:rsidP="00F53958">
      <w:pPr>
        <w:pStyle w:val="Heading1"/>
      </w:pPr>
      <w:bookmarkStart w:id="0" w:name="_GoBack"/>
      <w:r w:rsidRPr="00F53958">
        <w:t xml:space="preserve">Progress against objectives in </w:t>
      </w:r>
      <w:r w:rsidR="00B90D2F" w:rsidRPr="00F53958">
        <w:t>the Palestinian Territories</w:t>
      </w:r>
    </w:p>
    <w:bookmarkEnd w:id="0"/>
    <w:p w:rsidR="0089703A" w:rsidRPr="0089703A" w:rsidRDefault="0089703A" w:rsidP="000F626F">
      <w:pPr>
        <w:jc w:val="both"/>
        <w:rPr>
          <w:sz w:val="24"/>
        </w:rPr>
      </w:pPr>
      <w:r w:rsidRPr="0089703A">
        <w:rPr>
          <w:sz w:val="24"/>
        </w:rPr>
        <w:t xml:space="preserve">The Australian Government is helping Palestinians build the foundation for a stable state and to deliver essential services.  AusAID’s activities </w:t>
      </w:r>
      <w:r w:rsidR="001B099C">
        <w:rPr>
          <w:sz w:val="24"/>
        </w:rPr>
        <w:t>are helping to improve</w:t>
      </w:r>
      <w:r w:rsidRPr="0089703A">
        <w:rPr>
          <w:sz w:val="24"/>
        </w:rPr>
        <w:t xml:space="preserve"> the lives of thousands of Palestinians.</w:t>
      </w:r>
    </w:p>
    <w:p w:rsidR="000F626F" w:rsidRDefault="000F626F" w:rsidP="000F626F">
      <w:pPr>
        <w:jc w:val="both"/>
        <w:rPr>
          <w:sz w:val="24"/>
        </w:rPr>
      </w:pPr>
    </w:p>
    <w:p w:rsidR="006322EC" w:rsidRDefault="006322EC" w:rsidP="000F626F">
      <w:pPr>
        <w:jc w:val="both"/>
        <w:rPr>
          <w:sz w:val="24"/>
        </w:rPr>
      </w:pPr>
      <w:r w:rsidRPr="0089703A">
        <w:rPr>
          <w:sz w:val="24"/>
        </w:rPr>
        <w:t xml:space="preserve">Establishing multi-year partnerships with </w:t>
      </w:r>
      <w:r w:rsidR="00AE1C29">
        <w:rPr>
          <w:sz w:val="24"/>
        </w:rPr>
        <w:t>the UNRWA, World Bank,</w:t>
      </w:r>
      <w:r w:rsidRPr="0089703A">
        <w:rPr>
          <w:sz w:val="24"/>
        </w:rPr>
        <w:t xml:space="preserve"> Palestinian Authority and UNICEF was the principal focus of the program in 2011.  In September 2011, the Australia – PA Partnership Arrangement was signed with Palestinian Prime Minister Salam Fayyad in New York. </w:t>
      </w:r>
      <w:r w:rsidRPr="00411DDF">
        <w:rPr>
          <w:sz w:val="24"/>
        </w:rPr>
        <w:t xml:space="preserve">A five year </w:t>
      </w:r>
      <w:r w:rsidR="00411DDF">
        <w:rPr>
          <w:sz w:val="24"/>
        </w:rPr>
        <w:t xml:space="preserve">$90 million </w:t>
      </w:r>
      <w:r w:rsidRPr="00411DDF">
        <w:rPr>
          <w:sz w:val="24"/>
        </w:rPr>
        <w:t xml:space="preserve">Partnership Agreement was signed with UNRWA in May 2012, and a new agreement between AusAID and UNICEF </w:t>
      </w:r>
      <w:r w:rsidR="00411DDF">
        <w:rPr>
          <w:sz w:val="24"/>
        </w:rPr>
        <w:t>in support of the WASH program has recently been finalised</w:t>
      </w:r>
      <w:r w:rsidRPr="00411DDF">
        <w:rPr>
          <w:sz w:val="24"/>
        </w:rPr>
        <w:t>.</w:t>
      </w:r>
    </w:p>
    <w:p w:rsidR="00C1709E" w:rsidRPr="009823EC" w:rsidRDefault="00704336" w:rsidP="00704336">
      <w:pPr>
        <w:pStyle w:val="Caption"/>
        <w:jc w:val="both"/>
      </w:pPr>
      <w:r>
        <w:t>Table 2</w:t>
      </w:r>
      <w:r w:rsidR="00C1709E" w:rsidRPr="009823EC">
        <w:t>: Ratings of the program’s</w:t>
      </w:r>
      <w:r w:rsidR="00C1709E" w:rsidRPr="00704336">
        <w:t xml:space="preserve"> </w:t>
      </w:r>
      <w:r w:rsidR="00C1709E" w:rsidRPr="009823EC">
        <w:t xml:space="preserve">progress towards its objectives </w:t>
      </w:r>
    </w:p>
    <w:tbl>
      <w:tblPr>
        <w:tblW w:w="9135" w:type="dxa"/>
        <w:tblInd w:w="57" w:type="dxa"/>
        <w:tblLook w:val="01E0" w:firstRow="1" w:lastRow="1" w:firstColumn="1" w:lastColumn="1" w:noHBand="0" w:noVBand="0"/>
      </w:tblPr>
      <w:tblGrid>
        <w:gridCol w:w="6721"/>
        <w:gridCol w:w="1052"/>
        <w:gridCol w:w="1362"/>
      </w:tblGrid>
      <w:tr w:rsidR="00C1709E" w:rsidRPr="009823EC" w:rsidTr="00A9634C">
        <w:trPr>
          <w:cantSplit/>
        </w:trPr>
        <w:tc>
          <w:tcPr>
            <w:tcW w:w="6721" w:type="dxa"/>
            <w:tcBorders>
              <w:top w:val="single" w:sz="12" w:space="0" w:color="auto"/>
              <w:bottom w:val="single" w:sz="2" w:space="0" w:color="auto"/>
            </w:tcBorders>
            <w:shd w:val="clear" w:color="auto" w:fill="auto"/>
            <w:tcMar>
              <w:left w:w="57" w:type="dxa"/>
              <w:right w:w="57" w:type="dxa"/>
            </w:tcMar>
          </w:tcPr>
          <w:p w:rsidR="00C1709E" w:rsidRPr="009823EC" w:rsidRDefault="00C1709E" w:rsidP="00C1709E">
            <w:pPr>
              <w:keepLines/>
              <w:spacing w:before="80" w:line="200" w:lineRule="atLeast"/>
              <w:jc w:val="both"/>
              <w:rPr>
                <w:rFonts w:ascii="Franklin Gothic Medium" w:hAnsi="Franklin Gothic Medium"/>
                <w:b/>
                <w:sz w:val="17"/>
                <w:szCs w:val="17"/>
              </w:rPr>
            </w:pPr>
            <w:r w:rsidRPr="009823EC">
              <w:rPr>
                <w:rFonts w:ascii="Franklin Gothic Medium" w:hAnsi="Franklin Gothic Medium"/>
                <w:b/>
                <w:sz w:val="17"/>
                <w:szCs w:val="17"/>
              </w:rPr>
              <w:t>Objective</w:t>
            </w:r>
          </w:p>
        </w:tc>
        <w:tc>
          <w:tcPr>
            <w:tcW w:w="1052" w:type="dxa"/>
            <w:tcBorders>
              <w:top w:val="single" w:sz="12" w:space="0" w:color="auto"/>
              <w:bottom w:val="single" w:sz="2" w:space="0" w:color="auto"/>
            </w:tcBorders>
            <w:shd w:val="clear" w:color="auto" w:fill="auto"/>
            <w:tcMar>
              <w:left w:w="57" w:type="dxa"/>
              <w:right w:w="57" w:type="dxa"/>
            </w:tcMar>
          </w:tcPr>
          <w:p w:rsidR="00C1709E" w:rsidRPr="009823EC" w:rsidRDefault="00C1709E" w:rsidP="00C1709E">
            <w:pPr>
              <w:keepLines/>
              <w:spacing w:before="80" w:line="200" w:lineRule="atLeast"/>
              <w:jc w:val="both"/>
              <w:rPr>
                <w:rFonts w:ascii="Franklin Gothic Medium" w:hAnsi="Franklin Gothic Medium"/>
                <w:sz w:val="17"/>
                <w:szCs w:val="17"/>
              </w:rPr>
            </w:pPr>
            <w:r w:rsidRPr="009823EC">
              <w:rPr>
                <w:rFonts w:ascii="Franklin Gothic Medium" w:hAnsi="Franklin Gothic Medium"/>
                <w:sz w:val="17"/>
                <w:szCs w:val="17"/>
              </w:rPr>
              <w:t xml:space="preserve">Current rating </w:t>
            </w:r>
          </w:p>
        </w:tc>
        <w:tc>
          <w:tcPr>
            <w:tcW w:w="1362" w:type="dxa"/>
            <w:tcBorders>
              <w:top w:val="single" w:sz="12" w:space="0" w:color="auto"/>
              <w:bottom w:val="single" w:sz="2" w:space="0" w:color="auto"/>
            </w:tcBorders>
            <w:shd w:val="clear" w:color="auto" w:fill="auto"/>
            <w:tcMar>
              <w:left w:w="57" w:type="dxa"/>
              <w:right w:w="57" w:type="dxa"/>
            </w:tcMar>
          </w:tcPr>
          <w:p w:rsidR="00C1709E" w:rsidRPr="009823EC" w:rsidRDefault="00C1709E" w:rsidP="00C1709E">
            <w:pPr>
              <w:keepLines/>
              <w:spacing w:before="80" w:line="200" w:lineRule="atLeast"/>
              <w:jc w:val="both"/>
              <w:rPr>
                <w:rFonts w:ascii="Franklin Gothic Medium" w:hAnsi="Franklin Gothic Medium"/>
                <w:sz w:val="17"/>
                <w:szCs w:val="17"/>
              </w:rPr>
            </w:pPr>
            <w:r w:rsidRPr="009823EC">
              <w:rPr>
                <w:rFonts w:ascii="Franklin Gothic Medium" w:hAnsi="Franklin Gothic Medium"/>
                <w:sz w:val="17"/>
                <w:szCs w:val="17"/>
              </w:rPr>
              <w:t xml:space="preserve">Relative to </w:t>
            </w:r>
            <w:r w:rsidRPr="009823EC">
              <w:rPr>
                <w:rFonts w:ascii="Franklin Gothic Medium" w:hAnsi="Franklin Gothic Medium"/>
                <w:sz w:val="17"/>
                <w:szCs w:val="17"/>
              </w:rPr>
              <w:br/>
              <w:t>previous rating</w:t>
            </w:r>
          </w:p>
        </w:tc>
      </w:tr>
      <w:tr w:rsidR="00C1709E" w:rsidRPr="009823EC" w:rsidTr="00A9634C">
        <w:trPr>
          <w:cantSplit/>
        </w:trPr>
        <w:tc>
          <w:tcPr>
            <w:tcW w:w="6721" w:type="dxa"/>
            <w:tcBorders>
              <w:top w:val="single" w:sz="2" w:space="0" w:color="auto"/>
            </w:tcBorders>
            <w:tcMar>
              <w:left w:w="57" w:type="dxa"/>
              <w:right w:w="57" w:type="dxa"/>
            </w:tcMar>
          </w:tcPr>
          <w:p w:rsidR="00530863" w:rsidRPr="00530863" w:rsidRDefault="00530863" w:rsidP="00530863">
            <w:pPr>
              <w:keepLines/>
              <w:spacing w:before="40" w:after="40" w:line="200" w:lineRule="atLeast"/>
              <w:jc w:val="both"/>
              <w:rPr>
                <w:rFonts w:ascii="Franklin Gothic Book" w:hAnsi="Franklin Gothic Book"/>
                <w:sz w:val="17"/>
                <w:szCs w:val="17"/>
              </w:rPr>
            </w:pPr>
            <w:r w:rsidRPr="00530863">
              <w:rPr>
                <w:rFonts w:ascii="Franklin Gothic Book" w:hAnsi="Franklin Gothic Book"/>
                <w:sz w:val="17"/>
                <w:szCs w:val="17"/>
              </w:rPr>
              <w:t>Supporting sustainable growth including helping vulnerable groups and rural communities overcome poverty</w:t>
            </w:r>
          </w:p>
          <w:p w:rsidR="00C1709E" w:rsidRPr="009823EC" w:rsidRDefault="00C1709E" w:rsidP="00C1709E">
            <w:pPr>
              <w:keepLines/>
              <w:spacing w:before="40" w:after="40" w:line="200" w:lineRule="atLeast"/>
              <w:jc w:val="both"/>
              <w:rPr>
                <w:rFonts w:ascii="Franklin Gothic Book" w:hAnsi="Franklin Gothic Book"/>
                <w:sz w:val="17"/>
                <w:szCs w:val="17"/>
              </w:rPr>
            </w:pPr>
          </w:p>
        </w:tc>
        <w:tc>
          <w:tcPr>
            <w:tcW w:w="1052" w:type="dxa"/>
            <w:tcBorders>
              <w:top w:val="single" w:sz="2" w:space="0" w:color="auto"/>
            </w:tcBorders>
            <w:shd w:val="clear" w:color="auto" w:fill="auto"/>
            <w:tcMar>
              <w:left w:w="57" w:type="dxa"/>
              <w:right w:w="57" w:type="dxa"/>
            </w:tcMar>
            <w:vAlign w:val="center"/>
          </w:tcPr>
          <w:p w:rsidR="00C1709E" w:rsidRPr="009823EC" w:rsidRDefault="00C1709E" w:rsidP="00C1709E">
            <w:pPr>
              <w:keepLines/>
              <w:spacing w:before="40" w:after="40" w:line="200" w:lineRule="atLeast"/>
              <w:jc w:val="both"/>
              <w:rPr>
                <w:rFonts w:ascii="Franklin Gothic Book" w:hAnsi="Franklin Gothic Book"/>
              </w:rPr>
            </w:pPr>
            <w:r w:rsidRPr="009823EC">
              <w:rPr>
                <w:rFonts w:ascii="Franklin Gothic Book" w:hAnsi="Franklin Gothic Book"/>
              </w:rPr>
              <w:fldChar w:fldCharType="begin"/>
            </w:r>
            <w:r w:rsidRPr="009823EC">
              <w:rPr>
                <w:rFonts w:ascii="Franklin Gothic Book" w:hAnsi="Franklin Gothic Book"/>
              </w:rPr>
              <w:instrText xml:space="preserve"> AUTOTEXTLIST  \s "Rating bullet"\t "Right click to choose a rating" \* MERGEFORMAT </w:instrText>
            </w:r>
            <w:r w:rsidRPr="009823EC">
              <w:rPr>
                <w:rFonts w:ascii="Franklin Gothic Book" w:hAnsi="Franklin Gothic Book"/>
              </w:rPr>
              <w:fldChar w:fldCharType="separate"/>
            </w:r>
            <w:r w:rsidRPr="009823EC">
              <w:rPr>
                <w:rFonts w:ascii="Franklin Gothic Book" w:hAnsi="Franklin Gothic Book"/>
                <w:color w:val="99CC00"/>
              </w:rPr>
              <w:sym w:font="Webdings" w:char="F067"/>
            </w:r>
            <w:r w:rsidRPr="009823EC">
              <w:rPr>
                <w:rFonts w:ascii="Franklin Gothic Book" w:hAnsi="Franklin Gothic Book"/>
              </w:rPr>
              <w:fldChar w:fldCharType="end"/>
            </w:r>
          </w:p>
        </w:tc>
        <w:tc>
          <w:tcPr>
            <w:tcW w:w="1362" w:type="dxa"/>
            <w:tcBorders>
              <w:top w:val="single" w:sz="2" w:space="0" w:color="auto"/>
            </w:tcBorders>
            <w:tcMar>
              <w:left w:w="57" w:type="dxa"/>
              <w:right w:w="57" w:type="dxa"/>
            </w:tcMar>
            <w:vAlign w:val="center"/>
          </w:tcPr>
          <w:p w:rsidR="00C1709E" w:rsidRPr="009823EC" w:rsidRDefault="00C1709E" w:rsidP="00C1709E">
            <w:pPr>
              <w:keepLines/>
              <w:spacing w:before="40" w:after="40" w:line="200" w:lineRule="atLeast"/>
              <w:jc w:val="both"/>
              <w:rPr>
                <w:rFonts w:ascii="Franklin Gothic Book" w:hAnsi="Franklin Gothic Book"/>
                <w:sz w:val="17"/>
                <w:szCs w:val="17"/>
              </w:rPr>
            </w:pPr>
            <w:r w:rsidRPr="009823EC">
              <w:rPr>
                <w:rFonts w:ascii="Franklin Gothic Book" w:hAnsi="Franklin Gothic Book"/>
                <w:bCs/>
                <w:sz w:val="17"/>
                <w:szCs w:val="17"/>
              </w:rPr>
              <w:fldChar w:fldCharType="begin"/>
            </w:r>
            <w:r w:rsidRPr="009823EC">
              <w:rPr>
                <w:rFonts w:ascii="Franklin Gothic Book" w:hAnsi="Franklin Gothic Book"/>
                <w:bCs/>
                <w:sz w:val="17"/>
                <w:szCs w:val="17"/>
              </w:rPr>
              <w:instrText xml:space="preserve"> AUTOTEXTLIST  \s "Table Text Entries"\t "Right click to choose a response" \* MERGEFORMAT </w:instrText>
            </w:r>
            <w:r w:rsidRPr="009823EC">
              <w:rPr>
                <w:rFonts w:ascii="Franklin Gothic Book" w:hAnsi="Franklin Gothic Book"/>
                <w:bCs/>
                <w:sz w:val="17"/>
                <w:szCs w:val="17"/>
              </w:rPr>
              <w:fldChar w:fldCharType="separate"/>
            </w:r>
            <w:r w:rsidRPr="009823EC">
              <w:rPr>
                <w:rFonts w:ascii="Franklin Gothic Book" w:hAnsi="Franklin Gothic Book"/>
                <w:bCs/>
                <w:sz w:val="17"/>
                <w:szCs w:val="17"/>
              </w:rPr>
              <w:t>Not applicable</w:t>
            </w:r>
            <w:r w:rsidRPr="009823EC">
              <w:rPr>
                <w:rFonts w:ascii="Franklin Gothic Book" w:hAnsi="Franklin Gothic Book"/>
                <w:bCs/>
                <w:sz w:val="17"/>
                <w:szCs w:val="17"/>
              </w:rPr>
              <w:fldChar w:fldCharType="end"/>
            </w:r>
          </w:p>
        </w:tc>
      </w:tr>
      <w:tr w:rsidR="00C1709E" w:rsidRPr="009823EC" w:rsidTr="00A9634C">
        <w:trPr>
          <w:cantSplit/>
        </w:trPr>
        <w:tc>
          <w:tcPr>
            <w:tcW w:w="6721" w:type="dxa"/>
            <w:tcMar>
              <w:left w:w="57" w:type="dxa"/>
              <w:right w:w="57" w:type="dxa"/>
            </w:tcMar>
          </w:tcPr>
          <w:p w:rsidR="00C1709E" w:rsidRPr="009823EC" w:rsidRDefault="00C1709E" w:rsidP="00C1709E">
            <w:pPr>
              <w:keepLines/>
              <w:spacing w:before="40" w:after="40" w:line="200" w:lineRule="atLeast"/>
              <w:jc w:val="both"/>
              <w:rPr>
                <w:rFonts w:ascii="Franklin Gothic Book" w:hAnsi="Franklin Gothic Book"/>
                <w:sz w:val="17"/>
                <w:szCs w:val="17"/>
              </w:rPr>
            </w:pPr>
          </w:p>
          <w:p w:rsidR="00C1709E" w:rsidRPr="009823EC" w:rsidRDefault="00C1709E" w:rsidP="00C1709E">
            <w:pPr>
              <w:keepLines/>
              <w:spacing w:before="40" w:after="40" w:line="200" w:lineRule="atLeast"/>
              <w:jc w:val="both"/>
              <w:rPr>
                <w:rFonts w:ascii="Franklin Gothic Book" w:hAnsi="Franklin Gothic Book"/>
                <w:sz w:val="17"/>
                <w:szCs w:val="17"/>
              </w:rPr>
            </w:pPr>
            <w:r w:rsidRPr="009823EC">
              <w:rPr>
                <w:rFonts w:ascii="Franklin Gothic Book" w:hAnsi="Franklin Gothic Book"/>
                <w:sz w:val="17"/>
                <w:szCs w:val="17"/>
              </w:rPr>
              <w:t xml:space="preserve">Supporting state-building and the peace process </w:t>
            </w:r>
          </w:p>
          <w:p w:rsidR="00C1709E" w:rsidRPr="009823EC" w:rsidRDefault="00C1709E" w:rsidP="00C1709E">
            <w:pPr>
              <w:keepLines/>
              <w:spacing w:before="40" w:after="40" w:line="200" w:lineRule="atLeast"/>
              <w:jc w:val="both"/>
              <w:rPr>
                <w:rFonts w:ascii="Franklin Gothic Book" w:hAnsi="Franklin Gothic Book"/>
                <w:sz w:val="17"/>
                <w:szCs w:val="17"/>
              </w:rPr>
            </w:pPr>
          </w:p>
        </w:tc>
        <w:tc>
          <w:tcPr>
            <w:tcW w:w="1052" w:type="dxa"/>
            <w:shd w:val="clear" w:color="auto" w:fill="auto"/>
            <w:tcMar>
              <w:left w:w="57" w:type="dxa"/>
              <w:right w:w="57" w:type="dxa"/>
            </w:tcMar>
            <w:vAlign w:val="center"/>
          </w:tcPr>
          <w:p w:rsidR="00C1709E" w:rsidRPr="009823EC" w:rsidRDefault="00C1709E" w:rsidP="00C1709E">
            <w:pPr>
              <w:keepLines/>
              <w:spacing w:before="40" w:after="40" w:line="200" w:lineRule="atLeast"/>
              <w:jc w:val="both"/>
              <w:rPr>
                <w:rFonts w:ascii="Franklin Gothic Book" w:hAnsi="Franklin Gothic Book"/>
                <w:color w:val="F79646"/>
              </w:rPr>
            </w:pPr>
            <w:r w:rsidRPr="009823EC">
              <w:rPr>
                <w:rFonts w:ascii="Franklin Gothic Book" w:hAnsi="Franklin Gothic Book"/>
                <w:color w:val="F79646"/>
              </w:rPr>
              <w:fldChar w:fldCharType="begin"/>
            </w:r>
            <w:r w:rsidRPr="009823EC">
              <w:rPr>
                <w:rFonts w:ascii="Franklin Gothic Book" w:hAnsi="Franklin Gothic Book"/>
                <w:color w:val="F79646"/>
              </w:rPr>
              <w:instrText xml:space="preserve"> AUTOTEXTLIST  \s "Rating bullet"\t "Right click to choose a rating" \* MERGEFORMAT </w:instrText>
            </w:r>
            <w:r w:rsidRPr="009823EC">
              <w:rPr>
                <w:rFonts w:ascii="Franklin Gothic Book" w:hAnsi="Franklin Gothic Book"/>
                <w:color w:val="F79646"/>
              </w:rPr>
              <w:fldChar w:fldCharType="separate"/>
            </w:r>
            <w:r w:rsidRPr="009823EC">
              <w:rPr>
                <w:rFonts w:ascii="Franklin Gothic Book" w:hAnsi="Franklin Gothic Book"/>
                <w:color w:val="F79646"/>
              </w:rPr>
              <w:sym w:font="Webdings" w:char="F067"/>
            </w:r>
            <w:r w:rsidRPr="009823EC">
              <w:rPr>
                <w:rFonts w:ascii="Franklin Gothic Book" w:hAnsi="Franklin Gothic Book"/>
                <w:color w:val="F79646"/>
              </w:rPr>
              <w:fldChar w:fldCharType="end"/>
            </w:r>
          </w:p>
        </w:tc>
        <w:tc>
          <w:tcPr>
            <w:tcW w:w="1362" w:type="dxa"/>
            <w:tcMar>
              <w:left w:w="57" w:type="dxa"/>
              <w:right w:w="57" w:type="dxa"/>
            </w:tcMar>
            <w:vAlign w:val="center"/>
          </w:tcPr>
          <w:p w:rsidR="00C1709E" w:rsidRPr="009823EC" w:rsidRDefault="00C1709E" w:rsidP="00C1709E">
            <w:pPr>
              <w:keepLines/>
              <w:spacing w:before="40" w:after="40" w:line="200" w:lineRule="atLeast"/>
              <w:jc w:val="both"/>
              <w:rPr>
                <w:rFonts w:ascii="Franklin Gothic Book" w:hAnsi="Franklin Gothic Book"/>
                <w:sz w:val="17"/>
                <w:szCs w:val="17"/>
              </w:rPr>
            </w:pPr>
            <w:r w:rsidRPr="009823EC">
              <w:rPr>
                <w:rFonts w:ascii="Franklin Gothic Book" w:hAnsi="Franklin Gothic Book"/>
                <w:bCs/>
                <w:sz w:val="17"/>
                <w:szCs w:val="17"/>
              </w:rPr>
              <w:fldChar w:fldCharType="begin"/>
            </w:r>
            <w:r w:rsidRPr="009823EC">
              <w:rPr>
                <w:rFonts w:ascii="Franklin Gothic Book" w:hAnsi="Franklin Gothic Book"/>
                <w:bCs/>
                <w:sz w:val="17"/>
                <w:szCs w:val="17"/>
              </w:rPr>
              <w:instrText xml:space="preserve"> AUTOTEXTLIST  \s "Table Text Entries"\t "Right click to choose a response" \* MERGEFORMAT </w:instrText>
            </w:r>
            <w:r w:rsidRPr="009823EC">
              <w:rPr>
                <w:rFonts w:ascii="Franklin Gothic Book" w:hAnsi="Franklin Gothic Book"/>
                <w:bCs/>
                <w:sz w:val="17"/>
                <w:szCs w:val="17"/>
              </w:rPr>
              <w:fldChar w:fldCharType="separate"/>
            </w:r>
            <w:r w:rsidRPr="009823EC">
              <w:rPr>
                <w:rFonts w:ascii="Franklin Gothic Book" w:hAnsi="Franklin Gothic Book"/>
                <w:bCs/>
                <w:sz w:val="17"/>
                <w:szCs w:val="17"/>
              </w:rPr>
              <w:t>Not applicable</w:t>
            </w:r>
            <w:r w:rsidRPr="009823EC">
              <w:rPr>
                <w:rFonts w:ascii="Franklin Gothic Book" w:hAnsi="Franklin Gothic Book"/>
                <w:bCs/>
                <w:sz w:val="17"/>
                <w:szCs w:val="17"/>
              </w:rPr>
              <w:fldChar w:fldCharType="end"/>
            </w:r>
          </w:p>
        </w:tc>
      </w:tr>
    </w:tbl>
    <w:p w:rsidR="00C1709E" w:rsidRPr="009823EC" w:rsidRDefault="00C1709E" w:rsidP="00C1709E">
      <w:pPr>
        <w:keepNext/>
        <w:keepLines/>
        <w:numPr>
          <w:ilvl w:val="0"/>
          <w:numId w:val="21"/>
        </w:numPr>
        <w:spacing w:before="40" w:line="180" w:lineRule="atLeast"/>
        <w:jc w:val="both"/>
        <w:rPr>
          <w:rFonts w:ascii="Franklin Gothic Book" w:hAnsi="Franklin Gothic Book"/>
          <w:sz w:val="14"/>
          <w:szCs w:val="14"/>
        </w:rPr>
      </w:pPr>
      <w:r w:rsidRPr="009823EC">
        <w:rPr>
          <w:rFonts w:ascii="Franklin Gothic Book" w:hAnsi="Franklin Gothic Book"/>
          <w:sz w:val="14"/>
          <w:szCs w:val="14"/>
        </w:rPr>
        <w:t xml:space="preserve">Note: </w:t>
      </w:r>
    </w:p>
    <w:p w:rsidR="00C1709E" w:rsidRPr="009823EC" w:rsidRDefault="00C1709E" w:rsidP="00C1709E">
      <w:pPr>
        <w:keepNext/>
        <w:keepLines/>
        <w:numPr>
          <w:ilvl w:val="0"/>
          <w:numId w:val="21"/>
        </w:numPr>
        <w:spacing w:line="180" w:lineRule="atLeast"/>
        <w:jc w:val="both"/>
        <w:rPr>
          <w:rFonts w:ascii="Franklin Gothic Book" w:hAnsi="Franklin Gothic Book"/>
          <w:color w:val="9BBB59"/>
          <w:sz w:val="14"/>
          <w:szCs w:val="14"/>
        </w:rPr>
      </w:pPr>
      <w:r w:rsidRPr="009823EC">
        <w:rPr>
          <w:rFonts w:ascii="Franklin Gothic Book" w:hAnsi="Franklin Gothic Book"/>
          <w:color w:val="99CC00"/>
          <w:sz w:val="18"/>
          <w:szCs w:val="18"/>
        </w:rPr>
        <w:sym w:font="Webdings" w:char="F067"/>
      </w:r>
      <w:r w:rsidRPr="009823EC">
        <w:rPr>
          <w:rFonts w:ascii="Arial Unicode MS" w:eastAsia="Arial Unicode MS" w:hAnsi="Arial Unicode MS" w:cs="Arial Unicode MS"/>
          <w:sz w:val="14"/>
          <w:szCs w:val="14"/>
        </w:rPr>
        <w:t> </w:t>
      </w:r>
      <w:r w:rsidRPr="009823EC">
        <w:rPr>
          <w:rFonts w:ascii="Franklin Gothic Book" w:hAnsi="Franklin Gothic Book"/>
          <w:sz w:val="14"/>
          <w:szCs w:val="14"/>
        </w:rPr>
        <w:t>The objective will be fully achieved within the timeframe of the strategy.</w:t>
      </w:r>
    </w:p>
    <w:p w:rsidR="00C1709E" w:rsidRPr="009823EC" w:rsidRDefault="00C1709E" w:rsidP="00C1709E">
      <w:pPr>
        <w:keepNext/>
        <w:keepLines/>
        <w:numPr>
          <w:ilvl w:val="0"/>
          <w:numId w:val="21"/>
        </w:numPr>
        <w:spacing w:line="180" w:lineRule="atLeast"/>
        <w:jc w:val="both"/>
        <w:rPr>
          <w:rFonts w:ascii="Franklin Gothic Book" w:hAnsi="Franklin Gothic Book"/>
          <w:sz w:val="14"/>
          <w:szCs w:val="14"/>
        </w:rPr>
      </w:pPr>
      <w:r w:rsidRPr="009823EC">
        <w:rPr>
          <w:rFonts w:ascii="Franklin Gothic Book" w:hAnsi="Franklin Gothic Book"/>
          <w:color w:val="FF9900"/>
          <w:sz w:val="18"/>
          <w:szCs w:val="18"/>
        </w:rPr>
        <w:sym w:font="Webdings" w:char="F067"/>
      </w:r>
      <w:r w:rsidRPr="009823EC">
        <w:rPr>
          <w:rFonts w:ascii="Arial Unicode MS" w:eastAsia="Arial Unicode MS" w:hAnsi="Arial Unicode MS" w:cs="Arial Unicode MS"/>
          <w:sz w:val="14"/>
          <w:szCs w:val="14"/>
        </w:rPr>
        <w:t> </w:t>
      </w:r>
      <w:r w:rsidRPr="009823EC">
        <w:rPr>
          <w:rFonts w:ascii="Franklin Gothic Book" w:hAnsi="Franklin Gothic Book"/>
          <w:sz w:val="14"/>
          <w:szCs w:val="14"/>
        </w:rPr>
        <w:t>The objective will be partly achieved within the timeframe of the strategy.</w:t>
      </w:r>
    </w:p>
    <w:p w:rsidR="00C1709E" w:rsidRPr="009823EC" w:rsidRDefault="00C1709E" w:rsidP="00C1709E">
      <w:pPr>
        <w:keepLines/>
        <w:numPr>
          <w:ilvl w:val="0"/>
          <w:numId w:val="21"/>
        </w:numPr>
        <w:spacing w:line="180" w:lineRule="atLeast"/>
        <w:jc w:val="both"/>
        <w:rPr>
          <w:rFonts w:ascii="Franklin Gothic Book" w:hAnsi="Franklin Gothic Book"/>
          <w:sz w:val="14"/>
          <w:szCs w:val="14"/>
        </w:rPr>
      </w:pPr>
      <w:r w:rsidRPr="009823EC">
        <w:rPr>
          <w:rFonts w:ascii="Franklin Gothic Book" w:hAnsi="Franklin Gothic Book"/>
          <w:color w:val="FF0000"/>
          <w:sz w:val="18"/>
          <w:szCs w:val="18"/>
        </w:rPr>
        <w:sym w:font="Webdings" w:char="F067"/>
      </w:r>
      <w:r w:rsidRPr="009823EC">
        <w:rPr>
          <w:rFonts w:ascii="Arial Unicode MS" w:eastAsia="Arial Unicode MS" w:hAnsi="Arial Unicode MS" w:cs="Arial Unicode MS"/>
          <w:sz w:val="14"/>
          <w:szCs w:val="14"/>
        </w:rPr>
        <w:t> </w:t>
      </w:r>
      <w:r w:rsidRPr="009823EC">
        <w:rPr>
          <w:rFonts w:ascii="Franklin Gothic Book" w:hAnsi="Franklin Gothic Book"/>
          <w:sz w:val="14"/>
          <w:szCs w:val="14"/>
        </w:rPr>
        <w:t>The objective is unlikely to be achieved within the timeframe of the strategy.</w:t>
      </w:r>
    </w:p>
    <w:p w:rsidR="006322EC" w:rsidRDefault="006322EC" w:rsidP="00C1709E">
      <w:pPr>
        <w:tabs>
          <w:tab w:val="left" w:pos="0"/>
        </w:tabs>
        <w:spacing w:before="120" w:after="120"/>
        <w:rPr>
          <w:rFonts w:ascii="Georgia" w:hAnsi="Georgia"/>
        </w:rPr>
      </w:pPr>
    </w:p>
    <w:p w:rsidR="000F4DF9" w:rsidRPr="00C616BF" w:rsidRDefault="006322EC" w:rsidP="00C616BF">
      <w:pPr>
        <w:pStyle w:val="Heading2"/>
      </w:pPr>
      <w:r w:rsidRPr="00C616BF">
        <w:t xml:space="preserve">Objective 1: </w:t>
      </w:r>
      <w:r w:rsidR="000F4DF9" w:rsidRPr="00C616BF">
        <w:t xml:space="preserve">Supporting sustainable growth including helping vulnerable groups </w:t>
      </w:r>
      <w:r w:rsidR="00530863" w:rsidRPr="00C616BF">
        <w:t xml:space="preserve">and rural communities </w:t>
      </w:r>
      <w:r w:rsidR="000F4DF9" w:rsidRPr="00C616BF">
        <w:t>overcome poverty</w:t>
      </w:r>
    </w:p>
    <w:p w:rsidR="00493816" w:rsidRDefault="00493816" w:rsidP="00493816">
      <w:pPr>
        <w:spacing w:before="80" w:after="80" w:line="280" w:lineRule="atLeast"/>
        <w:jc w:val="both"/>
        <w:rPr>
          <w:sz w:val="24"/>
        </w:rPr>
      </w:pPr>
      <w:r>
        <w:rPr>
          <w:sz w:val="24"/>
        </w:rPr>
        <w:t>Australia contributes</w:t>
      </w:r>
      <w:r w:rsidR="0089703A" w:rsidRPr="00493816">
        <w:rPr>
          <w:sz w:val="24"/>
        </w:rPr>
        <w:t xml:space="preserve"> to </w:t>
      </w:r>
      <w:r w:rsidR="0099134E">
        <w:rPr>
          <w:sz w:val="24"/>
        </w:rPr>
        <w:t xml:space="preserve">this </w:t>
      </w:r>
      <w:r w:rsidR="0089703A" w:rsidRPr="00493816">
        <w:rPr>
          <w:sz w:val="24"/>
        </w:rPr>
        <w:t>objective</w:t>
      </w:r>
      <w:r>
        <w:rPr>
          <w:sz w:val="24"/>
        </w:rPr>
        <w:t xml:space="preserve"> by supporting two major activities:</w:t>
      </w:r>
    </w:p>
    <w:p w:rsidR="00493816" w:rsidRPr="00493816" w:rsidRDefault="00493816" w:rsidP="00493816">
      <w:pPr>
        <w:numPr>
          <w:ilvl w:val="0"/>
          <w:numId w:val="44"/>
        </w:numPr>
        <w:tabs>
          <w:tab w:val="left" w:pos="709"/>
        </w:tabs>
        <w:ind w:left="714" w:hanging="357"/>
        <w:jc w:val="both"/>
        <w:rPr>
          <w:sz w:val="24"/>
        </w:rPr>
      </w:pPr>
      <w:r>
        <w:rPr>
          <w:sz w:val="24"/>
        </w:rPr>
        <w:t>Core funding to the</w:t>
      </w:r>
      <w:r w:rsidRPr="00493816">
        <w:rPr>
          <w:sz w:val="24"/>
        </w:rPr>
        <w:t xml:space="preserve"> UN Relief and Works Agency for Palestinian Refugees (UNWRA); and</w:t>
      </w:r>
    </w:p>
    <w:p w:rsidR="0089703A" w:rsidRPr="00493816" w:rsidRDefault="00493816" w:rsidP="00493816">
      <w:pPr>
        <w:numPr>
          <w:ilvl w:val="0"/>
          <w:numId w:val="44"/>
        </w:numPr>
        <w:tabs>
          <w:tab w:val="left" w:pos="709"/>
        </w:tabs>
        <w:ind w:left="714" w:hanging="357"/>
        <w:jc w:val="both"/>
        <w:rPr>
          <w:sz w:val="24"/>
        </w:rPr>
      </w:pPr>
      <w:r>
        <w:rPr>
          <w:sz w:val="24"/>
        </w:rPr>
        <w:t xml:space="preserve">The </w:t>
      </w:r>
      <w:r w:rsidR="0089703A" w:rsidRPr="00493816">
        <w:rPr>
          <w:sz w:val="24"/>
        </w:rPr>
        <w:t>Australia Middle East NGO Partnership Agreement (AMENCA) program</w:t>
      </w:r>
    </w:p>
    <w:p w:rsidR="0089703A" w:rsidRDefault="0089703A" w:rsidP="0089703A">
      <w:pPr>
        <w:pStyle w:val="Default"/>
      </w:pPr>
    </w:p>
    <w:p w:rsidR="00493816" w:rsidRPr="001B099C" w:rsidRDefault="0089703A" w:rsidP="00493816">
      <w:pPr>
        <w:keepNext/>
        <w:spacing w:before="120" w:after="120"/>
        <w:outlineLvl w:val="3"/>
        <w:rPr>
          <w:color w:val="943634"/>
          <w:sz w:val="24"/>
        </w:rPr>
      </w:pPr>
      <w:r w:rsidRPr="001B099C">
        <w:rPr>
          <w:color w:val="943634"/>
          <w:sz w:val="24"/>
        </w:rPr>
        <w:t>UN Relief and Works Agency for Palestinian Refugees (UNWRA)</w:t>
      </w:r>
    </w:p>
    <w:p w:rsidR="00917E3A" w:rsidRDefault="001B099C" w:rsidP="00917E3A">
      <w:pPr>
        <w:jc w:val="both"/>
        <w:rPr>
          <w:sz w:val="24"/>
        </w:rPr>
      </w:pPr>
      <w:r>
        <w:rPr>
          <w:sz w:val="24"/>
        </w:rPr>
        <w:t>Support to UNRWA</w:t>
      </w:r>
      <w:r w:rsidR="00B32D32">
        <w:rPr>
          <w:sz w:val="24"/>
        </w:rPr>
        <w:t xml:space="preserve"> has been successful </w:t>
      </w:r>
      <w:r>
        <w:rPr>
          <w:sz w:val="24"/>
        </w:rPr>
        <w:t xml:space="preserve">in increasing the provision </w:t>
      </w:r>
      <w:r w:rsidR="00C41D83">
        <w:rPr>
          <w:sz w:val="24"/>
        </w:rPr>
        <w:t>of basic services to</w:t>
      </w:r>
      <w:r w:rsidR="00B32D32">
        <w:rPr>
          <w:sz w:val="24"/>
        </w:rPr>
        <w:t xml:space="preserve"> </w:t>
      </w:r>
      <w:r w:rsidR="00016C38" w:rsidRPr="00493816">
        <w:rPr>
          <w:sz w:val="24"/>
        </w:rPr>
        <w:t>Palestinian refugee populations</w:t>
      </w:r>
      <w:r w:rsidR="00C41D83">
        <w:rPr>
          <w:sz w:val="24"/>
        </w:rPr>
        <w:t xml:space="preserve">, </w:t>
      </w:r>
      <w:r w:rsidR="00016C38" w:rsidRPr="00493816">
        <w:rPr>
          <w:sz w:val="24"/>
        </w:rPr>
        <w:t xml:space="preserve">particularly in </w:t>
      </w:r>
      <w:r w:rsidR="00C41D83">
        <w:rPr>
          <w:sz w:val="24"/>
        </w:rPr>
        <w:t>education and health</w:t>
      </w:r>
      <w:r w:rsidR="00016C38" w:rsidRPr="00493816">
        <w:rPr>
          <w:sz w:val="24"/>
        </w:rPr>
        <w:t xml:space="preserve">. </w:t>
      </w:r>
      <w:r w:rsidR="00917E3A">
        <w:rPr>
          <w:sz w:val="24"/>
        </w:rPr>
        <w:t>UNRWA</w:t>
      </w:r>
      <w:r w:rsidR="00917E3A" w:rsidRPr="00917E3A">
        <w:rPr>
          <w:sz w:val="24"/>
        </w:rPr>
        <w:t xml:space="preserve"> operates effectively in refugee settlements across the region. In mid-2011, UNRWA proved its </w:t>
      </w:r>
      <w:r w:rsidR="00917E3A" w:rsidRPr="00917E3A">
        <w:rPr>
          <w:sz w:val="24"/>
        </w:rPr>
        <w:lastRenderedPageBreak/>
        <w:t xml:space="preserve">capacity in this area by continuing to provide </w:t>
      </w:r>
      <w:r w:rsidR="00C41D83">
        <w:rPr>
          <w:sz w:val="24"/>
        </w:rPr>
        <w:t xml:space="preserve">basic </w:t>
      </w:r>
      <w:r w:rsidR="00917E3A" w:rsidRPr="00917E3A">
        <w:rPr>
          <w:sz w:val="24"/>
        </w:rPr>
        <w:t>services to Palestine refugees in Syria despite ongoing strife in the region.</w:t>
      </w:r>
    </w:p>
    <w:p w:rsidR="00917E3A" w:rsidRPr="00917E3A" w:rsidRDefault="00917E3A" w:rsidP="00917E3A">
      <w:pPr>
        <w:jc w:val="both"/>
        <w:rPr>
          <w:sz w:val="24"/>
        </w:rPr>
      </w:pPr>
    </w:p>
    <w:p w:rsidR="00704336" w:rsidRPr="00493816" w:rsidRDefault="00016C38" w:rsidP="000F626F">
      <w:pPr>
        <w:jc w:val="both"/>
        <w:rPr>
          <w:sz w:val="24"/>
        </w:rPr>
      </w:pPr>
      <w:r w:rsidRPr="00493816">
        <w:rPr>
          <w:sz w:val="24"/>
        </w:rPr>
        <w:t>Australian funding is highly appreciated by UNRWA because AusAID is responsive and our funds are flexibly applied, which is especially valuable given the ov</w:t>
      </w:r>
      <w:r w:rsidR="00C41D83">
        <w:rPr>
          <w:sz w:val="24"/>
        </w:rPr>
        <w:t xml:space="preserve">erall financial problems </w:t>
      </w:r>
      <w:r w:rsidRPr="00493816">
        <w:rPr>
          <w:sz w:val="24"/>
        </w:rPr>
        <w:t xml:space="preserve">UNRWA </w:t>
      </w:r>
      <w:r w:rsidR="00C41D83">
        <w:rPr>
          <w:sz w:val="24"/>
        </w:rPr>
        <w:t xml:space="preserve">has faced </w:t>
      </w:r>
      <w:r w:rsidRPr="00493816">
        <w:rPr>
          <w:sz w:val="24"/>
        </w:rPr>
        <w:t>as a result of the G</w:t>
      </w:r>
      <w:r w:rsidR="00B32D32">
        <w:rPr>
          <w:sz w:val="24"/>
        </w:rPr>
        <w:t xml:space="preserve">lobal </w:t>
      </w:r>
      <w:r w:rsidRPr="00493816">
        <w:rPr>
          <w:sz w:val="24"/>
        </w:rPr>
        <w:t>F</w:t>
      </w:r>
      <w:r w:rsidR="00B32D32">
        <w:rPr>
          <w:sz w:val="24"/>
        </w:rPr>
        <w:t xml:space="preserve">inancial </w:t>
      </w:r>
      <w:r w:rsidRPr="00493816">
        <w:rPr>
          <w:sz w:val="24"/>
        </w:rPr>
        <w:t>C</w:t>
      </w:r>
      <w:r w:rsidR="00B32D32">
        <w:rPr>
          <w:sz w:val="24"/>
        </w:rPr>
        <w:t>risis</w:t>
      </w:r>
      <w:r w:rsidRPr="00493816">
        <w:rPr>
          <w:sz w:val="24"/>
        </w:rPr>
        <w:t xml:space="preserve">. </w:t>
      </w:r>
      <w:r w:rsidR="00704336" w:rsidRPr="00493816">
        <w:rPr>
          <w:sz w:val="24"/>
        </w:rPr>
        <w:t>Australia recognises the central role UNRWA has played in delivering appropriate and effective support to Palestine refugees since 1949. AusAID has chosen to provide core financial assistance for U</w:t>
      </w:r>
      <w:r w:rsidR="00C41D83">
        <w:rPr>
          <w:sz w:val="24"/>
        </w:rPr>
        <w:t>NRWA’s General Fund (which supports</w:t>
      </w:r>
      <w:r w:rsidR="00704336" w:rsidRPr="00493816">
        <w:rPr>
          <w:sz w:val="24"/>
        </w:rPr>
        <w:t xml:space="preserve"> human development, including education, health care, social services and humanitarian assistance). Australia’s support is provided in a highly flexible manner that enables </w:t>
      </w:r>
      <w:r w:rsidR="00C41D83">
        <w:rPr>
          <w:sz w:val="24"/>
        </w:rPr>
        <w:t>UNRWA</w:t>
      </w:r>
      <w:r w:rsidR="00704336" w:rsidRPr="00493816">
        <w:rPr>
          <w:sz w:val="24"/>
        </w:rPr>
        <w:t xml:space="preserve"> to disburse where it is most needed.</w:t>
      </w:r>
      <w:r w:rsidR="00B32D32">
        <w:rPr>
          <w:sz w:val="24"/>
        </w:rPr>
        <w:t xml:space="preserve"> While difficult to attribute, some of the areas where Australia has helped UNRWA to improve</w:t>
      </w:r>
      <w:r w:rsidR="00C41D83">
        <w:rPr>
          <w:sz w:val="24"/>
        </w:rPr>
        <w:t xml:space="preserve"> the provision of basic services</w:t>
      </w:r>
      <w:r w:rsidR="00B32D32">
        <w:rPr>
          <w:sz w:val="24"/>
        </w:rPr>
        <w:t xml:space="preserve"> include:</w:t>
      </w:r>
    </w:p>
    <w:p w:rsidR="000F626F" w:rsidRDefault="000F626F" w:rsidP="000F626F">
      <w:pPr>
        <w:ind w:left="68"/>
        <w:jc w:val="both"/>
        <w:rPr>
          <w:i/>
          <w:sz w:val="24"/>
        </w:rPr>
      </w:pPr>
    </w:p>
    <w:p w:rsidR="00704336" w:rsidRPr="00F50175" w:rsidRDefault="00704336" w:rsidP="000F626F">
      <w:pPr>
        <w:ind w:left="68"/>
        <w:jc w:val="both"/>
        <w:rPr>
          <w:i/>
          <w:sz w:val="24"/>
        </w:rPr>
      </w:pPr>
      <w:r w:rsidRPr="00F50175">
        <w:rPr>
          <w:i/>
          <w:sz w:val="24"/>
        </w:rPr>
        <w:t>Education</w:t>
      </w:r>
    </w:p>
    <w:p w:rsidR="00704336" w:rsidRDefault="00C9533B" w:rsidP="000F626F">
      <w:pPr>
        <w:jc w:val="both"/>
        <w:rPr>
          <w:sz w:val="24"/>
        </w:rPr>
      </w:pPr>
      <w:r w:rsidRPr="00493816">
        <w:rPr>
          <w:sz w:val="24"/>
        </w:rPr>
        <w:t>UNRWA operates one of the largest school systems in the Middle East and has been the main provider of free-of-charge basic education to Palestine refugees for more than 60 years. Since the 1960s, girls have made up around half of UNRWA’s students.</w:t>
      </w:r>
      <w:r>
        <w:rPr>
          <w:sz w:val="24"/>
        </w:rPr>
        <w:t xml:space="preserve">  </w:t>
      </w:r>
      <w:r w:rsidR="00704336" w:rsidRPr="00493816">
        <w:rPr>
          <w:sz w:val="24"/>
        </w:rPr>
        <w:t>In 2011, UNRWA’s education program comprised:</w:t>
      </w:r>
    </w:p>
    <w:p w:rsidR="000F626F" w:rsidRPr="00493816" w:rsidRDefault="000F626F" w:rsidP="000F626F">
      <w:pPr>
        <w:jc w:val="both"/>
        <w:rPr>
          <w:sz w:val="24"/>
        </w:rPr>
      </w:pPr>
    </w:p>
    <w:p w:rsidR="00704336" w:rsidRPr="00493816" w:rsidRDefault="00704336" w:rsidP="000F4DF9">
      <w:pPr>
        <w:numPr>
          <w:ilvl w:val="0"/>
          <w:numId w:val="48"/>
        </w:numPr>
        <w:ind w:left="714" w:hanging="357"/>
        <w:rPr>
          <w:sz w:val="24"/>
        </w:rPr>
      </w:pPr>
      <w:r w:rsidRPr="00493816">
        <w:rPr>
          <w:sz w:val="24"/>
        </w:rPr>
        <w:t xml:space="preserve">699 schools </w:t>
      </w:r>
    </w:p>
    <w:p w:rsidR="00704336" w:rsidRPr="00493816" w:rsidRDefault="00704336" w:rsidP="000F4DF9">
      <w:pPr>
        <w:numPr>
          <w:ilvl w:val="0"/>
          <w:numId w:val="48"/>
        </w:numPr>
        <w:ind w:left="714" w:hanging="357"/>
        <w:rPr>
          <w:sz w:val="24"/>
        </w:rPr>
      </w:pPr>
      <w:r w:rsidRPr="00493816">
        <w:rPr>
          <w:sz w:val="24"/>
        </w:rPr>
        <w:t xml:space="preserve">19,217 educational staff </w:t>
      </w:r>
    </w:p>
    <w:p w:rsidR="00704336" w:rsidRPr="00493816" w:rsidRDefault="00704336" w:rsidP="000F4DF9">
      <w:pPr>
        <w:numPr>
          <w:ilvl w:val="0"/>
          <w:numId w:val="48"/>
        </w:numPr>
        <w:ind w:left="714" w:hanging="357"/>
        <w:rPr>
          <w:sz w:val="24"/>
        </w:rPr>
      </w:pPr>
      <w:r w:rsidRPr="00493816">
        <w:rPr>
          <w:sz w:val="24"/>
        </w:rPr>
        <w:t xml:space="preserve">486,754 enrolled pupils </w:t>
      </w:r>
    </w:p>
    <w:p w:rsidR="00704336" w:rsidRPr="00493816" w:rsidRDefault="00704336" w:rsidP="000F4DF9">
      <w:pPr>
        <w:numPr>
          <w:ilvl w:val="0"/>
          <w:numId w:val="48"/>
        </w:numPr>
        <w:ind w:left="714" w:hanging="357"/>
        <w:rPr>
          <w:sz w:val="24"/>
        </w:rPr>
      </w:pPr>
      <w:r w:rsidRPr="00493816">
        <w:rPr>
          <w:sz w:val="24"/>
        </w:rPr>
        <w:t xml:space="preserve">10 vocational training centres </w:t>
      </w:r>
    </w:p>
    <w:p w:rsidR="00704336" w:rsidRPr="00493816" w:rsidRDefault="00704336" w:rsidP="000F4DF9">
      <w:pPr>
        <w:numPr>
          <w:ilvl w:val="0"/>
          <w:numId w:val="48"/>
        </w:numPr>
        <w:ind w:left="714" w:hanging="357"/>
        <w:rPr>
          <w:sz w:val="24"/>
        </w:rPr>
      </w:pPr>
      <w:r w:rsidRPr="00493816">
        <w:rPr>
          <w:sz w:val="24"/>
        </w:rPr>
        <w:t xml:space="preserve">6652 training places </w:t>
      </w:r>
    </w:p>
    <w:p w:rsidR="00704336" w:rsidRPr="00493816" w:rsidRDefault="00704336" w:rsidP="000F4DF9">
      <w:pPr>
        <w:numPr>
          <w:ilvl w:val="0"/>
          <w:numId w:val="48"/>
        </w:numPr>
        <w:ind w:left="714" w:hanging="357"/>
        <w:rPr>
          <w:sz w:val="24"/>
        </w:rPr>
      </w:pPr>
      <w:r w:rsidRPr="00493816">
        <w:rPr>
          <w:sz w:val="24"/>
        </w:rPr>
        <w:t xml:space="preserve">three educational science faculties </w:t>
      </w:r>
    </w:p>
    <w:p w:rsidR="00704336" w:rsidRPr="00493816" w:rsidRDefault="00704336" w:rsidP="000F4DF9">
      <w:pPr>
        <w:numPr>
          <w:ilvl w:val="0"/>
          <w:numId w:val="48"/>
        </w:numPr>
        <w:ind w:left="714" w:hanging="357"/>
        <w:rPr>
          <w:sz w:val="24"/>
        </w:rPr>
      </w:pPr>
      <w:r w:rsidRPr="00493816">
        <w:rPr>
          <w:sz w:val="24"/>
        </w:rPr>
        <w:t xml:space="preserve">891 teachers in training </w:t>
      </w:r>
    </w:p>
    <w:p w:rsidR="00704336" w:rsidRPr="00493816" w:rsidRDefault="00704336" w:rsidP="000F4DF9">
      <w:pPr>
        <w:numPr>
          <w:ilvl w:val="0"/>
          <w:numId w:val="48"/>
        </w:numPr>
        <w:ind w:left="714" w:hanging="357"/>
        <w:rPr>
          <w:sz w:val="24"/>
        </w:rPr>
      </w:pPr>
      <w:r w:rsidRPr="00493816">
        <w:rPr>
          <w:sz w:val="24"/>
        </w:rPr>
        <w:t xml:space="preserve">1700 student teachers. </w:t>
      </w:r>
    </w:p>
    <w:p w:rsidR="000F626F" w:rsidRDefault="000F626F" w:rsidP="000F626F">
      <w:pPr>
        <w:jc w:val="both"/>
        <w:rPr>
          <w:sz w:val="24"/>
        </w:rPr>
      </w:pPr>
    </w:p>
    <w:p w:rsidR="00704336" w:rsidRPr="00493816" w:rsidRDefault="00704336" w:rsidP="000F626F">
      <w:pPr>
        <w:jc w:val="both"/>
        <w:rPr>
          <w:sz w:val="24"/>
        </w:rPr>
      </w:pPr>
      <w:r w:rsidRPr="00493816">
        <w:rPr>
          <w:sz w:val="24"/>
        </w:rPr>
        <w:t>UNRWA maintains 10 vocational and technical training centres with a capacity for 6600 trainees. Three types of courses are offered: Trade (vocational) co</w:t>
      </w:r>
      <w:r w:rsidR="00C9533B">
        <w:rPr>
          <w:sz w:val="24"/>
        </w:rPr>
        <w:t xml:space="preserve">urses (lasting up to two years); </w:t>
      </w:r>
      <w:r w:rsidRPr="00493816">
        <w:rPr>
          <w:sz w:val="24"/>
        </w:rPr>
        <w:t xml:space="preserve">Technical/semi-professional courses </w:t>
      </w:r>
      <w:r w:rsidR="00C9533B">
        <w:rPr>
          <w:sz w:val="24"/>
        </w:rPr>
        <w:t>(</w:t>
      </w:r>
      <w:r w:rsidRPr="00493816">
        <w:rPr>
          <w:sz w:val="24"/>
        </w:rPr>
        <w:t>lasting two years</w:t>
      </w:r>
      <w:r w:rsidR="00C9533B">
        <w:rPr>
          <w:sz w:val="24"/>
        </w:rPr>
        <w:t xml:space="preserve">); and </w:t>
      </w:r>
      <w:r w:rsidRPr="00493816">
        <w:rPr>
          <w:sz w:val="24"/>
        </w:rPr>
        <w:t xml:space="preserve">Certificate program courses lasting one or two years. </w:t>
      </w:r>
      <w:r w:rsidR="00C9533B">
        <w:rPr>
          <w:sz w:val="24"/>
        </w:rPr>
        <w:t xml:space="preserve"> </w:t>
      </w:r>
      <w:r w:rsidRPr="00493816">
        <w:rPr>
          <w:sz w:val="24"/>
        </w:rPr>
        <w:t>These courses are organised in response to local n</w:t>
      </w:r>
      <w:r w:rsidR="00C41D83">
        <w:rPr>
          <w:sz w:val="24"/>
        </w:rPr>
        <w:t>eeds, in cooperation with NGOs.</w:t>
      </w:r>
    </w:p>
    <w:p w:rsidR="000F626F" w:rsidRDefault="000F626F" w:rsidP="000F626F">
      <w:pPr>
        <w:jc w:val="both"/>
        <w:rPr>
          <w:sz w:val="24"/>
        </w:rPr>
      </w:pPr>
    </w:p>
    <w:p w:rsidR="00704336" w:rsidRPr="000F626F" w:rsidRDefault="000F626F" w:rsidP="000F626F">
      <w:pPr>
        <w:jc w:val="both"/>
        <w:rPr>
          <w:i/>
          <w:sz w:val="24"/>
        </w:rPr>
      </w:pPr>
      <w:r>
        <w:rPr>
          <w:i/>
          <w:sz w:val="24"/>
        </w:rPr>
        <w:t>Health</w:t>
      </w:r>
    </w:p>
    <w:p w:rsidR="00704336" w:rsidRDefault="00C9533B" w:rsidP="000F626F">
      <w:pPr>
        <w:jc w:val="both"/>
        <w:rPr>
          <w:sz w:val="24"/>
        </w:rPr>
      </w:pPr>
      <w:r w:rsidRPr="00493816">
        <w:rPr>
          <w:sz w:val="24"/>
        </w:rPr>
        <w:t>Ensuring equity in access to health care can be particularly difficult where UNRWA works, because of violent conflict, restrictions on movement and refugees’ entitlements under the different host governments. Despite these challenges, UNRWA now has 137 health centres, significantly reducing the physical and economic barriers to hea</w:t>
      </w:r>
      <w:r>
        <w:rPr>
          <w:sz w:val="24"/>
        </w:rPr>
        <w:t xml:space="preserve">lth care for Palestine refugees.  </w:t>
      </w:r>
      <w:r w:rsidR="00704336" w:rsidRPr="00493816">
        <w:rPr>
          <w:sz w:val="24"/>
        </w:rPr>
        <w:t>As of 31 December 2010, UNRWA’s health program supported:</w:t>
      </w:r>
    </w:p>
    <w:p w:rsidR="000F626F" w:rsidRPr="00493816" w:rsidRDefault="000F626F" w:rsidP="000F626F">
      <w:pPr>
        <w:jc w:val="both"/>
        <w:rPr>
          <w:sz w:val="24"/>
        </w:rPr>
      </w:pPr>
    </w:p>
    <w:p w:rsidR="00704336" w:rsidRPr="00493816" w:rsidRDefault="00704336" w:rsidP="000F4DF9">
      <w:pPr>
        <w:numPr>
          <w:ilvl w:val="0"/>
          <w:numId w:val="48"/>
        </w:numPr>
        <w:ind w:left="714" w:hanging="357"/>
        <w:rPr>
          <w:sz w:val="24"/>
        </w:rPr>
      </w:pPr>
      <w:r w:rsidRPr="00493816">
        <w:rPr>
          <w:sz w:val="24"/>
        </w:rPr>
        <w:t xml:space="preserve">137 primary health care centres </w:t>
      </w:r>
    </w:p>
    <w:p w:rsidR="00704336" w:rsidRPr="00493816" w:rsidRDefault="00704336" w:rsidP="000F4DF9">
      <w:pPr>
        <w:numPr>
          <w:ilvl w:val="0"/>
          <w:numId w:val="48"/>
        </w:numPr>
        <w:ind w:left="714" w:hanging="357"/>
        <w:rPr>
          <w:sz w:val="24"/>
        </w:rPr>
      </w:pPr>
      <w:r w:rsidRPr="00493816">
        <w:rPr>
          <w:sz w:val="24"/>
        </w:rPr>
        <w:t xml:space="preserve">3654 health staff </w:t>
      </w:r>
    </w:p>
    <w:p w:rsidR="00704336" w:rsidRPr="00493816" w:rsidRDefault="00704336" w:rsidP="000F4DF9">
      <w:pPr>
        <w:numPr>
          <w:ilvl w:val="0"/>
          <w:numId w:val="48"/>
        </w:numPr>
        <w:ind w:left="714" w:hanging="357"/>
        <w:rPr>
          <w:sz w:val="24"/>
        </w:rPr>
      </w:pPr>
      <w:r w:rsidRPr="00493816">
        <w:rPr>
          <w:sz w:val="24"/>
        </w:rPr>
        <w:t xml:space="preserve">118 dental clinics </w:t>
      </w:r>
    </w:p>
    <w:p w:rsidR="00704336" w:rsidRDefault="00704336" w:rsidP="000F4DF9">
      <w:pPr>
        <w:numPr>
          <w:ilvl w:val="0"/>
          <w:numId w:val="48"/>
        </w:numPr>
        <w:ind w:left="714" w:hanging="357"/>
        <w:rPr>
          <w:sz w:val="24"/>
        </w:rPr>
      </w:pPr>
      <w:r w:rsidRPr="00493816">
        <w:rPr>
          <w:sz w:val="24"/>
        </w:rPr>
        <w:t>11 million annual patient visits.</w:t>
      </w:r>
    </w:p>
    <w:p w:rsidR="000F626F" w:rsidRPr="00493816" w:rsidRDefault="000F626F" w:rsidP="000F626F">
      <w:pPr>
        <w:ind w:left="714"/>
        <w:rPr>
          <w:sz w:val="24"/>
        </w:rPr>
      </w:pPr>
    </w:p>
    <w:p w:rsidR="00917E3A" w:rsidRPr="006254B2" w:rsidRDefault="00704336" w:rsidP="000F626F">
      <w:pPr>
        <w:jc w:val="both"/>
        <w:rPr>
          <w:sz w:val="24"/>
        </w:rPr>
      </w:pPr>
      <w:r w:rsidRPr="00493816">
        <w:rPr>
          <w:sz w:val="24"/>
        </w:rPr>
        <w:t xml:space="preserve">Upsurges of </w:t>
      </w:r>
      <w:r w:rsidR="00C41D83">
        <w:rPr>
          <w:sz w:val="24"/>
        </w:rPr>
        <w:t>violence in Gaza</w:t>
      </w:r>
      <w:r w:rsidRPr="00493816">
        <w:rPr>
          <w:sz w:val="24"/>
        </w:rPr>
        <w:t>, continually challenge UNWRA. In response, new services that deal specifically with the consequence of protracted violence and insecurity have been established. These include mental health care, physiotherapy and rehabilitation. UNRWA also provides counselli</w:t>
      </w:r>
      <w:r w:rsidR="00C41D83">
        <w:rPr>
          <w:sz w:val="24"/>
        </w:rPr>
        <w:t>ng and referral services for</w:t>
      </w:r>
      <w:r w:rsidRPr="00493816">
        <w:rPr>
          <w:sz w:val="24"/>
        </w:rPr>
        <w:t xml:space="preserve"> victims of gender-based violence.</w:t>
      </w:r>
    </w:p>
    <w:p w:rsidR="00917E3A" w:rsidRDefault="00917E3A" w:rsidP="000F626F">
      <w:pPr>
        <w:jc w:val="both"/>
        <w:rPr>
          <w:i/>
          <w:sz w:val="24"/>
        </w:rPr>
      </w:pPr>
    </w:p>
    <w:p w:rsidR="00917E3A" w:rsidRDefault="00704336" w:rsidP="000F626F">
      <w:pPr>
        <w:jc w:val="both"/>
        <w:rPr>
          <w:i/>
          <w:sz w:val="24"/>
        </w:rPr>
      </w:pPr>
      <w:r w:rsidRPr="000F626F">
        <w:rPr>
          <w:i/>
          <w:sz w:val="24"/>
        </w:rPr>
        <w:t>Relief services</w:t>
      </w:r>
    </w:p>
    <w:p w:rsidR="00704336" w:rsidRPr="00917E3A" w:rsidRDefault="00704336" w:rsidP="000F626F">
      <w:pPr>
        <w:jc w:val="both"/>
        <w:rPr>
          <w:i/>
          <w:sz w:val="24"/>
        </w:rPr>
      </w:pPr>
      <w:r w:rsidRPr="000F626F">
        <w:rPr>
          <w:sz w:val="24"/>
        </w:rPr>
        <w:t xml:space="preserve">UNRWA’s relief services </w:t>
      </w:r>
      <w:r w:rsidR="004D31E3">
        <w:rPr>
          <w:sz w:val="24"/>
        </w:rPr>
        <w:t xml:space="preserve">program </w:t>
      </w:r>
      <w:r w:rsidRPr="000F626F">
        <w:rPr>
          <w:sz w:val="24"/>
        </w:rPr>
        <w:t>provide</w:t>
      </w:r>
      <w:r w:rsidR="00C41D83">
        <w:rPr>
          <w:sz w:val="24"/>
        </w:rPr>
        <w:t>s</w:t>
      </w:r>
      <w:r w:rsidRPr="000F626F">
        <w:rPr>
          <w:sz w:val="24"/>
        </w:rPr>
        <w:t xml:space="preserve"> social safety-net assistance </w:t>
      </w:r>
      <w:r w:rsidR="004D31E3">
        <w:rPr>
          <w:sz w:val="24"/>
        </w:rPr>
        <w:t>such as</w:t>
      </w:r>
      <w:r w:rsidRPr="000F626F">
        <w:rPr>
          <w:sz w:val="24"/>
        </w:rPr>
        <w:t xml:space="preserve"> basic food support, cash subsidies and additional family income supplement (FIS) to the most vulnerable Palestine refugees. Over the years, the relief services program has had to overcome numerous obstacles, but its recent achievements include:</w:t>
      </w:r>
    </w:p>
    <w:p w:rsidR="000F626F" w:rsidRPr="00493816" w:rsidRDefault="000F626F" w:rsidP="000F626F">
      <w:pPr>
        <w:jc w:val="both"/>
        <w:rPr>
          <w:sz w:val="24"/>
        </w:rPr>
      </w:pPr>
    </w:p>
    <w:p w:rsidR="00704336" w:rsidRPr="00493816" w:rsidRDefault="00704336" w:rsidP="000F4DF9">
      <w:pPr>
        <w:numPr>
          <w:ilvl w:val="0"/>
          <w:numId w:val="48"/>
        </w:numPr>
        <w:ind w:left="714" w:hanging="357"/>
        <w:rPr>
          <w:sz w:val="24"/>
        </w:rPr>
      </w:pPr>
      <w:r w:rsidRPr="00493816">
        <w:rPr>
          <w:sz w:val="24"/>
        </w:rPr>
        <w:t>Providing quarterly food and cash subsidies for almost 275,000</w:t>
      </w:r>
      <w:r w:rsidR="004D31E3">
        <w:rPr>
          <w:sz w:val="24"/>
        </w:rPr>
        <w:t xml:space="preserve"> disadvantaged refugees in 2010</w:t>
      </w:r>
    </w:p>
    <w:p w:rsidR="00704336" w:rsidRPr="00493816" w:rsidRDefault="00704336" w:rsidP="000F4DF9">
      <w:pPr>
        <w:numPr>
          <w:ilvl w:val="0"/>
          <w:numId w:val="48"/>
        </w:numPr>
        <w:ind w:left="714" w:hanging="357"/>
        <w:rPr>
          <w:sz w:val="24"/>
        </w:rPr>
      </w:pPr>
      <w:r w:rsidRPr="00493816">
        <w:rPr>
          <w:sz w:val="24"/>
        </w:rPr>
        <w:t>More than 58,100 women refugees benefit each year from the agency’s work strengthening their role and</w:t>
      </w:r>
      <w:r w:rsidR="004D31E3">
        <w:rPr>
          <w:sz w:val="24"/>
        </w:rPr>
        <w:t xml:space="preserve"> participation in the community</w:t>
      </w:r>
    </w:p>
    <w:p w:rsidR="00704336" w:rsidRPr="00493816" w:rsidRDefault="00704336" w:rsidP="000F4DF9">
      <w:pPr>
        <w:numPr>
          <w:ilvl w:val="0"/>
          <w:numId w:val="48"/>
        </w:numPr>
        <w:ind w:left="714" w:hanging="357"/>
        <w:rPr>
          <w:sz w:val="24"/>
        </w:rPr>
      </w:pPr>
      <w:r w:rsidRPr="00493816">
        <w:rPr>
          <w:sz w:val="24"/>
        </w:rPr>
        <w:t>Helping more than 20,000 refugees with disabilities to receive direct rehabilitation services each year, with more than 80,0</w:t>
      </w:r>
      <w:r w:rsidR="004D31E3">
        <w:rPr>
          <w:sz w:val="24"/>
        </w:rPr>
        <w:t>00 services provided</w:t>
      </w:r>
    </w:p>
    <w:p w:rsidR="00704336" w:rsidRPr="00493816" w:rsidRDefault="00704336" w:rsidP="000F4DF9">
      <w:pPr>
        <w:numPr>
          <w:ilvl w:val="0"/>
          <w:numId w:val="48"/>
        </w:numPr>
        <w:ind w:left="714" w:hanging="357"/>
        <w:rPr>
          <w:sz w:val="24"/>
        </w:rPr>
      </w:pPr>
      <w:r w:rsidRPr="00493816">
        <w:rPr>
          <w:sz w:val="24"/>
        </w:rPr>
        <w:t>Providing, through community-based organisations, education and recreation activities for more than 99,500 children and young people, consistent with the objectives of the Conven</w:t>
      </w:r>
      <w:r w:rsidR="004D31E3">
        <w:rPr>
          <w:sz w:val="24"/>
        </w:rPr>
        <w:t>tion on the Rights of the Child</w:t>
      </w:r>
    </w:p>
    <w:p w:rsidR="004D31E3" w:rsidRDefault="00704336" w:rsidP="000F4DF9">
      <w:pPr>
        <w:numPr>
          <w:ilvl w:val="0"/>
          <w:numId w:val="48"/>
        </w:numPr>
        <w:ind w:left="714" w:hanging="357"/>
        <w:rPr>
          <w:sz w:val="24"/>
        </w:rPr>
      </w:pPr>
      <w:r w:rsidRPr="004D31E3">
        <w:rPr>
          <w:sz w:val="24"/>
        </w:rPr>
        <w:t>Providing US$1.4 million in loans to help more than 8000 vulnerable refugees build their household assets. More than 70 per c</w:t>
      </w:r>
      <w:r w:rsidR="004D31E3">
        <w:rPr>
          <w:sz w:val="24"/>
        </w:rPr>
        <w:t>ent of beneficiaries are women</w:t>
      </w:r>
    </w:p>
    <w:p w:rsidR="00704336" w:rsidRPr="004D31E3" w:rsidRDefault="00704336" w:rsidP="000F4DF9">
      <w:pPr>
        <w:numPr>
          <w:ilvl w:val="0"/>
          <w:numId w:val="48"/>
        </w:numPr>
        <w:ind w:left="714" w:hanging="357"/>
        <w:rPr>
          <w:sz w:val="24"/>
        </w:rPr>
      </w:pPr>
      <w:r w:rsidRPr="004D31E3">
        <w:rPr>
          <w:sz w:val="24"/>
        </w:rPr>
        <w:t>Rolling out a new, multi-million dollar, web-based refugee registration information system (R</w:t>
      </w:r>
      <w:r w:rsidR="004D31E3" w:rsidRPr="004D31E3">
        <w:rPr>
          <w:sz w:val="24"/>
        </w:rPr>
        <w:t>RIS).</w:t>
      </w:r>
    </w:p>
    <w:p w:rsidR="000F626F" w:rsidRPr="00493816" w:rsidRDefault="000F626F" w:rsidP="000F626F">
      <w:pPr>
        <w:ind w:left="714"/>
        <w:rPr>
          <w:sz w:val="24"/>
        </w:rPr>
      </w:pPr>
    </w:p>
    <w:p w:rsidR="00704336" w:rsidRDefault="00704336" w:rsidP="000F626F">
      <w:pPr>
        <w:jc w:val="both"/>
        <w:rPr>
          <w:sz w:val="24"/>
        </w:rPr>
      </w:pPr>
      <w:r w:rsidRPr="00493816">
        <w:rPr>
          <w:sz w:val="24"/>
        </w:rPr>
        <w:t xml:space="preserve">AusAID’s decision to provide ‘unearmarked’ funds reflects Australia’s </w:t>
      </w:r>
      <w:r w:rsidR="004D31E3">
        <w:rPr>
          <w:sz w:val="24"/>
        </w:rPr>
        <w:t>view</w:t>
      </w:r>
      <w:r w:rsidRPr="00493816">
        <w:rPr>
          <w:sz w:val="24"/>
        </w:rPr>
        <w:t xml:space="preserve"> that UNRWA has the capacity to deliver effective, targeted humanitarian assistance. Under the </w:t>
      </w:r>
      <w:r w:rsidR="00B32D32">
        <w:rPr>
          <w:sz w:val="24"/>
        </w:rPr>
        <w:t xml:space="preserve">2011 </w:t>
      </w:r>
      <w:r w:rsidRPr="00493816">
        <w:rPr>
          <w:sz w:val="24"/>
        </w:rPr>
        <w:t xml:space="preserve">Australian Multilateral Assessment (AMA), UNRWA was ranked among the 16 organisations assessed to have strong or very strong performance in at least four </w:t>
      </w:r>
      <w:r w:rsidR="004D31E3">
        <w:rPr>
          <w:sz w:val="24"/>
        </w:rPr>
        <w:t>areas</w:t>
      </w:r>
      <w:r w:rsidRPr="00493816">
        <w:rPr>
          <w:sz w:val="24"/>
        </w:rPr>
        <w:t xml:space="preserve"> of the assessment criteria.</w:t>
      </w:r>
      <w:r w:rsidR="00B32D32">
        <w:rPr>
          <w:sz w:val="24"/>
        </w:rPr>
        <w:t xml:space="preserve"> Australia consider</w:t>
      </w:r>
      <w:r w:rsidR="00700FA7">
        <w:rPr>
          <w:sz w:val="24"/>
        </w:rPr>
        <w:t>s</w:t>
      </w:r>
      <w:r w:rsidR="00B32D32">
        <w:rPr>
          <w:sz w:val="24"/>
        </w:rPr>
        <w:t xml:space="preserve"> that </w:t>
      </w:r>
      <w:r w:rsidRPr="00493816">
        <w:rPr>
          <w:sz w:val="24"/>
        </w:rPr>
        <w:t>UNRWA is an appropriate core Palestinian Territories de</w:t>
      </w:r>
      <w:r w:rsidR="004D31E3">
        <w:rPr>
          <w:sz w:val="24"/>
        </w:rPr>
        <w:t>velopment partner because it</w:t>
      </w:r>
      <w:r w:rsidRPr="00493816">
        <w:rPr>
          <w:sz w:val="24"/>
        </w:rPr>
        <w:t>:</w:t>
      </w:r>
    </w:p>
    <w:p w:rsidR="000F626F" w:rsidRPr="00493816" w:rsidRDefault="000F626F" w:rsidP="000F626F">
      <w:pPr>
        <w:jc w:val="both"/>
        <w:rPr>
          <w:sz w:val="24"/>
        </w:rPr>
      </w:pPr>
    </w:p>
    <w:p w:rsidR="00704336" w:rsidRPr="00493816" w:rsidRDefault="00704336" w:rsidP="000F4DF9">
      <w:pPr>
        <w:numPr>
          <w:ilvl w:val="0"/>
          <w:numId w:val="48"/>
        </w:numPr>
        <w:ind w:left="714" w:hanging="357"/>
        <w:rPr>
          <w:sz w:val="24"/>
        </w:rPr>
      </w:pPr>
      <w:r w:rsidRPr="00493816">
        <w:rPr>
          <w:sz w:val="24"/>
        </w:rPr>
        <w:t>deliver</w:t>
      </w:r>
      <w:r w:rsidR="004D31E3">
        <w:rPr>
          <w:sz w:val="24"/>
        </w:rPr>
        <w:t>s</w:t>
      </w:r>
      <w:r w:rsidRPr="00493816">
        <w:rPr>
          <w:sz w:val="24"/>
        </w:rPr>
        <w:t xml:space="preserve"> results consistent with its mandate</w:t>
      </w:r>
    </w:p>
    <w:p w:rsidR="00704336" w:rsidRPr="00493816" w:rsidRDefault="00704336" w:rsidP="000F4DF9">
      <w:pPr>
        <w:numPr>
          <w:ilvl w:val="0"/>
          <w:numId w:val="48"/>
        </w:numPr>
        <w:ind w:left="714" w:hanging="357"/>
        <w:rPr>
          <w:sz w:val="24"/>
        </w:rPr>
      </w:pPr>
      <w:r w:rsidRPr="00493816">
        <w:rPr>
          <w:sz w:val="24"/>
        </w:rPr>
        <w:t>aligns  with Australia’s aid priorities and national interest in the delivery of its humanitarian programs</w:t>
      </w:r>
    </w:p>
    <w:p w:rsidR="00704336" w:rsidRPr="00493816" w:rsidRDefault="00704336" w:rsidP="000F4DF9">
      <w:pPr>
        <w:numPr>
          <w:ilvl w:val="0"/>
          <w:numId w:val="48"/>
        </w:numPr>
        <w:ind w:left="714" w:hanging="357"/>
        <w:rPr>
          <w:sz w:val="24"/>
        </w:rPr>
      </w:pPr>
      <w:r w:rsidRPr="00493816">
        <w:rPr>
          <w:sz w:val="24"/>
        </w:rPr>
        <w:t>strategically plans the use of its resources</w:t>
      </w:r>
    </w:p>
    <w:p w:rsidR="00704336" w:rsidRPr="00493816" w:rsidRDefault="00704336" w:rsidP="000F4DF9">
      <w:pPr>
        <w:numPr>
          <w:ilvl w:val="0"/>
          <w:numId w:val="48"/>
        </w:numPr>
        <w:ind w:left="714" w:hanging="357"/>
        <w:rPr>
          <w:sz w:val="24"/>
        </w:rPr>
      </w:pPr>
      <w:r w:rsidRPr="00493816">
        <w:rPr>
          <w:sz w:val="24"/>
        </w:rPr>
        <w:t>effectively monitors and reports on its results and achievements</w:t>
      </w:r>
    </w:p>
    <w:p w:rsidR="00704336" w:rsidRPr="00493816" w:rsidRDefault="00700FA7" w:rsidP="000F4DF9">
      <w:pPr>
        <w:numPr>
          <w:ilvl w:val="0"/>
          <w:numId w:val="48"/>
        </w:numPr>
        <w:ind w:left="714" w:hanging="357"/>
        <w:rPr>
          <w:sz w:val="24"/>
        </w:rPr>
      </w:pPr>
      <w:r>
        <w:rPr>
          <w:sz w:val="24"/>
        </w:rPr>
        <w:t>provide</w:t>
      </w:r>
      <w:r w:rsidR="004D31E3">
        <w:rPr>
          <w:sz w:val="24"/>
        </w:rPr>
        <w:t>s</w:t>
      </w:r>
      <w:r w:rsidR="00704336" w:rsidRPr="00493816">
        <w:rPr>
          <w:sz w:val="24"/>
        </w:rPr>
        <w:t xml:space="preserve"> value for money and transparency in its use of Australian funding.</w:t>
      </w:r>
    </w:p>
    <w:p w:rsidR="000F626F" w:rsidRDefault="000F626F" w:rsidP="000F626F">
      <w:pPr>
        <w:jc w:val="both"/>
        <w:rPr>
          <w:sz w:val="24"/>
        </w:rPr>
      </w:pPr>
    </w:p>
    <w:p w:rsidR="00704336" w:rsidRDefault="00704336" w:rsidP="000F626F">
      <w:pPr>
        <w:jc w:val="both"/>
        <w:rPr>
          <w:sz w:val="24"/>
        </w:rPr>
      </w:pPr>
      <w:r w:rsidRPr="00493816">
        <w:rPr>
          <w:sz w:val="24"/>
        </w:rPr>
        <w:t>UNRWA has recently undertaken a significant reform process and the current strategic plan (2011–15) p</w:t>
      </w:r>
      <w:r w:rsidR="004D31E3">
        <w:rPr>
          <w:sz w:val="24"/>
        </w:rPr>
        <w:t>rovides a stronger results focus</w:t>
      </w:r>
      <w:r w:rsidRPr="00493816">
        <w:rPr>
          <w:sz w:val="24"/>
        </w:rPr>
        <w:t xml:space="preserve"> from activities</w:t>
      </w:r>
      <w:r w:rsidR="000F626F">
        <w:rPr>
          <w:sz w:val="24"/>
        </w:rPr>
        <w:t xml:space="preserve"> to the goal result statements.</w:t>
      </w:r>
    </w:p>
    <w:p w:rsidR="000F626F" w:rsidRPr="00493816" w:rsidRDefault="000F626F" w:rsidP="000F626F">
      <w:pPr>
        <w:jc w:val="both"/>
        <w:rPr>
          <w:sz w:val="24"/>
        </w:rPr>
      </w:pPr>
    </w:p>
    <w:p w:rsidR="000F4DF9" w:rsidRPr="004D31E3" w:rsidRDefault="000F4DF9" w:rsidP="000F4DF9">
      <w:pPr>
        <w:keepNext/>
        <w:spacing w:before="120" w:after="120"/>
        <w:outlineLvl w:val="3"/>
        <w:rPr>
          <w:color w:val="943634"/>
          <w:sz w:val="24"/>
        </w:rPr>
      </w:pPr>
      <w:r w:rsidRPr="004D31E3">
        <w:rPr>
          <w:color w:val="943634"/>
          <w:sz w:val="24"/>
        </w:rPr>
        <w:t>Australia Middle East NGO Partnership Agreement (AMENCA) program</w:t>
      </w:r>
    </w:p>
    <w:p w:rsidR="000F4DF9" w:rsidRDefault="000F4DF9" w:rsidP="000F626F">
      <w:pPr>
        <w:jc w:val="both"/>
        <w:rPr>
          <w:sz w:val="24"/>
        </w:rPr>
      </w:pPr>
      <w:r w:rsidRPr="00221E99">
        <w:rPr>
          <w:sz w:val="24"/>
        </w:rPr>
        <w:t xml:space="preserve">The restrictions </w:t>
      </w:r>
      <w:r w:rsidR="00A51264">
        <w:rPr>
          <w:sz w:val="24"/>
        </w:rPr>
        <w:t xml:space="preserve">on movement, contentious land ownership and security issues </w:t>
      </w:r>
      <w:r w:rsidRPr="00221E99">
        <w:rPr>
          <w:sz w:val="24"/>
        </w:rPr>
        <w:t>hamper effective local economies. Combined with the arid natural environment (particularly in Gaza) this means that obtaining secure food and livelihoods for every</w:t>
      </w:r>
      <w:r w:rsidR="00917E3A">
        <w:rPr>
          <w:sz w:val="24"/>
        </w:rPr>
        <w:t>day Palestinians is a constant</w:t>
      </w:r>
      <w:r w:rsidRPr="00221E99">
        <w:rPr>
          <w:sz w:val="24"/>
        </w:rPr>
        <w:t xml:space="preserve"> challenge. AusAID has established the </w:t>
      </w:r>
      <w:r w:rsidR="00917E3A" w:rsidRPr="00917E3A">
        <w:rPr>
          <w:sz w:val="24"/>
        </w:rPr>
        <w:t xml:space="preserve">Australia Middle East NGO Partnership Agreement </w:t>
      </w:r>
      <w:r w:rsidR="004D31E3">
        <w:rPr>
          <w:sz w:val="24"/>
        </w:rPr>
        <w:t>(AMENCA</w:t>
      </w:r>
      <w:r w:rsidRPr="00221E99">
        <w:rPr>
          <w:sz w:val="24"/>
        </w:rPr>
        <w:t xml:space="preserve">) program, to help </w:t>
      </w:r>
      <w:r w:rsidR="00917E3A">
        <w:rPr>
          <w:sz w:val="24"/>
        </w:rPr>
        <w:t>improve livelihoods of rural communities and reduce</w:t>
      </w:r>
      <w:r w:rsidRPr="00221E99">
        <w:rPr>
          <w:sz w:val="24"/>
        </w:rPr>
        <w:t xml:space="preserve"> </w:t>
      </w:r>
      <w:r w:rsidR="00700FA7">
        <w:rPr>
          <w:sz w:val="24"/>
        </w:rPr>
        <w:t xml:space="preserve">economic </w:t>
      </w:r>
      <w:r w:rsidRPr="00221E99">
        <w:rPr>
          <w:sz w:val="24"/>
        </w:rPr>
        <w:t>vulnerability.</w:t>
      </w:r>
    </w:p>
    <w:p w:rsidR="004D31E3" w:rsidRPr="004D31E3" w:rsidRDefault="004D31E3" w:rsidP="004D31E3">
      <w:pPr>
        <w:keepNext/>
        <w:spacing w:before="120" w:after="120"/>
        <w:outlineLvl w:val="3"/>
        <w:rPr>
          <w:color w:val="943634"/>
          <w:sz w:val="24"/>
        </w:rPr>
      </w:pPr>
      <w:r w:rsidRPr="004D31E3">
        <w:rPr>
          <w:color w:val="943634"/>
          <w:sz w:val="24"/>
        </w:rPr>
        <w:t>The Second Phase of AMENCA2 (2009-2014)</w:t>
      </w:r>
    </w:p>
    <w:p w:rsidR="003476F9" w:rsidRPr="00221E99" w:rsidRDefault="003476F9" w:rsidP="004D31E3">
      <w:pPr>
        <w:keepNext/>
        <w:spacing w:before="120" w:after="120"/>
        <w:outlineLvl w:val="3"/>
        <w:rPr>
          <w:sz w:val="24"/>
        </w:rPr>
      </w:pPr>
      <w:r w:rsidRPr="004D31E3">
        <w:rPr>
          <w:sz w:val="24"/>
        </w:rPr>
        <w:t xml:space="preserve">AMENCA2 contributes to </w:t>
      </w:r>
      <w:r w:rsidR="004D31E3">
        <w:rPr>
          <w:sz w:val="24"/>
        </w:rPr>
        <w:t xml:space="preserve">reducing </w:t>
      </w:r>
      <w:r w:rsidRPr="004D31E3">
        <w:rPr>
          <w:sz w:val="24"/>
        </w:rPr>
        <w:t>the</w:t>
      </w:r>
      <w:r w:rsidRPr="00221E99">
        <w:rPr>
          <w:sz w:val="24"/>
        </w:rPr>
        <w:t xml:space="preserve"> vulnerability of Palestinians (particularly women, children and youth) by improving livelihoods, access to basic services, and </w:t>
      </w:r>
      <w:r w:rsidR="00322F9B">
        <w:rPr>
          <w:sz w:val="24"/>
        </w:rPr>
        <w:t xml:space="preserve">building </w:t>
      </w:r>
      <w:r w:rsidRPr="00221E99">
        <w:rPr>
          <w:sz w:val="24"/>
        </w:rPr>
        <w:t>the capacity of Palestinian NGOs</w:t>
      </w:r>
      <w:r>
        <w:rPr>
          <w:sz w:val="24"/>
        </w:rPr>
        <w:t xml:space="preserve">. </w:t>
      </w:r>
      <w:r w:rsidRPr="003476F9">
        <w:rPr>
          <w:sz w:val="24"/>
        </w:rPr>
        <w:t>AMENCA</w:t>
      </w:r>
      <w:r w:rsidR="004D31E3">
        <w:rPr>
          <w:sz w:val="24"/>
        </w:rPr>
        <w:t>2</w:t>
      </w:r>
      <w:r w:rsidRPr="003476F9">
        <w:rPr>
          <w:sz w:val="24"/>
        </w:rPr>
        <w:t xml:space="preserve"> was designed as a vehicle for Australia’s </w:t>
      </w:r>
      <w:r w:rsidRPr="003476F9">
        <w:rPr>
          <w:sz w:val="24"/>
        </w:rPr>
        <w:lastRenderedPageBreak/>
        <w:t>contribution to Palestinian rural community development</w:t>
      </w:r>
      <w:r>
        <w:rPr>
          <w:sz w:val="24"/>
        </w:rPr>
        <w:t>.</w:t>
      </w:r>
      <w:r w:rsidR="00322F9B">
        <w:rPr>
          <w:sz w:val="24"/>
        </w:rPr>
        <w:t xml:space="preserve"> </w:t>
      </w:r>
      <w:r w:rsidR="00322F9B" w:rsidRPr="00322F9B">
        <w:rPr>
          <w:sz w:val="24"/>
        </w:rPr>
        <w:t>AMENCA</w:t>
      </w:r>
      <w:r w:rsidR="004D31E3">
        <w:rPr>
          <w:sz w:val="24"/>
        </w:rPr>
        <w:t>2</w:t>
      </w:r>
      <w:r w:rsidR="00322F9B" w:rsidRPr="00322F9B">
        <w:rPr>
          <w:sz w:val="24"/>
        </w:rPr>
        <w:t xml:space="preserve"> recognises the role of civil society organisations in supporting development and as key actors for social change. AMENCA</w:t>
      </w:r>
      <w:r w:rsidR="004D31E3">
        <w:rPr>
          <w:sz w:val="24"/>
        </w:rPr>
        <w:t>2</w:t>
      </w:r>
      <w:r w:rsidR="00322F9B" w:rsidRPr="00322F9B">
        <w:rPr>
          <w:sz w:val="24"/>
        </w:rPr>
        <w:t xml:space="preserve"> contributes to building a more equitable and viable society which helps support and strengthen the self-reliance of the most vulnerable Palestinian families.</w:t>
      </w:r>
    </w:p>
    <w:p w:rsidR="004D31E3" w:rsidRDefault="004D31E3" w:rsidP="000F626F">
      <w:pPr>
        <w:jc w:val="both"/>
        <w:rPr>
          <w:sz w:val="24"/>
        </w:rPr>
      </w:pPr>
    </w:p>
    <w:p w:rsidR="000F626F" w:rsidRDefault="00016C38" w:rsidP="000F626F">
      <w:pPr>
        <w:jc w:val="both"/>
        <w:rPr>
          <w:sz w:val="24"/>
        </w:rPr>
      </w:pPr>
      <w:r w:rsidRPr="00221E99">
        <w:rPr>
          <w:sz w:val="24"/>
        </w:rPr>
        <w:t>AMENCA2</w:t>
      </w:r>
      <w:r w:rsidR="004D31E3">
        <w:rPr>
          <w:sz w:val="24"/>
        </w:rPr>
        <w:t xml:space="preserve"> </w:t>
      </w:r>
      <w:r w:rsidR="00AA1C9D">
        <w:rPr>
          <w:sz w:val="24"/>
        </w:rPr>
        <w:t xml:space="preserve">has </w:t>
      </w:r>
      <w:r w:rsidRPr="00221E99">
        <w:rPr>
          <w:sz w:val="24"/>
        </w:rPr>
        <w:t xml:space="preserve">enabled marginalised Palestinian populations </w:t>
      </w:r>
      <w:r w:rsidR="00AA1C9D">
        <w:rPr>
          <w:sz w:val="24"/>
        </w:rPr>
        <w:t>in rural areas</w:t>
      </w:r>
      <w:r w:rsidR="00AA1C9D" w:rsidRPr="00AA1C9D">
        <w:rPr>
          <w:sz w:val="24"/>
        </w:rPr>
        <w:t xml:space="preserve"> to produce more food with less water by using irrigation and fertilizers</w:t>
      </w:r>
      <w:r w:rsidRPr="00221E99">
        <w:rPr>
          <w:sz w:val="24"/>
        </w:rPr>
        <w:t xml:space="preserve">, and for smaller numbers, </w:t>
      </w:r>
      <w:r w:rsidR="00AA1C9D">
        <w:rPr>
          <w:sz w:val="24"/>
        </w:rPr>
        <w:t>home gardens</w:t>
      </w:r>
      <w:r w:rsidRPr="00221E99">
        <w:rPr>
          <w:sz w:val="24"/>
        </w:rPr>
        <w:t xml:space="preserve"> </w:t>
      </w:r>
      <w:r w:rsidR="00AA1C9D">
        <w:rPr>
          <w:sz w:val="24"/>
        </w:rPr>
        <w:t>have</w:t>
      </w:r>
      <w:r w:rsidRPr="00221E99">
        <w:rPr>
          <w:sz w:val="24"/>
        </w:rPr>
        <w:t xml:space="preserve"> increased incomes</w:t>
      </w:r>
      <w:r w:rsidR="00AA1C9D">
        <w:rPr>
          <w:sz w:val="24"/>
        </w:rPr>
        <w:t>. However, rural communities, both</w:t>
      </w:r>
      <w:r w:rsidRPr="00221E99">
        <w:rPr>
          <w:sz w:val="24"/>
        </w:rPr>
        <w:t xml:space="preserve"> in Gaza and the West Bank </w:t>
      </w:r>
      <w:r w:rsidR="00A146FF">
        <w:rPr>
          <w:sz w:val="24"/>
        </w:rPr>
        <w:t xml:space="preserve">are </w:t>
      </w:r>
      <w:r w:rsidR="00322F9B">
        <w:rPr>
          <w:sz w:val="24"/>
        </w:rPr>
        <w:t>still</w:t>
      </w:r>
      <w:r w:rsidR="00A146FF">
        <w:rPr>
          <w:sz w:val="24"/>
        </w:rPr>
        <w:t xml:space="preserve"> in the main</w:t>
      </w:r>
      <w:r w:rsidRPr="00221E99">
        <w:rPr>
          <w:sz w:val="24"/>
        </w:rPr>
        <w:t xml:space="preserve"> fragme</w:t>
      </w:r>
      <w:r w:rsidR="004D31E3">
        <w:rPr>
          <w:sz w:val="24"/>
        </w:rPr>
        <w:t>nted and marginalised.  T</w:t>
      </w:r>
      <w:r w:rsidRPr="00221E99">
        <w:rPr>
          <w:sz w:val="24"/>
        </w:rPr>
        <w:t xml:space="preserve">he </w:t>
      </w:r>
      <w:r w:rsidR="00C10DE7">
        <w:rPr>
          <w:sz w:val="24"/>
        </w:rPr>
        <w:t>major constraints to results continue to be</w:t>
      </w:r>
      <w:r w:rsidRPr="00221E99">
        <w:rPr>
          <w:sz w:val="24"/>
        </w:rPr>
        <w:t xml:space="preserve"> </w:t>
      </w:r>
      <w:r w:rsidR="00A146FF">
        <w:rPr>
          <w:sz w:val="24"/>
        </w:rPr>
        <w:t xml:space="preserve">of a </w:t>
      </w:r>
      <w:r w:rsidRPr="00221E99">
        <w:rPr>
          <w:sz w:val="24"/>
        </w:rPr>
        <w:t>political</w:t>
      </w:r>
      <w:r w:rsidR="00A146FF">
        <w:rPr>
          <w:sz w:val="24"/>
        </w:rPr>
        <w:t xml:space="preserve"> nature</w:t>
      </w:r>
      <w:r w:rsidRPr="00221E99">
        <w:rPr>
          <w:sz w:val="24"/>
        </w:rPr>
        <w:t xml:space="preserve">, and </w:t>
      </w:r>
      <w:r w:rsidR="00322F9B">
        <w:rPr>
          <w:sz w:val="24"/>
        </w:rPr>
        <w:t>are</w:t>
      </w:r>
      <w:r w:rsidRPr="00221E99">
        <w:rPr>
          <w:sz w:val="24"/>
        </w:rPr>
        <w:t xml:space="preserve"> outside the scope of the </w:t>
      </w:r>
      <w:r w:rsidR="00C10DE7">
        <w:rPr>
          <w:sz w:val="24"/>
        </w:rPr>
        <w:t>AMENCA activities</w:t>
      </w:r>
      <w:r w:rsidRPr="00221E99">
        <w:rPr>
          <w:sz w:val="24"/>
        </w:rPr>
        <w:t xml:space="preserve"> to resolve effectively.</w:t>
      </w:r>
      <w:r w:rsidR="003476F9">
        <w:rPr>
          <w:sz w:val="24"/>
        </w:rPr>
        <w:t xml:space="preserve"> </w:t>
      </w:r>
    </w:p>
    <w:p w:rsidR="00322F9B" w:rsidRDefault="00322F9B" w:rsidP="000F626F">
      <w:pPr>
        <w:jc w:val="both"/>
        <w:rPr>
          <w:sz w:val="24"/>
        </w:rPr>
      </w:pPr>
    </w:p>
    <w:p w:rsidR="000F4DF9" w:rsidRPr="00221E99" w:rsidRDefault="000F4DF9" w:rsidP="000F626F">
      <w:pPr>
        <w:jc w:val="both"/>
        <w:rPr>
          <w:sz w:val="24"/>
        </w:rPr>
      </w:pPr>
      <w:r w:rsidRPr="00221E99">
        <w:rPr>
          <w:sz w:val="24"/>
        </w:rPr>
        <w:t xml:space="preserve">By the end of 2011, </w:t>
      </w:r>
      <w:r w:rsidR="00A146FF">
        <w:rPr>
          <w:sz w:val="24"/>
        </w:rPr>
        <w:t>the four Australian NGO’s in the AMENCA agreement, in collaboration with their local partners, delivered the following results</w:t>
      </w:r>
      <w:r w:rsidRPr="00221E99">
        <w:rPr>
          <w:sz w:val="24"/>
        </w:rPr>
        <w:t>:</w:t>
      </w:r>
    </w:p>
    <w:p w:rsidR="000F4DF9" w:rsidRPr="00221E99" w:rsidRDefault="00C10DE7" w:rsidP="000F4DF9">
      <w:pPr>
        <w:numPr>
          <w:ilvl w:val="0"/>
          <w:numId w:val="44"/>
        </w:numPr>
        <w:tabs>
          <w:tab w:val="left" w:pos="709"/>
        </w:tabs>
        <w:spacing w:before="120" w:after="120"/>
        <w:rPr>
          <w:sz w:val="24"/>
        </w:rPr>
      </w:pPr>
      <w:r>
        <w:rPr>
          <w:sz w:val="24"/>
        </w:rPr>
        <w:t xml:space="preserve">APHEDA </w:t>
      </w:r>
      <w:r w:rsidR="0011430A">
        <w:rPr>
          <w:sz w:val="24"/>
        </w:rPr>
        <w:t xml:space="preserve">(through </w:t>
      </w:r>
      <w:r w:rsidR="000F4DF9" w:rsidRPr="00221E99">
        <w:rPr>
          <w:sz w:val="24"/>
        </w:rPr>
        <w:t>Ma’an Development Centre</w:t>
      </w:r>
      <w:r>
        <w:rPr>
          <w:sz w:val="24"/>
        </w:rPr>
        <w:t>)</w:t>
      </w:r>
      <w:r w:rsidR="000F4DF9" w:rsidRPr="00221E99">
        <w:rPr>
          <w:sz w:val="24"/>
        </w:rPr>
        <w:t xml:space="preserve"> </w:t>
      </w:r>
      <w:r w:rsidR="00322F9B">
        <w:rPr>
          <w:sz w:val="24"/>
        </w:rPr>
        <w:t xml:space="preserve">increased income for </w:t>
      </w:r>
      <w:r w:rsidR="000F4DF9" w:rsidRPr="00221E99">
        <w:rPr>
          <w:sz w:val="24"/>
        </w:rPr>
        <w:t xml:space="preserve">6,088 households (supporting over 36,000 people) </w:t>
      </w:r>
      <w:r w:rsidR="00322F9B">
        <w:rPr>
          <w:sz w:val="24"/>
        </w:rPr>
        <w:t>at</w:t>
      </w:r>
      <w:r w:rsidR="000F4DF9" w:rsidRPr="00221E99">
        <w:rPr>
          <w:sz w:val="24"/>
        </w:rPr>
        <w:t xml:space="preserve"> an average of 26.5% since 2009.</w:t>
      </w:r>
    </w:p>
    <w:p w:rsidR="000F4DF9" w:rsidRPr="00221E99" w:rsidRDefault="00C10DE7" w:rsidP="000F4DF9">
      <w:pPr>
        <w:numPr>
          <w:ilvl w:val="0"/>
          <w:numId w:val="44"/>
        </w:numPr>
        <w:tabs>
          <w:tab w:val="left" w:pos="709"/>
        </w:tabs>
        <w:spacing w:before="120" w:after="120"/>
        <w:rPr>
          <w:sz w:val="24"/>
        </w:rPr>
      </w:pPr>
      <w:r>
        <w:rPr>
          <w:sz w:val="24"/>
        </w:rPr>
        <w:t xml:space="preserve">ActionAid </w:t>
      </w:r>
      <w:r w:rsidR="0011430A">
        <w:rPr>
          <w:sz w:val="24"/>
        </w:rPr>
        <w:t>(</w:t>
      </w:r>
      <w:r>
        <w:rPr>
          <w:sz w:val="24"/>
        </w:rPr>
        <w:t>through</w:t>
      </w:r>
      <w:r w:rsidR="000F4DF9" w:rsidRPr="00221E99">
        <w:rPr>
          <w:sz w:val="24"/>
        </w:rPr>
        <w:t xml:space="preserve"> Asala</w:t>
      </w:r>
      <w:r>
        <w:rPr>
          <w:sz w:val="24"/>
        </w:rPr>
        <w:t>)</w:t>
      </w:r>
      <w:r w:rsidR="000F4DF9" w:rsidRPr="00221E99">
        <w:rPr>
          <w:sz w:val="24"/>
        </w:rPr>
        <w:t xml:space="preserve"> </w:t>
      </w:r>
      <w:r w:rsidR="00322F9B">
        <w:rPr>
          <w:sz w:val="24"/>
        </w:rPr>
        <w:t>increased income for</w:t>
      </w:r>
      <w:r w:rsidR="000F4DF9" w:rsidRPr="00221E99">
        <w:rPr>
          <w:sz w:val="24"/>
        </w:rPr>
        <w:t xml:space="preserve"> women by </w:t>
      </w:r>
      <w:r w:rsidR="00322F9B">
        <w:rPr>
          <w:sz w:val="24"/>
        </w:rPr>
        <w:t>(</w:t>
      </w:r>
      <w:r w:rsidR="000F4DF9" w:rsidRPr="00221E99">
        <w:rPr>
          <w:sz w:val="24"/>
        </w:rPr>
        <w:t>36.8%</w:t>
      </w:r>
      <w:r w:rsidR="00322F9B">
        <w:rPr>
          <w:sz w:val="24"/>
        </w:rPr>
        <w:t>)</w:t>
      </w:r>
      <w:r w:rsidR="000F4DF9" w:rsidRPr="00221E99">
        <w:rPr>
          <w:sz w:val="24"/>
        </w:rPr>
        <w:t xml:space="preserve"> through home gardens, income generating activities including animal husbandry.</w:t>
      </w:r>
    </w:p>
    <w:p w:rsidR="000F4DF9" w:rsidRPr="00221E99" w:rsidRDefault="00C10DE7" w:rsidP="000F4DF9">
      <w:pPr>
        <w:numPr>
          <w:ilvl w:val="0"/>
          <w:numId w:val="44"/>
        </w:numPr>
        <w:tabs>
          <w:tab w:val="left" w:pos="709"/>
        </w:tabs>
        <w:spacing w:before="120" w:after="120"/>
        <w:rPr>
          <w:sz w:val="24"/>
        </w:rPr>
      </w:pPr>
      <w:r>
        <w:rPr>
          <w:sz w:val="24"/>
        </w:rPr>
        <w:t>Care Australia</w:t>
      </w:r>
      <w:r w:rsidR="00BA2687">
        <w:rPr>
          <w:sz w:val="24"/>
        </w:rPr>
        <w:t xml:space="preserve"> </w:t>
      </w:r>
      <w:r w:rsidR="00140B6E">
        <w:rPr>
          <w:sz w:val="24"/>
        </w:rPr>
        <w:t>(</w:t>
      </w:r>
      <w:r w:rsidR="00BA2687" w:rsidRPr="00BA2687">
        <w:rPr>
          <w:sz w:val="24"/>
        </w:rPr>
        <w:t>through Economic and Social Development Council and Applied Res</w:t>
      </w:r>
      <w:r>
        <w:rPr>
          <w:sz w:val="24"/>
        </w:rPr>
        <w:t>earch Institute – Jerusalem</w:t>
      </w:r>
      <w:r w:rsidR="00BA2687" w:rsidRPr="00BA2687">
        <w:rPr>
          <w:sz w:val="24"/>
        </w:rPr>
        <w:t xml:space="preserve">) </w:t>
      </w:r>
      <w:r w:rsidR="000F4DF9" w:rsidRPr="00221E99">
        <w:rPr>
          <w:sz w:val="24"/>
        </w:rPr>
        <w:t>172 livelihoods servi</w:t>
      </w:r>
      <w:r w:rsidR="000F5B04">
        <w:rPr>
          <w:sz w:val="24"/>
        </w:rPr>
        <w:t xml:space="preserve">ces provided </w:t>
      </w:r>
      <w:r w:rsidR="000F4DF9" w:rsidRPr="00221E99">
        <w:rPr>
          <w:sz w:val="24"/>
        </w:rPr>
        <w:t xml:space="preserve"> to communities including a plant nursery benefiting 590 farmers, a seed bank supporting 954 farmers, a sheep farm supporting 143 breeders (in addition to greenhouses, water cisterns, extension services and irrigation networks)</w:t>
      </w:r>
    </w:p>
    <w:p w:rsidR="000F4DF9" w:rsidRPr="00221E99" w:rsidRDefault="000F4DF9" w:rsidP="000F4DF9">
      <w:pPr>
        <w:numPr>
          <w:ilvl w:val="0"/>
          <w:numId w:val="44"/>
        </w:numPr>
        <w:tabs>
          <w:tab w:val="left" w:pos="709"/>
        </w:tabs>
        <w:spacing w:before="120" w:after="120"/>
        <w:rPr>
          <w:sz w:val="24"/>
        </w:rPr>
      </w:pPr>
      <w:r w:rsidRPr="00221E99">
        <w:rPr>
          <w:sz w:val="24"/>
        </w:rPr>
        <w:t xml:space="preserve">World Vision </w:t>
      </w:r>
      <w:r w:rsidR="001464A3">
        <w:rPr>
          <w:sz w:val="24"/>
        </w:rPr>
        <w:t>(</w:t>
      </w:r>
      <w:r w:rsidR="00C10DE7">
        <w:rPr>
          <w:sz w:val="24"/>
        </w:rPr>
        <w:t>through</w:t>
      </w:r>
      <w:r w:rsidRPr="00221E99">
        <w:rPr>
          <w:sz w:val="24"/>
        </w:rPr>
        <w:t xml:space="preserve"> the Union of Agricultural Work Committees</w:t>
      </w:r>
      <w:r w:rsidR="00C10DE7">
        <w:rPr>
          <w:sz w:val="24"/>
        </w:rPr>
        <w:t>)</w:t>
      </w:r>
      <w:r w:rsidRPr="00221E99">
        <w:rPr>
          <w:sz w:val="24"/>
        </w:rPr>
        <w:t xml:space="preserve"> has helped community based organisations in rural areas to expand services to 75,000 people, including establishing seed banks, nurseries, sheep breeding programs to improve stock quality, marketing support, emergency and dental health services and computer training.</w:t>
      </w:r>
    </w:p>
    <w:p w:rsidR="00493816" w:rsidRDefault="000F4DF9" w:rsidP="00BA2687">
      <w:pPr>
        <w:tabs>
          <w:tab w:val="left" w:pos="709"/>
        </w:tabs>
        <w:spacing w:before="120" w:after="120"/>
        <w:ind w:left="360"/>
        <w:rPr>
          <w:sz w:val="24"/>
        </w:rPr>
      </w:pPr>
      <w:r w:rsidRPr="00221E99">
        <w:rPr>
          <w:sz w:val="24"/>
        </w:rPr>
        <w:t xml:space="preserve">Across </w:t>
      </w:r>
      <w:r w:rsidR="00C10DE7">
        <w:rPr>
          <w:sz w:val="24"/>
        </w:rPr>
        <w:t>AMENCA2</w:t>
      </w:r>
      <w:r w:rsidRPr="00221E99">
        <w:rPr>
          <w:sz w:val="24"/>
        </w:rPr>
        <w:t>, NGOs have reported strong increases in the proportion of women on community based organisation</w:t>
      </w:r>
      <w:r w:rsidR="00C10DE7">
        <w:rPr>
          <w:sz w:val="24"/>
        </w:rPr>
        <w:t xml:space="preserve"> boards, with increases from 14 percent to 39 percent</w:t>
      </w:r>
      <w:r w:rsidRPr="00221E99">
        <w:rPr>
          <w:sz w:val="24"/>
        </w:rPr>
        <w:t xml:space="preserve"> across the West Bank and Gaza.</w:t>
      </w:r>
    </w:p>
    <w:p w:rsidR="00C10DE7" w:rsidRPr="00C10DE7" w:rsidRDefault="00C10DE7" w:rsidP="00BA2687">
      <w:pPr>
        <w:tabs>
          <w:tab w:val="left" w:pos="709"/>
        </w:tabs>
        <w:spacing w:before="120" w:after="120"/>
        <w:ind w:left="360"/>
        <w:rPr>
          <w:color w:val="943634"/>
          <w:sz w:val="24"/>
        </w:rPr>
      </w:pPr>
      <w:r w:rsidRPr="00C10DE7">
        <w:rPr>
          <w:color w:val="943634"/>
          <w:sz w:val="24"/>
        </w:rPr>
        <w:t>UNICEF - WASH</w:t>
      </w:r>
    </w:p>
    <w:p w:rsidR="00AA1C9D" w:rsidRPr="000F626F" w:rsidRDefault="00457369" w:rsidP="00AA1C9D">
      <w:pPr>
        <w:tabs>
          <w:tab w:val="left" w:pos="709"/>
        </w:tabs>
        <w:spacing w:before="120" w:after="120"/>
        <w:ind w:left="360"/>
        <w:rPr>
          <w:sz w:val="24"/>
        </w:rPr>
      </w:pPr>
      <w:r w:rsidRPr="00655307">
        <w:rPr>
          <w:sz w:val="24"/>
        </w:rPr>
        <w:t xml:space="preserve">AusAID’s </w:t>
      </w:r>
      <w:r w:rsidR="00D23966">
        <w:rPr>
          <w:sz w:val="24"/>
        </w:rPr>
        <w:t>recent</w:t>
      </w:r>
      <w:r w:rsidR="00AD44DD">
        <w:rPr>
          <w:sz w:val="24"/>
        </w:rPr>
        <w:t>ly entered into</w:t>
      </w:r>
      <w:r w:rsidR="00D23966">
        <w:rPr>
          <w:sz w:val="24"/>
        </w:rPr>
        <w:t xml:space="preserve"> </w:t>
      </w:r>
      <w:r w:rsidR="00AD44DD">
        <w:rPr>
          <w:sz w:val="24"/>
        </w:rPr>
        <w:t>a</w:t>
      </w:r>
      <w:r w:rsidRPr="00655307">
        <w:rPr>
          <w:sz w:val="24"/>
        </w:rPr>
        <w:t>greement with UNICEF to expand the Palestinian WASH in schools project</w:t>
      </w:r>
      <w:r w:rsidR="006F2D01">
        <w:rPr>
          <w:sz w:val="24"/>
        </w:rPr>
        <w:t>. Although</w:t>
      </w:r>
      <w:r w:rsidR="00AD44DD">
        <w:rPr>
          <w:sz w:val="24"/>
        </w:rPr>
        <w:t xml:space="preserve"> is too early for results at the time of this APPR, the project is </w:t>
      </w:r>
      <w:r w:rsidR="00AD44DD" w:rsidRPr="00655307">
        <w:rPr>
          <w:sz w:val="24"/>
        </w:rPr>
        <w:t>expected</w:t>
      </w:r>
      <w:r w:rsidR="00D23966">
        <w:rPr>
          <w:sz w:val="24"/>
        </w:rPr>
        <w:t xml:space="preserve"> </w:t>
      </w:r>
      <w:r w:rsidR="00AD44DD">
        <w:rPr>
          <w:sz w:val="24"/>
        </w:rPr>
        <w:t>to</w:t>
      </w:r>
      <w:r w:rsidRPr="00655307">
        <w:rPr>
          <w:sz w:val="24"/>
        </w:rPr>
        <w:t xml:space="preserve"> </w:t>
      </w:r>
      <w:r w:rsidR="00AD44DD">
        <w:rPr>
          <w:sz w:val="24"/>
        </w:rPr>
        <w:t xml:space="preserve">deliver </w:t>
      </w:r>
      <w:r w:rsidR="00AD44DD" w:rsidRPr="00655307">
        <w:rPr>
          <w:sz w:val="24"/>
        </w:rPr>
        <w:t>improved</w:t>
      </w:r>
      <w:r w:rsidR="00AD44DD">
        <w:rPr>
          <w:sz w:val="24"/>
        </w:rPr>
        <w:t xml:space="preserve"> water and sanitation facilities</w:t>
      </w:r>
      <w:r w:rsidR="00C10DE7">
        <w:rPr>
          <w:sz w:val="24"/>
        </w:rPr>
        <w:t xml:space="preserve"> in </w:t>
      </w:r>
      <w:r w:rsidRPr="00655307">
        <w:rPr>
          <w:sz w:val="24"/>
        </w:rPr>
        <w:t xml:space="preserve">246 Palestinian schools that have been prioritised by Ministry of Education </w:t>
      </w:r>
      <w:r w:rsidR="00AD44DD">
        <w:rPr>
          <w:sz w:val="24"/>
        </w:rPr>
        <w:t>and Higher Education (MoEHE)</w:t>
      </w:r>
      <w:r w:rsidRPr="00655307">
        <w:rPr>
          <w:sz w:val="24"/>
        </w:rPr>
        <w:t>. This expansion has been aligned with national goals of both the MoEHE and national water authorities, and has been reflected in UNICEF’s Country Program Action Plan</w:t>
      </w:r>
      <w:r w:rsidR="00655307">
        <w:rPr>
          <w:sz w:val="24"/>
        </w:rPr>
        <w:t>.</w:t>
      </w:r>
    </w:p>
    <w:p w:rsidR="000F4DF9" w:rsidRDefault="000F4DF9" w:rsidP="00C616BF">
      <w:pPr>
        <w:pStyle w:val="Heading2"/>
      </w:pPr>
      <w:r w:rsidRPr="00C10DE7">
        <w:t>Objective 2</w:t>
      </w:r>
      <w:r w:rsidR="00493816" w:rsidRPr="00C10DE7">
        <w:t>:</w:t>
      </w:r>
      <w:r w:rsidRPr="00C10DE7">
        <w:t xml:space="preserve"> Supporting state-building and the peace process </w:t>
      </w:r>
    </w:p>
    <w:p w:rsidR="00C10DE7" w:rsidRPr="00C10DE7" w:rsidRDefault="00C10DE7" w:rsidP="000F4DF9">
      <w:pPr>
        <w:keepLines/>
        <w:spacing w:before="40" w:after="40" w:line="200" w:lineRule="atLeast"/>
        <w:jc w:val="both"/>
        <w:rPr>
          <w:rFonts w:ascii="Franklin Gothic Book" w:hAnsi="Franklin Gothic Book"/>
          <w:b/>
          <w:color w:val="943634"/>
          <w:sz w:val="24"/>
        </w:rPr>
      </w:pPr>
    </w:p>
    <w:p w:rsidR="00C10DE7" w:rsidRPr="00C10DE7" w:rsidRDefault="00C10DE7" w:rsidP="000F4DF9">
      <w:pPr>
        <w:keepLines/>
        <w:spacing w:before="40" w:after="40" w:line="200" w:lineRule="atLeast"/>
        <w:jc w:val="both"/>
        <w:rPr>
          <w:rFonts w:ascii="Franklin Gothic Book" w:hAnsi="Franklin Gothic Book"/>
          <w:color w:val="943634"/>
          <w:sz w:val="24"/>
        </w:rPr>
      </w:pPr>
      <w:r>
        <w:rPr>
          <w:rFonts w:ascii="Franklin Gothic Book" w:hAnsi="Franklin Gothic Book"/>
          <w:color w:val="943634"/>
          <w:sz w:val="24"/>
        </w:rPr>
        <w:t>W</w:t>
      </w:r>
      <w:r w:rsidRPr="00C10DE7">
        <w:rPr>
          <w:rFonts w:ascii="Franklin Gothic Book" w:hAnsi="Franklin Gothic Book"/>
          <w:color w:val="943634"/>
          <w:sz w:val="24"/>
        </w:rPr>
        <w:t>orld Bank Palestinian Reform and Development Plan –Trust Fund (PRDP-TF)</w:t>
      </w:r>
    </w:p>
    <w:p w:rsidR="00016C38" w:rsidRPr="00F50175" w:rsidRDefault="00016C38" w:rsidP="000F626F">
      <w:pPr>
        <w:jc w:val="both"/>
        <w:rPr>
          <w:sz w:val="24"/>
        </w:rPr>
      </w:pPr>
      <w:r w:rsidRPr="00221E99">
        <w:rPr>
          <w:sz w:val="24"/>
        </w:rPr>
        <w:t>Overall progress under the W</w:t>
      </w:r>
      <w:r w:rsidR="00D23966">
        <w:rPr>
          <w:sz w:val="24"/>
        </w:rPr>
        <w:t xml:space="preserve">orld </w:t>
      </w:r>
      <w:r w:rsidRPr="00221E99">
        <w:rPr>
          <w:sz w:val="24"/>
        </w:rPr>
        <w:t>B</w:t>
      </w:r>
      <w:r w:rsidR="00D23966">
        <w:rPr>
          <w:sz w:val="24"/>
        </w:rPr>
        <w:t xml:space="preserve">ank </w:t>
      </w:r>
      <w:r w:rsidRPr="00221E99">
        <w:rPr>
          <w:sz w:val="24"/>
        </w:rPr>
        <w:t>P</w:t>
      </w:r>
      <w:r w:rsidR="00D23966">
        <w:rPr>
          <w:sz w:val="24"/>
        </w:rPr>
        <w:t xml:space="preserve">alestinian </w:t>
      </w:r>
      <w:r w:rsidRPr="00221E99">
        <w:rPr>
          <w:sz w:val="24"/>
        </w:rPr>
        <w:t>R</w:t>
      </w:r>
      <w:r w:rsidR="00D23966">
        <w:rPr>
          <w:sz w:val="24"/>
        </w:rPr>
        <w:t xml:space="preserve">eform and </w:t>
      </w:r>
      <w:r w:rsidRPr="00221E99">
        <w:rPr>
          <w:sz w:val="24"/>
        </w:rPr>
        <w:t>D</w:t>
      </w:r>
      <w:r w:rsidR="00D23966">
        <w:rPr>
          <w:sz w:val="24"/>
        </w:rPr>
        <w:t xml:space="preserve">evelopment </w:t>
      </w:r>
      <w:r w:rsidRPr="00221E99">
        <w:rPr>
          <w:sz w:val="24"/>
        </w:rPr>
        <w:t>P</w:t>
      </w:r>
      <w:r w:rsidR="00D23966">
        <w:rPr>
          <w:sz w:val="24"/>
        </w:rPr>
        <w:t>lan –</w:t>
      </w:r>
      <w:r w:rsidRPr="00221E99">
        <w:rPr>
          <w:sz w:val="24"/>
        </w:rPr>
        <w:t>T</w:t>
      </w:r>
      <w:r w:rsidR="00D23966">
        <w:rPr>
          <w:sz w:val="24"/>
        </w:rPr>
        <w:t xml:space="preserve">rust </w:t>
      </w:r>
      <w:r w:rsidRPr="00221E99">
        <w:rPr>
          <w:sz w:val="24"/>
        </w:rPr>
        <w:t>F</w:t>
      </w:r>
      <w:r w:rsidR="00D23966">
        <w:rPr>
          <w:sz w:val="24"/>
        </w:rPr>
        <w:t>und (PRDP-TF)</w:t>
      </w:r>
      <w:r w:rsidRPr="00221E99">
        <w:rPr>
          <w:sz w:val="24"/>
        </w:rPr>
        <w:t xml:space="preserve"> and PA programs in establishing an independent state and promoting the peace process is broadly unsatisfactory, because of factors outside the control of the program. Nevertheless, wit</w:t>
      </w:r>
      <w:r w:rsidR="00C10DE7">
        <w:rPr>
          <w:sz w:val="24"/>
        </w:rPr>
        <w:t xml:space="preserve">h the assistance of </w:t>
      </w:r>
      <w:r w:rsidRPr="00221E99">
        <w:rPr>
          <w:sz w:val="24"/>
        </w:rPr>
        <w:t xml:space="preserve">international donors, the PA has improved its financial </w:t>
      </w:r>
      <w:r w:rsidRPr="00221E99">
        <w:rPr>
          <w:sz w:val="24"/>
        </w:rPr>
        <w:lastRenderedPageBreak/>
        <w:t xml:space="preserve">position substantially, and Australia’s support for the PA is steadily building the potential </w:t>
      </w:r>
      <w:r w:rsidR="00C10DE7">
        <w:rPr>
          <w:sz w:val="24"/>
        </w:rPr>
        <w:t xml:space="preserve">of </w:t>
      </w:r>
      <w:r w:rsidRPr="00221E99">
        <w:rPr>
          <w:sz w:val="24"/>
        </w:rPr>
        <w:t xml:space="preserve">institutions for statehood, should there be more progress </w:t>
      </w:r>
      <w:r w:rsidR="00C10DE7">
        <w:rPr>
          <w:sz w:val="24"/>
        </w:rPr>
        <w:t>to the Middle East Peace Process</w:t>
      </w:r>
      <w:r w:rsidRPr="00221E99">
        <w:rPr>
          <w:sz w:val="24"/>
        </w:rPr>
        <w:t xml:space="preserve">. The PA’s improved economic performance can be in part attributed to policy dialogue with the WB and IMF which Australian funding helps to facilitate. </w:t>
      </w:r>
      <w:r w:rsidR="0064204E">
        <w:rPr>
          <w:sz w:val="24"/>
        </w:rPr>
        <w:t>By working through trusted partners such as the WB AusAID considers that the PRDP Trust-</w:t>
      </w:r>
      <w:r w:rsidRPr="00221E99">
        <w:rPr>
          <w:sz w:val="24"/>
        </w:rPr>
        <w:t xml:space="preserve">Fund represents an acceptable level of fiduciary risk. </w:t>
      </w:r>
    </w:p>
    <w:p w:rsidR="000F626F" w:rsidRDefault="000F626F" w:rsidP="000F626F">
      <w:pPr>
        <w:jc w:val="both"/>
        <w:rPr>
          <w:sz w:val="24"/>
        </w:rPr>
      </w:pPr>
    </w:p>
    <w:p w:rsidR="006254B2" w:rsidRDefault="006254B2" w:rsidP="000F626F">
      <w:pPr>
        <w:jc w:val="both"/>
        <w:rPr>
          <w:sz w:val="24"/>
        </w:rPr>
      </w:pPr>
    </w:p>
    <w:p w:rsidR="00704336" w:rsidRPr="000F626F" w:rsidRDefault="00704336" w:rsidP="000F626F">
      <w:pPr>
        <w:jc w:val="both"/>
        <w:rPr>
          <w:i/>
          <w:sz w:val="24"/>
        </w:rPr>
      </w:pPr>
      <w:r w:rsidRPr="000F626F">
        <w:rPr>
          <w:i/>
          <w:sz w:val="24"/>
        </w:rPr>
        <w:t>PA Fiscal Situation</w:t>
      </w:r>
    </w:p>
    <w:p w:rsidR="00704336" w:rsidRDefault="00704336" w:rsidP="000F626F">
      <w:pPr>
        <w:jc w:val="both"/>
        <w:rPr>
          <w:sz w:val="24"/>
        </w:rPr>
      </w:pPr>
      <w:r w:rsidRPr="00221E99">
        <w:rPr>
          <w:sz w:val="24"/>
        </w:rPr>
        <w:t>The Palestinian Authority (PA) has implemented a comprehensive plan of institution building through reforms and fiscal strengthening since 2007. However, despite this effort, the situation remains pr</w:t>
      </w:r>
      <w:r w:rsidR="00D23966">
        <w:rPr>
          <w:sz w:val="24"/>
        </w:rPr>
        <w:t xml:space="preserve">ecarious with almost no </w:t>
      </w:r>
      <w:r w:rsidRPr="00221E99">
        <w:rPr>
          <w:sz w:val="24"/>
        </w:rPr>
        <w:t xml:space="preserve">momentum on the peace process. As a result, despite economic gains in previous three years, in 2011 </w:t>
      </w:r>
      <w:r w:rsidR="0064204E">
        <w:rPr>
          <w:sz w:val="24"/>
        </w:rPr>
        <w:t>a severe fiscal crisis threatened</w:t>
      </w:r>
      <w:r w:rsidRPr="00221E99">
        <w:rPr>
          <w:sz w:val="24"/>
        </w:rPr>
        <w:t xml:space="preserve"> to become protracted, especially given declines in donor assistance</w:t>
      </w:r>
      <w:r w:rsidR="00D23966">
        <w:rPr>
          <w:sz w:val="24"/>
        </w:rPr>
        <w:t xml:space="preserve"> </w:t>
      </w:r>
      <w:r w:rsidR="007A4691">
        <w:rPr>
          <w:sz w:val="24"/>
        </w:rPr>
        <w:t xml:space="preserve">(as a result of global </w:t>
      </w:r>
      <w:r w:rsidR="00D23966">
        <w:rPr>
          <w:sz w:val="24"/>
        </w:rPr>
        <w:t>economic challenges</w:t>
      </w:r>
      <w:r w:rsidR="007A4691">
        <w:rPr>
          <w:sz w:val="24"/>
        </w:rPr>
        <w:t>)</w:t>
      </w:r>
      <w:r w:rsidRPr="00221E99">
        <w:rPr>
          <w:sz w:val="24"/>
        </w:rPr>
        <w:t>.</w:t>
      </w:r>
    </w:p>
    <w:p w:rsidR="000F626F" w:rsidRPr="00221E99" w:rsidRDefault="000F626F" w:rsidP="000F626F">
      <w:pPr>
        <w:jc w:val="both"/>
        <w:rPr>
          <w:sz w:val="24"/>
        </w:rPr>
      </w:pPr>
    </w:p>
    <w:p w:rsidR="00D23966" w:rsidRPr="00D23966" w:rsidRDefault="007A4691" w:rsidP="00D23966">
      <w:pPr>
        <w:jc w:val="both"/>
        <w:rPr>
          <w:sz w:val="24"/>
        </w:rPr>
      </w:pPr>
      <w:r>
        <w:rPr>
          <w:sz w:val="24"/>
        </w:rPr>
        <w:t>I</w:t>
      </w:r>
      <w:r w:rsidR="00704336" w:rsidRPr="00221E99">
        <w:rPr>
          <w:sz w:val="24"/>
        </w:rPr>
        <w:t>n 2010, an easing of movement restrictions in the West Bank contributed to economic growth, but there have been few signific</w:t>
      </w:r>
      <w:r w:rsidR="00777A7E">
        <w:rPr>
          <w:sz w:val="24"/>
        </w:rPr>
        <w:t>ant additional measures at the time of this assessment</w:t>
      </w:r>
      <w:r w:rsidR="00704336" w:rsidRPr="00221E99">
        <w:rPr>
          <w:sz w:val="24"/>
        </w:rPr>
        <w:t>. Unless there is significant progress in the Israeli-Palestinian political dialogue, real growth in West Bank and</w:t>
      </w:r>
      <w:r w:rsidR="000F626F">
        <w:rPr>
          <w:sz w:val="24"/>
        </w:rPr>
        <w:t xml:space="preserve"> Gaza will continue to be slow.</w:t>
      </w:r>
      <w:r>
        <w:rPr>
          <w:sz w:val="24"/>
        </w:rPr>
        <w:t xml:space="preserve"> </w:t>
      </w:r>
      <w:r w:rsidR="00D23966" w:rsidRPr="00D23966">
        <w:rPr>
          <w:sz w:val="24"/>
        </w:rPr>
        <w:t>The West Bank economy grew at a rate of 5.8 per cent in 2011, down from 7.5 per cent in 2010. The slowdown can be attributed to falling donor support, the uncertainty caused by the PA’s fiscal crisis and a lack of significant easing of Israeli movement restrictions.</w:t>
      </w:r>
      <w:r>
        <w:rPr>
          <w:sz w:val="24"/>
        </w:rPr>
        <w:t xml:space="preserve"> </w:t>
      </w:r>
      <w:r w:rsidR="00D23966" w:rsidRPr="00D23966">
        <w:rPr>
          <w:sz w:val="24"/>
        </w:rPr>
        <w:t>GDP in Gaza is estimated to have expanded in 2011, but from a very low base. Infrastructure in Gaza continues to deteriorate, and massive investment is needed in key sectors such as water, waste water, electricity and solid waste. Unemployment remains high (21 and 30 per cent in West Ba</w:t>
      </w:r>
      <w:r>
        <w:rPr>
          <w:sz w:val="24"/>
        </w:rPr>
        <w:t>nk and Gaza, respectively, in 4</w:t>
      </w:r>
      <w:r w:rsidRPr="007A4691">
        <w:rPr>
          <w:sz w:val="24"/>
          <w:vertAlign w:val="superscript"/>
        </w:rPr>
        <w:t>th</w:t>
      </w:r>
      <w:r>
        <w:rPr>
          <w:sz w:val="24"/>
        </w:rPr>
        <w:t xml:space="preserve"> quarter</w:t>
      </w:r>
      <w:r w:rsidR="00D23966" w:rsidRPr="00D23966">
        <w:rPr>
          <w:sz w:val="24"/>
        </w:rPr>
        <w:t xml:space="preserve"> of 2011) and labour force participation is low.</w:t>
      </w:r>
    </w:p>
    <w:p w:rsidR="000F626F" w:rsidRPr="00221E99" w:rsidRDefault="000F626F" w:rsidP="000F626F">
      <w:pPr>
        <w:jc w:val="both"/>
        <w:rPr>
          <w:sz w:val="24"/>
        </w:rPr>
      </w:pPr>
    </w:p>
    <w:p w:rsidR="00704336" w:rsidRDefault="00704336" w:rsidP="000F626F">
      <w:pPr>
        <w:jc w:val="both"/>
        <w:rPr>
          <w:sz w:val="24"/>
        </w:rPr>
      </w:pPr>
      <w:r w:rsidRPr="00221E99">
        <w:rPr>
          <w:sz w:val="24"/>
        </w:rPr>
        <w:t>The PA is expected to remain heavily dependent upon external budget support for the next five to ten years. External support was estimated at US$983 million in 2011, whereas only around US$610 million in donor financing has so far been identified for this financial year (2012).</w:t>
      </w:r>
      <w:r w:rsidR="00D23966">
        <w:rPr>
          <w:sz w:val="24"/>
        </w:rPr>
        <w:t xml:space="preserve"> </w:t>
      </w:r>
      <w:r w:rsidRPr="00221E99">
        <w:rPr>
          <w:sz w:val="24"/>
        </w:rPr>
        <w:t>Despite the fact that the PA is making a concerted effort to strengthen its fiscal position, including steps to raise domestic revenues and control expenditures, in the immediate term the projected recurrent deficit is likely to have significant social and economic consequences. A continuation of the current trend of reduction in donor aid is likely to further aggravate the Palestinian fiscal crisis, potentially jeopardizing gains made in recent years in institution-building.</w:t>
      </w:r>
    </w:p>
    <w:p w:rsidR="000F626F" w:rsidRDefault="000F626F" w:rsidP="000F626F">
      <w:pPr>
        <w:jc w:val="both"/>
        <w:rPr>
          <w:sz w:val="24"/>
        </w:rPr>
      </w:pPr>
    </w:p>
    <w:p w:rsidR="00704336" w:rsidRPr="000F626F" w:rsidRDefault="00704336" w:rsidP="000F626F">
      <w:pPr>
        <w:jc w:val="both"/>
        <w:rPr>
          <w:b/>
          <w:i/>
          <w:sz w:val="24"/>
        </w:rPr>
      </w:pPr>
      <w:r w:rsidRPr="000F626F">
        <w:rPr>
          <w:b/>
          <w:i/>
          <w:sz w:val="24"/>
        </w:rPr>
        <w:t xml:space="preserve">State-Building Results </w:t>
      </w:r>
    </w:p>
    <w:p w:rsidR="00704336" w:rsidRPr="00221E99" w:rsidRDefault="00375638" w:rsidP="000F626F">
      <w:pPr>
        <w:jc w:val="both"/>
        <w:rPr>
          <w:sz w:val="24"/>
        </w:rPr>
      </w:pPr>
      <w:r>
        <w:rPr>
          <w:sz w:val="24"/>
        </w:rPr>
        <w:t>Despite all these external factors w</w:t>
      </w:r>
      <w:r w:rsidR="00704336" w:rsidRPr="00221E99">
        <w:rPr>
          <w:sz w:val="24"/>
        </w:rPr>
        <w:t>ith support from</w:t>
      </w:r>
      <w:r w:rsidR="007A4691">
        <w:rPr>
          <w:sz w:val="24"/>
        </w:rPr>
        <w:t xml:space="preserve"> the World Bank, the PA has been</w:t>
      </w:r>
      <w:r w:rsidR="00704336" w:rsidRPr="00221E99">
        <w:rPr>
          <w:sz w:val="24"/>
        </w:rPr>
        <w:t xml:space="preserve"> to achieve the following results in three key areas since 2008:</w:t>
      </w:r>
    </w:p>
    <w:p w:rsidR="00704336" w:rsidRPr="00375638" w:rsidRDefault="00704336" w:rsidP="00221E99">
      <w:pPr>
        <w:tabs>
          <w:tab w:val="left" w:pos="0"/>
        </w:tabs>
        <w:spacing w:before="120" w:after="120"/>
        <w:jc w:val="both"/>
        <w:rPr>
          <w:b/>
          <w:sz w:val="24"/>
        </w:rPr>
      </w:pPr>
      <w:r w:rsidRPr="00375638">
        <w:rPr>
          <w:b/>
          <w:sz w:val="24"/>
        </w:rPr>
        <w:t xml:space="preserve">Governance: </w:t>
      </w:r>
    </w:p>
    <w:p w:rsidR="00704336" w:rsidRPr="00221E99" w:rsidRDefault="00704336" w:rsidP="00375638">
      <w:pPr>
        <w:numPr>
          <w:ilvl w:val="0"/>
          <w:numId w:val="50"/>
        </w:numPr>
        <w:jc w:val="both"/>
        <w:rPr>
          <w:sz w:val="24"/>
        </w:rPr>
      </w:pPr>
      <w:r w:rsidRPr="000F626F">
        <w:rPr>
          <w:b/>
          <w:sz w:val="24"/>
        </w:rPr>
        <w:t>Public Financial Management</w:t>
      </w:r>
      <w:r w:rsidRPr="00221E99">
        <w:rPr>
          <w:sz w:val="24"/>
        </w:rPr>
        <w:t xml:space="preserve"> - The PA has been successful in developing a new accounting system, introducing budget formats that report against expenditure on specific development programs and basic services, reforming payroll a</w:t>
      </w:r>
      <w:r w:rsidR="007A4691">
        <w:rPr>
          <w:sz w:val="24"/>
        </w:rPr>
        <w:t>nd human resources systems</w:t>
      </w:r>
    </w:p>
    <w:p w:rsidR="00704336" w:rsidRPr="00221E99" w:rsidRDefault="00704336" w:rsidP="00375638">
      <w:pPr>
        <w:numPr>
          <w:ilvl w:val="0"/>
          <w:numId w:val="50"/>
        </w:numPr>
        <w:tabs>
          <w:tab w:val="left" w:pos="0"/>
        </w:tabs>
        <w:spacing w:before="120" w:after="120"/>
        <w:jc w:val="both"/>
        <w:rPr>
          <w:sz w:val="24"/>
        </w:rPr>
      </w:pPr>
      <w:r w:rsidRPr="00221E99">
        <w:rPr>
          <w:b/>
          <w:sz w:val="24"/>
        </w:rPr>
        <w:t>Fiscal Reform</w:t>
      </w:r>
      <w:r w:rsidRPr="00221E99">
        <w:rPr>
          <w:sz w:val="24"/>
        </w:rPr>
        <w:t xml:space="preserve"> - the PA has mobilized domestic tax revenues, reduced the rate of growth of the wage bill and assisted municipalities in improving their f</w:t>
      </w:r>
      <w:r w:rsidR="007A4691">
        <w:rPr>
          <w:sz w:val="24"/>
        </w:rPr>
        <w:t>inancial and fiscal performance</w:t>
      </w:r>
    </w:p>
    <w:p w:rsidR="00704336" w:rsidRPr="00375638" w:rsidRDefault="00375638" w:rsidP="00375638">
      <w:pPr>
        <w:numPr>
          <w:ilvl w:val="0"/>
          <w:numId w:val="50"/>
        </w:numPr>
        <w:tabs>
          <w:tab w:val="left" w:pos="0"/>
        </w:tabs>
        <w:spacing w:before="120" w:after="120"/>
        <w:jc w:val="both"/>
        <w:rPr>
          <w:b/>
          <w:sz w:val="24"/>
        </w:rPr>
      </w:pPr>
      <w:r>
        <w:rPr>
          <w:b/>
          <w:sz w:val="24"/>
        </w:rPr>
        <w:lastRenderedPageBreak/>
        <w:t xml:space="preserve">Social Development - </w:t>
      </w:r>
      <w:r w:rsidR="00704336" w:rsidRPr="00221E99">
        <w:rPr>
          <w:sz w:val="24"/>
        </w:rPr>
        <w:t>The World Bank has been instrumental in creating momentum for the social safety net reform through the on-going West Bank and Gaza Cash Transfer Project and the Social S</w:t>
      </w:r>
      <w:r w:rsidR="007A4691">
        <w:rPr>
          <w:sz w:val="24"/>
        </w:rPr>
        <w:t>afety Net Reform Project</w:t>
      </w:r>
      <w:r w:rsidR="00704336" w:rsidRPr="00221E99">
        <w:rPr>
          <w:sz w:val="24"/>
        </w:rPr>
        <w:t>. Important results have also emerged in the education, pension and NGO sectors</w:t>
      </w:r>
    </w:p>
    <w:p w:rsidR="00704336" w:rsidRPr="00375638" w:rsidRDefault="00375638" w:rsidP="00375638">
      <w:pPr>
        <w:numPr>
          <w:ilvl w:val="0"/>
          <w:numId w:val="50"/>
        </w:numPr>
        <w:tabs>
          <w:tab w:val="left" w:pos="0"/>
        </w:tabs>
        <w:spacing w:before="120" w:after="120"/>
        <w:jc w:val="both"/>
        <w:rPr>
          <w:b/>
          <w:sz w:val="24"/>
        </w:rPr>
      </w:pPr>
      <w:r>
        <w:rPr>
          <w:b/>
          <w:sz w:val="24"/>
        </w:rPr>
        <w:t xml:space="preserve">Public Infrastructure - </w:t>
      </w:r>
      <w:r w:rsidR="00704336" w:rsidRPr="00221E99">
        <w:rPr>
          <w:sz w:val="24"/>
        </w:rPr>
        <w:t xml:space="preserve">The PA </w:t>
      </w:r>
      <w:r w:rsidR="007A4691">
        <w:rPr>
          <w:sz w:val="24"/>
        </w:rPr>
        <w:t>improved</w:t>
      </w:r>
      <w:r w:rsidR="00704336" w:rsidRPr="00221E99">
        <w:rPr>
          <w:sz w:val="24"/>
        </w:rPr>
        <w:t xml:space="preserve"> the institutional frameworks and access to water and sanitation, solid waste management, electricity and municipal service delivery through substantive analytical pieces and financing investments. </w:t>
      </w:r>
    </w:p>
    <w:p w:rsidR="00704336" w:rsidRPr="00221E99" w:rsidRDefault="00C616BF" w:rsidP="00221E99">
      <w:pPr>
        <w:spacing w:before="120" w:after="120"/>
        <w:jc w:val="both"/>
        <w:rPr>
          <w:b/>
          <w:sz w:val="24"/>
        </w:rPr>
      </w:pPr>
      <w:r>
        <w:rPr>
          <w:b/>
          <w:sz w:val="24"/>
        </w:rPr>
        <w:br w:type="page"/>
      </w:r>
      <w:r w:rsidR="00704336" w:rsidRPr="00221E99">
        <w:rPr>
          <w:b/>
          <w:sz w:val="24"/>
        </w:rPr>
        <w:lastRenderedPageBreak/>
        <w:t>Basic Services</w:t>
      </w:r>
    </w:p>
    <w:p w:rsidR="00704336" w:rsidRPr="00221E99" w:rsidRDefault="00704336" w:rsidP="00221E99">
      <w:pPr>
        <w:tabs>
          <w:tab w:val="left" w:pos="0"/>
        </w:tabs>
        <w:spacing w:before="120" w:after="120"/>
        <w:jc w:val="both"/>
        <w:rPr>
          <w:sz w:val="24"/>
        </w:rPr>
      </w:pPr>
      <w:r w:rsidRPr="00221E99">
        <w:rPr>
          <w:sz w:val="24"/>
        </w:rPr>
        <w:t>As a provider of general budget support to the Palestinian Authority, and now a donor in the top ten international supporters of Palestinian development, Australia contributes to the provision of basic services for everyday Palestinians. Notable results</w:t>
      </w:r>
      <w:r w:rsidRPr="00613B2F">
        <w:rPr>
          <w:sz w:val="16"/>
          <w:szCs w:val="16"/>
        </w:rPr>
        <w:footnoteReference w:id="3"/>
      </w:r>
      <w:r w:rsidRPr="00613B2F">
        <w:rPr>
          <w:sz w:val="16"/>
          <w:szCs w:val="16"/>
        </w:rPr>
        <w:t xml:space="preserve"> </w:t>
      </w:r>
      <w:r w:rsidRPr="00221E99">
        <w:rPr>
          <w:sz w:val="24"/>
        </w:rPr>
        <w:t>in 2011 based in part on Australia’s general budget support include:</w:t>
      </w:r>
    </w:p>
    <w:p w:rsidR="00704336" w:rsidRPr="00221E99" w:rsidRDefault="00704336" w:rsidP="00221E99">
      <w:pPr>
        <w:numPr>
          <w:ilvl w:val="0"/>
          <w:numId w:val="48"/>
        </w:numPr>
        <w:ind w:left="714" w:hanging="357"/>
        <w:rPr>
          <w:sz w:val="24"/>
        </w:rPr>
      </w:pPr>
      <w:r w:rsidRPr="00221E99">
        <w:rPr>
          <w:sz w:val="24"/>
        </w:rPr>
        <w:t>97% enrolment rates for Palestinian children across the Palestinian Territories in education programs of 2,577 Palestinian schools</w:t>
      </w:r>
    </w:p>
    <w:p w:rsidR="00704336" w:rsidRPr="00221E99" w:rsidRDefault="00704336" w:rsidP="00221E99">
      <w:pPr>
        <w:numPr>
          <w:ilvl w:val="0"/>
          <w:numId w:val="48"/>
        </w:numPr>
        <w:ind w:left="714" w:hanging="357"/>
        <w:rPr>
          <w:sz w:val="24"/>
        </w:rPr>
      </w:pPr>
      <w:r w:rsidRPr="00221E99">
        <w:rPr>
          <w:sz w:val="24"/>
        </w:rPr>
        <w:t>The construction of 256 new classrooms and training programs for 18,000 teachers</w:t>
      </w:r>
    </w:p>
    <w:p w:rsidR="00704336" w:rsidRPr="00221E99" w:rsidRDefault="00704336" w:rsidP="00221E99">
      <w:pPr>
        <w:numPr>
          <w:ilvl w:val="0"/>
          <w:numId w:val="48"/>
        </w:numPr>
        <w:ind w:left="714" w:hanging="357"/>
        <w:rPr>
          <w:sz w:val="24"/>
        </w:rPr>
      </w:pPr>
      <w:r w:rsidRPr="00221E99">
        <w:rPr>
          <w:sz w:val="24"/>
        </w:rPr>
        <w:t>Tertiary education programs for 196,525 Palestinian university students</w:t>
      </w:r>
    </w:p>
    <w:p w:rsidR="00704336" w:rsidRPr="00221E99" w:rsidRDefault="00704336" w:rsidP="00221E99">
      <w:pPr>
        <w:numPr>
          <w:ilvl w:val="0"/>
          <w:numId w:val="48"/>
        </w:numPr>
        <w:ind w:left="714" w:hanging="357"/>
        <w:rPr>
          <w:sz w:val="24"/>
        </w:rPr>
      </w:pPr>
      <w:r w:rsidRPr="00221E99">
        <w:rPr>
          <w:sz w:val="24"/>
        </w:rPr>
        <w:t>Rehabilitations of 386 square kilometres of farmland for return to productive output</w:t>
      </w:r>
    </w:p>
    <w:p w:rsidR="00704336" w:rsidRPr="00221E99" w:rsidRDefault="00704336" w:rsidP="00221E99">
      <w:pPr>
        <w:numPr>
          <w:ilvl w:val="0"/>
          <w:numId w:val="48"/>
        </w:numPr>
        <w:ind w:left="714" w:hanging="357"/>
        <w:rPr>
          <w:sz w:val="24"/>
        </w:rPr>
      </w:pPr>
      <w:r w:rsidRPr="00221E99">
        <w:rPr>
          <w:sz w:val="24"/>
        </w:rPr>
        <w:t xml:space="preserve">Reconstruction of 50 kilometres of rural road </w:t>
      </w:r>
    </w:p>
    <w:p w:rsidR="00704336" w:rsidRPr="00221E99" w:rsidRDefault="00704336" w:rsidP="00221E99">
      <w:pPr>
        <w:numPr>
          <w:ilvl w:val="0"/>
          <w:numId w:val="48"/>
        </w:numPr>
        <w:ind w:left="714" w:hanging="357"/>
        <w:rPr>
          <w:sz w:val="24"/>
        </w:rPr>
      </w:pPr>
      <w:r w:rsidRPr="00221E99">
        <w:rPr>
          <w:sz w:val="24"/>
        </w:rPr>
        <w:t xml:space="preserve">Construction of 55 rainwater collection wells </w:t>
      </w:r>
    </w:p>
    <w:p w:rsidR="00704336" w:rsidRPr="00221E99" w:rsidRDefault="00704336" w:rsidP="00221E99">
      <w:pPr>
        <w:numPr>
          <w:ilvl w:val="0"/>
          <w:numId w:val="48"/>
        </w:numPr>
        <w:ind w:left="714" w:hanging="357"/>
        <w:rPr>
          <w:sz w:val="24"/>
        </w:rPr>
      </w:pPr>
      <w:r w:rsidRPr="00221E99">
        <w:rPr>
          <w:sz w:val="24"/>
        </w:rPr>
        <w:t xml:space="preserve">Construction and electrification of 53 agricultural wells </w:t>
      </w:r>
    </w:p>
    <w:p w:rsidR="00704336" w:rsidRPr="00221E99" w:rsidRDefault="00704336" w:rsidP="00221E99">
      <w:pPr>
        <w:numPr>
          <w:ilvl w:val="0"/>
          <w:numId w:val="48"/>
        </w:numPr>
        <w:ind w:left="714" w:hanging="357"/>
        <w:rPr>
          <w:sz w:val="24"/>
        </w:rPr>
      </w:pPr>
      <w:r w:rsidRPr="00221E99">
        <w:rPr>
          <w:sz w:val="24"/>
        </w:rPr>
        <w:t>Planting of 1.5 million trees under the Greening of Palestine program</w:t>
      </w:r>
    </w:p>
    <w:p w:rsidR="00704336" w:rsidRPr="00221E99" w:rsidRDefault="00704336" w:rsidP="00221E99">
      <w:pPr>
        <w:numPr>
          <w:ilvl w:val="0"/>
          <w:numId w:val="48"/>
        </w:numPr>
        <w:ind w:left="714" w:hanging="357"/>
        <w:rPr>
          <w:sz w:val="24"/>
        </w:rPr>
      </w:pPr>
      <w:r w:rsidRPr="00221E99">
        <w:rPr>
          <w:sz w:val="24"/>
        </w:rPr>
        <w:t>Coverage of 96% of Palestinian populations through vaccination programs</w:t>
      </w:r>
    </w:p>
    <w:p w:rsidR="00704336" w:rsidRPr="00221E99" w:rsidRDefault="00704336" w:rsidP="00221E99">
      <w:pPr>
        <w:numPr>
          <w:ilvl w:val="0"/>
          <w:numId w:val="48"/>
        </w:numPr>
        <w:ind w:left="714" w:hanging="357"/>
        <w:rPr>
          <w:sz w:val="24"/>
        </w:rPr>
      </w:pPr>
      <w:r w:rsidRPr="00221E99">
        <w:rPr>
          <w:sz w:val="24"/>
        </w:rPr>
        <w:t>The operation of 453 primary health care centres that provide health service coverage to approximately 2.6 million Palestinians</w:t>
      </w:r>
    </w:p>
    <w:p w:rsidR="00704336" w:rsidRPr="00221E99" w:rsidRDefault="00704336" w:rsidP="00221E99">
      <w:pPr>
        <w:numPr>
          <w:ilvl w:val="0"/>
          <w:numId w:val="48"/>
        </w:numPr>
        <w:ind w:left="714" w:hanging="357"/>
        <w:rPr>
          <w:sz w:val="24"/>
        </w:rPr>
      </w:pPr>
      <w:r w:rsidRPr="00221E99">
        <w:rPr>
          <w:sz w:val="24"/>
        </w:rPr>
        <w:t>Completion of the Jericho Correctional Facility for the accommodation of 175 inmates.</w:t>
      </w:r>
    </w:p>
    <w:p w:rsidR="00704336" w:rsidRPr="00221E99" w:rsidRDefault="00704336" w:rsidP="00221E99">
      <w:pPr>
        <w:numPr>
          <w:ilvl w:val="0"/>
          <w:numId w:val="48"/>
        </w:numPr>
        <w:ind w:left="714" w:hanging="357"/>
        <w:rPr>
          <w:sz w:val="24"/>
        </w:rPr>
      </w:pPr>
      <w:r w:rsidRPr="00221E99">
        <w:rPr>
          <w:sz w:val="24"/>
        </w:rPr>
        <w:t>The provision of cash assistance to around 85,000 poor households.</w:t>
      </w:r>
    </w:p>
    <w:p w:rsidR="00704336" w:rsidRPr="00221E99" w:rsidRDefault="00704336" w:rsidP="00221E99">
      <w:pPr>
        <w:numPr>
          <w:ilvl w:val="0"/>
          <w:numId w:val="48"/>
        </w:numPr>
        <w:ind w:left="714" w:hanging="357"/>
        <w:rPr>
          <w:sz w:val="24"/>
        </w:rPr>
      </w:pPr>
      <w:r w:rsidRPr="00221E99">
        <w:rPr>
          <w:sz w:val="24"/>
        </w:rPr>
        <w:t>Electricity infrastructure rehabilitation in 254 localities to enhance service delivery.</w:t>
      </w:r>
    </w:p>
    <w:p w:rsidR="00704336" w:rsidRPr="005945EA" w:rsidRDefault="00704336" w:rsidP="005945EA">
      <w:pPr>
        <w:spacing w:before="80" w:after="80" w:line="280" w:lineRule="atLeast"/>
        <w:jc w:val="both"/>
        <w:rPr>
          <w:sz w:val="24"/>
        </w:rPr>
      </w:pPr>
    </w:p>
    <w:p w:rsidR="00083811" w:rsidRDefault="00083811" w:rsidP="00C616BF">
      <w:pPr>
        <w:pStyle w:val="Heading1"/>
      </w:pPr>
      <w:r>
        <w:t>Program Quality</w:t>
      </w:r>
    </w:p>
    <w:p w:rsidR="00C1709E" w:rsidRPr="00221E99" w:rsidRDefault="00C1709E" w:rsidP="000F626F">
      <w:pPr>
        <w:jc w:val="both"/>
        <w:rPr>
          <w:sz w:val="24"/>
        </w:rPr>
      </w:pPr>
      <w:r w:rsidRPr="00221E99">
        <w:rPr>
          <w:sz w:val="24"/>
        </w:rPr>
        <w:t xml:space="preserve">The overall quality of the program in the Palestinian Territories is considered to be </w:t>
      </w:r>
      <w:r w:rsidR="00375638">
        <w:rPr>
          <w:sz w:val="24"/>
        </w:rPr>
        <w:t>good</w:t>
      </w:r>
      <w:r w:rsidRPr="00221E99">
        <w:rPr>
          <w:sz w:val="24"/>
        </w:rPr>
        <w:t xml:space="preserve">.  All the major programs have met their immediate targets, though the wider political situation means that broader objectives are often not </w:t>
      </w:r>
      <w:r w:rsidR="00375638">
        <w:rPr>
          <w:sz w:val="24"/>
        </w:rPr>
        <w:t xml:space="preserve">being </w:t>
      </w:r>
      <w:r w:rsidRPr="00221E99">
        <w:rPr>
          <w:sz w:val="24"/>
        </w:rPr>
        <w:t xml:space="preserve">met or are effectively curtailed. </w:t>
      </w:r>
      <w:r w:rsidR="00375638">
        <w:rPr>
          <w:sz w:val="24"/>
        </w:rPr>
        <w:t>O</w:t>
      </w:r>
      <w:r w:rsidRPr="00221E99">
        <w:rPr>
          <w:sz w:val="24"/>
        </w:rPr>
        <w:t xml:space="preserve">ngoing conflict and instability </w:t>
      </w:r>
      <w:r w:rsidR="00613B2F">
        <w:rPr>
          <w:sz w:val="24"/>
        </w:rPr>
        <w:t>in the PTs</w:t>
      </w:r>
      <w:r w:rsidRPr="00221E99">
        <w:rPr>
          <w:sz w:val="24"/>
        </w:rPr>
        <w:t xml:space="preserve"> also </w:t>
      </w:r>
      <w:r w:rsidR="00613B2F">
        <w:rPr>
          <w:sz w:val="24"/>
        </w:rPr>
        <w:t>limits</w:t>
      </w:r>
      <w:r w:rsidRPr="00221E99">
        <w:rPr>
          <w:sz w:val="24"/>
        </w:rPr>
        <w:t xml:space="preserve"> sustainability of programs, and </w:t>
      </w:r>
      <w:r w:rsidR="00613B2F">
        <w:rPr>
          <w:sz w:val="24"/>
        </w:rPr>
        <w:t>the security environment constrain</w:t>
      </w:r>
      <w:r w:rsidRPr="00221E99">
        <w:rPr>
          <w:sz w:val="24"/>
        </w:rPr>
        <w:t>s monit</w:t>
      </w:r>
      <w:r w:rsidR="00613B2F">
        <w:rPr>
          <w:sz w:val="24"/>
        </w:rPr>
        <w:t xml:space="preserve">oring and evaluation. </w:t>
      </w:r>
      <w:r w:rsidRPr="00221E99">
        <w:rPr>
          <w:sz w:val="24"/>
        </w:rPr>
        <w:t>Multilateral partner performance</w:t>
      </w:r>
      <w:r w:rsidR="00375638">
        <w:rPr>
          <w:sz w:val="24"/>
        </w:rPr>
        <w:t xml:space="preserve"> (WB and UNRWA)</w:t>
      </w:r>
      <w:r w:rsidRPr="00221E99">
        <w:rPr>
          <w:sz w:val="24"/>
        </w:rPr>
        <w:t xml:space="preserve"> has generally been good, and our partners have met our broad expectations in terms of effectiveness. </w:t>
      </w:r>
    </w:p>
    <w:p w:rsidR="00C1709E" w:rsidRPr="00C1709E" w:rsidRDefault="00C94ACE" w:rsidP="00C1709E">
      <w:pPr>
        <w:pStyle w:val="Caption"/>
        <w:jc w:val="both"/>
      </w:pPr>
      <w:r w:rsidRPr="005945EA">
        <w:t>Table 3</w:t>
      </w:r>
      <w:r>
        <w:t>:</w:t>
      </w:r>
      <w:r w:rsidRPr="005945EA">
        <w:t xml:space="preserve"> </w:t>
      </w:r>
      <w:r w:rsidR="00083811" w:rsidRPr="005945EA">
        <w:t>Quality at Implementation Scores</w:t>
      </w:r>
    </w:p>
    <w:tbl>
      <w:tblPr>
        <w:tblW w:w="8804" w:type="dxa"/>
        <w:tblInd w:w="93" w:type="dxa"/>
        <w:tblLayout w:type="fixed"/>
        <w:tblLook w:val="04A0" w:firstRow="1" w:lastRow="0" w:firstColumn="1" w:lastColumn="0" w:noHBand="0" w:noVBand="1"/>
      </w:tblPr>
      <w:tblGrid>
        <w:gridCol w:w="724"/>
        <w:gridCol w:w="2135"/>
        <w:gridCol w:w="1125"/>
        <w:gridCol w:w="1134"/>
        <w:gridCol w:w="1134"/>
        <w:gridCol w:w="426"/>
        <w:gridCol w:w="425"/>
        <w:gridCol w:w="425"/>
        <w:gridCol w:w="425"/>
        <w:gridCol w:w="426"/>
        <w:gridCol w:w="419"/>
        <w:gridCol w:w="6"/>
      </w:tblGrid>
      <w:tr w:rsidR="00C1709E" w:rsidRPr="009823EC" w:rsidTr="00C1709E">
        <w:trPr>
          <w:gridAfter w:val="1"/>
          <w:wAfter w:w="6" w:type="dxa"/>
          <w:cantSplit/>
          <w:trHeight w:val="1553"/>
        </w:trPr>
        <w:tc>
          <w:tcPr>
            <w:tcW w:w="724" w:type="dxa"/>
            <w:tcBorders>
              <w:top w:val="single" w:sz="8" w:space="0" w:color="auto"/>
              <w:left w:val="single" w:sz="4" w:space="0" w:color="auto"/>
              <w:bottom w:val="single" w:sz="8" w:space="0" w:color="auto"/>
              <w:right w:val="single" w:sz="4" w:space="0" w:color="auto"/>
            </w:tcBorders>
            <w:shd w:val="clear" w:color="000000" w:fill="CCCCFF"/>
            <w:textDirection w:val="btLr"/>
            <w:vAlign w:val="center"/>
            <w:hideMark/>
          </w:tcPr>
          <w:p w:rsidR="00C1709E" w:rsidRPr="009823EC" w:rsidRDefault="00C1709E" w:rsidP="00C1709E">
            <w:pPr>
              <w:ind w:left="113" w:right="113"/>
              <w:jc w:val="both"/>
              <w:rPr>
                <w:rFonts w:ascii="Arial" w:hAnsi="Arial" w:cs="Arial"/>
                <w:b/>
                <w:bCs/>
                <w:color w:val="333399"/>
              </w:rPr>
            </w:pPr>
            <w:r w:rsidRPr="009823EC">
              <w:rPr>
                <w:rFonts w:ascii="Arial" w:hAnsi="Arial" w:cs="Arial"/>
                <w:b/>
                <w:bCs/>
                <w:color w:val="333399"/>
              </w:rPr>
              <w:t>Initiative Number</w:t>
            </w:r>
          </w:p>
        </w:tc>
        <w:tc>
          <w:tcPr>
            <w:tcW w:w="2135" w:type="dxa"/>
            <w:tcBorders>
              <w:top w:val="single" w:sz="8" w:space="0" w:color="auto"/>
              <w:left w:val="single" w:sz="4" w:space="0" w:color="auto"/>
              <w:bottom w:val="single" w:sz="8" w:space="0" w:color="auto"/>
              <w:right w:val="single" w:sz="4" w:space="0" w:color="auto"/>
            </w:tcBorders>
            <w:shd w:val="clear" w:color="000000" w:fill="CCCCFF"/>
            <w:vAlign w:val="center"/>
          </w:tcPr>
          <w:p w:rsidR="00C1709E" w:rsidRPr="009823EC" w:rsidRDefault="00C1709E" w:rsidP="00C1709E">
            <w:pPr>
              <w:jc w:val="both"/>
              <w:rPr>
                <w:rFonts w:ascii="Arial" w:hAnsi="Arial" w:cs="Arial"/>
                <w:b/>
                <w:bCs/>
                <w:color w:val="333399"/>
              </w:rPr>
            </w:pPr>
            <w:r w:rsidRPr="009823EC">
              <w:rPr>
                <w:rFonts w:ascii="Arial" w:hAnsi="Arial" w:cs="Arial"/>
                <w:b/>
                <w:bCs/>
                <w:color w:val="333399"/>
              </w:rPr>
              <w:t>Initiative Name</w:t>
            </w:r>
          </w:p>
        </w:tc>
        <w:tc>
          <w:tcPr>
            <w:tcW w:w="1125" w:type="dxa"/>
            <w:tcBorders>
              <w:top w:val="single" w:sz="8" w:space="0" w:color="auto"/>
              <w:left w:val="nil"/>
              <w:bottom w:val="single" w:sz="8" w:space="0" w:color="auto"/>
              <w:right w:val="single" w:sz="4" w:space="0" w:color="auto"/>
            </w:tcBorders>
            <w:shd w:val="clear" w:color="000000" w:fill="CCCCFF"/>
            <w:vAlign w:val="center"/>
          </w:tcPr>
          <w:p w:rsidR="00C1709E" w:rsidRPr="009823EC" w:rsidRDefault="00C1709E" w:rsidP="00C1709E">
            <w:pPr>
              <w:jc w:val="both"/>
              <w:rPr>
                <w:rFonts w:ascii="Arial" w:hAnsi="Arial" w:cs="Arial"/>
                <w:b/>
                <w:bCs/>
                <w:color w:val="333399"/>
              </w:rPr>
            </w:pPr>
            <w:r w:rsidRPr="009823EC">
              <w:rPr>
                <w:rFonts w:ascii="Arial" w:hAnsi="Arial" w:cs="Arial"/>
                <w:b/>
                <w:bCs/>
                <w:color w:val="333399"/>
              </w:rPr>
              <w:t>Start Date</w:t>
            </w:r>
          </w:p>
        </w:tc>
        <w:tc>
          <w:tcPr>
            <w:tcW w:w="1134" w:type="dxa"/>
            <w:tcBorders>
              <w:top w:val="single" w:sz="8" w:space="0" w:color="auto"/>
              <w:left w:val="nil"/>
              <w:bottom w:val="single" w:sz="8" w:space="0" w:color="auto"/>
              <w:right w:val="single" w:sz="4" w:space="0" w:color="auto"/>
            </w:tcBorders>
            <w:shd w:val="clear" w:color="000000" w:fill="CCCCFF"/>
            <w:vAlign w:val="center"/>
            <w:hideMark/>
          </w:tcPr>
          <w:p w:rsidR="00C1709E" w:rsidRPr="009823EC" w:rsidRDefault="00C1709E" w:rsidP="00C1709E">
            <w:pPr>
              <w:jc w:val="both"/>
              <w:rPr>
                <w:rFonts w:ascii="Arial" w:hAnsi="Arial" w:cs="Arial"/>
                <w:b/>
                <w:bCs/>
                <w:color w:val="333399"/>
              </w:rPr>
            </w:pPr>
            <w:r w:rsidRPr="009823EC">
              <w:rPr>
                <w:rFonts w:ascii="Arial" w:hAnsi="Arial" w:cs="Arial"/>
                <w:b/>
                <w:bCs/>
                <w:color w:val="333399"/>
              </w:rPr>
              <w:t>End Date</w:t>
            </w:r>
          </w:p>
        </w:tc>
        <w:tc>
          <w:tcPr>
            <w:tcW w:w="1134" w:type="dxa"/>
            <w:tcBorders>
              <w:top w:val="single" w:sz="8" w:space="0" w:color="auto"/>
              <w:left w:val="nil"/>
              <w:bottom w:val="single" w:sz="8" w:space="0" w:color="auto"/>
              <w:right w:val="nil"/>
            </w:tcBorders>
            <w:shd w:val="clear" w:color="000000" w:fill="CCCCFF"/>
            <w:vAlign w:val="center"/>
            <w:hideMark/>
          </w:tcPr>
          <w:p w:rsidR="00C1709E" w:rsidRPr="009823EC" w:rsidRDefault="00C1709E" w:rsidP="00C1709E">
            <w:pPr>
              <w:jc w:val="both"/>
              <w:rPr>
                <w:rFonts w:ascii="Arial" w:hAnsi="Arial" w:cs="Arial"/>
                <w:b/>
                <w:bCs/>
                <w:color w:val="333399"/>
              </w:rPr>
            </w:pPr>
            <w:r w:rsidRPr="009823EC">
              <w:rPr>
                <w:rFonts w:ascii="Arial" w:hAnsi="Arial" w:cs="Arial"/>
                <w:b/>
                <w:bCs/>
                <w:color w:val="333399"/>
              </w:rPr>
              <w:t>Amount</w:t>
            </w:r>
          </w:p>
        </w:tc>
        <w:tc>
          <w:tcPr>
            <w:tcW w:w="426" w:type="dxa"/>
            <w:tcBorders>
              <w:top w:val="single" w:sz="8" w:space="0" w:color="auto"/>
              <w:left w:val="single" w:sz="4" w:space="0" w:color="auto"/>
              <w:bottom w:val="single" w:sz="8" w:space="0" w:color="auto"/>
              <w:right w:val="single" w:sz="4" w:space="0" w:color="auto"/>
            </w:tcBorders>
            <w:shd w:val="clear" w:color="000000" w:fill="CCCCFF"/>
            <w:textDirection w:val="btLr"/>
            <w:vAlign w:val="center"/>
            <w:hideMark/>
          </w:tcPr>
          <w:p w:rsidR="00C1709E" w:rsidRPr="009823EC" w:rsidRDefault="00C1709E" w:rsidP="00C1709E">
            <w:pPr>
              <w:jc w:val="both"/>
              <w:rPr>
                <w:rFonts w:ascii="Arial" w:hAnsi="Arial" w:cs="Arial"/>
                <w:b/>
                <w:bCs/>
                <w:color w:val="333399"/>
                <w:szCs w:val="20"/>
              </w:rPr>
            </w:pPr>
            <w:r w:rsidRPr="009823EC">
              <w:rPr>
                <w:rFonts w:ascii="Arial" w:hAnsi="Arial" w:cs="Arial"/>
                <w:b/>
                <w:bCs/>
                <w:color w:val="333399"/>
                <w:szCs w:val="20"/>
              </w:rPr>
              <w:t>Relevance</w:t>
            </w:r>
          </w:p>
        </w:tc>
        <w:tc>
          <w:tcPr>
            <w:tcW w:w="425" w:type="dxa"/>
            <w:tcBorders>
              <w:top w:val="single" w:sz="8" w:space="0" w:color="auto"/>
              <w:left w:val="nil"/>
              <w:bottom w:val="single" w:sz="8" w:space="0" w:color="auto"/>
              <w:right w:val="single" w:sz="4" w:space="0" w:color="auto"/>
            </w:tcBorders>
            <w:shd w:val="clear" w:color="000000" w:fill="CCCCFF"/>
            <w:textDirection w:val="btLr"/>
            <w:vAlign w:val="center"/>
            <w:hideMark/>
          </w:tcPr>
          <w:p w:rsidR="00C1709E" w:rsidRPr="009823EC" w:rsidRDefault="00C1709E" w:rsidP="00C1709E">
            <w:pPr>
              <w:jc w:val="both"/>
              <w:rPr>
                <w:rFonts w:ascii="Arial" w:hAnsi="Arial" w:cs="Arial"/>
                <w:b/>
                <w:bCs/>
                <w:color w:val="333399"/>
                <w:szCs w:val="20"/>
              </w:rPr>
            </w:pPr>
            <w:r w:rsidRPr="009823EC">
              <w:rPr>
                <w:rFonts w:ascii="Arial" w:hAnsi="Arial" w:cs="Arial"/>
                <w:b/>
                <w:bCs/>
                <w:color w:val="333399"/>
                <w:szCs w:val="20"/>
              </w:rPr>
              <w:t>Effectiveness</w:t>
            </w:r>
          </w:p>
        </w:tc>
        <w:tc>
          <w:tcPr>
            <w:tcW w:w="425" w:type="dxa"/>
            <w:tcBorders>
              <w:top w:val="single" w:sz="8" w:space="0" w:color="auto"/>
              <w:left w:val="nil"/>
              <w:bottom w:val="single" w:sz="8" w:space="0" w:color="auto"/>
              <w:right w:val="single" w:sz="4" w:space="0" w:color="auto"/>
            </w:tcBorders>
            <w:shd w:val="clear" w:color="000000" w:fill="CCCCFF"/>
            <w:textDirection w:val="btLr"/>
            <w:vAlign w:val="center"/>
            <w:hideMark/>
          </w:tcPr>
          <w:p w:rsidR="00C1709E" w:rsidRPr="009823EC" w:rsidRDefault="00C1709E" w:rsidP="00C1709E">
            <w:pPr>
              <w:jc w:val="both"/>
              <w:rPr>
                <w:rFonts w:ascii="Arial" w:hAnsi="Arial" w:cs="Arial"/>
                <w:b/>
                <w:bCs/>
                <w:color w:val="333399"/>
                <w:szCs w:val="20"/>
              </w:rPr>
            </w:pPr>
            <w:r w:rsidRPr="009823EC">
              <w:rPr>
                <w:rFonts w:ascii="Arial" w:hAnsi="Arial" w:cs="Arial"/>
                <w:b/>
                <w:bCs/>
                <w:color w:val="333399"/>
                <w:szCs w:val="20"/>
              </w:rPr>
              <w:t>Efficiency</w:t>
            </w:r>
          </w:p>
        </w:tc>
        <w:tc>
          <w:tcPr>
            <w:tcW w:w="425" w:type="dxa"/>
            <w:tcBorders>
              <w:top w:val="single" w:sz="8" w:space="0" w:color="auto"/>
              <w:left w:val="nil"/>
              <w:bottom w:val="single" w:sz="8" w:space="0" w:color="auto"/>
              <w:right w:val="single" w:sz="4" w:space="0" w:color="auto"/>
            </w:tcBorders>
            <w:shd w:val="clear" w:color="000000" w:fill="CCCCFF"/>
            <w:textDirection w:val="btLr"/>
            <w:vAlign w:val="center"/>
            <w:hideMark/>
          </w:tcPr>
          <w:p w:rsidR="00C1709E" w:rsidRPr="009823EC" w:rsidRDefault="00C1709E" w:rsidP="00C1709E">
            <w:pPr>
              <w:jc w:val="both"/>
              <w:rPr>
                <w:rFonts w:ascii="Arial" w:hAnsi="Arial" w:cs="Arial"/>
                <w:b/>
                <w:bCs/>
                <w:color w:val="333399"/>
                <w:szCs w:val="20"/>
              </w:rPr>
            </w:pPr>
            <w:r w:rsidRPr="009823EC">
              <w:rPr>
                <w:rFonts w:ascii="Arial" w:hAnsi="Arial" w:cs="Arial"/>
                <w:b/>
                <w:bCs/>
                <w:color w:val="333399"/>
                <w:szCs w:val="20"/>
              </w:rPr>
              <w:t>Monitoring and Evaluation</w:t>
            </w:r>
          </w:p>
        </w:tc>
        <w:tc>
          <w:tcPr>
            <w:tcW w:w="426" w:type="dxa"/>
            <w:tcBorders>
              <w:top w:val="single" w:sz="8" w:space="0" w:color="auto"/>
              <w:left w:val="nil"/>
              <w:bottom w:val="single" w:sz="8" w:space="0" w:color="auto"/>
              <w:right w:val="single" w:sz="4" w:space="0" w:color="auto"/>
            </w:tcBorders>
            <w:shd w:val="clear" w:color="000000" w:fill="CCCCFF"/>
            <w:textDirection w:val="btLr"/>
            <w:vAlign w:val="center"/>
            <w:hideMark/>
          </w:tcPr>
          <w:p w:rsidR="00C1709E" w:rsidRPr="009823EC" w:rsidRDefault="00C1709E" w:rsidP="00C1709E">
            <w:pPr>
              <w:jc w:val="both"/>
              <w:rPr>
                <w:rFonts w:ascii="Arial" w:hAnsi="Arial" w:cs="Arial"/>
                <w:b/>
                <w:bCs/>
                <w:color w:val="333399"/>
                <w:szCs w:val="20"/>
              </w:rPr>
            </w:pPr>
            <w:r w:rsidRPr="009823EC">
              <w:rPr>
                <w:rFonts w:ascii="Arial" w:hAnsi="Arial" w:cs="Arial"/>
                <w:b/>
                <w:bCs/>
                <w:color w:val="333399"/>
                <w:szCs w:val="20"/>
              </w:rPr>
              <w:t>Sustainability</w:t>
            </w:r>
          </w:p>
        </w:tc>
        <w:tc>
          <w:tcPr>
            <w:tcW w:w="419" w:type="dxa"/>
            <w:tcBorders>
              <w:top w:val="single" w:sz="8" w:space="0" w:color="auto"/>
              <w:left w:val="nil"/>
              <w:bottom w:val="single" w:sz="8" w:space="0" w:color="auto"/>
              <w:right w:val="single" w:sz="8" w:space="0" w:color="auto"/>
            </w:tcBorders>
            <w:shd w:val="clear" w:color="000000" w:fill="CCCCFF"/>
            <w:textDirection w:val="btLr"/>
            <w:vAlign w:val="center"/>
            <w:hideMark/>
          </w:tcPr>
          <w:p w:rsidR="00C1709E" w:rsidRPr="009823EC" w:rsidRDefault="00C1709E" w:rsidP="00C1709E">
            <w:pPr>
              <w:jc w:val="both"/>
              <w:rPr>
                <w:rFonts w:ascii="Arial" w:hAnsi="Arial" w:cs="Arial"/>
                <w:b/>
                <w:bCs/>
                <w:color w:val="333399"/>
                <w:szCs w:val="20"/>
              </w:rPr>
            </w:pPr>
            <w:r w:rsidRPr="009823EC">
              <w:rPr>
                <w:rFonts w:ascii="Arial" w:hAnsi="Arial" w:cs="Arial"/>
                <w:b/>
                <w:bCs/>
                <w:color w:val="333399"/>
                <w:szCs w:val="20"/>
              </w:rPr>
              <w:t>Gender Equality</w:t>
            </w:r>
          </w:p>
        </w:tc>
      </w:tr>
      <w:tr w:rsidR="00C1709E" w:rsidRPr="009823EC" w:rsidTr="00C1709E">
        <w:trPr>
          <w:gridAfter w:val="1"/>
          <w:wAfter w:w="6" w:type="dxa"/>
          <w:trHeight w:val="246"/>
        </w:trPr>
        <w:tc>
          <w:tcPr>
            <w:tcW w:w="724" w:type="dxa"/>
            <w:tcBorders>
              <w:top w:val="single" w:sz="8" w:space="0" w:color="auto"/>
              <w:left w:val="single" w:sz="4" w:space="0" w:color="auto"/>
              <w:bottom w:val="single" w:sz="4" w:space="0" w:color="auto"/>
              <w:right w:val="single" w:sz="4" w:space="0" w:color="auto"/>
            </w:tcBorders>
            <w:shd w:val="clear" w:color="auto" w:fill="auto"/>
            <w:noWrap/>
            <w:vAlign w:val="center"/>
            <w:hideMark/>
          </w:tcPr>
          <w:p w:rsidR="00C1709E" w:rsidRPr="009823EC" w:rsidRDefault="00C1709E" w:rsidP="00C1709E">
            <w:pPr>
              <w:jc w:val="center"/>
              <w:rPr>
                <w:rFonts w:ascii="Arial" w:hAnsi="Arial" w:cs="Arial"/>
                <w:sz w:val="16"/>
                <w:szCs w:val="16"/>
              </w:rPr>
            </w:pPr>
            <w:r w:rsidRPr="009823EC">
              <w:rPr>
                <w:rFonts w:ascii="Arial" w:hAnsi="Arial" w:cs="Arial"/>
                <w:sz w:val="16"/>
                <w:szCs w:val="16"/>
              </w:rPr>
              <w:t>INI054</w:t>
            </w:r>
          </w:p>
        </w:tc>
        <w:tc>
          <w:tcPr>
            <w:tcW w:w="2135" w:type="dxa"/>
            <w:tcBorders>
              <w:top w:val="single" w:sz="4" w:space="0" w:color="auto"/>
              <w:left w:val="nil"/>
              <w:bottom w:val="single" w:sz="4" w:space="0" w:color="auto"/>
              <w:right w:val="single" w:sz="4" w:space="0" w:color="auto"/>
            </w:tcBorders>
            <w:shd w:val="clear" w:color="auto" w:fill="auto"/>
            <w:noWrap/>
            <w:vAlign w:val="bottom"/>
            <w:hideMark/>
          </w:tcPr>
          <w:p w:rsidR="00C1709E" w:rsidRPr="009823EC" w:rsidRDefault="00C1709E" w:rsidP="00C1709E">
            <w:pPr>
              <w:rPr>
                <w:rFonts w:ascii="Arial" w:hAnsi="Arial" w:cs="Arial"/>
                <w:sz w:val="16"/>
                <w:szCs w:val="16"/>
              </w:rPr>
            </w:pPr>
            <w:r w:rsidRPr="009823EC">
              <w:rPr>
                <w:rFonts w:ascii="Arial" w:hAnsi="Arial" w:cs="Arial"/>
                <w:sz w:val="16"/>
                <w:szCs w:val="16"/>
              </w:rPr>
              <w:t>AMENCA 2 – NGO Design and Implementation</w:t>
            </w:r>
          </w:p>
        </w:tc>
        <w:tc>
          <w:tcPr>
            <w:tcW w:w="1125" w:type="dxa"/>
            <w:tcBorders>
              <w:top w:val="single" w:sz="4" w:space="0" w:color="auto"/>
              <w:left w:val="nil"/>
              <w:bottom w:val="single" w:sz="4" w:space="0" w:color="auto"/>
              <w:right w:val="single" w:sz="4" w:space="0" w:color="auto"/>
            </w:tcBorders>
            <w:shd w:val="clear" w:color="auto" w:fill="auto"/>
            <w:noWrap/>
            <w:vAlign w:val="bottom"/>
            <w:hideMark/>
          </w:tcPr>
          <w:p w:rsidR="00C1709E" w:rsidRPr="009823EC" w:rsidRDefault="00C1709E" w:rsidP="00C1709E">
            <w:pPr>
              <w:jc w:val="center"/>
              <w:rPr>
                <w:rFonts w:ascii="Arial" w:hAnsi="Arial" w:cs="Arial"/>
                <w:sz w:val="16"/>
                <w:szCs w:val="16"/>
              </w:rPr>
            </w:pPr>
            <w:r w:rsidRPr="009823EC">
              <w:rPr>
                <w:rFonts w:ascii="Arial" w:hAnsi="Arial" w:cs="Arial"/>
                <w:sz w:val="16"/>
                <w:szCs w:val="16"/>
              </w:rPr>
              <w:t>1/09/2008</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1709E" w:rsidRPr="009823EC" w:rsidRDefault="00C1709E" w:rsidP="00C1709E">
            <w:pPr>
              <w:jc w:val="center"/>
              <w:rPr>
                <w:rFonts w:ascii="Arial" w:hAnsi="Arial" w:cs="Arial"/>
                <w:sz w:val="16"/>
                <w:szCs w:val="16"/>
              </w:rPr>
            </w:pPr>
            <w:r w:rsidRPr="009823EC">
              <w:rPr>
                <w:rFonts w:ascii="Arial" w:hAnsi="Arial" w:cs="Arial"/>
                <w:sz w:val="16"/>
                <w:szCs w:val="16"/>
              </w:rPr>
              <w:t>30/06/2014</w:t>
            </w:r>
          </w:p>
        </w:tc>
        <w:tc>
          <w:tcPr>
            <w:tcW w:w="1134" w:type="dxa"/>
            <w:tcBorders>
              <w:top w:val="single" w:sz="4" w:space="0" w:color="auto"/>
              <w:left w:val="nil"/>
              <w:bottom w:val="single" w:sz="4" w:space="0" w:color="auto"/>
              <w:right w:val="nil"/>
            </w:tcBorders>
            <w:shd w:val="clear" w:color="auto" w:fill="auto"/>
            <w:noWrap/>
            <w:vAlign w:val="bottom"/>
            <w:hideMark/>
          </w:tcPr>
          <w:p w:rsidR="00C1709E" w:rsidRPr="009823EC" w:rsidRDefault="00655307" w:rsidP="00C1709E">
            <w:pPr>
              <w:jc w:val="center"/>
              <w:rPr>
                <w:rFonts w:ascii="Arial" w:hAnsi="Arial" w:cs="Arial"/>
                <w:sz w:val="16"/>
                <w:szCs w:val="16"/>
              </w:rPr>
            </w:pPr>
            <w:r>
              <w:rPr>
                <w:rFonts w:ascii="Arial" w:hAnsi="Arial" w:cs="Arial"/>
                <w:sz w:val="16"/>
                <w:szCs w:val="16"/>
              </w:rPr>
              <w:t>$29 455 000</w:t>
            </w:r>
          </w:p>
        </w:tc>
        <w:tc>
          <w:tcPr>
            <w:tcW w:w="426" w:type="dxa"/>
            <w:tcBorders>
              <w:top w:val="single" w:sz="4" w:space="0" w:color="auto"/>
              <w:left w:val="single" w:sz="4" w:space="0" w:color="auto"/>
              <w:bottom w:val="single" w:sz="4" w:space="0" w:color="auto"/>
              <w:right w:val="single" w:sz="4" w:space="0" w:color="auto"/>
            </w:tcBorders>
            <w:shd w:val="clear" w:color="000000" w:fill="99CC00"/>
            <w:noWrap/>
            <w:vAlign w:val="bottom"/>
            <w:hideMark/>
          </w:tcPr>
          <w:p w:rsidR="00C1709E" w:rsidRPr="009823EC" w:rsidRDefault="00C1709E" w:rsidP="00C1709E">
            <w:pPr>
              <w:jc w:val="both"/>
              <w:rPr>
                <w:rFonts w:ascii="Arial" w:hAnsi="Arial" w:cs="Arial"/>
                <w:b/>
                <w:bCs/>
                <w:sz w:val="16"/>
                <w:szCs w:val="16"/>
              </w:rPr>
            </w:pPr>
            <w:r w:rsidRPr="009823EC">
              <w:rPr>
                <w:rFonts w:ascii="Arial" w:hAnsi="Arial" w:cs="Arial"/>
                <w:b/>
                <w:bCs/>
                <w:sz w:val="16"/>
                <w:szCs w:val="16"/>
              </w:rPr>
              <w:t>5</w:t>
            </w:r>
          </w:p>
        </w:tc>
        <w:tc>
          <w:tcPr>
            <w:tcW w:w="425" w:type="dxa"/>
            <w:tcBorders>
              <w:top w:val="single" w:sz="4" w:space="0" w:color="auto"/>
              <w:left w:val="single" w:sz="4" w:space="0" w:color="auto"/>
              <w:bottom w:val="single" w:sz="4" w:space="0" w:color="auto"/>
              <w:right w:val="single" w:sz="4" w:space="0" w:color="auto"/>
            </w:tcBorders>
            <w:shd w:val="clear" w:color="000000" w:fill="99CC00"/>
            <w:noWrap/>
            <w:vAlign w:val="bottom"/>
            <w:hideMark/>
          </w:tcPr>
          <w:p w:rsidR="00C1709E" w:rsidRPr="009823EC" w:rsidRDefault="00C1709E" w:rsidP="00C1709E">
            <w:pPr>
              <w:jc w:val="both"/>
              <w:rPr>
                <w:rFonts w:ascii="Arial" w:hAnsi="Arial" w:cs="Arial"/>
                <w:b/>
                <w:bCs/>
                <w:sz w:val="16"/>
                <w:szCs w:val="16"/>
              </w:rPr>
            </w:pPr>
            <w:r w:rsidRPr="009823EC">
              <w:rPr>
                <w:rFonts w:ascii="Arial" w:hAnsi="Arial" w:cs="Arial"/>
                <w:b/>
                <w:bCs/>
                <w:sz w:val="16"/>
                <w:szCs w:val="16"/>
              </w:rPr>
              <w:t>5</w:t>
            </w:r>
          </w:p>
        </w:tc>
        <w:tc>
          <w:tcPr>
            <w:tcW w:w="425"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C1709E" w:rsidRPr="009823EC" w:rsidRDefault="00C1709E" w:rsidP="00C1709E">
            <w:pPr>
              <w:jc w:val="both"/>
              <w:rPr>
                <w:rFonts w:ascii="Arial" w:hAnsi="Arial" w:cs="Arial"/>
                <w:b/>
                <w:bCs/>
                <w:sz w:val="16"/>
                <w:szCs w:val="16"/>
              </w:rPr>
            </w:pPr>
            <w:r w:rsidRPr="009823EC">
              <w:rPr>
                <w:rFonts w:ascii="Arial" w:hAnsi="Arial" w:cs="Arial"/>
                <w:b/>
                <w:bCs/>
                <w:sz w:val="16"/>
                <w:szCs w:val="16"/>
              </w:rPr>
              <w:t>4</w:t>
            </w:r>
          </w:p>
        </w:tc>
        <w:tc>
          <w:tcPr>
            <w:tcW w:w="425" w:type="dxa"/>
            <w:tcBorders>
              <w:top w:val="single" w:sz="4" w:space="0" w:color="auto"/>
              <w:left w:val="single" w:sz="4" w:space="0" w:color="auto"/>
              <w:bottom w:val="single" w:sz="4" w:space="0" w:color="auto"/>
              <w:right w:val="single" w:sz="4" w:space="0" w:color="auto"/>
            </w:tcBorders>
            <w:shd w:val="clear" w:color="000000" w:fill="99CC00"/>
            <w:noWrap/>
            <w:vAlign w:val="bottom"/>
            <w:hideMark/>
          </w:tcPr>
          <w:p w:rsidR="00C1709E" w:rsidRPr="009823EC" w:rsidRDefault="00C1709E" w:rsidP="00C1709E">
            <w:pPr>
              <w:jc w:val="both"/>
              <w:rPr>
                <w:rFonts w:ascii="Arial" w:hAnsi="Arial" w:cs="Arial"/>
                <w:b/>
                <w:bCs/>
                <w:sz w:val="16"/>
                <w:szCs w:val="16"/>
              </w:rPr>
            </w:pPr>
            <w:r w:rsidRPr="009823EC">
              <w:rPr>
                <w:rFonts w:ascii="Arial" w:hAnsi="Arial" w:cs="Arial"/>
                <w:b/>
                <w:bCs/>
                <w:sz w:val="16"/>
                <w:szCs w:val="16"/>
              </w:rPr>
              <w:t>5</w:t>
            </w:r>
          </w:p>
        </w:tc>
        <w:tc>
          <w:tcPr>
            <w:tcW w:w="426"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C1709E" w:rsidRPr="009823EC" w:rsidRDefault="00C1709E" w:rsidP="00C1709E">
            <w:pPr>
              <w:jc w:val="both"/>
              <w:rPr>
                <w:rFonts w:ascii="Arial" w:hAnsi="Arial" w:cs="Arial"/>
                <w:b/>
                <w:bCs/>
                <w:sz w:val="16"/>
                <w:szCs w:val="16"/>
              </w:rPr>
            </w:pPr>
            <w:r w:rsidRPr="009823EC">
              <w:rPr>
                <w:rFonts w:ascii="Arial" w:hAnsi="Arial" w:cs="Arial"/>
                <w:b/>
                <w:bCs/>
                <w:sz w:val="16"/>
                <w:szCs w:val="16"/>
              </w:rPr>
              <w:t>4</w:t>
            </w:r>
          </w:p>
        </w:tc>
        <w:tc>
          <w:tcPr>
            <w:tcW w:w="419" w:type="dxa"/>
            <w:tcBorders>
              <w:top w:val="single" w:sz="4" w:space="0" w:color="auto"/>
              <w:left w:val="single" w:sz="4" w:space="0" w:color="auto"/>
              <w:bottom w:val="single" w:sz="4" w:space="0" w:color="auto"/>
              <w:right w:val="single" w:sz="8" w:space="0" w:color="auto"/>
            </w:tcBorders>
            <w:shd w:val="clear" w:color="000000" w:fill="99CC00"/>
            <w:noWrap/>
            <w:vAlign w:val="bottom"/>
            <w:hideMark/>
          </w:tcPr>
          <w:p w:rsidR="00C1709E" w:rsidRPr="009823EC" w:rsidRDefault="00C1709E" w:rsidP="00C1709E">
            <w:pPr>
              <w:jc w:val="both"/>
              <w:rPr>
                <w:rFonts w:ascii="Arial" w:hAnsi="Arial" w:cs="Arial"/>
                <w:b/>
                <w:bCs/>
                <w:sz w:val="16"/>
                <w:szCs w:val="16"/>
              </w:rPr>
            </w:pPr>
            <w:r w:rsidRPr="009823EC">
              <w:rPr>
                <w:rFonts w:ascii="Arial" w:hAnsi="Arial" w:cs="Arial"/>
                <w:b/>
                <w:bCs/>
                <w:sz w:val="16"/>
                <w:szCs w:val="16"/>
              </w:rPr>
              <w:t>5</w:t>
            </w:r>
          </w:p>
        </w:tc>
      </w:tr>
      <w:tr w:rsidR="00C1709E" w:rsidRPr="009823EC" w:rsidTr="00C1709E">
        <w:trPr>
          <w:gridAfter w:val="1"/>
          <w:wAfter w:w="6" w:type="dxa"/>
          <w:trHeight w:val="319"/>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709E" w:rsidRPr="009823EC" w:rsidRDefault="00C1709E" w:rsidP="00C1709E">
            <w:pPr>
              <w:jc w:val="center"/>
              <w:rPr>
                <w:rFonts w:ascii="Arial" w:hAnsi="Arial" w:cs="Arial"/>
                <w:sz w:val="16"/>
                <w:szCs w:val="16"/>
              </w:rPr>
            </w:pPr>
            <w:r w:rsidRPr="009823EC">
              <w:rPr>
                <w:rFonts w:ascii="Arial" w:hAnsi="Arial" w:cs="Arial"/>
                <w:sz w:val="16"/>
                <w:szCs w:val="16"/>
              </w:rPr>
              <w:t>IN</w:t>
            </w:r>
            <w:r w:rsidR="00655307">
              <w:rPr>
                <w:rFonts w:ascii="Arial" w:hAnsi="Arial" w:cs="Arial"/>
                <w:sz w:val="16"/>
                <w:szCs w:val="16"/>
              </w:rPr>
              <w:t>J</w:t>
            </w:r>
            <w:r w:rsidRPr="009823EC">
              <w:rPr>
                <w:rFonts w:ascii="Arial" w:hAnsi="Arial" w:cs="Arial"/>
                <w:sz w:val="16"/>
                <w:szCs w:val="16"/>
              </w:rPr>
              <w:t>050</w:t>
            </w:r>
          </w:p>
        </w:tc>
        <w:tc>
          <w:tcPr>
            <w:tcW w:w="2135" w:type="dxa"/>
            <w:tcBorders>
              <w:top w:val="nil"/>
              <w:left w:val="nil"/>
              <w:bottom w:val="single" w:sz="4" w:space="0" w:color="auto"/>
              <w:right w:val="single" w:sz="4" w:space="0" w:color="auto"/>
            </w:tcBorders>
            <w:shd w:val="clear" w:color="auto" w:fill="auto"/>
            <w:noWrap/>
            <w:vAlign w:val="bottom"/>
            <w:hideMark/>
          </w:tcPr>
          <w:p w:rsidR="00C1709E" w:rsidRPr="009823EC" w:rsidRDefault="00C1709E" w:rsidP="00C1709E">
            <w:pPr>
              <w:rPr>
                <w:rFonts w:ascii="Arial" w:hAnsi="Arial" w:cs="Arial"/>
                <w:sz w:val="16"/>
                <w:szCs w:val="16"/>
              </w:rPr>
            </w:pPr>
            <w:r w:rsidRPr="009823EC">
              <w:rPr>
                <w:rFonts w:ascii="Arial" w:hAnsi="Arial" w:cs="Arial"/>
                <w:sz w:val="16"/>
                <w:szCs w:val="16"/>
              </w:rPr>
              <w:t>Palestinian Territories Water and Sanitation 2009-11</w:t>
            </w:r>
          </w:p>
        </w:tc>
        <w:tc>
          <w:tcPr>
            <w:tcW w:w="1125" w:type="dxa"/>
            <w:tcBorders>
              <w:top w:val="nil"/>
              <w:left w:val="nil"/>
              <w:bottom w:val="single" w:sz="4" w:space="0" w:color="auto"/>
              <w:right w:val="single" w:sz="4" w:space="0" w:color="auto"/>
            </w:tcBorders>
            <w:shd w:val="clear" w:color="auto" w:fill="auto"/>
            <w:noWrap/>
            <w:vAlign w:val="bottom"/>
            <w:hideMark/>
          </w:tcPr>
          <w:p w:rsidR="00C1709E" w:rsidRPr="009823EC" w:rsidRDefault="00C1709E" w:rsidP="00C1709E">
            <w:pPr>
              <w:jc w:val="center"/>
              <w:rPr>
                <w:rFonts w:ascii="Arial" w:hAnsi="Arial" w:cs="Arial"/>
                <w:sz w:val="16"/>
                <w:szCs w:val="16"/>
              </w:rPr>
            </w:pPr>
            <w:r w:rsidRPr="009823EC">
              <w:rPr>
                <w:rFonts w:ascii="Arial" w:hAnsi="Arial" w:cs="Arial"/>
                <w:sz w:val="16"/>
                <w:szCs w:val="16"/>
              </w:rPr>
              <w:t>30/09/2008</w:t>
            </w:r>
          </w:p>
        </w:tc>
        <w:tc>
          <w:tcPr>
            <w:tcW w:w="1134" w:type="dxa"/>
            <w:tcBorders>
              <w:top w:val="nil"/>
              <w:left w:val="nil"/>
              <w:bottom w:val="single" w:sz="4" w:space="0" w:color="auto"/>
              <w:right w:val="single" w:sz="4" w:space="0" w:color="auto"/>
            </w:tcBorders>
            <w:shd w:val="clear" w:color="auto" w:fill="auto"/>
            <w:noWrap/>
            <w:vAlign w:val="bottom"/>
            <w:hideMark/>
          </w:tcPr>
          <w:p w:rsidR="00C1709E" w:rsidRPr="009823EC" w:rsidRDefault="00C1709E" w:rsidP="00C1709E">
            <w:pPr>
              <w:jc w:val="center"/>
              <w:rPr>
                <w:rFonts w:ascii="Arial" w:hAnsi="Arial" w:cs="Arial"/>
                <w:sz w:val="16"/>
                <w:szCs w:val="16"/>
              </w:rPr>
            </w:pPr>
            <w:r w:rsidRPr="009823EC">
              <w:rPr>
                <w:rFonts w:ascii="Arial" w:hAnsi="Arial" w:cs="Arial"/>
                <w:sz w:val="16"/>
                <w:szCs w:val="16"/>
              </w:rPr>
              <w:t>30/06/2013</w:t>
            </w:r>
          </w:p>
        </w:tc>
        <w:tc>
          <w:tcPr>
            <w:tcW w:w="1134" w:type="dxa"/>
            <w:tcBorders>
              <w:top w:val="nil"/>
              <w:left w:val="nil"/>
              <w:bottom w:val="single" w:sz="4" w:space="0" w:color="auto"/>
              <w:right w:val="nil"/>
            </w:tcBorders>
            <w:shd w:val="clear" w:color="auto" w:fill="auto"/>
            <w:noWrap/>
            <w:vAlign w:val="bottom"/>
            <w:hideMark/>
          </w:tcPr>
          <w:p w:rsidR="00C1709E" w:rsidRPr="009823EC" w:rsidRDefault="00655307" w:rsidP="00C1709E">
            <w:pPr>
              <w:jc w:val="center"/>
              <w:rPr>
                <w:rFonts w:ascii="Arial" w:hAnsi="Arial" w:cs="Arial"/>
                <w:sz w:val="16"/>
                <w:szCs w:val="16"/>
              </w:rPr>
            </w:pPr>
            <w:r>
              <w:rPr>
                <w:rFonts w:ascii="Arial" w:hAnsi="Arial" w:cs="Arial"/>
                <w:sz w:val="16"/>
                <w:szCs w:val="16"/>
              </w:rPr>
              <w:t xml:space="preserve">$6 000 </w:t>
            </w:r>
            <w:r w:rsidR="00C1709E" w:rsidRPr="009823EC">
              <w:rPr>
                <w:rFonts w:ascii="Arial" w:hAnsi="Arial" w:cs="Arial"/>
                <w:sz w:val="16"/>
                <w:szCs w:val="16"/>
              </w:rPr>
              <w:t>000</w:t>
            </w:r>
          </w:p>
        </w:tc>
        <w:tc>
          <w:tcPr>
            <w:tcW w:w="426" w:type="dxa"/>
            <w:tcBorders>
              <w:top w:val="single" w:sz="4" w:space="0" w:color="auto"/>
              <w:left w:val="single" w:sz="4" w:space="0" w:color="auto"/>
              <w:bottom w:val="single" w:sz="4" w:space="0" w:color="auto"/>
              <w:right w:val="single" w:sz="4" w:space="0" w:color="auto"/>
            </w:tcBorders>
            <w:shd w:val="clear" w:color="000000" w:fill="99CC00"/>
            <w:noWrap/>
            <w:vAlign w:val="bottom"/>
            <w:hideMark/>
          </w:tcPr>
          <w:p w:rsidR="00C1709E" w:rsidRPr="009823EC" w:rsidRDefault="00C1709E" w:rsidP="00C1709E">
            <w:pPr>
              <w:jc w:val="both"/>
              <w:rPr>
                <w:rFonts w:ascii="Arial" w:hAnsi="Arial" w:cs="Arial"/>
                <w:b/>
                <w:bCs/>
                <w:sz w:val="16"/>
                <w:szCs w:val="16"/>
              </w:rPr>
            </w:pPr>
            <w:r w:rsidRPr="009823EC">
              <w:rPr>
                <w:rFonts w:ascii="Arial" w:hAnsi="Arial" w:cs="Arial"/>
                <w:b/>
                <w:bCs/>
                <w:sz w:val="16"/>
                <w:szCs w:val="16"/>
              </w:rPr>
              <w:t>6</w:t>
            </w:r>
          </w:p>
        </w:tc>
        <w:tc>
          <w:tcPr>
            <w:tcW w:w="425" w:type="dxa"/>
            <w:tcBorders>
              <w:top w:val="single" w:sz="4" w:space="0" w:color="auto"/>
              <w:left w:val="single" w:sz="4" w:space="0" w:color="auto"/>
              <w:bottom w:val="single" w:sz="4" w:space="0" w:color="auto"/>
              <w:right w:val="single" w:sz="4" w:space="0" w:color="auto"/>
            </w:tcBorders>
            <w:shd w:val="clear" w:color="auto" w:fill="92D050"/>
            <w:noWrap/>
            <w:vAlign w:val="bottom"/>
            <w:hideMark/>
          </w:tcPr>
          <w:p w:rsidR="00C1709E" w:rsidRPr="009823EC" w:rsidRDefault="00C1709E" w:rsidP="00C1709E">
            <w:pPr>
              <w:jc w:val="both"/>
              <w:rPr>
                <w:rFonts w:ascii="Arial" w:hAnsi="Arial" w:cs="Arial"/>
                <w:b/>
                <w:bCs/>
                <w:sz w:val="16"/>
                <w:szCs w:val="16"/>
              </w:rPr>
            </w:pPr>
            <w:r w:rsidRPr="009823EC">
              <w:rPr>
                <w:rFonts w:ascii="Arial" w:hAnsi="Arial" w:cs="Arial"/>
                <w:b/>
                <w:bCs/>
                <w:sz w:val="16"/>
                <w:szCs w:val="16"/>
              </w:rPr>
              <w:t>5</w:t>
            </w:r>
          </w:p>
        </w:tc>
        <w:tc>
          <w:tcPr>
            <w:tcW w:w="425"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C1709E" w:rsidRPr="009823EC" w:rsidRDefault="00C1709E" w:rsidP="00C1709E">
            <w:pPr>
              <w:jc w:val="both"/>
              <w:rPr>
                <w:rFonts w:ascii="Arial" w:hAnsi="Arial" w:cs="Arial"/>
                <w:b/>
                <w:bCs/>
                <w:sz w:val="16"/>
                <w:szCs w:val="16"/>
              </w:rPr>
            </w:pPr>
            <w:r w:rsidRPr="009823EC">
              <w:rPr>
                <w:rFonts w:ascii="Arial" w:hAnsi="Arial" w:cs="Arial"/>
                <w:b/>
                <w:bCs/>
                <w:sz w:val="16"/>
                <w:szCs w:val="16"/>
              </w:rPr>
              <w:t>4</w:t>
            </w:r>
          </w:p>
        </w:tc>
        <w:tc>
          <w:tcPr>
            <w:tcW w:w="425"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C1709E" w:rsidRPr="009823EC" w:rsidRDefault="00C1709E" w:rsidP="00C1709E">
            <w:pPr>
              <w:jc w:val="both"/>
              <w:rPr>
                <w:rFonts w:ascii="Arial" w:hAnsi="Arial" w:cs="Arial"/>
                <w:b/>
                <w:bCs/>
                <w:sz w:val="16"/>
                <w:szCs w:val="16"/>
              </w:rPr>
            </w:pPr>
            <w:r w:rsidRPr="009823EC">
              <w:rPr>
                <w:rFonts w:ascii="Arial" w:hAnsi="Arial" w:cs="Arial"/>
                <w:b/>
                <w:bCs/>
                <w:sz w:val="16"/>
                <w:szCs w:val="16"/>
              </w:rPr>
              <w:t>4</w:t>
            </w:r>
          </w:p>
        </w:tc>
        <w:tc>
          <w:tcPr>
            <w:tcW w:w="426"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C1709E" w:rsidRPr="009823EC" w:rsidRDefault="00C1709E" w:rsidP="00C1709E">
            <w:pPr>
              <w:jc w:val="both"/>
              <w:rPr>
                <w:rFonts w:ascii="Arial" w:hAnsi="Arial" w:cs="Arial"/>
                <w:b/>
                <w:bCs/>
                <w:sz w:val="16"/>
                <w:szCs w:val="16"/>
              </w:rPr>
            </w:pPr>
            <w:r w:rsidRPr="009823EC">
              <w:rPr>
                <w:rFonts w:ascii="Arial" w:hAnsi="Arial" w:cs="Arial"/>
                <w:b/>
                <w:bCs/>
                <w:sz w:val="16"/>
                <w:szCs w:val="16"/>
              </w:rPr>
              <w:t>4</w:t>
            </w:r>
          </w:p>
        </w:tc>
        <w:tc>
          <w:tcPr>
            <w:tcW w:w="419" w:type="dxa"/>
            <w:tcBorders>
              <w:top w:val="single" w:sz="4" w:space="0" w:color="auto"/>
              <w:left w:val="single" w:sz="4" w:space="0" w:color="auto"/>
              <w:bottom w:val="single" w:sz="4" w:space="0" w:color="auto"/>
              <w:right w:val="single" w:sz="8" w:space="0" w:color="auto"/>
            </w:tcBorders>
            <w:shd w:val="clear" w:color="auto" w:fill="FFFF00"/>
            <w:noWrap/>
            <w:vAlign w:val="bottom"/>
            <w:hideMark/>
          </w:tcPr>
          <w:p w:rsidR="00C1709E" w:rsidRPr="009823EC" w:rsidRDefault="00C1709E" w:rsidP="00C1709E">
            <w:pPr>
              <w:jc w:val="both"/>
              <w:rPr>
                <w:rFonts w:ascii="Arial" w:hAnsi="Arial" w:cs="Arial"/>
                <w:b/>
                <w:bCs/>
                <w:sz w:val="16"/>
                <w:szCs w:val="16"/>
              </w:rPr>
            </w:pPr>
            <w:r w:rsidRPr="009823EC">
              <w:rPr>
                <w:rFonts w:ascii="Arial" w:hAnsi="Arial" w:cs="Arial"/>
                <w:b/>
                <w:bCs/>
                <w:sz w:val="16"/>
                <w:szCs w:val="16"/>
              </w:rPr>
              <w:t>4</w:t>
            </w:r>
          </w:p>
        </w:tc>
      </w:tr>
      <w:tr w:rsidR="00C1709E" w:rsidRPr="009823EC" w:rsidTr="00C1709E">
        <w:trPr>
          <w:gridAfter w:val="1"/>
          <w:wAfter w:w="6" w:type="dxa"/>
          <w:trHeight w:val="383"/>
        </w:trPr>
        <w:tc>
          <w:tcPr>
            <w:tcW w:w="72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1709E" w:rsidRPr="009823EC" w:rsidRDefault="00C1709E" w:rsidP="00C1709E">
            <w:pPr>
              <w:jc w:val="center"/>
              <w:rPr>
                <w:rFonts w:ascii="Arial" w:hAnsi="Arial" w:cs="Arial"/>
                <w:sz w:val="16"/>
                <w:szCs w:val="16"/>
              </w:rPr>
            </w:pPr>
            <w:r w:rsidRPr="009823EC">
              <w:rPr>
                <w:rFonts w:ascii="Arial" w:hAnsi="Arial" w:cs="Arial"/>
                <w:sz w:val="16"/>
                <w:szCs w:val="16"/>
              </w:rPr>
              <w:t>INJ843</w:t>
            </w:r>
          </w:p>
        </w:tc>
        <w:tc>
          <w:tcPr>
            <w:tcW w:w="2135" w:type="dxa"/>
            <w:tcBorders>
              <w:top w:val="single" w:sz="4" w:space="0" w:color="auto"/>
              <w:left w:val="nil"/>
              <w:bottom w:val="single" w:sz="4" w:space="0" w:color="auto"/>
              <w:right w:val="single" w:sz="4" w:space="0" w:color="auto"/>
            </w:tcBorders>
            <w:shd w:val="clear" w:color="auto" w:fill="auto"/>
            <w:noWrap/>
            <w:vAlign w:val="bottom"/>
            <w:hideMark/>
          </w:tcPr>
          <w:p w:rsidR="00C1709E" w:rsidRPr="009823EC" w:rsidRDefault="00C1709E" w:rsidP="00C1709E">
            <w:pPr>
              <w:rPr>
                <w:rFonts w:ascii="Arial" w:hAnsi="Arial" w:cs="Arial"/>
                <w:sz w:val="16"/>
                <w:szCs w:val="16"/>
              </w:rPr>
            </w:pPr>
            <w:r w:rsidRPr="009823EC">
              <w:rPr>
                <w:rFonts w:ascii="Arial" w:hAnsi="Arial" w:cs="Arial"/>
                <w:sz w:val="16"/>
                <w:szCs w:val="16"/>
              </w:rPr>
              <w:t>AusAID- Palestinian Authority Partnership Agreement</w:t>
            </w:r>
          </w:p>
        </w:tc>
        <w:tc>
          <w:tcPr>
            <w:tcW w:w="1125" w:type="dxa"/>
            <w:tcBorders>
              <w:top w:val="single" w:sz="4" w:space="0" w:color="auto"/>
              <w:left w:val="nil"/>
              <w:bottom w:val="single" w:sz="4" w:space="0" w:color="auto"/>
              <w:right w:val="single" w:sz="4" w:space="0" w:color="auto"/>
            </w:tcBorders>
            <w:shd w:val="clear" w:color="auto" w:fill="auto"/>
            <w:noWrap/>
            <w:vAlign w:val="bottom"/>
            <w:hideMark/>
          </w:tcPr>
          <w:p w:rsidR="00C1709E" w:rsidRPr="009823EC" w:rsidRDefault="00C1709E" w:rsidP="00C1709E">
            <w:pPr>
              <w:jc w:val="center"/>
              <w:rPr>
                <w:rFonts w:ascii="Arial" w:hAnsi="Arial" w:cs="Arial"/>
                <w:sz w:val="16"/>
                <w:szCs w:val="16"/>
              </w:rPr>
            </w:pPr>
            <w:r w:rsidRPr="009823EC">
              <w:rPr>
                <w:rFonts w:ascii="Arial" w:hAnsi="Arial" w:cs="Arial"/>
                <w:sz w:val="16"/>
                <w:szCs w:val="16"/>
              </w:rPr>
              <w:t>1/07/2009</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C1709E" w:rsidRPr="009823EC" w:rsidRDefault="00C1709E" w:rsidP="00C1709E">
            <w:pPr>
              <w:jc w:val="center"/>
              <w:rPr>
                <w:rFonts w:ascii="Arial" w:hAnsi="Arial" w:cs="Arial"/>
                <w:sz w:val="16"/>
                <w:szCs w:val="16"/>
              </w:rPr>
            </w:pPr>
            <w:r w:rsidRPr="009823EC">
              <w:rPr>
                <w:rFonts w:ascii="Arial" w:hAnsi="Arial" w:cs="Arial"/>
                <w:sz w:val="16"/>
                <w:szCs w:val="16"/>
              </w:rPr>
              <w:t>30/06/2013</w:t>
            </w:r>
          </w:p>
        </w:tc>
        <w:tc>
          <w:tcPr>
            <w:tcW w:w="1134" w:type="dxa"/>
            <w:tcBorders>
              <w:top w:val="single" w:sz="4" w:space="0" w:color="auto"/>
              <w:left w:val="nil"/>
              <w:bottom w:val="single" w:sz="4" w:space="0" w:color="auto"/>
              <w:right w:val="nil"/>
            </w:tcBorders>
            <w:shd w:val="clear" w:color="auto" w:fill="auto"/>
            <w:noWrap/>
            <w:vAlign w:val="bottom"/>
            <w:hideMark/>
          </w:tcPr>
          <w:p w:rsidR="00C1709E" w:rsidRPr="009823EC" w:rsidRDefault="00655307" w:rsidP="00655307">
            <w:pPr>
              <w:jc w:val="center"/>
              <w:rPr>
                <w:rFonts w:ascii="Arial" w:hAnsi="Arial" w:cs="Arial"/>
                <w:sz w:val="16"/>
                <w:szCs w:val="16"/>
              </w:rPr>
            </w:pPr>
            <w:r>
              <w:rPr>
                <w:rFonts w:ascii="Arial" w:hAnsi="Arial" w:cs="Arial"/>
                <w:sz w:val="16"/>
                <w:szCs w:val="16"/>
              </w:rPr>
              <w:t>$120000000</w:t>
            </w:r>
          </w:p>
        </w:tc>
        <w:tc>
          <w:tcPr>
            <w:tcW w:w="426" w:type="dxa"/>
            <w:tcBorders>
              <w:top w:val="single" w:sz="4" w:space="0" w:color="auto"/>
              <w:left w:val="single" w:sz="4" w:space="0" w:color="auto"/>
              <w:bottom w:val="single" w:sz="4" w:space="0" w:color="auto"/>
              <w:right w:val="single" w:sz="4" w:space="0" w:color="auto"/>
            </w:tcBorders>
            <w:shd w:val="clear" w:color="000000" w:fill="99CC00"/>
            <w:noWrap/>
            <w:vAlign w:val="bottom"/>
            <w:hideMark/>
          </w:tcPr>
          <w:p w:rsidR="00C1709E" w:rsidRPr="009823EC" w:rsidRDefault="00C1709E" w:rsidP="00C1709E">
            <w:pPr>
              <w:jc w:val="both"/>
              <w:rPr>
                <w:rFonts w:ascii="Arial" w:hAnsi="Arial" w:cs="Arial"/>
                <w:b/>
                <w:bCs/>
                <w:sz w:val="16"/>
                <w:szCs w:val="16"/>
              </w:rPr>
            </w:pPr>
            <w:r w:rsidRPr="009823EC">
              <w:rPr>
                <w:rFonts w:ascii="Arial" w:hAnsi="Arial" w:cs="Arial"/>
                <w:b/>
                <w:bCs/>
                <w:sz w:val="16"/>
                <w:szCs w:val="16"/>
              </w:rPr>
              <w:t>6</w:t>
            </w:r>
          </w:p>
        </w:tc>
        <w:tc>
          <w:tcPr>
            <w:tcW w:w="425" w:type="dxa"/>
            <w:tcBorders>
              <w:top w:val="single" w:sz="4" w:space="0" w:color="auto"/>
              <w:left w:val="single" w:sz="4" w:space="0" w:color="auto"/>
              <w:bottom w:val="single" w:sz="4" w:space="0" w:color="auto"/>
              <w:right w:val="single" w:sz="4" w:space="0" w:color="auto"/>
            </w:tcBorders>
            <w:shd w:val="clear" w:color="000000" w:fill="99CC00"/>
            <w:noWrap/>
            <w:vAlign w:val="bottom"/>
            <w:hideMark/>
          </w:tcPr>
          <w:p w:rsidR="00C1709E" w:rsidRPr="009823EC" w:rsidRDefault="00C1709E" w:rsidP="00C1709E">
            <w:pPr>
              <w:jc w:val="both"/>
              <w:rPr>
                <w:rFonts w:ascii="Arial" w:hAnsi="Arial" w:cs="Arial"/>
                <w:b/>
                <w:bCs/>
                <w:sz w:val="16"/>
                <w:szCs w:val="16"/>
              </w:rPr>
            </w:pPr>
            <w:r w:rsidRPr="009823EC">
              <w:rPr>
                <w:rFonts w:ascii="Arial" w:hAnsi="Arial" w:cs="Arial"/>
                <w:b/>
                <w:bCs/>
                <w:sz w:val="16"/>
                <w:szCs w:val="16"/>
              </w:rPr>
              <w:t>5</w:t>
            </w:r>
          </w:p>
        </w:tc>
        <w:tc>
          <w:tcPr>
            <w:tcW w:w="425"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C1709E" w:rsidRPr="009823EC" w:rsidRDefault="00C1709E" w:rsidP="00C1709E">
            <w:pPr>
              <w:jc w:val="both"/>
              <w:rPr>
                <w:rFonts w:ascii="Arial" w:hAnsi="Arial" w:cs="Arial"/>
                <w:b/>
                <w:bCs/>
                <w:sz w:val="16"/>
                <w:szCs w:val="16"/>
              </w:rPr>
            </w:pPr>
            <w:r w:rsidRPr="009823EC">
              <w:rPr>
                <w:rFonts w:ascii="Arial" w:hAnsi="Arial" w:cs="Arial"/>
                <w:b/>
                <w:bCs/>
                <w:sz w:val="16"/>
                <w:szCs w:val="16"/>
              </w:rPr>
              <w:t>4</w:t>
            </w:r>
          </w:p>
        </w:tc>
        <w:tc>
          <w:tcPr>
            <w:tcW w:w="425"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C1709E" w:rsidRPr="009823EC" w:rsidRDefault="00C1709E" w:rsidP="00C1709E">
            <w:pPr>
              <w:jc w:val="both"/>
              <w:rPr>
                <w:rFonts w:ascii="Arial" w:hAnsi="Arial" w:cs="Arial"/>
                <w:b/>
                <w:bCs/>
                <w:sz w:val="16"/>
                <w:szCs w:val="16"/>
              </w:rPr>
            </w:pPr>
            <w:r w:rsidRPr="009823EC">
              <w:rPr>
                <w:rFonts w:ascii="Arial" w:hAnsi="Arial" w:cs="Arial"/>
                <w:b/>
                <w:bCs/>
                <w:sz w:val="16"/>
                <w:szCs w:val="16"/>
              </w:rPr>
              <w:t>4</w:t>
            </w:r>
          </w:p>
        </w:tc>
        <w:tc>
          <w:tcPr>
            <w:tcW w:w="426" w:type="dxa"/>
            <w:tcBorders>
              <w:top w:val="single" w:sz="4" w:space="0" w:color="auto"/>
              <w:left w:val="single" w:sz="4" w:space="0" w:color="auto"/>
              <w:bottom w:val="single" w:sz="4" w:space="0" w:color="auto"/>
              <w:right w:val="single" w:sz="4" w:space="0" w:color="auto"/>
            </w:tcBorders>
            <w:shd w:val="clear" w:color="auto" w:fill="FFFF00"/>
            <w:noWrap/>
            <w:vAlign w:val="bottom"/>
            <w:hideMark/>
          </w:tcPr>
          <w:p w:rsidR="00C1709E" w:rsidRPr="009823EC" w:rsidRDefault="00C1709E" w:rsidP="00C1709E">
            <w:pPr>
              <w:jc w:val="both"/>
              <w:rPr>
                <w:rFonts w:ascii="Arial" w:hAnsi="Arial" w:cs="Arial"/>
                <w:b/>
                <w:bCs/>
                <w:sz w:val="16"/>
                <w:szCs w:val="16"/>
              </w:rPr>
            </w:pPr>
            <w:r w:rsidRPr="009823EC">
              <w:rPr>
                <w:rFonts w:ascii="Arial" w:hAnsi="Arial" w:cs="Arial"/>
                <w:b/>
                <w:bCs/>
                <w:sz w:val="16"/>
                <w:szCs w:val="16"/>
              </w:rPr>
              <w:t>4</w:t>
            </w:r>
          </w:p>
        </w:tc>
        <w:tc>
          <w:tcPr>
            <w:tcW w:w="419" w:type="dxa"/>
            <w:tcBorders>
              <w:top w:val="single" w:sz="4" w:space="0" w:color="auto"/>
              <w:left w:val="single" w:sz="4" w:space="0" w:color="auto"/>
              <w:bottom w:val="single" w:sz="4" w:space="0" w:color="auto"/>
              <w:right w:val="single" w:sz="8" w:space="0" w:color="auto"/>
            </w:tcBorders>
            <w:shd w:val="clear" w:color="auto" w:fill="FFFF00"/>
            <w:noWrap/>
            <w:vAlign w:val="bottom"/>
            <w:hideMark/>
          </w:tcPr>
          <w:p w:rsidR="00C1709E" w:rsidRPr="009823EC" w:rsidRDefault="00C1709E" w:rsidP="00C1709E">
            <w:pPr>
              <w:jc w:val="both"/>
              <w:rPr>
                <w:rFonts w:ascii="Arial" w:hAnsi="Arial" w:cs="Arial"/>
                <w:b/>
                <w:bCs/>
                <w:sz w:val="16"/>
                <w:szCs w:val="16"/>
              </w:rPr>
            </w:pPr>
            <w:r w:rsidRPr="009823EC">
              <w:rPr>
                <w:rFonts w:ascii="Arial" w:hAnsi="Arial" w:cs="Arial"/>
                <w:b/>
                <w:bCs/>
                <w:sz w:val="16"/>
                <w:szCs w:val="16"/>
              </w:rPr>
              <w:t>4</w:t>
            </w:r>
          </w:p>
        </w:tc>
      </w:tr>
      <w:tr w:rsidR="00C1709E" w:rsidRPr="00375638" w:rsidTr="00AB02EE">
        <w:tblPrEx>
          <w:tblCellMar>
            <w:left w:w="0" w:type="dxa"/>
            <w:right w:w="0" w:type="dxa"/>
          </w:tblCellMar>
        </w:tblPrEx>
        <w:trPr>
          <w:trHeight w:val="492"/>
        </w:trPr>
        <w:tc>
          <w:tcPr>
            <w:tcW w:w="724" w:type="dxa"/>
            <w:tcBorders>
              <w:top w:val="single" w:sz="4" w:space="0" w:color="auto"/>
              <w:left w:val="single" w:sz="4" w:space="0" w:color="auto"/>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C1709E" w:rsidRPr="009823EC" w:rsidRDefault="00C1709E" w:rsidP="00C1709E">
            <w:pPr>
              <w:jc w:val="center"/>
              <w:rPr>
                <w:rFonts w:ascii="Arial" w:hAnsi="Arial" w:cs="Arial"/>
                <w:sz w:val="16"/>
                <w:szCs w:val="16"/>
              </w:rPr>
            </w:pPr>
            <w:r w:rsidRPr="009823EC">
              <w:rPr>
                <w:rFonts w:ascii="Arial" w:hAnsi="Arial" w:cs="Arial"/>
                <w:sz w:val="16"/>
                <w:szCs w:val="16"/>
              </w:rPr>
              <w:t>INJ534</w:t>
            </w:r>
          </w:p>
        </w:tc>
        <w:tc>
          <w:tcPr>
            <w:tcW w:w="2135" w:type="dxa"/>
            <w:tcBorders>
              <w:top w:val="single" w:sz="4"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center"/>
            <w:hideMark/>
          </w:tcPr>
          <w:p w:rsidR="00C1709E" w:rsidRPr="009823EC" w:rsidRDefault="00C1709E" w:rsidP="00C1709E">
            <w:pPr>
              <w:jc w:val="center"/>
              <w:rPr>
                <w:rFonts w:ascii="Arial" w:hAnsi="Arial" w:cs="Arial"/>
                <w:sz w:val="16"/>
                <w:szCs w:val="16"/>
              </w:rPr>
            </w:pPr>
            <w:r w:rsidRPr="009823EC">
              <w:rPr>
                <w:rFonts w:ascii="Arial" w:hAnsi="Arial" w:cs="Arial"/>
                <w:sz w:val="16"/>
                <w:szCs w:val="16"/>
              </w:rPr>
              <w:t>AusAID-UNRWA Partnership Framework 2010-2013</w:t>
            </w:r>
          </w:p>
        </w:tc>
        <w:tc>
          <w:tcPr>
            <w:tcW w:w="1125" w:type="dxa"/>
            <w:tcBorders>
              <w:top w:val="single" w:sz="4"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C1709E" w:rsidRPr="009823EC" w:rsidRDefault="00C1709E" w:rsidP="00C1709E">
            <w:pPr>
              <w:jc w:val="center"/>
              <w:rPr>
                <w:rFonts w:ascii="Arial" w:hAnsi="Arial" w:cs="Arial"/>
                <w:sz w:val="16"/>
                <w:szCs w:val="16"/>
              </w:rPr>
            </w:pPr>
            <w:r w:rsidRPr="009823EC">
              <w:rPr>
                <w:rFonts w:ascii="Arial" w:hAnsi="Arial" w:cs="Arial"/>
                <w:sz w:val="16"/>
                <w:szCs w:val="16"/>
              </w:rPr>
              <w:t>1/10/2010</w:t>
            </w:r>
          </w:p>
        </w:tc>
        <w:tc>
          <w:tcPr>
            <w:tcW w:w="1134" w:type="dxa"/>
            <w:tcBorders>
              <w:top w:val="single" w:sz="4"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C1709E" w:rsidRPr="009823EC" w:rsidRDefault="00C1709E" w:rsidP="00C1709E">
            <w:pPr>
              <w:jc w:val="center"/>
              <w:rPr>
                <w:rFonts w:ascii="Arial" w:hAnsi="Arial" w:cs="Arial"/>
                <w:sz w:val="16"/>
                <w:szCs w:val="16"/>
              </w:rPr>
            </w:pPr>
            <w:r w:rsidRPr="009823EC">
              <w:rPr>
                <w:rFonts w:ascii="Arial" w:hAnsi="Arial" w:cs="Arial"/>
                <w:sz w:val="16"/>
                <w:szCs w:val="16"/>
              </w:rPr>
              <w:t>30/06/2013</w:t>
            </w:r>
          </w:p>
        </w:tc>
        <w:tc>
          <w:tcPr>
            <w:tcW w:w="1134" w:type="dxa"/>
            <w:tcBorders>
              <w:top w:val="single" w:sz="4" w:space="0" w:color="auto"/>
              <w:left w:val="nil"/>
              <w:bottom w:val="single" w:sz="8" w:space="0" w:color="auto"/>
              <w:right w:val="single" w:sz="4" w:space="0" w:color="auto"/>
            </w:tcBorders>
            <w:shd w:val="clear" w:color="auto" w:fill="auto"/>
            <w:noWrap/>
            <w:tcMar>
              <w:top w:w="15" w:type="dxa"/>
              <w:left w:w="15" w:type="dxa"/>
              <w:bottom w:w="0" w:type="dxa"/>
              <w:right w:w="15" w:type="dxa"/>
            </w:tcMar>
            <w:vAlign w:val="bottom"/>
            <w:hideMark/>
          </w:tcPr>
          <w:p w:rsidR="00C1709E" w:rsidRPr="009823EC" w:rsidRDefault="00655307" w:rsidP="00C1709E">
            <w:pPr>
              <w:jc w:val="center"/>
              <w:rPr>
                <w:rFonts w:ascii="Arial" w:hAnsi="Arial" w:cs="Arial"/>
                <w:sz w:val="16"/>
                <w:szCs w:val="16"/>
              </w:rPr>
            </w:pPr>
            <w:r>
              <w:rPr>
                <w:rFonts w:ascii="Arial" w:hAnsi="Arial" w:cs="Arial"/>
                <w:sz w:val="16"/>
                <w:szCs w:val="16"/>
              </w:rPr>
              <w:t xml:space="preserve">$18 000 </w:t>
            </w:r>
            <w:r w:rsidR="00C1709E" w:rsidRPr="009823EC">
              <w:rPr>
                <w:rFonts w:ascii="Arial" w:hAnsi="Arial" w:cs="Arial"/>
                <w:sz w:val="16"/>
                <w:szCs w:val="16"/>
              </w:rPr>
              <w:t>000</w:t>
            </w:r>
          </w:p>
        </w:tc>
        <w:tc>
          <w:tcPr>
            <w:tcW w:w="2552" w:type="dxa"/>
            <w:gridSpan w:val="7"/>
            <w:tcBorders>
              <w:top w:val="single" w:sz="4" w:space="0" w:color="auto"/>
              <w:left w:val="nil"/>
              <w:bottom w:val="single" w:sz="8" w:space="0" w:color="auto"/>
              <w:right w:val="single" w:sz="8" w:space="0" w:color="000000"/>
            </w:tcBorders>
            <w:shd w:val="clear" w:color="auto" w:fill="C6D9F1"/>
            <w:noWrap/>
            <w:tcMar>
              <w:top w:w="15" w:type="dxa"/>
              <w:left w:w="15" w:type="dxa"/>
              <w:bottom w:w="0" w:type="dxa"/>
              <w:right w:w="15" w:type="dxa"/>
            </w:tcMar>
            <w:vAlign w:val="bottom"/>
            <w:hideMark/>
          </w:tcPr>
          <w:p w:rsidR="00C1709E" w:rsidRPr="009823EC" w:rsidRDefault="00C1709E" w:rsidP="00C1709E">
            <w:pPr>
              <w:rPr>
                <w:rFonts w:ascii="Arial" w:hAnsi="Arial" w:cs="Arial"/>
                <w:b/>
                <w:bCs/>
                <w:sz w:val="18"/>
                <w:szCs w:val="18"/>
              </w:rPr>
            </w:pPr>
            <w:r>
              <w:rPr>
                <w:rFonts w:ascii="Arial" w:hAnsi="Arial" w:cs="Arial"/>
                <w:b/>
                <w:bCs/>
                <w:sz w:val="18"/>
                <w:szCs w:val="18"/>
              </w:rPr>
              <w:t xml:space="preserve">UNRWA performance is assessed separately through </w:t>
            </w:r>
            <w:r>
              <w:rPr>
                <w:rFonts w:ascii="Arial" w:hAnsi="Arial" w:cs="Arial"/>
                <w:b/>
                <w:bCs/>
                <w:sz w:val="18"/>
                <w:szCs w:val="18"/>
              </w:rPr>
              <w:lastRenderedPageBreak/>
              <w:t>an annual multilateral scorecard.</w:t>
            </w:r>
          </w:p>
        </w:tc>
      </w:tr>
    </w:tbl>
    <w:p w:rsidR="00C1709E" w:rsidRPr="009823EC" w:rsidRDefault="00C1709E" w:rsidP="00C1709E">
      <w:pPr>
        <w:keepNext/>
        <w:spacing w:after="100" w:line="320" w:lineRule="atLeast"/>
        <w:jc w:val="both"/>
        <w:outlineLvl w:val="0"/>
        <w:rPr>
          <w:rFonts w:ascii="Franklin Gothic Demi" w:hAnsi="Franklin Gothic Demi"/>
          <w:color w:val="AD495D"/>
          <w:kern w:val="28"/>
          <w:sz w:val="28"/>
          <w:szCs w:val="28"/>
        </w:rPr>
      </w:pPr>
      <w:r w:rsidRPr="009823EC">
        <w:rPr>
          <w:rFonts w:ascii="Franklin Gothic Demi" w:hAnsi="Franklin Gothic Demi"/>
          <w:color w:val="AD495D"/>
          <w:kern w:val="28"/>
          <w:sz w:val="28"/>
          <w:szCs w:val="28"/>
        </w:rPr>
        <w:lastRenderedPageBreak/>
        <w:t xml:space="preserve"> </w:t>
      </w:r>
    </w:p>
    <w:p w:rsidR="00083811" w:rsidRDefault="00083811" w:rsidP="00C616BF">
      <w:pPr>
        <w:pStyle w:val="Heading1"/>
      </w:pPr>
      <w:r>
        <w:t>Management Consequences</w:t>
      </w:r>
    </w:p>
    <w:p w:rsidR="00C1709E" w:rsidRDefault="00C1709E" w:rsidP="000F626F">
      <w:pPr>
        <w:jc w:val="both"/>
        <w:rPr>
          <w:sz w:val="24"/>
        </w:rPr>
      </w:pPr>
      <w:r w:rsidRPr="00221E99">
        <w:rPr>
          <w:sz w:val="24"/>
        </w:rPr>
        <w:t xml:space="preserve">The Palestinian Territories program is fully programmed for the next three years. </w:t>
      </w:r>
      <w:r w:rsidR="00613B2F">
        <w:rPr>
          <w:sz w:val="24"/>
        </w:rPr>
        <w:t>Existing programing</w:t>
      </w:r>
      <w:r w:rsidRPr="00221E99">
        <w:rPr>
          <w:sz w:val="24"/>
        </w:rPr>
        <w:t xml:space="preserve"> </w:t>
      </w:r>
      <w:r w:rsidR="009220B4">
        <w:rPr>
          <w:sz w:val="24"/>
        </w:rPr>
        <w:t>is unlikely to be</w:t>
      </w:r>
      <w:r w:rsidRPr="00221E99">
        <w:rPr>
          <w:sz w:val="24"/>
        </w:rPr>
        <w:t xml:space="preserve"> altered, unless there are sign</w:t>
      </w:r>
      <w:r w:rsidR="000F626F">
        <w:rPr>
          <w:sz w:val="24"/>
        </w:rPr>
        <w:t>ificant political developments.</w:t>
      </w:r>
    </w:p>
    <w:p w:rsidR="000F626F" w:rsidRPr="00221E99" w:rsidRDefault="000F626F" w:rsidP="000F626F">
      <w:pPr>
        <w:jc w:val="both"/>
        <w:rPr>
          <w:sz w:val="24"/>
        </w:rPr>
      </w:pPr>
    </w:p>
    <w:p w:rsidR="00C1709E" w:rsidRPr="00221E99" w:rsidRDefault="009220B4" w:rsidP="000F626F">
      <w:pPr>
        <w:jc w:val="both"/>
        <w:rPr>
          <w:sz w:val="24"/>
        </w:rPr>
      </w:pPr>
      <w:r>
        <w:rPr>
          <w:sz w:val="24"/>
        </w:rPr>
        <w:t>Management</w:t>
      </w:r>
      <w:r w:rsidR="00C1709E" w:rsidRPr="00221E99">
        <w:rPr>
          <w:sz w:val="24"/>
        </w:rPr>
        <w:t xml:space="preserve"> consequences</w:t>
      </w:r>
      <w:r>
        <w:rPr>
          <w:sz w:val="24"/>
        </w:rPr>
        <w:t xml:space="preserve"> for 2012 include</w:t>
      </w:r>
      <w:r w:rsidR="00C1709E" w:rsidRPr="00221E99">
        <w:rPr>
          <w:sz w:val="24"/>
        </w:rPr>
        <w:t>:</w:t>
      </w:r>
    </w:p>
    <w:p w:rsidR="00C1709E" w:rsidRPr="00221E99" w:rsidRDefault="00C1709E" w:rsidP="00221E99">
      <w:pPr>
        <w:numPr>
          <w:ilvl w:val="0"/>
          <w:numId w:val="44"/>
        </w:numPr>
        <w:tabs>
          <w:tab w:val="left" w:pos="709"/>
        </w:tabs>
        <w:spacing w:before="120" w:after="120"/>
        <w:rPr>
          <w:sz w:val="24"/>
        </w:rPr>
      </w:pPr>
      <w:r w:rsidRPr="00221E99">
        <w:rPr>
          <w:sz w:val="24"/>
        </w:rPr>
        <w:t xml:space="preserve">There should </w:t>
      </w:r>
      <w:r w:rsidR="009220B4">
        <w:rPr>
          <w:sz w:val="24"/>
        </w:rPr>
        <w:t xml:space="preserve">be </w:t>
      </w:r>
      <w:r w:rsidRPr="00221E99">
        <w:rPr>
          <w:sz w:val="24"/>
        </w:rPr>
        <w:t>clearer results targets and p</w:t>
      </w:r>
      <w:r w:rsidR="009220B4">
        <w:rPr>
          <w:sz w:val="24"/>
        </w:rPr>
        <w:t>rogram management guidance for</w:t>
      </w:r>
      <w:r w:rsidRPr="00221E99">
        <w:rPr>
          <w:sz w:val="24"/>
        </w:rPr>
        <w:t xml:space="preserve"> future program</w:t>
      </w:r>
      <w:r w:rsidR="009220B4">
        <w:rPr>
          <w:sz w:val="24"/>
        </w:rPr>
        <w:t>s</w:t>
      </w:r>
      <w:r w:rsidRPr="00221E99">
        <w:rPr>
          <w:sz w:val="24"/>
        </w:rPr>
        <w:t xml:space="preserve">, but </w:t>
      </w:r>
      <w:r w:rsidR="009220B4">
        <w:rPr>
          <w:sz w:val="24"/>
        </w:rPr>
        <w:t>with some flexibilty</w:t>
      </w:r>
      <w:r w:rsidRPr="00221E99">
        <w:rPr>
          <w:sz w:val="24"/>
        </w:rPr>
        <w:t xml:space="preserve"> to respond to a very </w:t>
      </w:r>
      <w:r w:rsidR="009220B4">
        <w:rPr>
          <w:sz w:val="24"/>
        </w:rPr>
        <w:t>uncertain environment-</w:t>
      </w:r>
      <w:r w:rsidR="00655307">
        <w:rPr>
          <w:sz w:val="24"/>
        </w:rPr>
        <w:t>Palestinian Territories</w:t>
      </w:r>
      <w:r w:rsidRPr="00221E99">
        <w:rPr>
          <w:sz w:val="24"/>
        </w:rPr>
        <w:t xml:space="preserve"> could fall back into a conflict </w:t>
      </w:r>
      <w:r w:rsidR="009220B4">
        <w:rPr>
          <w:sz w:val="24"/>
        </w:rPr>
        <w:t>at any time or see</w:t>
      </w:r>
      <w:r w:rsidRPr="00221E99">
        <w:rPr>
          <w:sz w:val="24"/>
        </w:rPr>
        <w:t xml:space="preserve"> comprehensive peace fol</w:t>
      </w:r>
      <w:r w:rsidR="009220B4">
        <w:rPr>
          <w:sz w:val="24"/>
        </w:rPr>
        <w:t>lowed by very rapid development</w:t>
      </w:r>
      <w:r w:rsidRPr="00221E99">
        <w:rPr>
          <w:sz w:val="24"/>
        </w:rPr>
        <w:t>.</w:t>
      </w:r>
    </w:p>
    <w:p w:rsidR="00C1709E" w:rsidRPr="00221E99" w:rsidRDefault="00375638" w:rsidP="00221E99">
      <w:pPr>
        <w:numPr>
          <w:ilvl w:val="0"/>
          <w:numId w:val="44"/>
        </w:numPr>
        <w:tabs>
          <w:tab w:val="left" w:pos="709"/>
        </w:tabs>
        <w:spacing w:before="120" w:after="120"/>
        <w:rPr>
          <w:sz w:val="24"/>
        </w:rPr>
      </w:pPr>
      <w:r>
        <w:rPr>
          <w:sz w:val="24"/>
        </w:rPr>
        <w:t>Seek</w:t>
      </w:r>
      <w:r w:rsidR="00C1709E" w:rsidRPr="00221E99">
        <w:rPr>
          <w:sz w:val="24"/>
        </w:rPr>
        <w:t xml:space="preserve"> increased transparency and accountability from World Bank on r</w:t>
      </w:r>
      <w:r w:rsidR="00655307">
        <w:rPr>
          <w:sz w:val="24"/>
        </w:rPr>
        <w:t>eporting and management of PRDP-</w:t>
      </w:r>
      <w:r w:rsidR="00C1709E" w:rsidRPr="00221E99">
        <w:rPr>
          <w:sz w:val="24"/>
        </w:rPr>
        <w:t>Trust Fund.</w:t>
      </w:r>
    </w:p>
    <w:p w:rsidR="00C1709E" w:rsidRPr="00221E99" w:rsidRDefault="00C1709E" w:rsidP="00221E99">
      <w:pPr>
        <w:numPr>
          <w:ilvl w:val="0"/>
          <w:numId w:val="44"/>
        </w:numPr>
        <w:tabs>
          <w:tab w:val="left" w:pos="709"/>
        </w:tabs>
        <w:spacing w:before="120" w:after="120"/>
        <w:rPr>
          <w:sz w:val="24"/>
        </w:rPr>
      </w:pPr>
      <w:r w:rsidRPr="00221E99">
        <w:rPr>
          <w:sz w:val="24"/>
        </w:rPr>
        <w:t xml:space="preserve">Closely engage with DFAT </w:t>
      </w:r>
      <w:r w:rsidR="009220B4">
        <w:rPr>
          <w:sz w:val="24"/>
        </w:rPr>
        <w:t>and other government agencies</w:t>
      </w:r>
      <w:r w:rsidRPr="00221E99">
        <w:rPr>
          <w:sz w:val="24"/>
        </w:rPr>
        <w:t xml:space="preserve"> to manage </w:t>
      </w:r>
      <w:r w:rsidR="00961C7A">
        <w:rPr>
          <w:sz w:val="24"/>
        </w:rPr>
        <w:t xml:space="preserve">our response to any </w:t>
      </w:r>
      <w:r w:rsidRPr="00221E99">
        <w:rPr>
          <w:sz w:val="24"/>
        </w:rPr>
        <w:t>rapidly changing political environment, including PA’s worsening fiscal position and Fatah-Hamas reconcilliation.</w:t>
      </w:r>
    </w:p>
    <w:p w:rsidR="00C1709E" w:rsidRPr="00221E99" w:rsidRDefault="00C1709E" w:rsidP="00221E99">
      <w:pPr>
        <w:numPr>
          <w:ilvl w:val="0"/>
          <w:numId w:val="44"/>
        </w:numPr>
        <w:tabs>
          <w:tab w:val="left" w:pos="709"/>
        </w:tabs>
        <w:spacing w:before="120" w:after="120"/>
        <w:rPr>
          <w:sz w:val="24"/>
        </w:rPr>
      </w:pPr>
      <w:r w:rsidRPr="00221E99">
        <w:rPr>
          <w:sz w:val="24"/>
        </w:rPr>
        <w:t>Emphasis</w:t>
      </w:r>
      <w:r w:rsidR="009220B4">
        <w:rPr>
          <w:sz w:val="24"/>
        </w:rPr>
        <w:t>e reporting on results at High Level C</w:t>
      </w:r>
      <w:r w:rsidRPr="00221E99">
        <w:rPr>
          <w:sz w:val="24"/>
        </w:rPr>
        <w:t>onsultations</w:t>
      </w:r>
      <w:r w:rsidR="009220B4">
        <w:rPr>
          <w:sz w:val="24"/>
        </w:rPr>
        <w:t>,</w:t>
      </w:r>
      <w:r w:rsidRPr="00221E99">
        <w:rPr>
          <w:sz w:val="24"/>
        </w:rPr>
        <w:t xml:space="preserve"> and multi</w:t>
      </w:r>
      <w:r w:rsidR="00655307">
        <w:rPr>
          <w:sz w:val="24"/>
        </w:rPr>
        <w:t>-</w:t>
      </w:r>
      <w:r w:rsidR="00AF206A">
        <w:rPr>
          <w:sz w:val="24"/>
        </w:rPr>
        <w:t>donor for</w:t>
      </w:r>
      <w:r w:rsidR="009220B4">
        <w:rPr>
          <w:sz w:val="24"/>
        </w:rPr>
        <w:t>a (</w:t>
      </w:r>
      <w:r w:rsidRPr="00221E99">
        <w:rPr>
          <w:sz w:val="24"/>
        </w:rPr>
        <w:t>such as AdHoc Liaison Committee</w:t>
      </w:r>
      <w:r w:rsidR="009220B4">
        <w:rPr>
          <w:sz w:val="24"/>
        </w:rPr>
        <w:t>)</w:t>
      </w:r>
      <w:r w:rsidRPr="00221E99">
        <w:rPr>
          <w:sz w:val="24"/>
        </w:rPr>
        <w:t>.</w:t>
      </w:r>
    </w:p>
    <w:p w:rsidR="00C1709E" w:rsidRPr="00221E99" w:rsidRDefault="00C1709E" w:rsidP="00221E99">
      <w:pPr>
        <w:numPr>
          <w:ilvl w:val="0"/>
          <w:numId w:val="44"/>
        </w:numPr>
        <w:tabs>
          <w:tab w:val="left" w:pos="709"/>
        </w:tabs>
        <w:spacing w:before="120" w:after="120"/>
        <w:rPr>
          <w:sz w:val="24"/>
        </w:rPr>
      </w:pPr>
      <w:r w:rsidRPr="00221E99">
        <w:rPr>
          <w:sz w:val="24"/>
        </w:rPr>
        <w:t>Improve monitoring and evaluation through enhanced independent audit, reviews and regular in-country monitoring</w:t>
      </w:r>
      <w:r w:rsidR="00655307">
        <w:rPr>
          <w:sz w:val="24"/>
        </w:rPr>
        <w:t>.</w:t>
      </w:r>
    </w:p>
    <w:p w:rsidR="00083811" w:rsidRDefault="00083811" w:rsidP="00221E99">
      <w:pPr>
        <w:numPr>
          <w:ilvl w:val="0"/>
          <w:numId w:val="44"/>
        </w:numPr>
        <w:tabs>
          <w:tab w:val="left" w:pos="709"/>
        </w:tabs>
        <w:spacing w:before="120" w:after="120"/>
        <w:rPr>
          <w:sz w:val="24"/>
        </w:rPr>
      </w:pPr>
      <w:r w:rsidRPr="005945EA">
        <w:rPr>
          <w:sz w:val="24"/>
        </w:rPr>
        <w:t xml:space="preserve">The overall risk environment (particularly in the area of security) requires continuous vigilance and the </w:t>
      </w:r>
      <w:r w:rsidR="009220B4">
        <w:rPr>
          <w:sz w:val="24"/>
        </w:rPr>
        <w:t xml:space="preserve">stringent </w:t>
      </w:r>
      <w:r w:rsidRPr="005945EA">
        <w:rPr>
          <w:sz w:val="24"/>
        </w:rPr>
        <w:t xml:space="preserve">application of security protocols. </w:t>
      </w:r>
    </w:p>
    <w:p w:rsidR="00655307" w:rsidRDefault="00375638" w:rsidP="00221E99">
      <w:pPr>
        <w:numPr>
          <w:ilvl w:val="0"/>
          <w:numId w:val="44"/>
        </w:numPr>
        <w:tabs>
          <w:tab w:val="left" w:pos="709"/>
        </w:tabs>
        <w:spacing w:before="120" w:after="120"/>
        <w:rPr>
          <w:sz w:val="24"/>
        </w:rPr>
      </w:pPr>
      <w:r>
        <w:rPr>
          <w:sz w:val="24"/>
        </w:rPr>
        <w:t>Continue to s</w:t>
      </w:r>
      <w:r w:rsidR="00655307">
        <w:rPr>
          <w:sz w:val="24"/>
        </w:rPr>
        <w:t>trengthen due diligence and financial management processes of the AMENCA program for AusAID to be confident that the funding is achieving its intended objectives.</w:t>
      </w:r>
    </w:p>
    <w:p w:rsidR="00655307" w:rsidRPr="005945EA" w:rsidRDefault="00655307" w:rsidP="00655307">
      <w:pPr>
        <w:tabs>
          <w:tab w:val="left" w:pos="709"/>
        </w:tabs>
        <w:spacing w:before="120" w:after="120"/>
        <w:ind w:left="720"/>
        <w:rPr>
          <w:sz w:val="24"/>
        </w:rPr>
      </w:pPr>
    </w:p>
    <w:p w:rsidR="00F2415D" w:rsidRPr="005945EA" w:rsidRDefault="006815A1" w:rsidP="00C616BF">
      <w:pPr>
        <w:pStyle w:val="Subtitle"/>
      </w:pPr>
      <w:r>
        <w:br w:type="page"/>
      </w:r>
    </w:p>
    <w:p w:rsidR="001C595F" w:rsidRDefault="001C595F" w:rsidP="005945EA">
      <w:pPr>
        <w:pStyle w:val="GuidanceText"/>
        <w:rPr>
          <w:rFonts w:ascii="Franklin Gothic Demi" w:hAnsi="Franklin Gothic Demi"/>
          <w:color w:val="AD495D"/>
          <w:kern w:val="28"/>
          <w:sz w:val="36"/>
          <w:szCs w:val="36"/>
          <w:u w:val="single"/>
        </w:rPr>
      </w:pPr>
      <w:r w:rsidRPr="001C595F">
        <w:rPr>
          <w:rFonts w:ascii="Franklin Gothic Demi" w:hAnsi="Franklin Gothic Demi"/>
          <w:color w:val="AD495D"/>
          <w:kern w:val="28"/>
          <w:sz w:val="36"/>
          <w:szCs w:val="36"/>
          <w:u w:val="single"/>
        </w:rPr>
        <w:lastRenderedPageBreak/>
        <w:t>Annex 1 Headline Results</w:t>
      </w:r>
    </w:p>
    <w:p w:rsidR="00DA7926" w:rsidRDefault="00DA7926" w:rsidP="00C616BF">
      <w:pPr>
        <w:pStyle w:val="Heading1"/>
      </w:pPr>
      <w:r>
        <w:t>Palestinian Territories Headline Results Summary</w:t>
      </w:r>
    </w:p>
    <w:tbl>
      <w:tblPr>
        <w:tblW w:w="9496" w:type="dxa"/>
        <w:tblInd w:w="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2249"/>
        <w:gridCol w:w="1927"/>
        <w:gridCol w:w="1928"/>
        <w:gridCol w:w="1550"/>
      </w:tblGrid>
      <w:tr w:rsidR="00DA7926" w:rsidRPr="009C7A89" w:rsidTr="00016C38">
        <w:tc>
          <w:tcPr>
            <w:tcW w:w="1842" w:type="dxa"/>
            <w:shd w:val="clear" w:color="auto" w:fill="4BACC6"/>
          </w:tcPr>
          <w:p w:rsidR="00DA7926" w:rsidRPr="009C7A89" w:rsidRDefault="00DA7926" w:rsidP="00DA7926">
            <w:pPr>
              <w:rPr>
                <w:b/>
                <w:sz w:val="24"/>
              </w:rPr>
            </w:pPr>
            <w:r w:rsidRPr="009C7A89">
              <w:rPr>
                <w:b/>
                <w:sz w:val="24"/>
              </w:rPr>
              <w:t>Headline Result Indicator</w:t>
            </w:r>
          </w:p>
        </w:tc>
        <w:tc>
          <w:tcPr>
            <w:tcW w:w="2249" w:type="dxa"/>
            <w:shd w:val="clear" w:color="auto" w:fill="4BACC6"/>
          </w:tcPr>
          <w:p w:rsidR="00DA7926" w:rsidRPr="009C7A89" w:rsidRDefault="00DA7926" w:rsidP="00DA7926">
            <w:pPr>
              <w:rPr>
                <w:b/>
                <w:sz w:val="24"/>
              </w:rPr>
            </w:pPr>
            <w:r w:rsidRPr="009C7A89">
              <w:rPr>
                <w:b/>
                <w:sz w:val="24"/>
              </w:rPr>
              <w:t>2011 Result</w:t>
            </w:r>
          </w:p>
        </w:tc>
        <w:tc>
          <w:tcPr>
            <w:tcW w:w="1927" w:type="dxa"/>
            <w:tcBorders>
              <w:bottom w:val="single" w:sz="4" w:space="0" w:color="auto"/>
            </w:tcBorders>
            <w:shd w:val="clear" w:color="auto" w:fill="4BACC6"/>
          </w:tcPr>
          <w:p w:rsidR="00DA7926" w:rsidRPr="009C7A89" w:rsidRDefault="00DA7926" w:rsidP="00DA7926">
            <w:pPr>
              <w:rPr>
                <w:b/>
                <w:sz w:val="24"/>
              </w:rPr>
            </w:pPr>
            <w:r w:rsidRPr="009C7A89">
              <w:rPr>
                <w:b/>
                <w:sz w:val="24"/>
              </w:rPr>
              <w:t xml:space="preserve">How Australia contributes </w:t>
            </w:r>
            <w:r w:rsidRPr="009C7A89">
              <w:rPr>
                <w:b/>
                <w:sz w:val="24"/>
              </w:rPr>
              <w:br/>
              <w:t>(type of aid)</w:t>
            </w:r>
          </w:p>
        </w:tc>
        <w:tc>
          <w:tcPr>
            <w:tcW w:w="1928" w:type="dxa"/>
            <w:shd w:val="clear" w:color="auto" w:fill="4BACC6"/>
          </w:tcPr>
          <w:p w:rsidR="00DA7926" w:rsidRPr="009C7A89" w:rsidRDefault="00DA7926" w:rsidP="00DA7926">
            <w:pPr>
              <w:rPr>
                <w:b/>
                <w:sz w:val="24"/>
              </w:rPr>
            </w:pPr>
            <w:r w:rsidRPr="009C7A89">
              <w:rPr>
                <w:b/>
                <w:sz w:val="24"/>
              </w:rPr>
              <w:t>Method of calculation</w:t>
            </w:r>
          </w:p>
        </w:tc>
        <w:tc>
          <w:tcPr>
            <w:tcW w:w="1550" w:type="dxa"/>
            <w:shd w:val="clear" w:color="auto" w:fill="4BACC6"/>
          </w:tcPr>
          <w:p w:rsidR="00DA7926" w:rsidRPr="009C7A89" w:rsidRDefault="00DA7926" w:rsidP="00DA7926">
            <w:pPr>
              <w:rPr>
                <w:b/>
                <w:sz w:val="24"/>
              </w:rPr>
            </w:pPr>
            <w:r w:rsidRPr="009C7A89">
              <w:rPr>
                <w:b/>
                <w:sz w:val="24"/>
              </w:rPr>
              <w:t>Data source</w:t>
            </w:r>
          </w:p>
        </w:tc>
      </w:tr>
      <w:tr w:rsidR="00DA7926" w:rsidRPr="009C7A89" w:rsidTr="00016C38">
        <w:trPr>
          <w:trHeight w:val="950"/>
        </w:trPr>
        <w:tc>
          <w:tcPr>
            <w:tcW w:w="1842" w:type="dxa"/>
            <w:shd w:val="clear" w:color="auto" w:fill="auto"/>
          </w:tcPr>
          <w:p w:rsidR="00DA7926" w:rsidRPr="001225DD" w:rsidRDefault="00DA7926" w:rsidP="00DA7926">
            <w:pPr>
              <w:rPr>
                <w:rFonts w:cs="Calibri"/>
                <w:szCs w:val="20"/>
              </w:rPr>
            </w:pPr>
            <w:r w:rsidRPr="001225DD">
              <w:rPr>
                <w:rFonts w:cs="Calibri"/>
                <w:szCs w:val="20"/>
              </w:rPr>
              <w:t xml:space="preserve">Number of additional children enrolled in school </w:t>
            </w:r>
          </w:p>
        </w:tc>
        <w:tc>
          <w:tcPr>
            <w:tcW w:w="2249" w:type="dxa"/>
            <w:shd w:val="clear" w:color="auto" w:fill="auto"/>
          </w:tcPr>
          <w:p w:rsidR="00DA7926" w:rsidRPr="001225DD" w:rsidRDefault="00DA7926" w:rsidP="00DA7926">
            <w:pPr>
              <w:rPr>
                <w:rFonts w:cs="Calibri"/>
                <w:szCs w:val="20"/>
              </w:rPr>
            </w:pPr>
            <w:r w:rsidRPr="001225DD">
              <w:rPr>
                <w:rFonts w:cs="Calibri"/>
                <w:szCs w:val="20"/>
              </w:rPr>
              <w:t>7,500 children enrolled</w:t>
            </w:r>
          </w:p>
          <w:p w:rsidR="00DA7926" w:rsidRPr="001225DD" w:rsidRDefault="00DA7926" w:rsidP="00DA7926">
            <w:pPr>
              <w:rPr>
                <w:rFonts w:cs="Calibri"/>
                <w:szCs w:val="20"/>
              </w:rPr>
            </w:pPr>
          </w:p>
          <w:p w:rsidR="00DA7926" w:rsidRPr="001225DD" w:rsidRDefault="00DA7926" w:rsidP="00DA7926">
            <w:pPr>
              <w:rPr>
                <w:rFonts w:cs="Calibri"/>
                <w:szCs w:val="20"/>
              </w:rPr>
            </w:pPr>
          </w:p>
        </w:tc>
        <w:tc>
          <w:tcPr>
            <w:tcW w:w="1927" w:type="dxa"/>
            <w:shd w:val="clear" w:color="auto" w:fill="FFFFFF"/>
          </w:tcPr>
          <w:p w:rsidR="00DA7926" w:rsidRPr="001225DD" w:rsidRDefault="00DA7926" w:rsidP="00DA7926">
            <w:pPr>
              <w:rPr>
                <w:rFonts w:cs="Calibri"/>
                <w:szCs w:val="20"/>
              </w:rPr>
            </w:pPr>
            <w:r w:rsidRPr="001225DD">
              <w:rPr>
                <w:rFonts w:cs="Calibri"/>
                <w:szCs w:val="20"/>
              </w:rPr>
              <w:t xml:space="preserve">AusAID partly funded program, delivered by UNRWA </w:t>
            </w:r>
          </w:p>
        </w:tc>
        <w:tc>
          <w:tcPr>
            <w:tcW w:w="1928" w:type="dxa"/>
            <w:shd w:val="clear" w:color="auto" w:fill="auto"/>
          </w:tcPr>
          <w:p w:rsidR="00DA7926" w:rsidRPr="001225DD" w:rsidRDefault="00DA7926" w:rsidP="00DA7926">
            <w:pPr>
              <w:rPr>
                <w:rFonts w:cs="Calibri"/>
                <w:szCs w:val="20"/>
              </w:rPr>
            </w:pPr>
            <w:r w:rsidRPr="001225DD">
              <w:rPr>
                <w:rFonts w:cs="Calibri"/>
                <w:szCs w:val="20"/>
              </w:rPr>
              <w:t>Results prorated (Australia provides 1.5% of UNRWA’s Program Budget)</w:t>
            </w:r>
            <w:r w:rsidRPr="001225DD">
              <w:rPr>
                <w:rFonts w:cs="Calibri"/>
              </w:rPr>
              <w:footnoteReference w:id="4"/>
            </w:r>
          </w:p>
        </w:tc>
        <w:tc>
          <w:tcPr>
            <w:tcW w:w="1550" w:type="dxa"/>
            <w:shd w:val="clear" w:color="auto" w:fill="auto"/>
          </w:tcPr>
          <w:p w:rsidR="00DA7926" w:rsidRPr="00951565" w:rsidRDefault="00DA7926" w:rsidP="00DA7926">
            <w:pPr>
              <w:rPr>
                <w:rFonts w:ascii="Calibri" w:hAnsi="Calibri"/>
                <w:szCs w:val="20"/>
              </w:rPr>
            </w:pPr>
            <w:r w:rsidRPr="00951565">
              <w:rPr>
                <w:rFonts w:ascii="Calibri" w:hAnsi="Calibri"/>
                <w:szCs w:val="20"/>
              </w:rPr>
              <w:t>UNRWA website</w:t>
            </w:r>
          </w:p>
        </w:tc>
      </w:tr>
      <w:tr w:rsidR="00DA7926" w:rsidRPr="009C7A89" w:rsidTr="00016C38">
        <w:trPr>
          <w:trHeight w:val="894"/>
        </w:trPr>
        <w:tc>
          <w:tcPr>
            <w:tcW w:w="1842" w:type="dxa"/>
            <w:shd w:val="clear" w:color="auto" w:fill="auto"/>
          </w:tcPr>
          <w:p w:rsidR="00DA7926" w:rsidRPr="001225DD" w:rsidRDefault="00DA7926" w:rsidP="00DA7926">
            <w:pPr>
              <w:rPr>
                <w:rFonts w:cs="Calibri"/>
                <w:szCs w:val="20"/>
              </w:rPr>
            </w:pPr>
            <w:r w:rsidRPr="001225DD">
              <w:rPr>
                <w:rFonts w:cs="Calibri"/>
                <w:szCs w:val="20"/>
              </w:rPr>
              <w:t>Number of classrooms built or upgraded</w:t>
            </w:r>
          </w:p>
          <w:p w:rsidR="00DA7926" w:rsidRPr="001225DD" w:rsidRDefault="00DA7926" w:rsidP="00DA7926">
            <w:pPr>
              <w:rPr>
                <w:rFonts w:cs="Calibri"/>
                <w:szCs w:val="20"/>
              </w:rPr>
            </w:pPr>
          </w:p>
        </w:tc>
        <w:tc>
          <w:tcPr>
            <w:tcW w:w="2249" w:type="dxa"/>
            <w:shd w:val="clear" w:color="auto" w:fill="auto"/>
          </w:tcPr>
          <w:p w:rsidR="00DA7926" w:rsidRPr="001225DD" w:rsidRDefault="00DA7926" w:rsidP="00DA7926">
            <w:pPr>
              <w:rPr>
                <w:rFonts w:cs="Calibri"/>
                <w:szCs w:val="20"/>
              </w:rPr>
            </w:pPr>
            <w:r w:rsidRPr="001225DD">
              <w:rPr>
                <w:rFonts w:cs="Calibri"/>
                <w:szCs w:val="20"/>
              </w:rPr>
              <w:t>4 new classrooms were built or received upgrades</w:t>
            </w:r>
          </w:p>
          <w:p w:rsidR="00DA7926" w:rsidRPr="001225DD" w:rsidRDefault="00DA7926" w:rsidP="00DA7926">
            <w:pPr>
              <w:rPr>
                <w:rFonts w:cs="Calibri"/>
                <w:szCs w:val="20"/>
              </w:rPr>
            </w:pPr>
          </w:p>
        </w:tc>
        <w:tc>
          <w:tcPr>
            <w:tcW w:w="1927" w:type="dxa"/>
            <w:shd w:val="clear" w:color="auto" w:fill="FFFFFF"/>
          </w:tcPr>
          <w:p w:rsidR="00DA7926" w:rsidRPr="001225DD" w:rsidRDefault="00DA7926" w:rsidP="00DA7926">
            <w:pPr>
              <w:rPr>
                <w:rFonts w:cs="Calibri"/>
                <w:szCs w:val="20"/>
              </w:rPr>
            </w:pPr>
            <w:r w:rsidRPr="001225DD">
              <w:rPr>
                <w:rFonts w:cs="Calibri"/>
                <w:szCs w:val="20"/>
              </w:rPr>
              <w:t>AusAID partly funded program, delivered by UNRWA</w:t>
            </w:r>
          </w:p>
        </w:tc>
        <w:tc>
          <w:tcPr>
            <w:tcW w:w="1928" w:type="dxa"/>
            <w:shd w:val="clear" w:color="auto" w:fill="auto"/>
          </w:tcPr>
          <w:p w:rsidR="00DA7926" w:rsidRPr="001225DD" w:rsidRDefault="00DA7926" w:rsidP="00DA7926">
            <w:pPr>
              <w:rPr>
                <w:rFonts w:cs="Calibri"/>
                <w:szCs w:val="20"/>
              </w:rPr>
            </w:pPr>
            <w:r w:rsidRPr="001225DD">
              <w:rPr>
                <w:rFonts w:cs="Calibri"/>
                <w:szCs w:val="20"/>
              </w:rPr>
              <w:t>Results prorated (Australia provides 1.5% of UNRWA’s Program Budget)</w:t>
            </w:r>
          </w:p>
        </w:tc>
        <w:tc>
          <w:tcPr>
            <w:tcW w:w="1550" w:type="dxa"/>
            <w:shd w:val="clear" w:color="auto" w:fill="auto"/>
          </w:tcPr>
          <w:p w:rsidR="00DA7926" w:rsidRPr="00951565" w:rsidRDefault="00DA7926" w:rsidP="00DA7926">
            <w:pPr>
              <w:rPr>
                <w:rFonts w:ascii="Calibri" w:hAnsi="Calibri"/>
                <w:bCs/>
              </w:rPr>
            </w:pPr>
            <w:r w:rsidRPr="00951565">
              <w:rPr>
                <w:rFonts w:ascii="Calibri" w:hAnsi="Calibri"/>
                <w:szCs w:val="20"/>
              </w:rPr>
              <w:t>UNRWA website</w:t>
            </w:r>
          </w:p>
        </w:tc>
      </w:tr>
      <w:tr w:rsidR="00DA7926" w:rsidRPr="009C7A89" w:rsidTr="00016C38">
        <w:trPr>
          <w:trHeight w:val="993"/>
        </w:trPr>
        <w:tc>
          <w:tcPr>
            <w:tcW w:w="1842" w:type="dxa"/>
            <w:shd w:val="clear" w:color="auto" w:fill="auto"/>
          </w:tcPr>
          <w:p w:rsidR="00DA7926" w:rsidRPr="001225DD" w:rsidRDefault="00DA7926" w:rsidP="00DA7926">
            <w:pPr>
              <w:rPr>
                <w:rFonts w:cs="Calibri"/>
                <w:szCs w:val="20"/>
              </w:rPr>
            </w:pPr>
            <w:r w:rsidRPr="001225DD">
              <w:rPr>
                <w:rFonts w:cs="Calibri"/>
                <w:szCs w:val="20"/>
              </w:rPr>
              <w:t xml:space="preserve">Number of people provided with disability services </w:t>
            </w:r>
          </w:p>
        </w:tc>
        <w:tc>
          <w:tcPr>
            <w:tcW w:w="2249" w:type="dxa"/>
            <w:shd w:val="clear" w:color="auto" w:fill="auto"/>
          </w:tcPr>
          <w:p w:rsidR="00DA7926" w:rsidRPr="001225DD" w:rsidRDefault="00DA7926" w:rsidP="00DA7926">
            <w:pPr>
              <w:rPr>
                <w:rFonts w:cs="Calibri"/>
                <w:szCs w:val="20"/>
              </w:rPr>
            </w:pPr>
            <w:r w:rsidRPr="001225DD">
              <w:rPr>
                <w:rFonts w:cs="Calibri"/>
                <w:szCs w:val="20"/>
              </w:rPr>
              <w:t>300 refugees with disabilities receive rehabilitation services each year</w:t>
            </w:r>
          </w:p>
        </w:tc>
        <w:tc>
          <w:tcPr>
            <w:tcW w:w="1927" w:type="dxa"/>
            <w:shd w:val="clear" w:color="auto" w:fill="FFFFFF"/>
          </w:tcPr>
          <w:p w:rsidR="00DA7926" w:rsidRPr="001225DD" w:rsidRDefault="00DA7926" w:rsidP="00DA7926">
            <w:pPr>
              <w:rPr>
                <w:rFonts w:cs="Calibri"/>
                <w:szCs w:val="20"/>
              </w:rPr>
            </w:pPr>
            <w:r w:rsidRPr="001225DD">
              <w:rPr>
                <w:rFonts w:cs="Calibri"/>
                <w:szCs w:val="20"/>
              </w:rPr>
              <w:t>AusAID partly funded program, delivered by UNRWA</w:t>
            </w:r>
          </w:p>
        </w:tc>
        <w:tc>
          <w:tcPr>
            <w:tcW w:w="1928" w:type="dxa"/>
            <w:shd w:val="clear" w:color="auto" w:fill="auto"/>
          </w:tcPr>
          <w:p w:rsidR="00DA7926" w:rsidRPr="001225DD" w:rsidRDefault="00DA7926" w:rsidP="00DA7926">
            <w:pPr>
              <w:rPr>
                <w:rFonts w:cs="Calibri"/>
                <w:szCs w:val="20"/>
              </w:rPr>
            </w:pPr>
            <w:r w:rsidRPr="001225DD">
              <w:rPr>
                <w:rFonts w:cs="Calibri"/>
                <w:szCs w:val="20"/>
              </w:rPr>
              <w:t>Results prorated</w:t>
            </w:r>
          </w:p>
          <w:p w:rsidR="00DA7926" w:rsidRPr="001225DD" w:rsidRDefault="00DA7926" w:rsidP="00DA7926">
            <w:pPr>
              <w:rPr>
                <w:rFonts w:cs="Calibri"/>
                <w:szCs w:val="20"/>
              </w:rPr>
            </w:pPr>
            <w:r w:rsidRPr="001225DD">
              <w:rPr>
                <w:rFonts w:cs="Calibri"/>
                <w:szCs w:val="20"/>
              </w:rPr>
              <w:t>(Australia provides 1.5% of UNRWA’s Program Budget)</w:t>
            </w:r>
          </w:p>
        </w:tc>
        <w:tc>
          <w:tcPr>
            <w:tcW w:w="1550" w:type="dxa"/>
            <w:shd w:val="clear" w:color="auto" w:fill="auto"/>
          </w:tcPr>
          <w:p w:rsidR="00DA7926" w:rsidRPr="00951565" w:rsidRDefault="00DA7926" w:rsidP="00DA7926">
            <w:pPr>
              <w:rPr>
                <w:rFonts w:ascii="Calibri" w:hAnsi="Calibri"/>
                <w:szCs w:val="20"/>
              </w:rPr>
            </w:pPr>
            <w:r w:rsidRPr="00951565">
              <w:rPr>
                <w:rFonts w:ascii="Calibri" w:hAnsi="Calibri"/>
                <w:szCs w:val="20"/>
              </w:rPr>
              <w:t>UNRWA website</w:t>
            </w:r>
          </w:p>
        </w:tc>
      </w:tr>
      <w:tr w:rsidR="00DA7926" w:rsidRPr="009C7A89" w:rsidTr="00016C38">
        <w:trPr>
          <w:trHeight w:val="979"/>
        </w:trPr>
        <w:tc>
          <w:tcPr>
            <w:tcW w:w="1842" w:type="dxa"/>
            <w:shd w:val="clear" w:color="auto" w:fill="auto"/>
          </w:tcPr>
          <w:p w:rsidR="00DA7926" w:rsidRPr="001225DD" w:rsidRDefault="00DA7926" w:rsidP="00DA7926">
            <w:pPr>
              <w:rPr>
                <w:rFonts w:cs="Calibri"/>
                <w:szCs w:val="20"/>
              </w:rPr>
            </w:pPr>
            <w:r w:rsidRPr="001225DD">
              <w:rPr>
                <w:rFonts w:cs="Calibri"/>
                <w:szCs w:val="20"/>
              </w:rPr>
              <w:t>Number of police and other law and justice officials trained</w:t>
            </w:r>
          </w:p>
        </w:tc>
        <w:tc>
          <w:tcPr>
            <w:tcW w:w="2249" w:type="dxa"/>
            <w:shd w:val="clear" w:color="auto" w:fill="auto"/>
          </w:tcPr>
          <w:p w:rsidR="00DA7926" w:rsidRPr="00A36DAF" w:rsidRDefault="00DA7926" w:rsidP="00DA7926">
            <w:pPr>
              <w:rPr>
                <w:rFonts w:cs="Calibri"/>
                <w:szCs w:val="20"/>
              </w:rPr>
            </w:pPr>
            <w:r w:rsidRPr="00A36DAF">
              <w:rPr>
                <w:rFonts w:cs="Calibri"/>
                <w:szCs w:val="20"/>
              </w:rPr>
              <w:t>Five legal professionals began Doctoral training in Australia</w:t>
            </w:r>
          </w:p>
        </w:tc>
        <w:tc>
          <w:tcPr>
            <w:tcW w:w="1927" w:type="dxa"/>
            <w:shd w:val="clear" w:color="auto" w:fill="auto"/>
          </w:tcPr>
          <w:p w:rsidR="00DA7926" w:rsidRPr="00A36DAF" w:rsidRDefault="00DA7926" w:rsidP="00DA7926">
            <w:pPr>
              <w:rPr>
                <w:rFonts w:cs="Calibri"/>
                <w:szCs w:val="20"/>
              </w:rPr>
            </w:pPr>
            <w:r w:rsidRPr="00A36DAF">
              <w:rPr>
                <w:rFonts w:cs="Calibri"/>
                <w:szCs w:val="20"/>
              </w:rPr>
              <w:t>AusAID funded scholarships program, managed by AusAID</w:t>
            </w:r>
          </w:p>
        </w:tc>
        <w:tc>
          <w:tcPr>
            <w:tcW w:w="1928" w:type="dxa"/>
            <w:shd w:val="clear" w:color="auto" w:fill="auto"/>
          </w:tcPr>
          <w:p w:rsidR="00DA7926" w:rsidRPr="00A36DAF" w:rsidRDefault="00DA7926" w:rsidP="00DA7926">
            <w:pPr>
              <w:rPr>
                <w:rFonts w:cs="Calibri"/>
                <w:szCs w:val="20"/>
              </w:rPr>
            </w:pPr>
            <w:r w:rsidRPr="00A36DAF">
              <w:rPr>
                <w:rFonts w:cs="Calibri"/>
                <w:szCs w:val="20"/>
              </w:rPr>
              <w:t>AusAID Statistic</w:t>
            </w:r>
          </w:p>
        </w:tc>
        <w:tc>
          <w:tcPr>
            <w:tcW w:w="1550" w:type="dxa"/>
            <w:shd w:val="clear" w:color="auto" w:fill="auto"/>
          </w:tcPr>
          <w:p w:rsidR="00DA7926" w:rsidRPr="00A36DAF" w:rsidRDefault="00DA7926" w:rsidP="00DA7926">
            <w:pPr>
              <w:rPr>
                <w:rFonts w:cs="Calibri"/>
                <w:szCs w:val="20"/>
              </w:rPr>
            </w:pPr>
            <w:r w:rsidRPr="00A36DAF">
              <w:rPr>
                <w:rFonts w:cs="Calibri"/>
                <w:szCs w:val="20"/>
              </w:rPr>
              <w:t xml:space="preserve">Program Results Framework </w:t>
            </w:r>
          </w:p>
        </w:tc>
      </w:tr>
      <w:tr w:rsidR="00DA7926" w:rsidRPr="009C7A89" w:rsidTr="00016C38">
        <w:trPr>
          <w:trHeight w:val="1121"/>
        </w:trPr>
        <w:tc>
          <w:tcPr>
            <w:tcW w:w="1842" w:type="dxa"/>
            <w:shd w:val="clear" w:color="auto" w:fill="auto"/>
          </w:tcPr>
          <w:p w:rsidR="00DA7926" w:rsidRPr="00EE5517" w:rsidRDefault="00DA7926" w:rsidP="00DA7926">
            <w:pPr>
              <w:rPr>
                <w:rFonts w:ascii="Calibri" w:hAnsi="Calibri"/>
                <w:szCs w:val="20"/>
              </w:rPr>
            </w:pPr>
            <w:r w:rsidRPr="001225DD">
              <w:rPr>
                <w:rFonts w:cs="Calibri"/>
                <w:szCs w:val="20"/>
              </w:rPr>
              <w:t>Number of public servants trained</w:t>
            </w:r>
          </w:p>
        </w:tc>
        <w:tc>
          <w:tcPr>
            <w:tcW w:w="2249" w:type="dxa"/>
            <w:shd w:val="clear" w:color="auto" w:fill="auto"/>
          </w:tcPr>
          <w:p w:rsidR="00DA7926" w:rsidRPr="00A36DAF" w:rsidRDefault="00DA7926" w:rsidP="00DA7926">
            <w:pPr>
              <w:rPr>
                <w:rFonts w:cs="Calibri"/>
                <w:szCs w:val="20"/>
              </w:rPr>
            </w:pPr>
            <w:r w:rsidRPr="00A36DAF">
              <w:rPr>
                <w:rFonts w:cs="Calibri"/>
                <w:szCs w:val="20"/>
              </w:rPr>
              <w:t>Five public sector management specialists began Masters level training in Australia</w:t>
            </w:r>
          </w:p>
        </w:tc>
        <w:tc>
          <w:tcPr>
            <w:tcW w:w="1927" w:type="dxa"/>
            <w:shd w:val="clear" w:color="auto" w:fill="auto"/>
          </w:tcPr>
          <w:p w:rsidR="00DA7926" w:rsidRPr="00A36DAF" w:rsidRDefault="00DA7926" w:rsidP="00DA7926">
            <w:pPr>
              <w:rPr>
                <w:rFonts w:cs="Calibri"/>
                <w:szCs w:val="20"/>
              </w:rPr>
            </w:pPr>
            <w:r w:rsidRPr="00A36DAF">
              <w:rPr>
                <w:rFonts w:cs="Calibri"/>
                <w:szCs w:val="20"/>
              </w:rPr>
              <w:t>AusAID funded scholarships program, managed by AusAID</w:t>
            </w:r>
          </w:p>
        </w:tc>
        <w:tc>
          <w:tcPr>
            <w:tcW w:w="1928" w:type="dxa"/>
            <w:shd w:val="clear" w:color="auto" w:fill="auto"/>
          </w:tcPr>
          <w:p w:rsidR="00DA7926" w:rsidRPr="00A36DAF" w:rsidRDefault="00DA7926" w:rsidP="00DA7926">
            <w:pPr>
              <w:rPr>
                <w:rFonts w:cs="Calibri"/>
                <w:szCs w:val="20"/>
              </w:rPr>
            </w:pPr>
            <w:r w:rsidRPr="00A36DAF">
              <w:rPr>
                <w:rFonts w:cs="Calibri"/>
                <w:szCs w:val="20"/>
              </w:rPr>
              <w:t>AusAID Statistic</w:t>
            </w:r>
          </w:p>
        </w:tc>
        <w:tc>
          <w:tcPr>
            <w:tcW w:w="1550" w:type="dxa"/>
            <w:shd w:val="clear" w:color="auto" w:fill="auto"/>
          </w:tcPr>
          <w:p w:rsidR="00DA7926" w:rsidRPr="00A36DAF" w:rsidRDefault="00DA7926" w:rsidP="00DA7926">
            <w:pPr>
              <w:rPr>
                <w:rFonts w:cs="Calibri"/>
                <w:szCs w:val="20"/>
              </w:rPr>
            </w:pPr>
            <w:r w:rsidRPr="00A36DAF">
              <w:rPr>
                <w:rFonts w:cs="Calibri"/>
                <w:szCs w:val="20"/>
              </w:rPr>
              <w:t>Program Results Framework</w:t>
            </w:r>
          </w:p>
        </w:tc>
      </w:tr>
      <w:tr w:rsidR="00DA7926" w:rsidRPr="00951565" w:rsidTr="00016C38">
        <w:trPr>
          <w:trHeight w:val="416"/>
        </w:trPr>
        <w:tc>
          <w:tcPr>
            <w:tcW w:w="1842" w:type="dxa"/>
            <w:tcBorders>
              <w:top w:val="single" w:sz="4" w:space="0" w:color="auto"/>
              <w:left w:val="single" w:sz="4" w:space="0" w:color="auto"/>
              <w:bottom w:val="single" w:sz="4" w:space="0" w:color="auto"/>
              <w:right w:val="single" w:sz="4" w:space="0" w:color="auto"/>
            </w:tcBorders>
            <w:shd w:val="clear" w:color="auto" w:fill="auto"/>
          </w:tcPr>
          <w:p w:rsidR="00DA7926" w:rsidRPr="001225DD" w:rsidRDefault="00DA7926" w:rsidP="00DA7926">
            <w:pPr>
              <w:rPr>
                <w:rFonts w:cs="Calibri"/>
                <w:szCs w:val="20"/>
              </w:rPr>
            </w:pPr>
            <w:r w:rsidRPr="001225DD">
              <w:rPr>
                <w:rFonts w:cs="Calibri"/>
                <w:szCs w:val="20"/>
              </w:rPr>
              <w:t>Number of teachers trained</w:t>
            </w:r>
          </w:p>
          <w:p w:rsidR="00DA7926" w:rsidRPr="001225DD" w:rsidRDefault="00DA7926" w:rsidP="00DA7926">
            <w:pPr>
              <w:rPr>
                <w:rFonts w:cs="Calibri"/>
                <w:szCs w:val="20"/>
              </w:rPr>
            </w:pPr>
          </w:p>
        </w:tc>
        <w:tc>
          <w:tcPr>
            <w:tcW w:w="2249" w:type="dxa"/>
            <w:tcBorders>
              <w:top w:val="single" w:sz="4" w:space="0" w:color="auto"/>
              <w:left w:val="single" w:sz="4" w:space="0" w:color="auto"/>
              <w:bottom w:val="single" w:sz="4" w:space="0" w:color="auto"/>
              <w:right w:val="single" w:sz="4" w:space="0" w:color="auto"/>
            </w:tcBorders>
            <w:shd w:val="clear" w:color="auto" w:fill="auto"/>
          </w:tcPr>
          <w:p w:rsidR="00DA7926" w:rsidRPr="00A36DAF" w:rsidRDefault="00DA7926" w:rsidP="00DA7926">
            <w:pPr>
              <w:rPr>
                <w:rFonts w:cs="Calibri"/>
                <w:szCs w:val="20"/>
              </w:rPr>
            </w:pPr>
            <w:r w:rsidRPr="00A36DAF">
              <w:rPr>
                <w:rFonts w:cs="Calibri"/>
                <w:szCs w:val="20"/>
              </w:rPr>
              <w:t>129 teachers trained</w:t>
            </w:r>
          </w:p>
          <w:p w:rsidR="00DA7926" w:rsidRPr="00A36DAF" w:rsidRDefault="00DA7926" w:rsidP="00DA7926">
            <w:pPr>
              <w:rPr>
                <w:rFonts w:cs="Calibri"/>
                <w:szCs w:val="20"/>
              </w:rPr>
            </w:pPr>
          </w:p>
        </w:tc>
        <w:tc>
          <w:tcPr>
            <w:tcW w:w="1927" w:type="dxa"/>
            <w:tcBorders>
              <w:top w:val="single" w:sz="4" w:space="0" w:color="auto"/>
              <w:left w:val="single" w:sz="4" w:space="0" w:color="auto"/>
              <w:bottom w:val="single" w:sz="4" w:space="0" w:color="auto"/>
              <w:right w:val="single" w:sz="4" w:space="0" w:color="auto"/>
            </w:tcBorders>
            <w:shd w:val="clear" w:color="auto" w:fill="auto"/>
          </w:tcPr>
          <w:p w:rsidR="00DA7926" w:rsidRPr="00A36DAF" w:rsidRDefault="00DA7926" w:rsidP="00DA7926">
            <w:pPr>
              <w:rPr>
                <w:rFonts w:cs="Calibri"/>
                <w:szCs w:val="20"/>
              </w:rPr>
            </w:pPr>
            <w:r w:rsidRPr="00A36DAF">
              <w:rPr>
                <w:rFonts w:cs="Calibri"/>
                <w:szCs w:val="20"/>
              </w:rPr>
              <w:t>Palestinian National Authority through the Palestinian Reform and Development Trust Fund</w:t>
            </w:r>
          </w:p>
        </w:tc>
        <w:tc>
          <w:tcPr>
            <w:tcW w:w="1928" w:type="dxa"/>
            <w:tcBorders>
              <w:top w:val="single" w:sz="4" w:space="0" w:color="auto"/>
              <w:left w:val="single" w:sz="4" w:space="0" w:color="auto"/>
              <w:bottom w:val="single" w:sz="4" w:space="0" w:color="auto"/>
              <w:right w:val="single" w:sz="4" w:space="0" w:color="auto"/>
            </w:tcBorders>
            <w:shd w:val="clear" w:color="auto" w:fill="auto"/>
          </w:tcPr>
          <w:p w:rsidR="00DA7926" w:rsidRPr="00A36DAF" w:rsidRDefault="00DA7926" w:rsidP="00DA7926">
            <w:pPr>
              <w:rPr>
                <w:rFonts w:cs="Calibri"/>
                <w:szCs w:val="20"/>
              </w:rPr>
            </w:pPr>
            <w:r w:rsidRPr="00A36DAF">
              <w:rPr>
                <w:rFonts w:cs="Calibri"/>
                <w:szCs w:val="20"/>
              </w:rPr>
              <w:t>Results prorated</w:t>
            </w:r>
          </w:p>
          <w:p w:rsidR="00DA7926" w:rsidRPr="00A36DAF" w:rsidRDefault="00DA7926" w:rsidP="00DA7926">
            <w:pPr>
              <w:rPr>
                <w:rFonts w:cs="Calibri"/>
                <w:szCs w:val="20"/>
              </w:rPr>
            </w:pPr>
            <w:r w:rsidRPr="00A36DAF">
              <w:rPr>
                <w:rFonts w:cs="Calibri"/>
                <w:szCs w:val="20"/>
              </w:rPr>
              <w:t>(Australia provides 0.7% of the Palestinian Authority budget)</w:t>
            </w:r>
            <w:r w:rsidRPr="00A36DAF">
              <w:rPr>
                <w:rStyle w:val="FootnoteReference"/>
                <w:rFonts w:cs="Calibri"/>
                <w:szCs w:val="20"/>
              </w:rPr>
              <w:footnoteReference w:id="5"/>
            </w:r>
          </w:p>
        </w:tc>
        <w:tc>
          <w:tcPr>
            <w:tcW w:w="1550" w:type="dxa"/>
            <w:tcBorders>
              <w:top w:val="single" w:sz="4" w:space="0" w:color="auto"/>
              <w:left w:val="single" w:sz="4" w:space="0" w:color="auto"/>
              <w:bottom w:val="single" w:sz="4" w:space="0" w:color="auto"/>
              <w:right w:val="single" w:sz="4" w:space="0" w:color="auto"/>
            </w:tcBorders>
            <w:shd w:val="clear" w:color="auto" w:fill="auto"/>
          </w:tcPr>
          <w:p w:rsidR="00DA7926" w:rsidRPr="00A36DAF" w:rsidRDefault="00DA7926" w:rsidP="00DA7926">
            <w:pPr>
              <w:rPr>
                <w:rFonts w:cs="Calibri"/>
                <w:szCs w:val="20"/>
              </w:rPr>
            </w:pPr>
            <w:r w:rsidRPr="00A36DAF">
              <w:rPr>
                <w:rFonts w:cs="Calibri"/>
                <w:szCs w:val="20"/>
              </w:rPr>
              <w:t>Ad Hoc Liaison Committee for the Palestinian Territories (March 2012)</w:t>
            </w:r>
          </w:p>
        </w:tc>
      </w:tr>
      <w:tr w:rsidR="00DA7926" w:rsidRPr="00951565" w:rsidTr="00016C38">
        <w:trPr>
          <w:trHeight w:val="1295"/>
        </w:trPr>
        <w:tc>
          <w:tcPr>
            <w:tcW w:w="1842" w:type="dxa"/>
            <w:tcBorders>
              <w:top w:val="single" w:sz="4" w:space="0" w:color="auto"/>
              <w:left w:val="single" w:sz="4" w:space="0" w:color="auto"/>
              <w:bottom w:val="single" w:sz="4" w:space="0" w:color="auto"/>
              <w:right w:val="single" w:sz="4" w:space="0" w:color="auto"/>
            </w:tcBorders>
            <w:shd w:val="clear" w:color="auto" w:fill="auto"/>
          </w:tcPr>
          <w:p w:rsidR="00DA7926" w:rsidRPr="001225DD" w:rsidRDefault="00DA7926" w:rsidP="00DA7926">
            <w:pPr>
              <w:rPr>
                <w:rFonts w:cs="Calibri"/>
                <w:szCs w:val="20"/>
              </w:rPr>
            </w:pPr>
            <w:r w:rsidRPr="001225DD">
              <w:rPr>
                <w:rFonts w:cs="Calibri"/>
                <w:szCs w:val="20"/>
              </w:rPr>
              <w:t>Number of Palestinians Enrolled at higher education institutions</w:t>
            </w:r>
          </w:p>
        </w:tc>
        <w:tc>
          <w:tcPr>
            <w:tcW w:w="2249" w:type="dxa"/>
            <w:tcBorders>
              <w:top w:val="single" w:sz="4" w:space="0" w:color="auto"/>
              <w:left w:val="single" w:sz="4" w:space="0" w:color="auto"/>
              <w:bottom w:val="single" w:sz="4" w:space="0" w:color="auto"/>
              <w:right w:val="single" w:sz="4" w:space="0" w:color="auto"/>
            </w:tcBorders>
            <w:shd w:val="clear" w:color="auto" w:fill="auto"/>
          </w:tcPr>
          <w:p w:rsidR="00DA7926" w:rsidRPr="00A36DAF" w:rsidRDefault="00DA7926" w:rsidP="00DA7926">
            <w:pPr>
              <w:rPr>
                <w:rFonts w:cs="Calibri"/>
                <w:szCs w:val="20"/>
              </w:rPr>
            </w:pPr>
            <w:r w:rsidRPr="00A36DAF">
              <w:rPr>
                <w:rFonts w:cs="Calibri"/>
                <w:szCs w:val="20"/>
              </w:rPr>
              <w:t>1,375 students enrolled</w:t>
            </w:r>
          </w:p>
        </w:tc>
        <w:tc>
          <w:tcPr>
            <w:tcW w:w="1927" w:type="dxa"/>
            <w:tcBorders>
              <w:top w:val="single" w:sz="4" w:space="0" w:color="auto"/>
              <w:left w:val="single" w:sz="4" w:space="0" w:color="auto"/>
              <w:bottom w:val="single" w:sz="4" w:space="0" w:color="auto"/>
              <w:right w:val="single" w:sz="4" w:space="0" w:color="auto"/>
            </w:tcBorders>
            <w:shd w:val="clear" w:color="auto" w:fill="auto"/>
          </w:tcPr>
          <w:p w:rsidR="00DA7926" w:rsidRPr="00A36DAF" w:rsidRDefault="00DA7926" w:rsidP="00DA7926">
            <w:pPr>
              <w:rPr>
                <w:rFonts w:cs="Calibri"/>
                <w:szCs w:val="20"/>
              </w:rPr>
            </w:pPr>
            <w:r w:rsidRPr="00A36DAF">
              <w:rPr>
                <w:rFonts w:cs="Calibri"/>
                <w:szCs w:val="20"/>
              </w:rPr>
              <w:t>Palestinian National Authority through the Palestinian Reform and Development Trust Fund</w:t>
            </w:r>
          </w:p>
        </w:tc>
        <w:tc>
          <w:tcPr>
            <w:tcW w:w="1928" w:type="dxa"/>
            <w:tcBorders>
              <w:top w:val="single" w:sz="4" w:space="0" w:color="auto"/>
              <w:left w:val="single" w:sz="4" w:space="0" w:color="auto"/>
              <w:bottom w:val="single" w:sz="4" w:space="0" w:color="auto"/>
              <w:right w:val="single" w:sz="4" w:space="0" w:color="auto"/>
            </w:tcBorders>
            <w:shd w:val="clear" w:color="auto" w:fill="auto"/>
          </w:tcPr>
          <w:p w:rsidR="00DA7926" w:rsidRPr="00A36DAF" w:rsidRDefault="00DA7926" w:rsidP="00DA7926">
            <w:pPr>
              <w:rPr>
                <w:rFonts w:cs="Calibri"/>
                <w:szCs w:val="20"/>
              </w:rPr>
            </w:pPr>
            <w:r w:rsidRPr="00A36DAF">
              <w:rPr>
                <w:rFonts w:cs="Calibri"/>
                <w:szCs w:val="20"/>
              </w:rPr>
              <w:t>Results prorated</w:t>
            </w:r>
          </w:p>
          <w:p w:rsidR="00DA7926" w:rsidRPr="00A36DAF" w:rsidRDefault="00DA7926" w:rsidP="00DA7926">
            <w:pPr>
              <w:rPr>
                <w:rFonts w:cs="Calibri"/>
                <w:szCs w:val="20"/>
              </w:rPr>
            </w:pPr>
            <w:r w:rsidRPr="00A36DAF">
              <w:rPr>
                <w:rFonts w:cs="Calibri"/>
                <w:szCs w:val="20"/>
              </w:rPr>
              <w:t>(Australia provides 0.7% of the Palestinian Authority budget)</w:t>
            </w:r>
          </w:p>
        </w:tc>
        <w:tc>
          <w:tcPr>
            <w:tcW w:w="1550" w:type="dxa"/>
            <w:tcBorders>
              <w:top w:val="single" w:sz="4" w:space="0" w:color="auto"/>
              <w:left w:val="single" w:sz="4" w:space="0" w:color="auto"/>
              <w:bottom w:val="single" w:sz="4" w:space="0" w:color="auto"/>
              <w:right w:val="single" w:sz="4" w:space="0" w:color="auto"/>
            </w:tcBorders>
            <w:shd w:val="clear" w:color="auto" w:fill="auto"/>
          </w:tcPr>
          <w:p w:rsidR="00DA7926" w:rsidRPr="00A36DAF" w:rsidRDefault="00DA7926" w:rsidP="00DA7926">
            <w:pPr>
              <w:rPr>
                <w:rFonts w:cs="Calibri"/>
                <w:szCs w:val="20"/>
              </w:rPr>
            </w:pPr>
            <w:r w:rsidRPr="00A36DAF">
              <w:rPr>
                <w:rFonts w:cs="Calibri"/>
                <w:szCs w:val="20"/>
              </w:rPr>
              <w:t>Palestinian Ad Hoc Liaison Committee for the Palestinian Territories (March 2012)</w:t>
            </w:r>
          </w:p>
        </w:tc>
      </w:tr>
      <w:tr w:rsidR="00DA7926" w:rsidRPr="009C7A89" w:rsidTr="00016C38">
        <w:trPr>
          <w:trHeight w:val="1303"/>
        </w:trPr>
        <w:tc>
          <w:tcPr>
            <w:tcW w:w="1842" w:type="dxa"/>
            <w:shd w:val="clear" w:color="auto" w:fill="auto"/>
          </w:tcPr>
          <w:p w:rsidR="00DA7926" w:rsidRPr="003C126B" w:rsidRDefault="00DA7926" w:rsidP="00DA7926">
            <w:pPr>
              <w:rPr>
                <w:rFonts w:ascii="Calibri" w:hAnsi="Calibri"/>
                <w:szCs w:val="20"/>
              </w:rPr>
            </w:pPr>
            <w:r w:rsidRPr="001225DD">
              <w:rPr>
                <w:rFonts w:cs="Calibri"/>
                <w:szCs w:val="20"/>
              </w:rPr>
              <w:t>Number of primary health care centres in operation</w:t>
            </w:r>
          </w:p>
        </w:tc>
        <w:tc>
          <w:tcPr>
            <w:tcW w:w="2249" w:type="dxa"/>
            <w:shd w:val="clear" w:color="auto" w:fill="auto"/>
          </w:tcPr>
          <w:p w:rsidR="00DA7926" w:rsidRPr="00A36DAF" w:rsidRDefault="00DA7926" w:rsidP="00DA7926">
            <w:pPr>
              <w:rPr>
                <w:rFonts w:cs="Calibri"/>
                <w:szCs w:val="20"/>
              </w:rPr>
            </w:pPr>
            <w:r w:rsidRPr="00A36DAF">
              <w:rPr>
                <w:rFonts w:cs="Calibri"/>
                <w:szCs w:val="20"/>
              </w:rPr>
              <w:t>3 primary health care centres providing basic health care services</w:t>
            </w:r>
          </w:p>
        </w:tc>
        <w:tc>
          <w:tcPr>
            <w:tcW w:w="1927" w:type="dxa"/>
            <w:shd w:val="clear" w:color="auto" w:fill="auto"/>
          </w:tcPr>
          <w:p w:rsidR="00DA7926" w:rsidRPr="00A36DAF" w:rsidRDefault="00DA7926" w:rsidP="00DA7926">
            <w:pPr>
              <w:rPr>
                <w:rFonts w:cs="Calibri"/>
                <w:szCs w:val="20"/>
              </w:rPr>
            </w:pPr>
            <w:r w:rsidRPr="00A36DAF">
              <w:rPr>
                <w:rFonts w:cs="Calibri"/>
                <w:szCs w:val="20"/>
              </w:rPr>
              <w:t>Palestinian National Authority through the Palestinian Reform and Development Trust Fund</w:t>
            </w:r>
          </w:p>
        </w:tc>
        <w:tc>
          <w:tcPr>
            <w:tcW w:w="1928" w:type="dxa"/>
            <w:shd w:val="clear" w:color="auto" w:fill="auto"/>
          </w:tcPr>
          <w:p w:rsidR="00DA7926" w:rsidRPr="00A36DAF" w:rsidRDefault="00DA7926" w:rsidP="00DA7926">
            <w:pPr>
              <w:rPr>
                <w:rFonts w:cs="Calibri"/>
                <w:szCs w:val="20"/>
              </w:rPr>
            </w:pPr>
            <w:r w:rsidRPr="00A36DAF">
              <w:rPr>
                <w:rFonts w:cs="Calibri"/>
                <w:szCs w:val="20"/>
              </w:rPr>
              <w:t>Results prorated</w:t>
            </w:r>
          </w:p>
          <w:p w:rsidR="00DA7926" w:rsidRPr="00A36DAF" w:rsidRDefault="00DA7926" w:rsidP="00DA7926">
            <w:pPr>
              <w:rPr>
                <w:rFonts w:cs="Calibri"/>
                <w:szCs w:val="20"/>
              </w:rPr>
            </w:pPr>
            <w:r w:rsidRPr="00A36DAF">
              <w:rPr>
                <w:rFonts w:cs="Calibri"/>
                <w:szCs w:val="20"/>
              </w:rPr>
              <w:t>(Australia provides 0.7% of the Palestinian Authority budget)</w:t>
            </w:r>
          </w:p>
        </w:tc>
        <w:tc>
          <w:tcPr>
            <w:tcW w:w="1550" w:type="dxa"/>
            <w:shd w:val="clear" w:color="auto" w:fill="auto"/>
          </w:tcPr>
          <w:p w:rsidR="00DA7926" w:rsidRPr="00A36DAF" w:rsidRDefault="00DA7926" w:rsidP="00DA7926">
            <w:pPr>
              <w:rPr>
                <w:rFonts w:cs="Calibri"/>
                <w:szCs w:val="20"/>
              </w:rPr>
            </w:pPr>
            <w:r w:rsidRPr="00A36DAF">
              <w:rPr>
                <w:rFonts w:cs="Calibri"/>
                <w:szCs w:val="20"/>
              </w:rPr>
              <w:t>Ad Hoc Liaison Committee for the Palestinian Territories (March 2012)</w:t>
            </w:r>
          </w:p>
        </w:tc>
      </w:tr>
      <w:tr w:rsidR="00DA7926" w:rsidRPr="009C7A89" w:rsidTr="00016C38">
        <w:trPr>
          <w:trHeight w:val="1408"/>
        </w:trPr>
        <w:tc>
          <w:tcPr>
            <w:tcW w:w="1842" w:type="dxa"/>
            <w:shd w:val="clear" w:color="auto" w:fill="auto"/>
          </w:tcPr>
          <w:p w:rsidR="00DA7926" w:rsidRPr="001225DD" w:rsidRDefault="00DA7926" w:rsidP="00DA7926">
            <w:pPr>
              <w:rPr>
                <w:rFonts w:cs="Calibri"/>
                <w:szCs w:val="20"/>
              </w:rPr>
            </w:pPr>
            <w:r>
              <w:rPr>
                <w:rFonts w:cs="Calibri"/>
                <w:szCs w:val="20"/>
              </w:rPr>
              <w:t xml:space="preserve">Sq. </w:t>
            </w:r>
            <w:r w:rsidRPr="001225DD">
              <w:rPr>
                <w:rFonts w:cs="Calibri"/>
                <w:szCs w:val="20"/>
              </w:rPr>
              <w:t>Kilometres of land rehabilitated for agricultural use</w:t>
            </w:r>
          </w:p>
        </w:tc>
        <w:tc>
          <w:tcPr>
            <w:tcW w:w="2249" w:type="dxa"/>
            <w:shd w:val="clear" w:color="auto" w:fill="auto"/>
          </w:tcPr>
          <w:p w:rsidR="00DA7926" w:rsidRPr="00A36DAF" w:rsidRDefault="00DA7926" w:rsidP="00DA7926">
            <w:pPr>
              <w:rPr>
                <w:rFonts w:cs="Calibri"/>
                <w:szCs w:val="20"/>
              </w:rPr>
            </w:pPr>
            <w:r w:rsidRPr="00A36DAF">
              <w:rPr>
                <w:rFonts w:cs="Calibri"/>
                <w:szCs w:val="20"/>
              </w:rPr>
              <w:t>2.7 square kilometres of land rehabilitated for farming</w:t>
            </w:r>
          </w:p>
        </w:tc>
        <w:tc>
          <w:tcPr>
            <w:tcW w:w="1927" w:type="dxa"/>
            <w:shd w:val="clear" w:color="auto" w:fill="auto"/>
          </w:tcPr>
          <w:p w:rsidR="00DA7926" w:rsidRPr="00A36DAF" w:rsidRDefault="00DA7926" w:rsidP="00DA7926">
            <w:pPr>
              <w:rPr>
                <w:rFonts w:cs="Calibri"/>
                <w:szCs w:val="20"/>
              </w:rPr>
            </w:pPr>
            <w:r w:rsidRPr="00A36DAF">
              <w:rPr>
                <w:rFonts w:cs="Calibri"/>
                <w:szCs w:val="20"/>
              </w:rPr>
              <w:t>Palestinian National Authority through the Palestinian Reform and Development Trust Fund</w:t>
            </w:r>
          </w:p>
        </w:tc>
        <w:tc>
          <w:tcPr>
            <w:tcW w:w="1928" w:type="dxa"/>
            <w:shd w:val="clear" w:color="auto" w:fill="auto"/>
          </w:tcPr>
          <w:p w:rsidR="00DA7926" w:rsidRPr="00A36DAF" w:rsidRDefault="00DA7926" w:rsidP="00DA7926">
            <w:pPr>
              <w:rPr>
                <w:rFonts w:cs="Calibri"/>
                <w:szCs w:val="20"/>
              </w:rPr>
            </w:pPr>
            <w:r w:rsidRPr="00A36DAF">
              <w:rPr>
                <w:rFonts w:cs="Calibri"/>
                <w:szCs w:val="20"/>
              </w:rPr>
              <w:t>Results prorated</w:t>
            </w:r>
          </w:p>
          <w:p w:rsidR="00DA7926" w:rsidRPr="00A36DAF" w:rsidRDefault="00DA7926" w:rsidP="00DA7926">
            <w:pPr>
              <w:rPr>
                <w:rFonts w:cs="Calibri"/>
                <w:szCs w:val="20"/>
              </w:rPr>
            </w:pPr>
            <w:r w:rsidRPr="00A36DAF">
              <w:rPr>
                <w:rFonts w:cs="Calibri"/>
                <w:szCs w:val="20"/>
              </w:rPr>
              <w:t>(Australia provides 0.7% of the Palestinian Authority budget)</w:t>
            </w:r>
          </w:p>
        </w:tc>
        <w:tc>
          <w:tcPr>
            <w:tcW w:w="1550" w:type="dxa"/>
            <w:shd w:val="clear" w:color="auto" w:fill="auto"/>
          </w:tcPr>
          <w:p w:rsidR="00DA7926" w:rsidRPr="00A36DAF" w:rsidRDefault="00DA7926" w:rsidP="00DA7926">
            <w:pPr>
              <w:rPr>
                <w:rFonts w:cs="Calibri"/>
                <w:szCs w:val="20"/>
              </w:rPr>
            </w:pPr>
            <w:r w:rsidRPr="00A36DAF">
              <w:rPr>
                <w:rFonts w:cs="Calibri"/>
                <w:szCs w:val="20"/>
              </w:rPr>
              <w:t>Ad Hoc Liaison Committee for the Palestinian Territories (March 2012)</w:t>
            </w:r>
          </w:p>
        </w:tc>
      </w:tr>
      <w:tr w:rsidR="00DA7926" w:rsidRPr="009C7A89" w:rsidTr="00016C38">
        <w:trPr>
          <w:trHeight w:val="1132"/>
        </w:trPr>
        <w:tc>
          <w:tcPr>
            <w:tcW w:w="1842" w:type="dxa"/>
            <w:shd w:val="clear" w:color="auto" w:fill="auto"/>
          </w:tcPr>
          <w:p w:rsidR="00DA7926" w:rsidRPr="001225DD" w:rsidRDefault="00DA7926" w:rsidP="00DA7926">
            <w:pPr>
              <w:rPr>
                <w:rFonts w:cs="Calibri"/>
                <w:szCs w:val="20"/>
              </w:rPr>
            </w:pPr>
            <w:r w:rsidRPr="001225DD">
              <w:rPr>
                <w:rFonts w:cs="Calibri"/>
                <w:szCs w:val="20"/>
              </w:rPr>
              <w:lastRenderedPageBreak/>
              <w:t>Number of poor women and men who gain access to agricultural technologies</w:t>
            </w:r>
          </w:p>
        </w:tc>
        <w:tc>
          <w:tcPr>
            <w:tcW w:w="2249" w:type="dxa"/>
            <w:shd w:val="clear" w:color="auto" w:fill="auto"/>
          </w:tcPr>
          <w:p w:rsidR="00DA7926" w:rsidRPr="00A36DAF" w:rsidRDefault="00DA7926" w:rsidP="00DA7926">
            <w:pPr>
              <w:rPr>
                <w:rFonts w:cs="Calibri"/>
                <w:color w:val="FF0000"/>
                <w:szCs w:val="20"/>
              </w:rPr>
            </w:pPr>
            <w:r w:rsidRPr="00A36DAF">
              <w:rPr>
                <w:rFonts w:cs="Calibri"/>
                <w:szCs w:val="20"/>
              </w:rPr>
              <w:t>265 farmers received agricultural inputs and skills training</w:t>
            </w:r>
          </w:p>
        </w:tc>
        <w:tc>
          <w:tcPr>
            <w:tcW w:w="1927" w:type="dxa"/>
            <w:shd w:val="clear" w:color="auto" w:fill="auto"/>
          </w:tcPr>
          <w:p w:rsidR="00DA7926" w:rsidRPr="00A36DAF" w:rsidRDefault="00DA7926" w:rsidP="00DA7926">
            <w:pPr>
              <w:rPr>
                <w:rFonts w:cs="Calibri"/>
                <w:szCs w:val="20"/>
              </w:rPr>
            </w:pPr>
            <w:r w:rsidRPr="00A36DAF">
              <w:rPr>
                <w:rFonts w:cs="Calibri"/>
                <w:szCs w:val="20"/>
              </w:rPr>
              <w:t>AusAID partly funded program, delivered by NGOS</w:t>
            </w:r>
          </w:p>
          <w:p w:rsidR="00DA7926" w:rsidRPr="00A36DAF" w:rsidRDefault="00DA7926" w:rsidP="00DA7926">
            <w:pPr>
              <w:rPr>
                <w:rFonts w:cs="Calibri"/>
                <w:szCs w:val="20"/>
              </w:rPr>
            </w:pPr>
          </w:p>
        </w:tc>
        <w:tc>
          <w:tcPr>
            <w:tcW w:w="1928" w:type="dxa"/>
            <w:shd w:val="clear" w:color="auto" w:fill="auto"/>
          </w:tcPr>
          <w:p w:rsidR="00DA7926" w:rsidRPr="00A36DAF" w:rsidRDefault="00DA7926" w:rsidP="00DA7926">
            <w:pPr>
              <w:rPr>
                <w:rFonts w:cs="Calibri"/>
                <w:b/>
                <w:szCs w:val="20"/>
              </w:rPr>
            </w:pPr>
            <w:r w:rsidRPr="00A36DAF">
              <w:rPr>
                <w:rFonts w:cs="Calibri"/>
                <w:szCs w:val="20"/>
              </w:rPr>
              <w:t>Results reported on by four partner NGOs</w:t>
            </w:r>
            <w:r w:rsidRPr="00A36DAF">
              <w:rPr>
                <w:rFonts w:cs="Calibri"/>
                <w:b/>
                <w:szCs w:val="20"/>
              </w:rPr>
              <w:t>.</w:t>
            </w:r>
          </w:p>
        </w:tc>
        <w:tc>
          <w:tcPr>
            <w:tcW w:w="1550" w:type="dxa"/>
            <w:shd w:val="clear" w:color="auto" w:fill="auto"/>
          </w:tcPr>
          <w:p w:rsidR="00DA7926" w:rsidRPr="00A36DAF" w:rsidRDefault="00DA7926" w:rsidP="00DA7926">
            <w:pPr>
              <w:rPr>
                <w:rFonts w:cs="Calibri"/>
                <w:szCs w:val="20"/>
              </w:rPr>
            </w:pPr>
            <w:r w:rsidRPr="00A36DAF">
              <w:rPr>
                <w:rFonts w:cs="Calibri"/>
                <w:szCs w:val="20"/>
              </w:rPr>
              <w:t xml:space="preserve">Six-Monthly Reports and Annual Reports </w:t>
            </w:r>
          </w:p>
        </w:tc>
      </w:tr>
      <w:tr w:rsidR="00DA7926" w:rsidRPr="009C7A89" w:rsidTr="00016C38">
        <w:trPr>
          <w:trHeight w:val="2393"/>
        </w:trPr>
        <w:tc>
          <w:tcPr>
            <w:tcW w:w="1842" w:type="dxa"/>
            <w:shd w:val="clear" w:color="auto" w:fill="auto"/>
          </w:tcPr>
          <w:p w:rsidR="00DA7926" w:rsidRPr="001225DD" w:rsidRDefault="00DA7926" w:rsidP="00DA7926">
            <w:pPr>
              <w:rPr>
                <w:rFonts w:cs="Calibri"/>
                <w:szCs w:val="20"/>
              </w:rPr>
            </w:pPr>
            <w:r w:rsidRPr="001225DD">
              <w:rPr>
                <w:rFonts w:cs="Calibri"/>
                <w:szCs w:val="20"/>
              </w:rPr>
              <w:t>Number of poor women and men who increase their access to financial services</w:t>
            </w:r>
          </w:p>
          <w:p w:rsidR="00DA7926" w:rsidRPr="001225DD" w:rsidRDefault="00DA7926" w:rsidP="00DA7926">
            <w:pPr>
              <w:rPr>
                <w:rFonts w:cs="Calibri"/>
                <w:szCs w:val="20"/>
              </w:rPr>
            </w:pPr>
          </w:p>
          <w:p w:rsidR="00DA7926" w:rsidRPr="001225DD" w:rsidRDefault="00DA7926" w:rsidP="00DA7926">
            <w:pPr>
              <w:rPr>
                <w:rFonts w:cs="Calibri"/>
                <w:szCs w:val="20"/>
              </w:rPr>
            </w:pPr>
          </w:p>
          <w:p w:rsidR="00DA7926" w:rsidRPr="001225DD" w:rsidRDefault="00DA7926" w:rsidP="00DA7926">
            <w:pPr>
              <w:rPr>
                <w:rFonts w:cs="Calibri"/>
                <w:szCs w:val="20"/>
              </w:rPr>
            </w:pPr>
          </w:p>
          <w:p w:rsidR="00DA7926" w:rsidRPr="001225DD" w:rsidRDefault="00DA7926" w:rsidP="00DA7926">
            <w:pPr>
              <w:rPr>
                <w:rFonts w:cs="Calibri"/>
                <w:szCs w:val="20"/>
              </w:rPr>
            </w:pPr>
          </w:p>
        </w:tc>
        <w:tc>
          <w:tcPr>
            <w:tcW w:w="2249" w:type="dxa"/>
            <w:shd w:val="clear" w:color="auto" w:fill="auto"/>
          </w:tcPr>
          <w:p w:rsidR="00DA7926" w:rsidRPr="00A36DAF" w:rsidRDefault="00DA7926" w:rsidP="00DA7926">
            <w:pPr>
              <w:rPr>
                <w:rFonts w:cs="Calibri"/>
                <w:szCs w:val="20"/>
              </w:rPr>
            </w:pPr>
            <w:r w:rsidRPr="00A36DAF">
              <w:rPr>
                <w:rFonts w:cs="Calibri"/>
                <w:szCs w:val="20"/>
              </w:rPr>
              <w:t xml:space="preserve">175 women gained access to financial services </w:t>
            </w:r>
          </w:p>
          <w:p w:rsidR="00DA7926" w:rsidRPr="00A36DAF" w:rsidRDefault="00DA7926" w:rsidP="00DA7926">
            <w:pPr>
              <w:rPr>
                <w:rFonts w:cs="Calibri"/>
                <w:szCs w:val="20"/>
              </w:rPr>
            </w:pPr>
          </w:p>
          <w:p w:rsidR="00DA7926" w:rsidRPr="00A36DAF" w:rsidRDefault="00DA7926" w:rsidP="00DA7926">
            <w:pPr>
              <w:rPr>
                <w:rFonts w:cs="Calibri"/>
                <w:szCs w:val="20"/>
              </w:rPr>
            </w:pPr>
            <w:r w:rsidRPr="00A36DAF">
              <w:rPr>
                <w:rFonts w:cs="Calibri"/>
                <w:szCs w:val="20"/>
              </w:rPr>
              <w:t>24 women received loans to support the establishment of new activities and 15 women received loans to support existing projects</w:t>
            </w:r>
          </w:p>
        </w:tc>
        <w:tc>
          <w:tcPr>
            <w:tcW w:w="1927" w:type="dxa"/>
            <w:shd w:val="clear" w:color="auto" w:fill="auto"/>
          </w:tcPr>
          <w:p w:rsidR="00DA7926" w:rsidRPr="00A36DAF" w:rsidRDefault="00DA7926" w:rsidP="00DA7926">
            <w:pPr>
              <w:rPr>
                <w:rFonts w:cs="Calibri"/>
                <w:szCs w:val="20"/>
              </w:rPr>
            </w:pPr>
            <w:r w:rsidRPr="00A36DAF">
              <w:rPr>
                <w:rFonts w:cs="Calibri"/>
                <w:szCs w:val="20"/>
              </w:rPr>
              <w:t>AusAID partly funded program, delivered by NGOS</w:t>
            </w:r>
          </w:p>
        </w:tc>
        <w:tc>
          <w:tcPr>
            <w:tcW w:w="1928" w:type="dxa"/>
            <w:shd w:val="clear" w:color="auto" w:fill="auto"/>
          </w:tcPr>
          <w:p w:rsidR="00DA7926" w:rsidRPr="00A36DAF" w:rsidRDefault="00DA7926" w:rsidP="00DA7926">
            <w:pPr>
              <w:rPr>
                <w:rFonts w:cs="Calibri"/>
                <w:szCs w:val="20"/>
              </w:rPr>
            </w:pPr>
            <w:r w:rsidRPr="00A36DAF">
              <w:rPr>
                <w:rFonts w:cs="Calibri"/>
                <w:szCs w:val="20"/>
              </w:rPr>
              <w:t>Results reported on by four partner NGOs</w:t>
            </w:r>
            <w:r w:rsidRPr="00A36DAF">
              <w:rPr>
                <w:rFonts w:cs="Calibri"/>
                <w:b/>
                <w:szCs w:val="20"/>
              </w:rPr>
              <w:t>.</w:t>
            </w:r>
          </w:p>
        </w:tc>
        <w:tc>
          <w:tcPr>
            <w:tcW w:w="1550" w:type="dxa"/>
            <w:shd w:val="clear" w:color="auto" w:fill="auto"/>
          </w:tcPr>
          <w:p w:rsidR="00DA7926" w:rsidRPr="00A36DAF" w:rsidRDefault="00DA7926" w:rsidP="00DA7926">
            <w:pPr>
              <w:rPr>
                <w:rFonts w:cs="Calibri"/>
                <w:szCs w:val="20"/>
              </w:rPr>
            </w:pPr>
            <w:r w:rsidRPr="00A36DAF">
              <w:rPr>
                <w:rFonts w:cs="Calibri"/>
                <w:szCs w:val="20"/>
              </w:rPr>
              <w:t>Six-Monthly Reports and Annual Reports</w:t>
            </w:r>
          </w:p>
        </w:tc>
      </w:tr>
      <w:tr w:rsidR="00DA7926" w:rsidRPr="009C7A89" w:rsidTr="00016C38">
        <w:trPr>
          <w:trHeight w:val="2116"/>
        </w:trPr>
        <w:tc>
          <w:tcPr>
            <w:tcW w:w="1842" w:type="dxa"/>
            <w:shd w:val="clear" w:color="auto" w:fill="auto"/>
          </w:tcPr>
          <w:p w:rsidR="00DA7926" w:rsidRPr="001225DD" w:rsidRDefault="00DA7926" w:rsidP="00DA7926">
            <w:pPr>
              <w:rPr>
                <w:rFonts w:cs="Calibri"/>
                <w:szCs w:val="20"/>
              </w:rPr>
            </w:pPr>
            <w:r w:rsidRPr="001225DD">
              <w:rPr>
                <w:rFonts w:cs="Calibri"/>
                <w:szCs w:val="20"/>
              </w:rPr>
              <w:t>Number of poor women and men with increased incomes</w:t>
            </w:r>
          </w:p>
        </w:tc>
        <w:tc>
          <w:tcPr>
            <w:tcW w:w="2249" w:type="dxa"/>
            <w:shd w:val="clear" w:color="auto" w:fill="auto"/>
          </w:tcPr>
          <w:p w:rsidR="00DA7926" w:rsidRPr="00A36DAF" w:rsidRDefault="00DA7926" w:rsidP="00DA7926">
            <w:pPr>
              <w:rPr>
                <w:rFonts w:cs="Calibri"/>
                <w:szCs w:val="20"/>
              </w:rPr>
            </w:pPr>
            <w:r w:rsidRPr="00A36DAF">
              <w:rPr>
                <w:rFonts w:cs="Calibri"/>
                <w:szCs w:val="20"/>
              </w:rPr>
              <w:t xml:space="preserve">266 farmers benefitted from a 30% income increase through land rehabilitation </w:t>
            </w:r>
          </w:p>
          <w:p w:rsidR="00DA7926" w:rsidRPr="00EE5517" w:rsidRDefault="00DA7926" w:rsidP="00DA7926">
            <w:pPr>
              <w:rPr>
                <w:color w:val="FF0000"/>
                <w:szCs w:val="20"/>
              </w:rPr>
            </w:pPr>
          </w:p>
          <w:p w:rsidR="00DA7926" w:rsidRPr="00A36DAF" w:rsidRDefault="00DA7926" w:rsidP="00DA7926">
            <w:pPr>
              <w:rPr>
                <w:rFonts w:cs="Calibri"/>
                <w:szCs w:val="20"/>
              </w:rPr>
            </w:pPr>
            <w:r w:rsidRPr="00A36DAF">
              <w:rPr>
                <w:rFonts w:cs="Calibri"/>
                <w:szCs w:val="20"/>
              </w:rPr>
              <w:t>65 workers benefitted from a 25% income increase following greenhouse rehabilitation</w:t>
            </w:r>
          </w:p>
        </w:tc>
        <w:tc>
          <w:tcPr>
            <w:tcW w:w="1927" w:type="dxa"/>
            <w:shd w:val="clear" w:color="auto" w:fill="auto"/>
          </w:tcPr>
          <w:p w:rsidR="00DA7926" w:rsidRPr="00A36DAF" w:rsidRDefault="00DA7926" w:rsidP="00DA7926">
            <w:pPr>
              <w:rPr>
                <w:rFonts w:cs="Calibri"/>
                <w:szCs w:val="20"/>
              </w:rPr>
            </w:pPr>
            <w:r w:rsidRPr="00A36DAF">
              <w:rPr>
                <w:rFonts w:cs="Calibri"/>
                <w:szCs w:val="20"/>
              </w:rPr>
              <w:t>AusAID partly funded program, delivered by NGOS</w:t>
            </w:r>
          </w:p>
        </w:tc>
        <w:tc>
          <w:tcPr>
            <w:tcW w:w="1928" w:type="dxa"/>
            <w:shd w:val="clear" w:color="auto" w:fill="auto"/>
          </w:tcPr>
          <w:p w:rsidR="00DA7926" w:rsidRPr="00A36DAF" w:rsidRDefault="00DA7926" w:rsidP="00DA7926">
            <w:pPr>
              <w:rPr>
                <w:rFonts w:cs="Calibri"/>
                <w:szCs w:val="20"/>
              </w:rPr>
            </w:pPr>
            <w:r w:rsidRPr="00A36DAF">
              <w:rPr>
                <w:rFonts w:cs="Calibri"/>
                <w:szCs w:val="20"/>
              </w:rPr>
              <w:t>Results prorated</w:t>
            </w:r>
          </w:p>
        </w:tc>
        <w:tc>
          <w:tcPr>
            <w:tcW w:w="1550" w:type="dxa"/>
            <w:shd w:val="clear" w:color="auto" w:fill="auto"/>
          </w:tcPr>
          <w:p w:rsidR="00DA7926" w:rsidRPr="00A36DAF" w:rsidRDefault="00DA7926" w:rsidP="00DA7926">
            <w:pPr>
              <w:rPr>
                <w:rFonts w:cs="Calibri"/>
                <w:szCs w:val="20"/>
              </w:rPr>
            </w:pPr>
            <w:r w:rsidRPr="00A36DAF">
              <w:rPr>
                <w:rFonts w:cs="Calibri"/>
                <w:szCs w:val="20"/>
              </w:rPr>
              <w:t>Six-Monthly Reports and Annual Reports</w:t>
            </w:r>
          </w:p>
        </w:tc>
      </w:tr>
      <w:tr w:rsidR="00DA7926" w:rsidRPr="009C7A89" w:rsidTr="00016C38">
        <w:trPr>
          <w:trHeight w:val="982"/>
        </w:trPr>
        <w:tc>
          <w:tcPr>
            <w:tcW w:w="1842" w:type="dxa"/>
            <w:shd w:val="clear" w:color="auto" w:fill="auto"/>
          </w:tcPr>
          <w:p w:rsidR="00DA7926" w:rsidRPr="001225DD" w:rsidRDefault="00DA7926" w:rsidP="00DA7926">
            <w:pPr>
              <w:rPr>
                <w:rFonts w:cs="Calibri"/>
                <w:szCs w:val="20"/>
              </w:rPr>
            </w:pPr>
            <w:r w:rsidRPr="001225DD">
              <w:rPr>
                <w:rFonts w:cs="Calibri"/>
                <w:szCs w:val="20"/>
              </w:rPr>
              <w:t>Number of people provided with increased access to safe water</w:t>
            </w:r>
          </w:p>
        </w:tc>
        <w:tc>
          <w:tcPr>
            <w:tcW w:w="2249" w:type="dxa"/>
            <w:shd w:val="clear" w:color="auto" w:fill="auto"/>
          </w:tcPr>
          <w:p w:rsidR="00DA7926" w:rsidRPr="00A36DAF" w:rsidRDefault="00DA7926" w:rsidP="00DA7926">
            <w:pPr>
              <w:rPr>
                <w:rFonts w:cs="Calibri"/>
                <w:szCs w:val="20"/>
                <w:lang w:val="en-GB"/>
              </w:rPr>
            </w:pPr>
            <w:r w:rsidRPr="00A36DAF">
              <w:rPr>
                <w:rFonts w:cs="Calibri"/>
                <w:szCs w:val="20"/>
                <w:lang w:val="en-GB"/>
              </w:rPr>
              <w:t xml:space="preserve">40,000 children received safe water in schools in the West Bank and Gaza </w:t>
            </w:r>
          </w:p>
        </w:tc>
        <w:tc>
          <w:tcPr>
            <w:tcW w:w="1927" w:type="dxa"/>
            <w:shd w:val="clear" w:color="auto" w:fill="auto"/>
          </w:tcPr>
          <w:p w:rsidR="00DA7926" w:rsidRPr="00A36DAF" w:rsidRDefault="00DA7926" w:rsidP="00DA7926">
            <w:pPr>
              <w:rPr>
                <w:rFonts w:cs="Calibri"/>
                <w:szCs w:val="20"/>
              </w:rPr>
            </w:pPr>
            <w:r w:rsidRPr="00A36DAF">
              <w:rPr>
                <w:rFonts w:cs="Calibri"/>
                <w:szCs w:val="20"/>
              </w:rPr>
              <w:t>AusAID funded program, delivered by UNICEF</w:t>
            </w:r>
          </w:p>
        </w:tc>
        <w:tc>
          <w:tcPr>
            <w:tcW w:w="1928" w:type="dxa"/>
            <w:shd w:val="clear" w:color="auto" w:fill="auto"/>
          </w:tcPr>
          <w:p w:rsidR="00DA7926" w:rsidRPr="00A36DAF" w:rsidRDefault="00DA7926" w:rsidP="00DA7926">
            <w:pPr>
              <w:rPr>
                <w:rFonts w:cs="Calibri"/>
                <w:szCs w:val="20"/>
              </w:rPr>
            </w:pPr>
            <w:r w:rsidRPr="00A36DAF">
              <w:rPr>
                <w:rFonts w:cs="Calibri"/>
                <w:szCs w:val="20"/>
              </w:rPr>
              <w:t>Based on UNICEF project monitoring and evaluation</w:t>
            </w:r>
          </w:p>
        </w:tc>
        <w:tc>
          <w:tcPr>
            <w:tcW w:w="1550" w:type="dxa"/>
            <w:shd w:val="clear" w:color="auto" w:fill="auto"/>
          </w:tcPr>
          <w:p w:rsidR="00DA7926" w:rsidRPr="00A36DAF" w:rsidRDefault="00DA7926" w:rsidP="00DA7926">
            <w:pPr>
              <w:rPr>
                <w:rFonts w:cs="Calibri"/>
                <w:szCs w:val="20"/>
              </w:rPr>
            </w:pPr>
            <w:r w:rsidRPr="00A36DAF">
              <w:rPr>
                <w:rFonts w:cs="Calibri"/>
                <w:szCs w:val="20"/>
              </w:rPr>
              <w:t>UNICEF reporting</w:t>
            </w:r>
          </w:p>
        </w:tc>
      </w:tr>
    </w:tbl>
    <w:p w:rsidR="00DA7926" w:rsidRPr="00DA7926" w:rsidRDefault="00DA7926" w:rsidP="00DA7926">
      <w:pPr>
        <w:pStyle w:val="GuidanceText"/>
        <w:rPr>
          <w:rFonts w:ascii="Franklin Gothic Demi" w:hAnsi="Franklin Gothic Demi"/>
          <w:color w:val="AD495D"/>
          <w:kern w:val="28"/>
          <w:u w:val="single"/>
        </w:rPr>
      </w:pPr>
    </w:p>
    <w:sectPr w:rsidR="00DA7926" w:rsidRPr="00DA7926" w:rsidSect="00DA7926">
      <w:headerReference w:type="even" r:id="rId11"/>
      <w:headerReference w:type="default" r:id="rId12"/>
      <w:footerReference w:type="even" r:id="rId13"/>
      <w:footerReference w:type="default" r:id="rId14"/>
      <w:headerReference w:type="first" r:id="rId15"/>
      <w:footerReference w:type="first" r:id="rId16"/>
      <w:pgSz w:w="11907" w:h="16840" w:code="9"/>
      <w:pgMar w:top="1440" w:right="1440" w:bottom="1276" w:left="1440" w:header="851" w:footer="34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049B" w:rsidRDefault="0090049B">
      <w:r>
        <w:separator/>
      </w:r>
    </w:p>
    <w:p w:rsidR="0090049B" w:rsidRDefault="0090049B"/>
  </w:endnote>
  <w:endnote w:type="continuationSeparator" w:id="0">
    <w:p w:rsidR="0090049B" w:rsidRDefault="0090049B">
      <w:r>
        <w:continuationSeparator/>
      </w:r>
    </w:p>
    <w:p w:rsidR="0090049B" w:rsidRDefault="009004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Bold">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746" w:rsidRDefault="00B067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796F" w:rsidRPr="0062432B" w:rsidRDefault="002F796F">
    <w:pPr>
      <w:pStyle w:val="Footer"/>
      <w:jc w:val="center"/>
      <w:rPr>
        <w:b/>
        <w:sz w:val="24"/>
        <w:szCs w:val="24"/>
      </w:rPr>
    </w:pPr>
    <w:r w:rsidRPr="0062432B">
      <w:rPr>
        <w:b/>
        <w:sz w:val="24"/>
        <w:szCs w:val="24"/>
      </w:rPr>
      <w:fldChar w:fldCharType="begin"/>
    </w:r>
    <w:r w:rsidRPr="0062432B">
      <w:rPr>
        <w:b/>
        <w:sz w:val="24"/>
        <w:szCs w:val="24"/>
      </w:rPr>
      <w:instrText xml:space="preserve"> PAGE   \* MERGEFORMAT </w:instrText>
    </w:r>
    <w:r w:rsidRPr="0062432B">
      <w:rPr>
        <w:b/>
        <w:sz w:val="24"/>
        <w:szCs w:val="24"/>
      </w:rPr>
      <w:fldChar w:fldCharType="separate"/>
    </w:r>
    <w:r w:rsidR="00F53958">
      <w:rPr>
        <w:b/>
        <w:noProof/>
        <w:sz w:val="24"/>
        <w:szCs w:val="24"/>
      </w:rPr>
      <w:t>3</w:t>
    </w:r>
    <w:r w:rsidRPr="0062432B">
      <w:rPr>
        <w:b/>
        <w:noProof/>
        <w:sz w:val="24"/>
        <w:szCs w:val="24"/>
      </w:rPr>
      <w:fldChar w:fldCharType="end"/>
    </w:r>
  </w:p>
  <w:p w:rsidR="002F796F" w:rsidRDefault="002F796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746" w:rsidRDefault="00B067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049B" w:rsidRDefault="0090049B" w:rsidP="00D62AA4">
      <w:pPr>
        <w:spacing w:before="60" w:after="40" w:line="180" w:lineRule="exact"/>
      </w:pPr>
      <w:r>
        <w:continuationSeparator/>
      </w:r>
    </w:p>
  </w:footnote>
  <w:footnote w:type="continuationSeparator" w:id="0">
    <w:p w:rsidR="0090049B" w:rsidRDefault="0090049B">
      <w:r>
        <w:continuationSeparator/>
      </w:r>
    </w:p>
    <w:p w:rsidR="0090049B" w:rsidRDefault="0090049B"/>
  </w:footnote>
  <w:footnote w:type="continuationNotice" w:id="1">
    <w:p w:rsidR="0090049B" w:rsidRDefault="0090049B"/>
    <w:p w:rsidR="0090049B" w:rsidRDefault="0090049B"/>
  </w:footnote>
  <w:footnote w:id="2">
    <w:p w:rsidR="002F796F" w:rsidRDefault="002F796F" w:rsidP="00B90D2F">
      <w:pPr>
        <w:pStyle w:val="FootnoteText"/>
      </w:pPr>
      <w:r>
        <w:rPr>
          <w:rStyle w:val="FootnoteReference"/>
        </w:rPr>
        <w:footnoteRef/>
      </w:r>
      <w:r>
        <w:t xml:space="preserve"> UNRWA- Gaza Humanitarian Fact sheet</w:t>
      </w:r>
    </w:p>
  </w:footnote>
  <w:footnote w:id="3">
    <w:p w:rsidR="002F796F" w:rsidRDefault="002F796F" w:rsidP="00704336">
      <w:pPr>
        <w:pStyle w:val="FootnoteText"/>
      </w:pPr>
      <w:r>
        <w:rPr>
          <w:rStyle w:val="FootnoteReference"/>
        </w:rPr>
        <w:footnoteRef/>
      </w:r>
      <w:r>
        <w:t xml:space="preserve"> Source: Report of the Palestinian National Authority to the Ad Hoc Liaison Committee for the Palestinian Territories – September 2011.</w:t>
      </w:r>
    </w:p>
  </w:footnote>
  <w:footnote w:id="4">
    <w:p w:rsidR="002F796F" w:rsidRDefault="002F796F" w:rsidP="00DA7926">
      <w:pPr>
        <w:pStyle w:val="FootnoteText"/>
      </w:pPr>
      <w:r>
        <w:rPr>
          <w:rStyle w:val="FootnoteReference"/>
        </w:rPr>
        <w:footnoteRef/>
      </w:r>
      <w:r>
        <w:t xml:space="preserve"> Australia provided $15 million to UNRWA in 2011-12. UNRWA’s total budget in 2011 was $972.5 million.</w:t>
      </w:r>
    </w:p>
  </w:footnote>
  <w:footnote w:id="5">
    <w:p w:rsidR="002F796F" w:rsidRDefault="002F796F" w:rsidP="00DA7926">
      <w:pPr>
        <w:pStyle w:val="FootnoteText"/>
      </w:pPr>
      <w:r>
        <w:rPr>
          <w:rStyle w:val="FootnoteReference"/>
        </w:rPr>
        <w:footnoteRef/>
      </w:r>
      <w:r>
        <w:t xml:space="preserve"> Australia provided $20 million to the Palestinian Authority in 2011-12. The PA’s 2010 budget was USD $2.9 billion.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746" w:rsidRDefault="00B067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746" w:rsidRDefault="00B0674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6746" w:rsidRDefault="00B067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81998"/>
    <w:multiLevelType w:val="hybridMultilevel"/>
    <w:tmpl w:val="B25617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1156392E"/>
    <w:multiLevelType w:val="multilevel"/>
    <w:tmpl w:val="AD309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4621CE7"/>
    <w:multiLevelType w:val="hybridMultilevel"/>
    <w:tmpl w:val="0D18B67E"/>
    <w:lvl w:ilvl="0" w:tplc="ACFA6F56">
      <w:start w:val="1"/>
      <w:numFmt w:val="bullet"/>
      <w:pStyle w:val="TableListBullet2"/>
      <w:lvlText w:val="–"/>
      <w:lvlJc w:val="left"/>
      <w:pPr>
        <w:tabs>
          <w:tab w:val="num" w:pos="454"/>
        </w:tabs>
        <w:ind w:left="454" w:hanging="22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6E61B0D"/>
    <w:multiLevelType w:val="hybridMultilevel"/>
    <w:tmpl w:val="15EA1F9C"/>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77B7DD8"/>
    <w:multiLevelType w:val="hybridMultilevel"/>
    <w:tmpl w:val="3EA6F6DE"/>
    <w:lvl w:ilvl="0">
      <w:start w:val="1"/>
      <w:numFmt w:val="lowerLetter"/>
      <w:pStyle w:val="TableListNumber2"/>
      <w:lvlText w:val="%1."/>
      <w:lvlJc w:val="left"/>
      <w:pPr>
        <w:tabs>
          <w:tab w:val="num" w:pos="454"/>
        </w:tabs>
        <w:ind w:left="454" w:hanging="22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nsid w:val="180665BC"/>
    <w:multiLevelType w:val="hybridMultilevel"/>
    <w:tmpl w:val="4DC601BA"/>
    <w:lvl w:ilvl="0" w:tplc="5D98112C">
      <w:start w:val="1"/>
      <w:numFmt w:val="decimal"/>
      <w:pStyle w:val="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198C3E3E"/>
    <w:multiLevelType w:val="hybridMultilevel"/>
    <w:tmpl w:val="04FED8E2"/>
    <w:lvl w:ilvl="0" w:tplc="D8641E9E">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A8770B3"/>
    <w:multiLevelType w:val="hybridMultilevel"/>
    <w:tmpl w:val="B074E07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209B02A7"/>
    <w:multiLevelType w:val="singleLevel"/>
    <w:tmpl w:val="38C655C0"/>
    <w:lvl w:ilvl="0">
      <w:start w:val="1"/>
      <w:numFmt w:val="bullet"/>
      <w:pStyle w:val="ListBullet2"/>
      <w:lvlText w:val="–"/>
      <w:lvlJc w:val="left"/>
      <w:pPr>
        <w:tabs>
          <w:tab w:val="num" w:pos="567"/>
        </w:tabs>
        <w:ind w:left="567" w:hanging="283"/>
      </w:pPr>
      <w:rPr>
        <w:rFonts w:cs="Times New Roman" w:hint="default"/>
        <w:color w:val="auto"/>
        <w:sz w:val="21"/>
        <w:szCs w:val="21"/>
      </w:rPr>
    </w:lvl>
  </w:abstractNum>
  <w:abstractNum w:abstractNumId="9">
    <w:nsid w:val="2125427C"/>
    <w:multiLevelType w:val="hybridMultilevel"/>
    <w:tmpl w:val="A3DA7A08"/>
    <w:lvl w:ilvl="0" w:tplc="DD362546">
      <w:start w:val="1"/>
      <w:numFmt w:val="bullet"/>
      <w:lvlText w:val="-"/>
      <w:lvlJc w:val="left"/>
      <w:pPr>
        <w:ind w:left="720" w:hanging="360"/>
      </w:pPr>
      <w:rPr>
        <w:rFonts w:ascii="Georgia" w:hAnsi="Georgi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2612398"/>
    <w:multiLevelType w:val="hybridMultilevel"/>
    <w:tmpl w:val="33FA7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48953C3"/>
    <w:multiLevelType w:val="hybridMultilevel"/>
    <w:tmpl w:val="54C80556"/>
    <w:lvl w:ilvl="0" w:tplc="0C090001">
      <w:start w:val="1"/>
      <w:numFmt w:val="bullet"/>
      <w:lvlText w:val=""/>
      <w:lvlJc w:val="left"/>
      <w:pPr>
        <w:ind w:left="928" w:hanging="360"/>
      </w:pPr>
      <w:rPr>
        <w:rFonts w:ascii="Symbol" w:hAnsi="Symbol"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12">
    <w:nsid w:val="24C54F01"/>
    <w:multiLevelType w:val="hybridMultilevel"/>
    <w:tmpl w:val="414435AC"/>
    <w:lvl w:ilvl="0" w:tplc="DD362546">
      <w:start w:val="1"/>
      <w:numFmt w:val="bullet"/>
      <w:lvlText w:val="-"/>
      <w:lvlJc w:val="left"/>
      <w:pPr>
        <w:tabs>
          <w:tab w:val="num" w:pos="720"/>
        </w:tabs>
        <w:ind w:left="720" w:hanging="360"/>
      </w:pPr>
      <w:rPr>
        <w:rFonts w:ascii="Georgia" w:hAnsi="Georgia"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26E43376"/>
    <w:multiLevelType w:val="hybridMultilevel"/>
    <w:tmpl w:val="D100A46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4">
    <w:nsid w:val="27440C8B"/>
    <w:multiLevelType w:val="multilevel"/>
    <w:tmpl w:val="59E651A8"/>
    <w:name w:val="StandardBulletedList"/>
    <w:lvl w:ilvl="0">
      <w:start w:val="1"/>
      <w:numFmt w:val="bullet"/>
      <w:pStyle w:val="Bullet"/>
      <w:lvlText w:val="•"/>
      <w:lvlJc w:val="left"/>
      <w:pPr>
        <w:tabs>
          <w:tab w:val="num" w:pos="520"/>
        </w:tabs>
        <w:ind w:left="520" w:hanging="520"/>
      </w:pPr>
      <w:rPr>
        <w:rFonts w:ascii="Times New Roman" w:hAnsi="Times New Roman"/>
        <w:b w:val="0"/>
        <w:i w:val="0"/>
      </w:rPr>
    </w:lvl>
    <w:lvl w:ilvl="1">
      <w:start w:val="1"/>
      <w:numFmt w:val="bullet"/>
      <w:pStyle w:val="Dash"/>
      <w:lvlText w:val="–"/>
      <w:lvlJc w:val="left"/>
      <w:pPr>
        <w:tabs>
          <w:tab w:val="num" w:pos="1040"/>
        </w:tabs>
        <w:ind w:left="1040" w:hanging="520"/>
      </w:pPr>
      <w:rPr>
        <w:rFonts w:ascii="Times New Roman" w:hAnsi="Times New Roman"/>
        <w:b w:val="0"/>
        <w:i w:val="0"/>
      </w:rPr>
    </w:lvl>
    <w:lvl w:ilvl="2">
      <w:start w:val="1"/>
      <w:numFmt w:val="bullet"/>
      <w:pStyle w:val="DoubleDot"/>
      <w:lvlText w:val=":"/>
      <w:lvlJc w:val="left"/>
      <w:pPr>
        <w:tabs>
          <w:tab w:val="num" w:pos="1560"/>
        </w:tabs>
        <w:ind w:left="1560" w:hanging="520"/>
      </w:pPr>
      <w:rPr>
        <w:rFonts w:ascii="Times New Roman" w:hAnsi="Times New Roman"/>
        <w:b w:val="0"/>
        <w:i w:val="0"/>
      </w:rPr>
    </w:lvl>
    <w:lvl w:ilvl="3">
      <w:start w:val="1"/>
      <w:numFmt w:val="decimal"/>
      <w:lvlText w:val="(%4)"/>
      <w:lvlJc w:val="left"/>
      <w:pPr>
        <w:tabs>
          <w:tab w:val="num" w:pos="1440"/>
        </w:tabs>
        <w:ind w:left="1440" w:hanging="360"/>
      </w:pPr>
      <w:rPr>
        <w:rFonts w:cs="Times New Roman"/>
        <w:b w:val="0"/>
        <w:i w:val="0"/>
      </w:rPr>
    </w:lvl>
    <w:lvl w:ilvl="4">
      <w:start w:val="1"/>
      <w:numFmt w:val="lowerLetter"/>
      <w:lvlText w:val="(%5)"/>
      <w:lvlJc w:val="left"/>
      <w:pPr>
        <w:tabs>
          <w:tab w:val="num" w:pos="1800"/>
        </w:tabs>
        <w:ind w:left="1800" w:hanging="360"/>
      </w:pPr>
      <w:rPr>
        <w:rFonts w:cs="Times New Roman"/>
        <w:b w:val="0"/>
        <w:i w:val="0"/>
      </w:rPr>
    </w:lvl>
    <w:lvl w:ilvl="5">
      <w:start w:val="1"/>
      <w:numFmt w:val="lowerRoman"/>
      <w:lvlText w:val="(%6)"/>
      <w:lvlJc w:val="left"/>
      <w:pPr>
        <w:tabs>
          <w:tab w:val="num" w:pos="2160"/>
        </w:tabs>
        <w:ind w:left="2160" w:hanging="360"/>
      </w:pPr>
      <w:rPr>
        <w:rFonts w:cs="Times New Roman"/>
        <w:b w:val="0"/>
        <w:i w:val="0"/>
      </w:rPr>
    </w:lvl>
    <w:lvl w:ilvl="6">
      <w:start w:val="1"/>
      <w:numFmt w:val="decimal"/>
      <w:lvlText w:val="%7."/>
      <w:lvlJc w:val="left"/>
      <w:pPr>
        <w:tabs>
          <w:tab w:val="num" w:pos="2520"/>
        </w:tabs>
        <w:ind w:left="2520" w:hanging="360"/>
      </w:pPr>
      <w:rPr>
        <w:rFonts w:cs="Times New Roman"/>
        <w:b w:val="0"/>
        <w:i w:val="0"/>
      </w:rPr>
    </w:lvl>
    <w:lvl w:ilvl="7">
      <w:start w:val="1"/>
      <w:numFmt w:val="lowerLetter"/>
      <w:lvlText w:val="%8."/>
      <w:lvlJc w:val="left"/>
      <w:pPr>
        <w:tabs>
          <w:tab w:val="num" w:pos="2880"/>
        </w:tabs>
        <w:ind w:left="2880" w:hanging="360"/>
      </w:pPr>
      <w:rPr>
        <w:rFonts w:cs="Times New Roman"/>
        <w:b w:val="0"/>
        <w:i w:val="0"/>
      </w:rPr>
    </w:lvl>
    <w:lvl w:ilvl="8">
      <w:start w:val="1"/>
      <w:numFmt w:val="lowerRoman"/>
      <w:lvlText w:val="%9."/>
      <w:lvlJc w:val="left"/>
      <w:pPr>
        <w:tabs>
          <w:tab w:val="num" w:pos="3240"/>
        </w:tabs>
        <w:ind w:left="3240" w:hanging="360"/>
      </w:pPr>
      <w:rPr>
        <w:rFonts w:cs="Times New Roman"/>
        <w:b w:val="0"/>
        <w:i w:val="0"/>
      </w:rPr>
    </w:lvl>
  </w:abstractNum>
  <w:abstractNum w:abstractNumId="15">
    <w:nsid w:val="28BE4319"/>
    <w:multiLevelType w:val="hybridMultilevel"/>
    <w:tmpl w:val="221E3964"/>
    <w:lvl w:ilvl="0" w:tplc="837467B0">
      <w:numFmt w:val="bullet"/>
      <w:lvlText w:val="-"/>
      <w:lvlJc w:val="left"/>
      <w:pPr>
        <w:ind w:left="644" w:hanging="360"/>
      </w:pPr>
      <w:rPr>
        <w:rFonts w:ascii="Franklin Gothic Demi" w:eastAsia="Times New Roman" w:hAnsi="Franklin Gothic Demi" w:cs="Times New Roman"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6">
    <w:nsid w:val="2BBB5C00"/>
    <w:multiLevelType w:val="multilevel"/>
    <w:tmpl w:val="5F860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FC41F86"/>
    <w:multiLevelType w:val="hybridMultilevel"/>
    <w:tmpl w:val="2B5CDCAE"/>
    <w:lvl w:ilvl="0" w:tplc="B186E108">
      <w:start w:val="1"/>
      <w:numFmt w:val="bullet"/>
      <w:lvlText w:val=""/>
      <w:lvlJc w:val="left"/>
      <w:pPr>
        <w:tabs>
          <w:tab w:val="num" w:pos="720"/>
        </w:tabs>
        <w:ind w:left="720" w:hanging="360"/>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nsid w:val="382D65A6"/>
    <w:multiLevelType w:val="hybridMultilevel"/>
    <w:tmpl w:val="A7446C82"/>
    <w:lvl w:ilvl="0" w:tplc="B70A9096">
      <w:start w:val="1"/>
      <w:numFmt w:val="decimal"/>
      <w:pStyle w:val="BoxListNumber"/>
      <w:lvlText w:val="%1."/>
      <w:lvlJc w:val="left"/>
      <w:pPr>
        <w:tabs>
          <w:tab w:val="num" w:pos="284"/>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832077E"/>
    <w:multiLevelType w:val="hybridMultilevel"/>
    <w:tmpl w:val="536A8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39233F6B"/>
    <w:multiLevelType w:val="hybridMultilevel"/>
    <w:tmpl w:val="53929CB2"/>
    <w:lvl w:ilvl="0">
      <w:start w:val="1"/>
      <w:numFmt w:val="lowerLetter"/>
      <w:pStyle w:val="BoxListNumber2"/>
      <w:lvlText w:val="%1."/>
      <w:lvlJc w:val="left"/>
      <w:pPr>
        <w:tabs>
          <w:tab w:val="num" w:pos="567"/>
        </w:tabs>
        <w:ind w:left="567" w:hanging="28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nsid w:val="3A7C71FF"/>
    <w:multiLevelType w:val="hybridMultilevel"/>
    <w:tmpl w:val="0BBA4A0A"/>
    <w:lvl w:ilvl="0" w:tplc="0C090001">
      <w:start w:val="1"/>
      <w:numFmt w:val="bullet"/>
      <w:lvlText w:val=""/>
      <w:lvlJc w:val="left"/>
      <w:pPr>
        <w:ind w:left="763" w:hanging="360"/>
      </w:pPr>
      <w:rPr>
        <w:rFonts w:ascii="Symbol" w:hAnsi="Symbol" w:hint="default"/>
      </w:rPr>
    </w:lvl>
    <w:lvl w:ilvl="1" w:tplc="0C090003" w:tentative="1">
      <w:start w:val="1"/>
      <w:numFmt w:val="bullet"/>
      <w:lvlText w:val="o"/>
      <w:lvlJc w:val="left"/>
      <w:pPr>
        <w:ind w:left="1483" w:hanging="360"/>
      </w:pPr>
      <w:rPr>
        <w:rFonts w:ascii="Courier New" w:hAnsi="Courier New" w:cs="Courier New"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Courier New"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Courier New" w:hint="default"/>
      </w:rPr>
    </w:lvl>
    <w:lvl w:ilvl="8" w:tplc="0C090005" w:tentative="1">
      <w:start w:val="1"/>
      <w:numFmt w:val="bullet"/>
      <w:lvlText w:val=""/>
      <w:lvlJc w:val="left"/>
      <w:pPr>
        <w:ind w:left="6523" w:hanging="360"/>
      </w:pPr>
      <w:rPr>
        <w:rFonts w:ascii="Wingdings" w:hAnsi="Wingdings" w:hint="default"/>
      </w:rPr>
    </w:lvl>
  </w:abstractNum>
  <w:abstractNum w:abstractNumId="22">
    <w:nsid w:val="3B0D1ED8"/>
    <w:multiLevelType w:val="hybridMultilevel"/>
    <w:tmpl w:val="00CC0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D285DA6"/>
    <w:multiLevelType w:val="hybridMultilevel"/>
    <w:tmpl w:val="F1DC1588"/>
    <w:lvl w:ilvl="0" w:tplc="5F92E454">
      <w:start w:val="21"/>
      <w:numFmt w:val="bullet"/>
      <w:lvlText w:val=""/>
      <w:lvlJc w:val="left"/>
      <w:pPr>
        <w:tabs>
          <w:tab w:val="num" w:pos="720"/>
        </w:tabs>
        <w:ind w:left="720" w:hanging="360"/>
      </w:pPr>
      <w:rPr>
        <w:rFonts w:ascii="Symbol" w:eastAsia="Times New Roman" w:hAnsi="Symbol" w:cs="Times New Roman"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5F92E454">
      <w:start w:val="21"/>
      <w:numFmt w:val="bullet"/>
      <w:lvlText w:val=""/>
      <w:lvlJc w:val="left"/>
      <w:pPr>
        <w:tabs>
          <w:tab w:val="num" w:pos="2160"/>
        </w:tabs>
        <w:ind w:left="2160" w:hanging="360"/>
      </w:pPr>
      <w:rPr>
        <w:rFonts w:ascii="Symbol" w:eastAsia="Times New Roman" w:hAnsi="Symbol" w:cs="Times New Roman"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nsid w:val="46CD579B"/>
    <w:multiLevelType w:val="hybridMultilevel"/>
    <w:tmpl w:val="36F2514A"/>
    <w:lvl w:ilvl="0">
      <w:start w:val="1"/>
      <w:numFmt w:val="bullet"/>
      <w:pStyle w:val="BoxListBullet"/>
      <w:lvlText w:val="&gt;"/>
      <w:lvlJc w:val="left"/>
      <w:pPr>
        <w:tabs>
          <w:tab w:val="num" w:pos="284"/>
        </w:tabs>
        <w:ind w:left="284" w:hanging="284"/>
      </w:pPr>
      <w:rPr>
        <w:rFonts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4A4A4516"/>
    <w:multiLevelType w:val="hybridMultilevel"/>
    <w:tmpl w:val="203E39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FDD2804"/>
    <w:multiLevelType w:val="hybridMultilevel"/>
    <w:tmpl w:val="C6785CB0"/>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2B943C2"/>
    <w:multiLevelType w:val="hybridMultilevel"/>
    <w:tmpl w:val="5A18D8E8"/>
    <w:lvl w:ilvl="0" w:tplc="F036122A">
      <w:start w:val="1"/>
      <w:numFmt w:val="bullet"/>
      <w:pStyle w:val="Ratingamber"/>
      <w:lvlText w:val=""/>
      <w:lvlJc w:val="left"/>
      <w:pPr>
        <w:tabs>
          <w:tab w:val="num" w:pos="567"/>
        </w:tabs>
        <w:ind w:left="567" w:hanging="567"/>
      </w:pPr>
      <w:rPr>
        <w:rFonts w:ascii="Webdings" w:hAnsi="Webdings" w:hint="default"/>
        <w:color w:val="FF99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3692D64"/>
    <w:multiLevelType w:val="hybridMultilevel"/>
    <w:tmpl w:val="3544D402"/>
    <w:lvl w:ilvl="0" w:tplc="49BABBDA">
      <w:start w:val="1"/>
      <w:numFmt w:val="bullet"/>
      <w:pStyle w:val="BoxListBullet2"/>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59351AB5"/>
    <w:multiLevelType w:val="hybridMultilevel"/>
    <w:tmpl w:val="96A22A0C"/>
    <w:lvl w:ilvl="0" w:tplc="DD362546">
      <w:start w:val="1"/>
      <w:numFmt w:val="bullet"/>
      <w:lvlText w:val="-"/>
      <w:lvlJc w:val="left"/>
      <w:pPr>
        <w:ind w:left="928" w:hanging="360"/>
      </w:pPr>
      <w:rPr>
        <w:rFonts w:ascii="Georgia" w:hAnsi="Georgia" w:hint="default"/>
      </w:rPr>
    </w:lvl>
    <w:lvl w:ilvl="1" w:tplc="0C090003" w:tentative="1">
      <w:start w:val="1"/>
      <w:numFmt w:val="bullet"/>
      <w:lvlText w:val="o"/>
      <w:lvlJc w:val="left"/>
      <w:pPr>
        <w:ind w:left="1648" w:hanging="360"/>
      </w:pPr>
      <w:rPr>
        <w:rFonts w:ascii="Courier New" w:hAnsi="Courier New" w:cs="Courier New" w:hint="default"/>
      </w:rPr>
    </w:lvl>
    <w:lvl w:ilvl="2" w:tplc="0C090005" w:tentative="1">
      <w:start w:val="1"/>
      <w:numFmt w:val="bullet"/>
      <w:lvlText w:val=""/>
      <w:lvlJc w:val="left"/>
      <w:pPr>
        <w:ind w:left="2368" w:hanging="360"/>
      </w:pPr>
      <w:rPr>
        <w:rFonts w:ascii="Wingdings" w:hAnsi="Wingdings" w:hint="default"/>
      </w:rPr>
    </w:lvl>
    <w:lvl w:ilvl="3" w:tplc="0C090001" w:tentative="1">
      <w:start w:val="1"/>
      <w:numFmt w:val="bullet"/>
      <w:lvlText w:val=""/>
      <w:lvlJc w:val="left"/>
      <w:pPr>
        <w:ind w:left="3088" w:hanging="360"/>
      </w:pPr>
      <w:rPr>
        <w:rFonts w:ascii="Symbol" w:hAnsi="Symbol" w:hint="default"/>
      </w:rPr>
    </w:lvl>
    <w:lvl w:ilvl="4" w:tplc="0C090003" w:tentative="1">
      <w:start w:val="1"/>
      <w:numFmt w:val="bullet"/>
      <w:lvlText w:val="o"/>
      <w:lvlJc w:val="left"/>
      <w:pPr>
        <w:ind w:left="3808" w:hanging="360"/>
      </w:pPr>
      <w:rPr>
        <w:rFonts w:ascii="Courier New" w:hAnsi="Courier New" w:cs="Courier New" w:hint="default"/>
      </w:rPr>
    </w:lvl>
    <w:lvl w:ilvl="5" w:tplc="0C090005" w:tentative="1">
      <w:start w:val="1"/>
      <w:numFmt w:val="bullet"/>
      <w:lvlText w:val=""/>
      <w:lvlJc w:val="left"/>
      <w:pPr>
        <w:ind w:left="4528" w:hanging="360"/>
      </w:pPr>
      <w:rPr>
        <w:rFonts w:ascii="Wingdings" w:hAnsi="Wingdings" w:hint="default"/>
      </w:rPr>
    </w:lvl>
    <w:lvl w:ilvl="6" w:tplc="0C090001" w:tentative="1">
      <w:start w:val="1"/>
      <w:numFmt w:val="bullet"/>
      <w:lvlText w:val=""/>
      <w:lvlJc w:val="left"/>
      <w:pPr>
        <w:ind w:left="5248" w:hanging="360"/>
      </w:pPr>
      <w:rPr>
        <w:rFonts w:ascii="Symbol" w:hAnsi="Symbol" w:hint="default"/>
      </w:rPr>
    </w:lvl>
    <w:lvl w:ilvl="7" w:tplc="0C090003" w:tentative="1">
      <w:start w:val="1"/>
      <w:numFmt w:val="bullet"/>
      <w:lvlText w:val="o"/>
      <w:lvlJc w:val="left"/>
      <w:pPr>
        <w:ind w:left="5968" w:hanging="360"/>
      </w:pPr>
      <w:rPr>
        <w:rFonts w:ascii="Courier New" w:hAnsi="Courier New" w:cs="Courier New" w:hint="default"/>
      </w:rPr>
    </w:lvl>
    <w:lvl w:ilvl="8" w:tplc="0C090005" w:tentative="1">
      <w:start w:val="1"/>
      <w:numFmt w:val="bullet"/>
      <w:lvlText w:val=""/>
      <w:lvlJc w:val="left"/>
      <w:pPr>
        <w:ind w:left="6688" w:hanging="360"/>
      </w:pPr>
      <w:rPr>
        <w:rFonts w:ascii="Wingdings" w:hAnsi="Wingdings" w:hint="default"/>
      </w:rPr>
    </w:lvl>
  </w:abstractNum>
  <w:abstractNum w:abstractNumId="30">
    <w:nsid w:val="598039EA"/>
    <w:multiLevelType w:val="multilevel"/>
    <w:tmpl w:val="FD265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98A5214"/>
    <w:multiLevelType w:val="hybridMultilevel"/>
    <w:tmpl w:val="0B5AC610"/>
    <w:lvl w:ilvl="0">
      <w:start w:val="1"/>
      <w:numFmt w:val="decimal"/>
      <w:pStyle w:val="TableListNumber"/>
      <w:lvlText w:val="%1."/>
      <w:lvlJc w:val="left"/>
      <w:pPr>
        <w:tabs>
          <w:tab w:val="num" w:pos="227"/>
        </w:tabs>
        <w:ind w:left="227" w:hanging="227"/>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60696C2A"/>
    <w:multiLevelType w:val="hybridMultilevel"/>
    <w:tmpl w:val="9842B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3EC277D"/>
    <w:multiLevelType w:val="hybridMultilevel"/>
    <w:tmpl w:val="5622DCD2"/>
    <w:lvl w:ilvl="0" w:tplc="F280E2B4">
      <w:start w:val="1"/>
      <w:numFmt w:val="bullet"/>
      <w:pStyle w:val="QuoteBullet"/>
      <w:lvlText w:val="•"/>
      <w:lvlJc w:val="left"/>
      <w:pPr>
        <w:tabs>
          <w:tab w:val="num" w:pos="567"/>
        </w:tabs>
        <w:ind w:left="567" w:hanging="283"/>
      </w:pPr>
      <w:rPr>
        <w:rFonts w:ascii="Garamond" w:hAnsi="Garamond"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4F264CF"/>
    <w:multiLevelType w:val="multilevel"/>
    <w:tmpl w:val="DD5A44F4"/>
    <w:lvl w:ilvl="0">
      <w:start w:val="1"/>
      <w:numFmt w:val="none"/>
      <w:suff w:val="nothing"/>
      <w:lvlText w:val=""/>
      <w:lvlJc w:val="left"/>
      <w:pPr>
        <w:ind w:left="-32767" w:firstLine="0"/>
      </w:pPr>
      <w:rPr>
        <w:rFonts w:hint="default"/>
        <w:b w:val="0"/>
        <w:i w:val="0"/>
        <w:color w:val="54534A"/>
      </w:rPr>
    </w:lvl>
    <w:lvl w:ilvl="1">
      <w:start w:val="1"/>
      <w:numFmt w:val="none"/>
      <w:suff w:val="nothing"/>
      <w:lvlText w:val=""/>
      <w:lvlJc w:val="left"/>
      <w:pPr>
        <w:ind w:left="-32767" w:firstLine="0"/>
      </w:pPr>
      <w:rPr>
        <w:rFonts w:hint="default"/>
      </w:rPr>
    </w:lvl>
    <w:lvl w:ilvl="2">
      <w:start w:val="1"/>
      <w:numFmt w:val="none"/>
      <w:lvlRestart w:val="0"/>
      <w:suff w:val="nothing"/>
      <w:lvlText w:val=""/>
      <w:lvlJc w:val="left"/>
      <w:pPr>
        <w:ind w:left="0" w:firstLine="0"/>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709" w:hanging="709"/>
      </w:pPr>
      <w:rPr>
        <w:rFonts w:ascii="Franklin Gothic Book" w:hAnsi="Franklin Gothic Book" w:hint="default"/>
        <w:b w:val="0"/>
        <w:i w:val="0"/>
        <w:caps w:val="0"/>
        <w:color w:val="54534A"/>
        <w:position w:val="0"/>
        <w:sz w:val="50"/>
        <w:szCs w:val="50"/>
      </w:rPr>
    </w:lvl>
    <w:lvl w:ilvl="6">
      <w:start w:val="1"/>
      <w:numFmt w:val="none"/>
      <w:lvlRestart w:val="0"/>
      <w:pStyle w:val="Heading7"/>
      <w:suff w:val="nothing"/>
      <w:lvlText w:val=""/>
      <w:lvlJc w:val="left"/>
      <w:pPr>
        <w:ind w:left="0" w:firstLine="0"/>
      </w:pPr>
      <w:rPr>
        <w:rFonts w:hint="default"/>
        <w:caps/>
        <w:sz w:val="22"/>
        <w:szCs w:val="22"/>
      </w:rPr>
    </w:lvl>
    <w:lvl w:ilvl="7">
      <w:start w:val="1"/>
      <w:numFmt w:val="none"/>
      <w:lvlRestart w:val="0"/>
      <w:pStyle w:val="Heading8"/>
      <w:suff w:val="nothing"/>
      <w:lvlText w:val=""/>
      <w:lvlJc w:val="left"/>
      <w:pPr>
        <w:ind w:left="0" w:firstLine="0"/>
      </w:pPr>
      <w:rPr>
        <w:rFonts w:hint="default"/>
      </w:rPr>
    </w:lvl>
    <w:lvl w:ilvl="8">
      <w:start w:val="1"/>
      <w:numFmt w:val="none"/>
      <w:lvlRestart w:val="0"/>
      <w:pStyle w:val="Heading9"/>
      <w:suff w:val="nothing"/>
      <w:lvlText w:val=""/>
      <w:lvlJc w:val="left"/>
      <w:pPr>
        <w:ind w:left="0" w:firstLine="0"/>
      </w:pPr>
      <w:rPr>
        <w:rFonts w:hint="default"/>
      </w:rPr>
    </w:lvl>
  </w:abstractNum>
  <w:abstractNum w:abstractNumId="35">
    <w:nsid w:val="66C55035"/>
    <w:multiLevelType w:val="hybridMultilevel"/>
    <w:tmpl w:val="A0C89EE8"/>
    <w:lvl w:ilvl="0" w:tplc="D3782208">
      <w:start w:val="1"/>
      <w:numFmt w:val="bullet"/>
      <w:pStyle w:val="TableListBullet"/>
      <w:lvlText w:val="&gt;"/>
      <w:lvlJc w:val="left"/>
      <w:pPr>
        <w:tabs>
          <w:tab w:val="num" w:pos="227"/>
        </w:tabs>
        <w:ind w:left="227" w:hanging="227"/>
      </w:pPr>
      <w:rPr>
        <w:rFonts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6CA95AF5"/>
    <w:multiLevelType w:val="multilevel"/>
    <w:tmpl w:val="AA96A81E"/>
    <w:lvl w:ilvl="0">
      <w:start w:val="1"/>
      <w:numFmt w:val="lowerLetter"/>
      <w:lvlRestart w:val="0"/>
      <w:pStyle w:val="NoteNumber"/>
      <w:lvlText w:val="%1"/>
      <w:lvlJc w:val="left"/>
      <w:pPr>
        <w:tabs>
          <w:tab w:val="num" w:pos="170"/>
        </w:tabs>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textFill>
          <w14:solidFill>
            <w14:srgbClr w14:val="000000"/>
          </w14:solidFill>
        </w14:textFill>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3"/>
      </w:pPr>
      <w:rPr>
        <w:rFonts w:hint="default"/>
      </w:rPr>
    </w:lvl>
    <w:lvl w:ilvl="2">
      <w:start w:val="1"/>
      <w:numFmt w:val="lowerRoman"/>
      <w:lvlText w:val="%3."/>
      <w:lvlJc w:val="right"/>
      <w:pPr>
        <w:tabs>
          <w:tab w:val="num" w:pos="2160"/>
        </w:tabs>
        <w:ind w:left="2160" w:hanging="181"/>
      </w:pPr>
      <w:rPr>
        <w:rFonts w:hint="default"/>
      </w:rPr>
    </w:lvl>
    <w:lvl w:ilvl="3">
      <w:start w:val="1"/>
      <w:numFmt w:val="decimal"/>
      <w:lvlText w:val="%4."/>
      <w:lvlJc w:val="left"/>
      <w:pPr>
        <w:tabs>
          <w:tab w:val="num" w:pos="2880"/>
        </w:tabs>
        <w:ind w:left="2880" w:hanging="363"/>
      </w:pPr>
      <w:rPr>
        <w:rFonts w:hint="default"/>
      </w:rPr>
    </w:lvl>
    <w:lvl w:ilvl="4">
      <w:start w:val="1"/>
      <w:numFmt w:val="lowerLetter"/>
      <w:lvlText w:val="%5."/>
      <w:lvlJc w:val="left"/>
      <w:pPr>
        <w:tabs>
          <w:tab w:val="num" w:pos="3600"/>
        </w:tabs>
        <w:ind w:left="3600" w:hanging="363"/>
      </w:pPr>
      <w:rPr>
        <w:rFonts w:hint="default"/>
      </w:rPr>
    </w:lvl>
    <w:lvl w:ilvl="5">
      <w:start w:val="1"/>
      <w:numFmt w:val="lowerRoman"/>
      <w:lvlText w:val="%6."/>
      <w:lvlJc w:val="right"/>
      <w:pPr>
        <w:tabs>
          <w:tab w:val="num" w:pos="4320"/>
        </w:tabs>
        <w:ind w:left="4320" w:hanging="181"/>
      </w:pPr>
      <w:rPr>
        <w:rFonts w:hint="default"/>
      </w:rPr>
    </w:lvl>
    <w:lvl w:ilvl="6">
      <w:start w:val="1"/>
      <w:numFmt w:val="decimal"/>
      <w:lvlText w:val="%7."/>
      <w:lvlJc w:val="left"/>
      <w:pPr>
        <w:tabs>
          <w:tab w:val="num" w:pos="5040"/>
        </w:tabs>
        <w:ind w:left="5040" w:hanging="363"/>
      </w:pPr>
      <w:rPr>
        <w:rFonts w:hint="default"/>
      </w:rPr>
    </w:lvl>
    <w:lvl w:ilvl="7">
      <w:start w:val="1"/>
      <w:numFmt w:val="lowerLetter"/>
      <w:lvlText w:val="%8."/>
      <w:lvlJc w:val="left"/>
      <w:pPr>
        <w:tabs>
          <w:tab w:val="num" w:pos="5760"/>
        </w:tabs>
        <w:ind w:left="5760" w:hanging="363"/>
      </w:pPr>
      <w:rPr>
        <w:rFonts w:hint="default"/>
      </w:rPr>
    </w:lvl>
    <w:lvl w:ilvl="8">
      <w:start w:val="1"/>
      <w:numFmt w:val="lowerRoman"/>
      <w:lvlText w:val="%9."/>
      <w:lvlJc w:val="right"/>
      <w:pPr>
        <w:tabs>
          <w:tab w:val="num" w:pos="6480"/>
        </w:tabs>
        <w:ind w:left="6480" w:hanging="181"/>
      </w:pPr>
      <w:rPr>
        <w:rFonts w:hint="default"/>
      </w:rPr>
    </w:lvl>
  </w:abstractNum>
  <w:abstractNum w:abstractNumId="37">
    <w:nsid w:val="6CF363E8"/>
    <w:multiLevelType w:val="hybridMultilevel"/>
    <w:tmpl w:val="663688F2"/>
    <w:lvl w:ilvl="0" w:tplc="02A4C866">
      <w:start w:val="1"/>
      <w:numFmt w:val="bullet"/>
      <w:pStyle w:val="Ratinggreen"/>
      <w:lvlText w:val=""/>
      <w:lvlJc w:val="left"/>
      <w:pPr>
        <w:tabs>
          <w:tab w:val="num" w:pos="567"/>
        </w:tabs>
        <w:ind w:left="567" w:hanging="567"/>
      </w:pPr>
      <w:rPr>
        <w:rFonts w:ascii="Webdings" w:hAnsi="Webdings" w:hint="default"/>
        <w:color w:val="99CC00"/>
        <w:spacing w:val="0"/>
        <w:position w:val="-2"/>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E78368B"/>
    <w:multiLevelType w:val="hybridMultilevel"/>
    <w:tmpl w:val="85906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5DD7496"/>
    <w:multiLevelType w:val="hybridMultilevel"/>
    <w:tmpl w:val="BE7E875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0">
    <w:nsid w:val="79E1124E"/>
    <w:multiLevelType w:val="hybridMultilevel"/>
    <w:tmpl w:val="6D42E656"/>
    <w:lvl w:ilvl="0">
      <w:start w:val="1"/>
      <w:numFmt w:val="lowerLetter"/>
      <w:pStyle w:val="ListNumber2"/>
      <w:lvlText w:val="%1."/>
      <w:lvlJc w:val="left"/>
      <w:pPr>
        <w:tabs>
          <w:tab w:val="num" w:pos="567"/>
        </w:tabs>
        <w:ind w:left="567" w:hanging="283"/>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1">
    <w:nsid w:val="7AD5091A"/>
    <w:multiLevelType w:val="hybridMultilevel"/>
    <w:tmpl w:val="C53E7D1C"/>
    <w:lvl w:ilvl="0" w:tplc="837467B0">
      <w:numFmt w:val="bullet"/>
      <w:lvlText w:val="-"/>
      <w:lvlJc w:val="left"/>
      <w:pPr>
        <w:ind w:left="644" w:hanging="360"/>
      </w:pPr>
      <w:rPr>
        <w:rFonts w:ascii="Franklin Gothic Demi" w:eastAsia="Times New Roman" w:hAnsi="Franklin Gothic Dem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B717A20"/>
    <w:multiLevelType w:val="hybridMultilevel"/>
    <w:tmpl w:val="026893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EB7799D"/>
    <w:multiLevelType w:val="hybridMultilevel"/>
    <w:tmpl w:val="DAD848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4">
    <w:nsid w:val="7F7A528B"/>
    <w:multiLevelType w:val="hybridMultilevel"/>
    <w:tmpl w:val="4ADC517C"/>
    <w:lvl w:ilvl="0">
      <w:start w:val="1"/>
      <w:numFmt w:val="bullet"/>
      <w:pStyle w:val="ListBullet"/>
      <w:lvlText w:val="&gt;"/>
      <w:lvlJc w:val="left"/>
      <w:pPr>
        <w:tabs>
          <w:tab w:val="num" w:pos="284"/>
        </w:tabs>
        <w:ind w:left="284" w:hanging="284"/>
      </w:pPr>
      <w:rPr>
        <w:rFonts w:hint="default"/>
        <w:color w:val="auto"/>
        <w:position w:val="3"/>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4"/>
  </w:num>
  <w:num w:numId="3">
    <w:abstractNumId w:val="20"/>
  </w:num>
  <w:num w:numId="4">
    <w:abstractNumId w:val="28"/>
  </w:num>
  <w:num w:numId="5">
    <w:abstractNumId w:val="24"/>
  </w:num>
  <w:num w:numId="6">
    <w:abstractNumId w:val="18"/>
  </w:num>
  <w:num w:numId="7">
    <w:abstractNumId w:val="34"/>
  </w:num>
  <w:num w:numId="8">
    <w:abstractNumId w:val="35"/>
  </w:num>
  <w:num w:numId="9">
    <w:abstractNumId w:val="2"/>
  </w:num>
  <w:num w:numId="10">
    <w:abstractNumId w:val="27"/>
  </w:num>
  <w:num w:numId="11">
    <w:abstractNumId w:val="37"/>
  </w:num>
  <w:num w:numId="12">
    <w:abstractNumId w:val="8"/>
  </w:num>
  <w:num w:numId="13">
    <w:abstractNumId w:val="5"/>
  </w:num>
  <w:num w:numId="14">
    <w:abstractNumId w:val="40"/>
  </w:num>
  <w:num w:numId="15">
    <w:abstractNumId w:val="44"/>
  </w:num>
  <w:num w:numId="16">
    <w:abstractNumId w:val="36"/>
  </w:num>
  <w:num w:numId="17">
    <w:abstractNumId w:val="33"/>
  </w:num>
  <w:num w:numId="18">
    <w:abstractNumId w:val="32"/>
  </w:num>
  <w:num w:numId="19">
    <w:abstractNumId w:val="23"/>
  </w:num>
  <w:num w:numId="20">
    <w:abstractNumId w:val="42"/>
  </w:num>
  <w:num w:numId="21">
    <w:abstractNumId w:val="3"/>
  </w:num>
  <w:num w:numId="22">
    <w:abstractNumId w:val="22"/>
  </w:num>
  <w:num w:numId="23">
    <w:abstractNumId w:val="19"/>
  </w:num>
  <w:num w:numId="24">
    <w:abstractNumId w:val="13"/>
  </w:num>
  <w:num w:numId="25">
    <w:abstractNumId w:val="21"/>
  </w:num>
  <w:num w:numId="26">
    <w:abstractNumId w:val="11"/>
  </w:num>
  <w:num w:numId="27">
    <w:abstractNumId w:val="12"/>
  </w:num>
  <w:num w:numId="28">
    <w:abstractNumId w:val="14"/>
  </w:num>
  <w:num w:numId="29">
    <w:abstractNumId w:val="10"/>
  </w:num>
  <w:num w:numId="30">
    <w:abstractNumId w:val="7"/>
  </w:num>
  <w:num w:numId="31">
    <w:abstractNumId w:val="34"/>
  </w:num>
  <w:num w:numId="32">
    <w:abstractNumId w:val="34"/>
  </w:num>
  <w:num w:numId="33">
    <w:abstractNumId w:val="34"/>
  </w:num>
  <w:num w:numId="34">
    <w:abstractNumId w:val="29"/>
  </w:num>
  <w:num w:numId="35">
    <w:abstractNumId w:val="9"/>
  </w:num>
  <w:num w:numId="36">
    <w:abstractNumId w:val="15"/>
  </w:num>
  <w:num w:numId="37">
    <w:abstractNumId w:val="43"/>
  </w:num>
  <w:num w:numId="38">
    <w:abstractNumId w:val="41"/>
  </w:num>
  <w:num w:numId="39">
    <w:abstractNumId w:val="26"/>
  </w:num>
  <w:num w:numId="40">
    <w:abstractNumId w:val="6"/>
  </w:num>
  <w:num w:numId="41">
    <w:abstractNumId w:val="34"/>
  </w:num>
  <w:num w:numId="42">
    <w:abstractNumId w:val="34"/>
  </w:num>
  <w:num w:numId="43">
    <w:abstractNumId w:val="39"/>
  </w:num>
  <w:num w:numId="44">
    <w:abstractNumId w:val="38"/>
  </w:num>
  <w:num w:numId="45">
    <w:abstractNumId w:val="25"/>
  </w:num>
  <w:num w:numId="46">
    <w:abstractNumId w:val="17"/>
  </w:num>
  <w:num w:numId="47">
    <w:abstractNumId w:val="1"/>
  </w:num>
  <w:num w:numId="48">
    <w:abstractNumId w:val="16"/>
  </w:num>
  <w:num w:numId="49">
    <w:abstractNumId w:val="30"/>
  </w:num>
  <w:num w:numId="50">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removePersonalInformation/>
  <w:removeDateAndTime/>
  <w:proofState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clickAndTypeStyle w:val="BodyText"/>
  <w:drawingGridHorizontalSpacing w:val="120"/>
  <w:displayHorizontalDrawingGridEvery w:val="2"/>
  <w:displayVerticalDrawingGridEvery w:val="2"/>
  <w:noPunctuationKerning/>
  <w:characterSpacingControl w:val="doNotCompress"/>
  <w:hdrShapeDefaults>
    <o:shapedefaults v:ext="edit" spidmax="4098">
      <o:colormru v:ext="edit" colors="#5a9a98,#ddcf56,#ad495d,#ab9c8f,#b5d3d2,#7e6d5f,#f26631,#54534a"/>
    </o:shapedefaults>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177E"/>
    <w:rsid w:val="00002939"/>
    <w:rsid w:val="00004368"/>
    <w:rsid w:val="00011550"/>
    <w:rsid w:val="0001170C"/>
    <w:rsid w:val="000129D7"/>
    <w:rsid w:val="0001356A"/>
    <w:rsid w:val="00014038"/>
    <w:rsid w:val="0001508D"/>
    <w:rsid w:val="00015DBC"/>
    <w:rsid w:val="000165CC"/>
    <w:rsid w:val="00016771"/>
    <w:rsid w:val="00016C38"/>
    <w:rsid w:val="00016CBA"/>
    <w:rsid w:val="00017D33"/>
    <w:rsid w:val="00017E33"/>
    <w:rsid w:val="000211DA"/>
    <w:rsid w:val="0002235F"/>
    <w:rsid w:val="00022D41"/>
    <w:rsid w:val="000257E7"/>
    <w:rsid w:val="00030588"/>
    <w:rsid w:val="00033213"/>
    <w:rsid w:val="0003385B"/>
    <w:rsid w:val="00033C72"/>
    <w:rsid w:val="00034B41"/>
    <w:rsid w:val="00034E45"/>
    <w:rsid w:val="00035E2A"/>
    <w:rsid w:val="00037673"/>
    <w:rsid w:val="00041746"/>
    <w:rsid w:val="000433AB"/>
    <w:rsid w:val="00044EDD"/>
    <w:rsid w:val="000452A6"/>
    <w:rsid w:val="000456EF"/>
    <w:rsid w:val="0004636D"/>
    <w:rsid w:val="00046974"/>
    <w:rsid w:val="00050B9E"/>
    <w:rsid w:val="000513B2"/>
    <w:rsid w:val="00053BB3"/>
    <w:rsid w:val="00053D8A"/>
    <w:rsid w:val="00060A32"/>
    <w:rsid w:val="00061389"/>
    <w:rsid w:val="00063C90"/>
    <w:rsid w:val="000655EB"/>
    <w:rsid w:val="00065B0D"/>
    <w:rsid w:val="00065C12"/>
    <w:rsid w:val="00067F6E"/>
    <w:rsid w:val="00070BAE"/>
    <w:rsid w:val="00070F05"/>
    <w:rsid w:val="000722A1"/>
    <w:rsid w:val="00074C9B"/>
    <w:rsid w:val="00075C1B"/>
    <w:rsid w:val="00075E37"/>
    <w:rsid w:val="00075F52"/>
    <w:rsid w:val="000765D3"/>
    <w:rsid w:val="000766F0"/>
    <w:rsid w:val="00076703"/>
    <w:rsid w:val="000805B2"/>
    <w:rsid w:val="00082E97"/>
    <w:rsid w:val="000833A0"/>
    <w:rsid w:val="00083811"/>
    <w:rsid w:val="00085585"/>
    <w:rsid w:val="00085E50"/>
    <w:rsid w:val="00086164"/>
    <w:rsid w:val="000863C3"/>
    <w:rsid w:val="0009055A"/>
    <w:rsid w:val="00090C8C"/>
    <w:rsid w:val="0009185F"/>
    <w:rsid w:val="00092F37"/>
    <w:rsid w:val="00093380"/>
    <w:rsid w:val="00097A76"/>
    <w:rsid w:val="000A0794"/>
    <w:rsid w:val="000A3437"/>
    <w:rsid w:val="000A4433"/>
    <w:rsid w:val="000A5BCC"/>
    <w:rsid w:val="000A7400"/>
    <w:rsid w:val="000A7708"/>
    <w:rsid w:val="000A7AD4"/>
    <w:rsid w:val="000B0232"/>
    <w:rsid w:val="000B108C"/>
    <w:rsid w:val="000B13AB"/>
    <w:rsid w:val="000B146D"/>
    <w:rsid w:val="000B4054"/>
    <w:rsid w:val="000B4271"/>
    <w:rsid w:val="000B56CF"/>
    <w:rsid w:val="000B5B55"/>
    <w:rsid w:val="000B6330"/>
    <w:rsid w:val="000B7FF7"/>
    <w:rsid w:val="000C0125"/>
    <w:rsid w:val="000C0807"/>
    <w:rsid w:val="000C0D83"/>
    <w:rsid w:val="000C45A2"/>
    <w:rsid w:val="000C6046"/>
    <w:rsid w:val="000D0442"/>
    <w:rsid w:val="000D074E"/>
    <w:rsid w:val="000D32D5"/>
    <w:rsid w:val="000D444F"/>
    <w:rsid w:val="000D47A5"/>
    <w:rsid w:val="000E0333"/>
    <w:rsid w:val="000E2E8A"/>
    <w:rsid w:val="000E595E"/>
    <w:rsid w:val="000E5C21"/>
    <w:rsid w:val="000F4DF9"/>
    <w:rsid w:val="000F5B04"/>
    <w:rsid w:val="000F5F51"/>
    <w:rsid w:val="000F626F"/>
    <w:rsid w:val="000F7011"/>
    <w:rsid w:val="000F706A"/>
    <w:rsid w:val="000F7AE9"/>
    <w:rsid w:val="000F7DB9"/>
    <w:rsid w:val="000F7EBB"/>
    <w:rsid w:val="0010001A"/>
    <w:rsid w:val="001020A5"/>
    <w:rsid w:val="00104C2E"/>
    <w:rsid w:val="00104CCC"/>
    <w:rsid w:val="001062BE"/>
    <w:rsid w:val="001104EF"/>
    <w:rsid w:val="0011404A"/>
    <w:rsid w:val="0011430A"/>
    <w:rsid w:val="001154DA"/>
    <w:rsid w:val="00115A8C"/>
    <w:rsid w:val="00115D91"/>
    <w:rsid w:val="00115F2A"/>
    <w:rsid w:val="00116F8E"/>
    <w:rsid w:val="001204E2"/>
    <w:rsid w:val="001225DD"/>
    <w:rsid w:val="001250BF"/>
    <w:rsid w:val="001260C2"/>
    <w:rsid w:val="001262B4"/>
    <w:rsid w:val="00127B7F"/>
    <w:rsid w:val="00130109"/>
    <w:rsid w:val="00131DB9"/>
    <w:rsid w:val="00132E41"/>
    <w:rsid w:val="00135A4C"/>
    <w:rsid w:val="001360A4"/>
    <w:rsid w:val="00136E47"/>
    <w:rsid w:val="00136FF9"/>
    <w:rsid w:val="00137BA1"/>
    <w:rsid w:val="0014049B"/>
    <w:rsid w:val="00140B6E"/>
    <w:rsid w:val="00141210"/>
    <w:rsid w:val="00141818"/>
    <w:rsid w:val="0014252B"/>
    <w:rsid w:val="0014282B"/>
    <w:rsid w:val="00142A4D"/>
    <w:rsid w:val="00142E47"/>
    <w:rsid w:val="00143525"/>
    <w:rsid w:val="001436A7"/>
    <w:rsid w:val="00144611"/>
    <w:rsid w:val="00144B1B"/>
    <w:rsid w:val="001464A3"/>
    <w:rsid w:val="0014787F"/>
    <w:rsid w:val="001529E0"/>
    <w:rsid w:val="00152D98"/>
    <w:rsid w:val="0015577D"/>
    <w:rsid w:val="001564B4"/>
    <w:rsid w:val="00156521"/>
    <w:rsid w:val="00156A18"/>
    <w:rsid w:val="0016217F"/>
    <w:rsid w:val="001644AA"/>
    <w:rsid w:val="00165C4D"/>
    <w:rsid w:val="00166BE1"/>
    <w:rsid w:val="001702D7"/>
    <w:rsid w:val="001707ED"/>
    <w:rsid w:val="00170B04"/>
    <w:rsid w:val="00172093"/>
    <w:rsid w:val="00172D37"/>
    <w:rsid w:val="0017313D"/>
    <w:rsid w:val="00174585"/>
    <w:rsid w:val="001756DD"/>
    <w:rsid w:val="00175CFE"/>
    <w:rsid w:val="00176289"/>
    <w:rsid w:val="00176846"/>
    <w:rsid w:val="001772C7"/>
    <w:rsid w:val="00177AE1"/>
    <w:rsid w:val="00180E63"/>
    <w:rsid w:val="00180EC6"/>
    <w:rsid w:val="00182E7D"/>
    <w:rsid w:val="001840DC"/>
    <w:rsid w:val="00184C6E"/>
    <w:rsid w:val="00184C6F"/>
    <w:rsid w:val="00187D56"/>
    <w:rsid w:val="00190987"/>
    <w:rsid w:val="00190A25"/>
    <w:rsid w:val="00193384"/>
    <w:rsid w:val="001957F2"/>
    <w:rsid w:val="0019627A"/>
    <w:rsid w:val="00197485"/>
    <w:rsid w:val="001A0653"/>
    <w:rsid w:val="001A157D"/>
    <w:rsid w:val="001A3311"/>
    <w:rsid w:val="001A4314"/>
    <w:rsid w:val="001A4CB0"/>
    <w:rsid w:val="001A4F3D"/>
    <w:rsid w:val="001A616D"/>
    <w:rsid w:val="001A64D6"/>
    <w:rsid w:val="001A676A"/>
    <w:rsid w:val="001A76CD"/>
    <w:rsid w:val="001A7A00"/>
    <w:rsid w:val="001B099C"/>
    <w:rsid w:val="001B0BC3"/>
    <w:rsid w:val="001B11EB"/>
    <w:rsid w:val="001B1559"/>
    <w:rsid w:val="001B2229"/>
    <w:rsid w:val="001B2299"/>
    <w:rsid w:val="001B2E34"/>
    <w:rsid w:val="001B35CF"/>
    <w:rsid w:val="001B3A25"/>
    <w:rsid w:val="001B40B6"/>
    <w:rsid w:val="001B7441"/>
    <w:rsid w:val="001B7D36"/>
    <w:rsid w:val="001C1650"/>
    <w:rsid w:val="001C18A5"/>
    <w:rsid w:val="001C27DD"/>
    <w:rsid w:val="001C54D5"/>
    <w:rsid w:val="001C557B"/>
    <w:rsid w:val="001C595F"/>
    <w:rsid w:val="001C68A6"/>
    <w:rsid w:val="001C6E03"/>
    <w:rsid w:val="001C6E25"/>
    <w:rsid w:val="001C7FAB"/>
    <w:rsid w:val="001D0D54"/>
    <w:rsid w:val="001D0D75"/>
    <w:rsid w:val="001D21D0"/>
    <w:rsid w:val="001D24B1"/>
    <w:rsid w:val="001D2D04"/>
    <w:rsid w:val="001D494C"/>
    <w:rsid w:val="001D5233"/>
    <w:rsid w:val="001D5666"/>
    <w:rsid w:val="001D65A4"/>
    <w:rsid w:val="001E0D29"/>
    <w:rsid w:val="001E0DD5"/>
    <w:rsid w:val="001E521E"/>
    <w:rsid w:val="001E5458"/>
    <w:rsid w:val="001E61C0"/>
    <w:rsid w:val="001E77A7"/>
    <w:rsid w:val="001E7C2A"/>
    <w:rsid w:val="001F0E53"/>
    <w:rsid w:val="001F0E62"/>
    <w:rsid w:val="001F1365"/>
    <w:rsid w:val="001F353B"/>
    <w:rsid w:val="001F39C9"/>
    <w:rsid w:val="001F4CD3"/>
    <w:rsid w:val="001F4E51"/>
    <w:rsid w:val="001F5AA9"/>
    <w:rsid w:val="0020245F"/>
    <w:rsid w:val="00202738"/>
    <w:rsid w:val="002028B6"/>
    <w:rsid w:val="00203160"/>
    <w:rsid w:val="0020410B"/>
    <w:rsid w:val="00205552"/>
    <w:rsid w:val="00205AA6"/>
    <w:rsid w:val="0021017E"/>
    <w:rsid w:val="002102FC"/>
    <w:rsid w:val="00210F50"/>
    <w:rsid w:val="00212975"/>
    <w:rsid w:val="00213176"/>
    <w:rsid w:val="00214C9D"/>
    <w:rsid w:val="002178C9"/>
    <w:rsid w:val="00221E99"/>
    <w:rsid w:val="00222F3B"/>
    <w:rsid w:val="0022332C"/>
    <w:rsid w:val="00225556"/>
    <w:rsid w:val="00226029"/>
    <w:rsid w:val="00226880"/>
    <w:rsid w:val="0022688E"/>
    <w:rsid w:val="00226CC8"/>
    <w:rsid w:val="002274D0"/>
    <w:rsid w:val="00227783"/>
    <w:rsid w:val="00227D6B"/>
    <w:rsid w:val="00230BD1"/>
    <w:rsid w:val="00230DB7"/>
    <w:rsid w:val="00230F10"/>
    <w:rsid w:val="00231CB6"/>
    <w:rsid w:val="00232097"/>
    <w:rsid w:val="0023284A"/>
    <w:rsid w:val="00233570"/>
    <w:rsid w:val="002336DC"/>
    <w:rsid w:val="00233D7A"/>
    <w:rsid w:val="00234583"/>
    <w:rsid w:val="002345A3"/>
    <w:rsid w:val="00234D37"/>
    <w:rsid w:val="00236C53"/>
    <w:rsid w:val="00237451"/>
    <w:rsid w:val="0024071E"/>
    <w:rsid w:val="00240A07"/>
    <w:rsid w:val="00242D08"/>
    <w:rsid w:val="00243468"/>
    <w:rsid w:val="0024348E"/>
    <w:rsid w:val="00244F96"/>
    <w:rsid w:val="002452D0"/>
    <w:rsid w:val="0024542D"/>
    <w:rsid w:val="0024630C"/>
    <w:rsid w:val="00247D70"/>
    <w:rsid w:val="00247F6A"/>
    <w:rsid w:val="0025020D"/>
    <w:rsid w:val="002505BE"/>
    <w:rsid w:val="00250D70"/>
    <w:rsid w:val="002515F6"/>
    <w:rsid w:val="0025173D"/>
    <w:rsid w:val="00253146"/>
    <w:rsid w:val="00253B3E"/>
    <w:rsid w:val="00253C95"/>
    <w:rsid w:val="00254E43"/>
    <w:rsid w:val="00254E51"/>
    <w:rsid w:val="00256373"/>
    <w:rsid w:val="00256456"/>
    <w:rsid w:val="002564D7"/>
    <w:rsid w:val="00257199"/>
    <w:rsid w:val="002600C7"/>
    <w:rsid w:val="00260CE2"/>
    <w:rsid w:val="0026347A"/>
    <w:rsid w:val="00263B78"/>
    <w:rsid w:val="00266A89"/>
    <w:rsid w:val="00266B56"/>
    <w:rsid w:val="00266C05"/>
    <w:rsid w:val="002702DD"/>
    <w:rsid w:val="00272699"/>
    <w:rsid w:val="0027351E"/>
    <w:rsid w:val="0027441E"/>
    <w:rsid w:val="0027483C"/>
    <w:rsid w:val="00281D52"/>
    <w:rsid w:val="002820D7"/>
    <w:rsid w:val="002837C1"/>
    <w:rsid w:val="00286E03"/>
    <w:rsid w:val="00287C21"/>
    <w:rsid w:val="00287F57"/>
    <w:rsid w:val="00290F59"/>
    <w:rsid w:val="00291B3A"/>
    <w:rsid w:val="00292656"/>
    <w:rsid w:val="00292C3C"/>
    <w:rsid w:val="00294AA6"/>
    <w:rsid w:val="00294D4C"/>
    <w:rsid w:val="00296270"/>
    <w:rsid w:val="00297DF9"/>
    <w:rsid w:val="002A1D2F"/>
    <w:rsid w:val="002A1DE3"/>
    <w:rsid w:val="002A2305"/>
    <w:rsid w:val="002A477C"/>
    <w:rsid w:val="002A4BB1"/>
    <w:rsid w:val="002A561C"/>
    <w:rsid w:val="002A6CE4"/>
    <w:rsid w:val="002B02EA"/>
    <w:rsid w:val="002B1624"/>
    <w:rsid w:val="002B1C3F"/>
    <w:rsid w:val="002B1D0E"/>
    <w:rsid w:val="002B2514"/>
    <w:rsid w:val="002B3053"/>
    <w:rsid w:val="002B33AD"/>
    <w:rsid w:val="002B3E15"/>
    <w:rsid w:val="002B4651"/>
    <w:rsid w:val="002B7D4C"/>
    <w:rsid w:val="002C012E"/>
    <w:rsid w:val="002C018F"/>
    <w:rsid w:val="002C0F44"/>
    <w:rsid w:val="002C159E"/>
    <w:rsid w:val="002C1967"/>
    <w:rsid w:val="002C23D1"/>
    <w:rsid w:val="002C257C"/>
    <w:rsid w:val="002C4A27"/>
    <w:rsid w:val="002C5AF0"/>
    <w:rsid w:val="002C7822"/>
    <w:rsid w:val="002C79E4"/>
    <w:rsid w:val="002D0510"/>
    <w:rsid w:val="002D11B5"/>
    <w:rsid w:val="002D1B77"/>
    <w:rsid w:val="002D468F"/>
    <w:rsid w:val="002D5DED"/>
    <w:rsid w:val="002D638C"/>
    <w:rsid w:val="002D657C"/>
    <w:rsid w:val="002D6E19"/>
    <w:rsid w:val="002D7A0A"/>
    <w:rsid w:val="002E000E"/>
    <w:rsid w:val="002E0115"/>
    <w:rsid w:val="002E1AC2"/>
    <w:rsid w:val="002E2CDD"/>
    <w:rsid w:val="002E32B5"/>
    <w:rsid w:val="002E499B"/>
    <w:rsid w:val="002E626C"/>
    <w:rsid w:val="002E7F6A"/>
    <w:rsid w:val="002F056E"/>
    <w:rsid w:val="002F1AB4"/>
    <w:rsid w:val="002F3393"/>
    <w:rsid w:val="002F36D2"/>
    <w:rsid w:val="002F3C1A"/>
    <w:rsid w:val="002F3E97"/>
    <w:rsid w:val="002F4300"/>
    <w:rsid w:val="002F489A"/>
    <w:rsid w:val="002F796F"/>
    <w:rsid w:val="003023FD"/>
    <w:rsid w:val="0030414F"/>
    <w:rsid w:val="00305213"/>
    <w:rsid w:val="00305565"/>
    <w:rsid w:val="00310AB8"/>
    <w:rsid w:val="00310C02"/>
    <w:rsid w:val="0031131B"/>
    <w:rsid w:val="003129EF"/>
    <w:rsid w:val="00312B95"/>
    <w:rsid w:val="00312E50"/>
    <w:rsid w:val="003147DD"/>
    <w:rsid w:val="00315020"/>
    <w:rsid w:val="00315D84"/>
    <w:rsid w:val="00316AAC"/>
    <w:rsid w:val="00321C81"/>
    <w:rsid w:val="00322444"/>
    <w:rsid w:val="003225AB"/>
    <w:rsid w:val="00322F9B"/>
    <w:rsid w:val="00323965"/>
    <w:rsid w:val="003273E0"/>
    <w:rsid w:val="00330A76"/>
    <w:rsid w:val="00330D74"/>
    <w:rsid w:val="00332945"/>
    <w:rsid w:val="00333127"/>
    <w:rsid w:val="003341A9"/>
    <w:rsid w:val="00334B60"/>
    <w:rsid w:val="003360B5"/>
    <w:rsid w:val="003368B5"/>
    <w:rsid w:val="003369D5"/>
    <w:rsid w:val="00336FAC"/>
    <w:rsid w:val="003379F3"/>
    <w:rsid w:val="00337AAE"/>
    <w:rsid w:val="00337F54"/>
    <w:rsid w:val="003405D1"/>
    <w:rsid w:val="00341566"/>
    <w:rsid w:val="00342A5A"/>
    <w:rsid w:val="00343207"/>
    <w:rsid w:val="00345C2F"/>
    <w:rsid w:val="003476F9"/>
    <w:rsid w:val="0034794C"/>
    <w:rsid w:val="00347D10"/>
    <w:rsid w:val="00347E04"/>
    <w:rsid w:val="0035098F"/>
    <w:rsid w:val="0035177E"/>
    <w:rsid w:val="003522B0"/>
    <w:rsid w:val="00352A66"/>
    <w:rsid w:val="00353B7B"/>
    <w:rsid w:val="00354CF6"/>
    <w:rsid w:val="003557A9"/>
    <w:rsid w:val="00355C9E"/>
    <w:rsid w:val="0035655A"/>
    <w:rsid w:val="00357879"/>
    <w:rsid w:val="00360C27"/>
    <w:rsid w:val="0036152B"/>
    <w:rsid w:val="00361A07"/>
    <w:rsid w:val="00362300"/>
    <w:rsid w:val="00362945"/>
    <w:rsid w:val="00363DA6"/>
    <w:rsid w:val="003643A3"/>
    <w:rsid w:val="00364555"/>
    <w:rsid w:val="0036493C"/>
    <w:rsid w:val="003653B4"/>
    <w:rsid w:val="00365A5C"/>
    <w:rsid w:val="00365BED"/>
    <w:rsid w:val="00365ECE"/>
    <w:rsid w:val="00366135"/>
    <w:rsid w:val="00366EAE"/>
    <w:rsid w:val="00367A35"/>
    <w:rsid w:val="0037000D"/>
    <w:rsid w:val="00372980"/>
    <w:rsid w:val="00372C73"/>
    <w:rsid w:val="00372C90"/>
    <w:rsid w:val="00373509"/>
    <w:rsid w:val="00373545"/>
    <w:rsid w:val="00373D61"/>
    <w:rsid w:val="00375638"/>
    <w:rsid w:val="003813B0"/>
    <w:rsid w:val="00381894"/>
    <w:rsid w:val="00382BC2"/>
    <w:rsid w:val="003852FD"/>
    <w:rsid w:val="003864C0"/>
    <w:rsid w:val="00386714"/>
    <w:rsid w:val="00386BBA"/>
    <w:rsid w:val="00386D59"/>
    <w:rsid w:val="003870E2"/>
    <w:rsid w:val="003908F2"/>
    <w:rsid w:val="00390DE6"/>
    <w:rsid w:val="0039171C"/>
    <w:rsid w:val="0039205D"/>
    <w:rsid w:val="00393C49"/>
    <w:rsid w:val="00395037"/>
    <w:rsid w:val="003950F3"/>
    <w:rsid w:val="00396AAB"/>
    <w:rsid w:val="00396E51"/>
    <w:rsid w:val="00396FEE"/>
    <w:rsid w:val="00397842"/>
    <w:rsid w:val="003A12E4"/>
    <w:rsid w:val="003A1A4E"/>
    <w:rsid w:val="003A2AFB"/>
    <w:rsid w:val="003A3E3B"/>
    <w:rsid w:val="003A437D"/>
    <w:rsid w:val="003A457E"/>
    <w:rsid w:val="003A5F6E"/>
    <w:rsid w:val="003B01D4"/>
    <w:rsid w:val="003B0602"/>
    <w:rsid w:val="003B08FF"/>
    <w:rsid w:val="003B3833"/>
    <w:rsid w:val="003B39CC"/>
    <w:rsid w:val="003B5B3A"/>
    <w:rsid w:val="003B669E"/>
    <w:rsid w:val="003B6AF8"/>
    <w:rsid w:val="003B7FAE"/>
    <w:rsid w:val="003C4418"/>
    <w:rsid w:val="003C6F51"/>
    <w:rsid w:val="003D277A"/>
    <w:rsid w:val="003D3401"/>
    <w:rsid w:val="003D3DC5"/>
    <w:rsid w:val="003D41D9"/>
    <w:rsid w:val="003D7C66"/>
    <w:rsid w:val="003E0BFD"/>
    <w:rsid w:val="003E15BE"/>
    <w:rsid w:val="003E4703"/>
    <w:rsid w:val="003E4C57"/>
    <w:rsid w:val="003E4E42"/>
    <w:rsid w:val="003E6A24"/>
    <w:rsid w:val="003E74A4"/>
    <w:rsid w:val="003F0648"/>
    <w:rsid w:val="003F159A"/>
    <w:rsid w:val="003F23B0"/>
    <w:rsid w:val="003F291D"/>
    <w:rsid w:val="003F2F80"/>
    <w:rsid w:val="003F4406"/>
    <w:rsid w:val="003F4998"/>
    <w:rsid w:val="003F6535"/>
    <w:rsid w:val="003F7A36"/>
    <w:rsid w:val="003F7DFD"/>
    <w:rsid w:val="004011FD"/>
    <w:rsid w:val="004030F5"/>
    <w:rsid w:val="00403E53"/>
    <w:rsid w:val="00403EC1"/>
    <w:rsid w:val="00404378"/>
    <w:rsid w:val="00404981"/>
    <w:rsid w:val="00404EA8"/>
    <w:rsid w:val="004069E3"/>
    <w:rsid w:val="00407CFC"/>
    <w:rsid w:val="00410D4E"/>
    <w:rsid w:val="00411191"/>
    <w:rsid w:val="00411DDF"/>
    <w:rsid w:val="00412989"/>
    <w:rsid w:val="004131F2"/>
    <w:rsid w:val="00414418"/>
    <w:rsid w:val="004146C9"/>
    <w:rsid w:val="00416765"/>
    <w:rsid w:val="004174E5"/>
    <w:rsid w:val="00420072"/>
    <w:rsid w:val="004202ED"/>
    <w:rsid w:val="0042107B"/>
    <w:rsid w:val="0042222F"/>
    <w:rsid w:val="00422524"/>
    <w:rsid w:val="00422662"/>
    <w:rsid w:val="004226D0"/>
    <w:rsid w:val="004229B0"/>
    <w:rsid w:val="00425388"/>
    <w:rsid w:val="00427DB3"/>
    <w:rsid w:val="00427F0E"/>
    <w:rsid w:val="0043018B"/>
    <w:rsid w:val="004323E1"/>
    <w:rsid w:val="00433FEB"/>
    <w:rsid w:val="0043622D"/>
    <w:rsid w:val="00441D9B"/>
    <w:rsid w:val="00442BE6"/>
    <w:rsid w:val="0044452B"/>
    <w:rsid w:val="00445908"/>
    <w:rsid w:val="00446744"/>
    <w:rsid w:val="00446BFE"/>
    <w:rsid w:val="00447F42"/>
    <w:rsid w:val="00450994"/>
    <w:rsid w:val="0045116A"/>
    <w:rsid w:val="00451E60"/>
    <w:rsid w:val="00451FB2"/>
    <w:rsid w:val="00452C48"/>
    <w:rsid w:val="00452E9D"/>
    <w:rsid w:val="0045304C"/>
    <w:rsid w:val="004530AC"/>
    <w:rsid w:val="00453226"/>
    <w:rsid w:val="00453EB3"/>
    <w:rsid w:val="00454368"/>
    <w:rsid w:val="004547C0"/>
    <w:rsid w:val="00454AE8"/>
    <w:rsid w:val="004559D3"/>
    <w:rsid w:val="004561F5"/>
    <w:rsid w:val="00456D32"/>
    <w:rsid w:val="0045720E"/>
    <w:rsid w:val="00457369"/>
    <w:rsid w:val="00457853"/>
    <w:rsid w:val="00457902"/>
    <w:rsid w:val="00460B25"/>
    <w:rsid w:val="00461AD2"/>
    <w:rsid w:val="00462194"/>
    <w:rsid w:val="00462797"/>
    <w:rsid w:val="00463B47"/>
    <w:rsid w:val="00464228"/>
    <w:rsid w:val="00464640"/>
    <w:rsid w:val="00464B35"/>
    <w:rsid w:val="00466310"/>
    <w:rsid w:val="00467537"/>
    <w:rsid w:val="0047058E"/>
    <w:rsid w:val="00471026"/>
    <w:rsid w:val="004732C0"/>
    <w:rsid w:val="00473A93"/>
    <w:rsid w:val="00474394"/>
    <w:rsid w:val="004744D3"/>
    <w:rsid w:val="00475EFF"/>
    <w:rsid w:val="00476144"/>
    <w:rsid w:val="0047786B"/>
    <w:rsid w:val="004822A1"/>
    <w:rsid w:val="00482EF4"/>
    <w:rsid w:val="0048343C"/>
    <w:rsid w:val="00483A17"/>
    <w:rsid w:val="00483D24"/>
    <w:rsid w:val="00483DD5"/>
    <w:rsid w:val="004845F1"/>
    <w:rsid w:val="00484BC2"/>
    <w:rsid w:val="00485367"/>
    <w:rsid w:val="00486E8C"/>
    <w:rsid w:val="004872E3"/>
    <w:rsid w:val="00487630"/>
    <w:rsid w:val="004900C1"/>
    <w:rsid w:val="00490743"/>
    <w:rsid w:val="00491178"/>
    <w:rsid w:val="004913B5"/>
    <w:rsid w:val="004914D1"/>
    <w:rsid w:val="0049253E"/>
    <w:rsid w:val="00492FC4"/>
    <w:rsid w:val="00493037"/>
    <w:rsid w:val="00493816"/>
    <w:rsid w:val="00493E2B"/>
    <w:rsid w:val="00494CD3"/>
    <w:rsid w:val="00494FB3"/>
    <w:rsid w:val="004955A5"/>
    <w:rsid w:val="00495EF4"/>
    <w:rsid w:val="00496D19"/>
    <w:rsid w:val="00496DF9"/>
    <w:rsid w:val="00497240"/>
    <w:rsid w:val="004A154E"/>
    <w:rsid w:val="004A15DE"/>
    <w:rsid w:val="004A2EFC"/>
    <w:rsid w:val="004A31C3"/>
    <w:rsid w:val="004A472E"/>
    <w:rsid w:val="004A4B6B"/>
    <w:rsid w:val="004A7FA7"/>
    <w:rsid w:val="004B0361"/>
    <w:rsid w:val="004B0F8C"/>
    <w:rsid w:val="004B3904"/>
    <w:rsid w:val="004B42F1"/>
    <w:rsid w:val="004B6157"/>
    <w:rsid w:val="004B7492"/>
    <w:rsid w:val="004B7C61"/>
    <w:rsid w:val="004C0E63"/>
    <w:rsid w:val="004C3546"/>
    <w:rsid w:val="004C3568"/>
    <w:rsid w:val="004C4638"/>
    <w:rsid w:val="004C60B8"/>
    <w:rsid w:val="004C74D5"/>
    <w:rsid w:val="004C7DD7"/>
    <w:rsid w:val="004D18D0"/>
    <w:rsid w:val="004D27D6"/>
    <w:rsid w:val="004D2F5D"/>
    <w:rsid w:val="004D311C"/>
    <w:rsid w:val="004D31E3"/>
    <w:rsid w:val="004D5650"/>
    <w:rsid w:val="004D5771"/>
    <w:rsid w:val="004D79AD"/>
    <w:rsid w:val="004E493E"/>
    <w:rsid w:val="004E6274"/>
    <w:rsid w:val="004E63CC"/>
    <w:rsid w:val="004F096E"/>
    <w:rsid w:val="004F0BE2"/>
    <w:rsid w:val="004F256B"/>
    <w:rsid w:val="004F32A0"/>
    <w:rsid w:val="004F72C7"/>
    <w:rsid w:val="004F75A1"/>
    <w:rsid w:val="004F79BD"/>
    <w:rsid w:val="0050163F"/>
    <w:rsid w:val="00502E98"/>
    <w:rsid w:val="005031B6"/>
    <w:rsid w:val="00506BC4"/>
    <w:rsid w:val="00507A63"/>
    <w:rsid w:val="00507D05"/>
    <w:rsid w:val="00510FCB"/>
    <w:rsid w:val="00513602"/>
    <w:rsid w:val="005157A6"/>
    <w:rsid w:val="0051753A"/>
    <w:rsid w:val="00517B02"/>
    <w:rsid w:val="0052067C"/>
    <w:rsid w:val="00522F30"/>
    <w:rsid w:val="00530863"/>
    <w:rsid w:val="00531479"/>
    <w:rsid w:val="0053234B"/>
    <w:rsid w:val="005335EE"/>
    <w:rsid w:val="005343DE"/>
    <w:rsid w:val="005348EF"/>
    <w:rsid w:val="005351E9"/>
    <w:rsid w:val="005353FE"/>
    <w:rsid w:val="005363D4"/>
    <w:rsid w:val="005374AC"/>
    <w:rsid w:val="00537F37"/>
    <w:rsid w:val="00541AC1"/>
    <w:rsid w:val="005445D6"/>
    <w:rsid w:val="00545090"/>
    <w:rsid w:val="0054524C"/>
    <w:rsid w:val="00546C44"/>
    <w:rsid w:val="00547BC3"/>
    <w:rsid w:val="005510FE"/>
    <w:rsid w:val="00556B35"/>
    <w:rsid w:val="00561EE2"/>
    <w:rsid w:val="0056297D"/>
    <w:rsid w:val="005631AD"/>
    <w:rsid w:val="005639EA"/>
    <w:rsid w:val="00564BCE"/>
    <w:rsid w:val="00564FF6"/>
    <w:rsid w:val="005667D5"/>
    <w:rsid w:val="005722A1"/>
    <w:rsid w:val="00572319"/>
    <w:rsid w:val="00572841"/>
    <w:rsid w:val="005731EC"/>
    <w:rsid w:val="00573B43"/>
    <w:rsid w:val="00574314"/>
    <w:rsid w:val="00574E74"/>
    <w:rsid w:val="00575350"/>
    <w:rsid w:val="00575A16"/>
    <w:rsid w:val="00575D08"/>
    <w:rsid w:val="00577298"/>
    <w:rsid w:val="00580DC4"/>
    <w:rsid w:val="0058536F"/>
    <w:rsid w:val="00585433"/>
    <w:rsid w:val="0058729F"/>
    <w:rsid w:val="005879C7"/>
    <w:rsid w:val="00590833"/>
    <w:rsid w:val="0059107D"/>
    <w:rsid w:val="005910A3"/>
    <w:rsid w:val="00591DD6"/>
    <w:rsid w:val="005925E4"/>
    <w:rsid w:val="00592A83"/>
    <w:rsid w:val="00593B07"/>
    <w:rsid w:val="00593E3E"/>
    <w:rsid w:val="005942EA"/>
    <w:rsid w:val="005943A7"/>
    <w:rsid w:val="005945EA"/>
    <w:rsid w:val="00596832"/>
    <w:rsid w:val="005A1052"/>
    <w:rsid w:val="005A341D"/>
    <w:rsid w:val="005A3AA3"/>
    <w:rsid w:val="005A3FE0"/>
    <w:rsid w:val="005B05CA"/>
    <w:rsid w:val="005B0C9B"/>
    <w:rsid w:val="005B2981"/>
    <w:rsid w:val="005B522F"/>
    <w:rsid w:val="005B595D"/>
    <w:rsid w:val="005B7710"/>
    <w:rsid w:val="005C10C7"/>
    <w:rsid w:val="005C206D"/>
    <w:rsid w:val="005C29F3"/>
    <w:rsid w:val="005C2C17"/>
    <w:rsid w:val="005C3128"/>
    <w:rsid w:val="005C349D"/>
    <w:rsid w:val="005C4005"/>
    <w:rsid w:val="005C4BD3"/>
    <w:rsid w:val="005C5E72"/>
    <w:rsid w:val="005C6FD6"/>
    <w:rsid w:val="005C79B8"/>
    <w:rsid w:val="005C7A9F"/>
    <w:rsid w:val="005D0AF9"/>
    <w:rsid w:val="005D1E18"/>
    <w:rsid w:val="005D244B"/>
    <w:rsid w:val="005D2B37"/>
    <w:rsid w:val="005D2FE5"/>
    <w:rsid w:val="005D4715"/>
    <w:rsid w:val="005D6F2C"/>
    <w:rsid w:val="005D7BB7"/>
    <w:rsid w:val="005E0A0B"/>
    <w:rsid w:val="005E1812"/>
    <w:rsid w:val="005E1A45"/>
    <w:rsid w:val="005E1AF2"/>
    <w:rsid w:val="005E1D7A"/>
    <w:rsid w:val="005E2411"/>
    <w:rsid w:val="005E344F"/>
    <w:rsid w:val="005E3CEF"/>
    <w:rsid w:val="005E51D2"/>
    <w:rsid w:val="005E6A91"/>
    <w:rsid w:val="005E725C"/>
    <w:rsid w:val="005F168A"/>
    <w:rsid w:val="005F177B"/>
    <w:rsid w:val="005F1840"/>
    <w:rsid w:val="005F218A"/>
    <w:rsid w:val="005F2846"/>
    <w:rsid w:val="005F2F06"/>
    <w:rsid w:val="005F356A"/>
    <w:rsid w:val="005F5193"/>
    <w:rsid w:val="005F5C10"/>
    <w:rsid w:val="005F5C2F"/>
    <w:rsid w:val="005F710E"/>
    <w:rsid w:val="005F7879"/>
    <w:rsid w:val="006007F6"/>
    <w:rsid w:val="00600A18"/>
    <w:rsid w:val="00600B0F"/>
    <w:rsid w:val="00601D94"/>
    <w:rsid w:val="00602D21"/>
    <w:rsid w:val="0060336D"/>
    <w:rsid w:val="00604147"/>
    <w:rsid w:val="006051CE"/>
    <w:rsid w:val="00605815"/>
    <w:rsid w:val="00605C82"/>
    <w:rsid w:val="0060617B"/>
    <w:rsid w:val="00607978"/>
    <w:rsid w:val="00607E92"/>
    <w:rsid w:val="00613329"/>
    <w:rsid w:val="00613B2F"/>
    <w:rsid w:val="00614A27"/>
    <w:rsid w:val="00615135"/>
    <w:rsid w:val="00615247"/>
    <w:rsid w:val="006155FC"/>
    <w:rsid w:val="00615695"/>
    <w:rsid w:val="0061714E"/>
    <w:rsid w:val="006203BD"/>
    <w:rsid w:val="0062059B"/>
    <w:rsid w:val="006207C0"/>
    <w:rsid w:val="00623C56"/>
    <w:rsid w:val="0062432B"/>
    <w:rsid w:val="006247BA"/>
    <w:rsid w:val="00624C5C"/>
    <w:rsid w:val="006254B2"/>
    <w:rsid w:val="00627E76"/>
    <w:rsid w:val="0063085F"/>
    <w:rsid w:val="006322EC"/>
    <w:rsid w:val="006323A6"/>
    <w:rsid w:val="00632B1F"/>
    <w:rsid w:val="00635A77"/>
    <w:rsid w:val="00635A99"/>
    <w:rsid w:val="00636A86"/>
    <w:rsid w:val="006409FF"/>
    <w:rsid w:val="0064204E"/>
    <w:rsid w:val="0064321D"/>
    <w:rsid w:val="00645987"/>
    <w:rsid w:val="006501AD"/>
    <w:rsid w:val="0065046E"/>
    <w:rsid w:val="006504EE"/>
    <w:rsid w:val="00650B00"/>
    <w:rsid w:val="00651811"/>
    <w:rsid w:val="0065259E"/>
    <w:rsid w:val="0065282A"/>
    <w:rsid w:val="00652F48"/>
    <w:rsid w:val="006536A9"/>
    <w:rsid w:val="006541BC"/>
    <w:rsid w:val="00655307"/>
    <w:rsid w:val="006563BB"/>
    <w:rsid w:val="00656DEF"/>
    <w:rsid w:val="0065733C"/>
    <w:rsid w:val="00657C61"/>
    <w:rsid w:val="00657CB6"/>
    <w:rsid w:val="00657E00"/>
    <w:rsid w:val="00660628"/>
    <w:rsid w:val="006613A9"/>
    <w:rsid w:val="006625B4"/>
    <w:rsid w:val="006640FE"/>
    <w:rsid w:val="006650D3"/>
    <w:rsid w:val="00671255"/>
    <w:rsid w:val="00672BEE"/>
    <w:rsid w:val="00674467"/>
    <w:rsid w:val="0067448D"/>
    <w:rsid w:val="006762E5"/>
    <w:rsid w:val="006764C8"/>
    <w:rsid w:val="0067746B"/>
    <w:rsid w:val="0067772C"/>
    <w:rsid w:val="006777A0"/>
    <w:rsid w:val="00677CD4"/>
    <w:rsid w:val="006813C8"/>
    <w:rsid w:val="006815A1"/>
    <w:rsid w:val="00681A3E"/>
    <w:rsid w:val="00682A07"/>
    <w:rsid w:val="00683B97"/>
    <w:rsid w:val="00683CCF"/>
    <w:rsid w:val="00683DC7"/>
    <w:rsid w:val="00683E06"/>
    <w:rsid w:val="006846ED"/>
    <w:rsid w:val="0068568E"/>
    <w:rsid w:val="00685B51"/>
    <w:rsid w:val="00685E07"/>
    <w:rsid w:val="0069068B"/>
    <w:rsid w:val="006931D5"/>
    <w:rsid w:val="00693DFC"/>
    <w:rsid w:val="00694103"/>
    <w:rsid w:val="006974FC"/>
    <w:rsid w:val="006A0482"/>
    <w:rsid w:val="006A13BF"/>
    <w:rsid w:val="006A4046"/>
    <w:rsid w:val="006A53F6"/>
    <w:rsid w:val="006A5585"/>
    <w:rsid w:val="006B0490"/>
    <w:rsid w:val="006B432F"/>
    <w:rsid w:val="006B5301"/>
    <w:rsid w:val="006B7C24"/>
    <w:rsid w:val="006B7CF9"/>
    <w:rsid w:val="006C0139"/>
    <w:rsid w:val="006C111C"/>
    <w:rsid w:val="006C1AEE"/>
    <w:rsid w:val="006C27E2"/>
    <w:rsid w:val="006C3927"/>
    <w:rsid w:val="006C51F7"/>
    <w:rsid w:val="006C5261"/>
    <w:rsid w:val="006C6452"/>
    <w:rsid w:val="006C6761"/>
    <w:rsid w:val="006D0368"/>
    <w:rsid w:val="006D2333"/>
    <w:rsid w:val="006D2DEC"/>
    <w:rsid w:val="006D3DBE"/>
    <w:rsid w:val="006D5657"/>
    <w:rsid w:val="006D571E"/>
    <w:rsid w:val="006D6CC7"/>
    <w:rsid w:val="006D70CD"/>
    <w:rsid w:val="006D7C85"/>
    <w:rsid w:val="006E1CA2"/>
    <w:rsid w:val="006E2C81"/>
    <w:rsid w:val="006E343F"/>
    <w:rsid w:val="006E3FFC"/>
    <w:rsid w:val="006E42F5"/>
    <w:rsid w:val="006E4AA9"/>
    <w:rsid w:val="006E53D1"/>
    <w:rsid w:val="006E67D0"/>
    <w:rsid w:val="006E6DB3"/>
    <w:rsid w:val="006E7CC1"/>
    <w:rsid w:val="006F0714"/>
    <w:rsid w:val="006F0B6B"/>
    <w:rsid w:val="006F1E01"/>
    <w:rsid w:val="006F2D01"/>
    <w:rsid w:val="006F38DB"/>
    <w:rsid w:val="006F3973"/>
    <w:rsid w:val="006F47C8"/>
    <w:rsid w:val="006F4AF5"/>
    <w:rsid w:val="006F51F9"/>
    <w:rsid w:val="006F6071"/>
    <w:rsid w:val="006F715C"/>
    <w:rsid w:val="006F7A23"/>
    <w:rsid w:val="0070010D"/>
    <w:rsid w:val="007004DA"/>
    <w:rsid w:val="00700FA7"/>
    <w:rsid w:val="00701726"/>
    <w:rsid w:val="007031E2"/>
    <w:rsid w:val="00703733"/>
    <w:rsid w:val="00704336"/>
    <w:rsid w:val="00707639"/>
    <w:rsid w:val="007111A0"/>
    <w:rsid w:val="00711B43"/>
    <w:rsid w:val="007122CC"/>
    <w:rsid w:val="00713F5D"/>
    <w:rsid w:val="007153F0"/>
    <w:rsid w:val="00716799"/>
    <w:rsid w:val="0072229D"/>
    <w:rsid w:val="0072294E"/>
    <w:rsid w:val="007339FC"/>
    <w:rsid w:val="00733A81"/>
    <w:rsid w:val="0073548A"/>
    <w:rsid w:val="007375CF"/>
    <w:rsid w:val="00737781"/>
    <w:rsid w:val="00737F14"/>
    <w:rsid w:val="00740BD4"/>
    <w:rsid w:val="007411A7"/>
    <w:rsid w:val="00742F5B"/>
    <w:rsid w:val="0074328B"/>
    <w:rsid w:val="0074644C"/>
    <w:rsid w:val="007500A2"/>
    <w:rsid w:val="0075015D"/>
    <w:rsid w:val="00751A18"/>
    <w:rsid w:val="0075426C"/>
    <w:rsid w:val="00754B6C"/>
    <w:rsid w:val="007558AE"/>
    <w:rsid w:val="00755C82"/>
    <w:rsid w:val="007609DE"/>
    <w:rsid w:val="00760D7B"/>
    <w:rsid w:val="00761CFE"/>
    <w:rsid w:val="00762176"/>
    <w:rsid w:val="0076664B"/>
    <w:rsid w:val="00766D48"/>
    <w:rsid w:val="007712B8"/>
    <w:rsid w:val="00773ADD"/>
    <w:rsid w:val="00774FA0"/>
    <w:rsid w:val="00777A11"/>
    <w:rsid w:val="00777A7E"/>
    <w:rsid w:val="00780026"/>
    <w:rsid w:val="0078013B"/>
    <w:rsid w:val="00780E9B"/>
    <w:rsid w:val="00784027"/>
    <w:rsid w:val="007848F3"/>
    <w:rsid w:val="00784C7B"/>
    <w:rsid w:val="007857B4"/>
    <w:rsid w:val="0078623D"/>
    <w:rsid w:val="007864C1"/>
    <w:rsid w:val="00786718"/>
    <w:rsid w:val="00791CE4"/>
    <w:rsid w:val="00794312"/>
    <w:rsid w:val="0079518B"/>
    <w:rsid w:val="007971B3"/>
    <w:rsid w:val="00797D46"/>
    <w:rsid w:val="007A01CC"/>
    <w:rsid w:val="007A0524"/>
    <w:rsid w:val="007A2365"/>
    <w:rsid w:val="007A2597"/>
    <w:rsid w:val="007A25C9"/>
    <w:rsid w:val="007A2CC5"/>
    <w:rsid w:val="007A2D4A"/>
    <w:rsid w:val="007A32BB"/>
    <w:rsid w:val="007A4679"/>
    <w:rsid w:val="007A4691"/>
    <w:rsid w:val="007A4C9D"/>
    <w:rsid w:val="007A5DFF"/>
    <w:rsid w:val="007B0211"/>
    <w:rsid w:val="007B149E"/>
    <w:rsid w:val="007B19B1"/>
    <w:rsid w:val="007B1D16"/>
    <w:rsid w:val="007B2DB4"/>
    <w:rsid w:val="007B3B56"/>
    <w:rsid w:val="007B403A"/>
    <w:rsid w:val="007B4213"/>
    <w:rsid w:val="007B4677"/>
    <w:rsid w:val="007B497F"/>
    <w:rsid w:val="007B4ED1"/>
    <w:rsid w:val="007B6CBE"/>
    <w:rsid w:val="007B794B"/>
    <w:rsid w:val="007C0DEC"/>
    <w:rsid w:val="007C0FDF"/>
    <w:rsid w:val="007C1ECE"/>
    <w:rsid w:val="007C3820"/>
    <w:rsid w:val="007C4C18"/>
    <w:rsid w:val="007C54FD"/>
    <w:rsid w:val="007C574F"/>
    <w:rsid w:val="007C613A"/>
    <w:rsid w:val="007D1A32"/>
    <w:rsid w:val="007D3FA4"/>
    <w:rsid w:val="007D5153"/>
    <w:rsid w:val="007D620F"/>
    <w:rsid w:val="007E14BD"/>
    <w:rsid w:val="007E31EA"/>
    <w:rsid w:val="007E3B25"/>
    <w:rsid w:val="007E3B7D"/>
    <w:rsid w:val="007E5A22"/>
    <w:rsid w:val="007E75E3"/>
    <w:rsid w:val="007E7710"/>
    <w:rsid w:val="007F2008"/>
    <w:rsid w:val="007F22AC"/>
    <w:rsid w:val="007F29E1"/>
    <w:rsid w:val="007F42E3"/>
    <w:rsid w:val="007F4388"/>
    <w:rsid w:val="007F4788"/>
    <w:rsid w:val="007F618A"/>
    <w:rsid w:val="00801104"/>
    <w:rsid w:val="00801432"/>
    <w:rsid w:val="00802290"/>
    <w:rsid w:val="00803305"/>
    <w:rsid w:val="0080375B"/>
    <w:rsid w:val="00803FCC"/>
    <w:rsid w:val="008041F5"/>
    <w:rsid w:val="00804200"/>
    <w:rsid w:val="00804F53"/>
    <w:rsid w:val="0081042F"/>
    <w:rsid w:val="008120AF"/>
    <w:rsid w:val="008125B6"/>
    <w:rsid w:val="00812625"/>
    <w:rsid w:val="00814DBF"/>
    <w:rsid w:val="0081707A"/>
    <w:rsid w:val="00817759"/>
    <w:rsid w:val="00817C8F"/>
    <w:rsid w:val="00820982"/>
    <w:rsid w:val="008213C2"/>
    <w:rsid w:val="0082170D"/>
    <w:rsid w:val="0082187A"/>
    <w:rsid w:val="00822223"/>
    <w:rsid w:val="00822802"/>
    <w:rsid w:val="00825521"/>
    <w:rsid w:val="0082784E"/>
    <w:rsid w:val="00831989"/>
    <w:rsid w:val="00831EBD"/>
    <w:rsid w:val="00836BE4"/>
    <w:rsid w:val="008378B4"/>
    <w:rsid w:val="00840A1A"/>
    <w:rsid w:val="00840D02"/>
    <w:rsid w:val="00842196"/>
    <w:rsid w:val="00842828"/>
    <w:rsid w:val="008431E0"/>
    <w:rsid w:val="00843A16"/>
    <w:rsid w:val="00844665"/>
    <w:rsid w:val="00845E4B"/>
    <w:rsid w:val="00846735"/>
    <w:rsid w:val="00846837"/>
    <w:rsid w:val="00846E42"/>
    <w:rsid w:val="00850601"/>
    <w:rsid w:val="00852698"/>
    <w:rsid w:val="008527C1"/>
    <w:rsid w:val="00852948"/>
    <w:rsid w:val="00853065"/>
    <w:rsid w:val="008535CE"/>
    <w:rsid w:val="008540C7"/>
    <w:rsid w:val="00854598"/>
    <w:rsid w:val="00856BDC"/>
    <w:rsid w:val="00857CBA"/>
    <w:rsid w:val="00861C4F"/>
    <w:rsid w:val="00862D0B"/>
    <w:rsid w:val="00863D30"/>
    <w:rsid w:val="008642DF"/>
    <w:rsid w:val="0086434F"/>
    <w:rsid w:val="00864FC3"/>
    <w:rsid w:val="00865AD8"/>
    <w:rsid w:val="00865EE6"/>
    <w:rsid w:val="00866CE0"/>
    <w:rsid w:val="00866FE2"/>
    <w:rsid w:val="008721CC"/>
    <w:rsid w:val="00872226"/>
    <w:rsid w:val="0087239F"/>
    <w:rsid w:val="00872695"/>
    <w:rsid w:val="00872902"/>
    <w:rsid w:val="00872B47"/>
    <w:rsid w:val="00873208"/>
    <w:rsid w:val="00874730"/>
    <w:rsid w:val="008751CE"/>
    <w:rsid w:val="00875F84"/>
    <w:rsid w:val="008773C3"/>
    <w:rsid w:val="00877623"/>
    <w:rsid w:val="008824EE"/>
    <w:rsid w:val="00882B7E"/>
    <w:rsid w:val="00882D96"/>
    <w:rsid w:val="00883EFA"/>
    <w:rsid w:val="00885A80"/>
    <w:rsid w:val="008863E5"/>
    <w:rsid w:val="008867F6"/>
    <w:rsid w:val="00887818"/>
    <w:rsid w:val="008906FE"/>
    <w:rsid w:val="00892C54"/>
    <w:rsid w:val="00893260"/>
    <w:rsid w:val="008952E6"/>
    <w:rsid w:val="0089533A"/>
    <w:rsid w:val="00896227"/>
    <w:rsid w:val="0089703A"/>
    <w:rsid w:val="008A063A"/>
    <w:rsid w:val="008A0CAF"/>
    <w:rsid w:val="008A146D"/>
    <w:rsid w:val="008A37E3"/>
    <w:rsid w:val="008A4243"/>
    <w:rsid w:val="008A5294"/>
    <w:rsid w:val="008A5850"/>
    <w:rsid w:val="008A6398"/>
    <w:rsid w:val="008A73CB"/>
    <w:rsid w:val="008A79AF"/>
    <w:rsid w:val="008A7FE6"/>
    <w:rsid w:val="008B02D1"/>
    <w:rsid w:val="008B14A2"/>
    <w:rsid w:val="008B1A8D"/>
    <w:rsid w:val="008B1C28"/>
    <w:rsid w:val="008B31F8"/>
    <w:rsid w:val="008B7A52"/>
    <w:rsid w:val="008B7F12"/>
    <w:rsid w:val="008C00EC"/>
    <w:rsid w:val="008C0773"/>
    <w:rsid w:val="008C0CE5"/>
    <w:rsid w:val="008C179C"/>
    <w:rsid w:val="008C1F78"/>
    <w:rsid w:val="008C435C"/>
    <w:rsid w:val="008C5ABC"/>
    <w:rsid w:val="008C5C88"/>
    <w:rsid w:val="008D095A"/>
    <w:rsid w:val="008D1FCD"/>
    <w:rsid w:val="008D5CE0"/>
    <w:rsid w:val="008D6AF7"/>
    <w:rsid w:val="008D75EB"/>
    <w:rsid w:val="008E0A3D"/>
    <w:rsid w:val="008E0A75"/>
    <w:rsid w:val="008E0EAF"/>
    <w:rsid w:val="008E0EB8"/>
    <w:rsid w:val="008E1805"/>
    <w:rsid w:val="008E6453"/>
    <w:rsid w:val="008F2B5D"/>
    <w:rsid w:val="008F3B24"/>
    <w:rsid w:val="008F5BCA"/>
    <w:rsid w:val="008F6A8E"/>
    <w:rsid w:val="0090049B"/>
    <w:rsid w:val="009027ED"/>
    <w:rsid w:val="009029E1"/>
    <w:rsid w:val="00903409"/>
    <w:rsid w:val="00903846"/>
    <w:rsid w:val="0090525F"/>
    <w:rsid w:val="00911B9C"/>
    <w:rsid w:val="00915D0C"/>
    <w:rsid w:val="00917927"/>
    <w:rsid w:val="00917E3A"/>
    <w:rsid w:val="009201BE"/>
    <w:rsid w:val="00920B05"/>
    <w:rsid w:val="009220B4"/>
    <w:rsid w:val="00924453"/>
    <w:rsid w:val="009254FA"/>
    <w:rsid w:val="00925BAC"/>
    <w:rsid w:val="009270A7"/>
    <w:rsid w:val="00927A4E"/>
    <w:rsid w:val="00932C24"/>
    <w:rsid w:val="00932EB4"/>
    <w:rsid w:val="009340B2"/>
    <w:rsid w:val="00934C7F"/>
    <w:rsid w:val="009369AB"/>
    <w:rsid w:val="00936BC3"/>
    <w:rsid w:val="009374CE"/>
    <w:rsid w:val="00937B4B"/>
    <w:rsid w:val="00940371"/>
    <w:rsid w:val="00940671"/>
    <w:rsid w:val="0094076F"/>
    <w:rsid w:val="00940ECD"/>
    <w:rsid w:val="00941A6A"/>
    <w:rsid w:val="00941C25"/>
    <w:rsid w:val="00942B42"/>
    <w:rsid w:val="0094326B"/>
    <w:rsid w:val="0094365B"/>
    <w:rsid w:val="0094415E"/>
    <w:rsid w:val="0094416B"/>
    <w:rsid w:val="00946625"/>
    <w:rsid w:val="00951733"/>
    <w:rsid w:val="009519FC"/>
    <w:rsid w:val="00952005"/>
    <w:rsid w:val="00952317"/>
    <w:rsid w:val="00953865"/>
    <w:rsid w:val="00953A8D"/>
    <w:rsid w:val="00954FA9"/>
    <w:rsid w:val="0095692A"/>
    <w:rsid w:val="0095768D"/>
    <w:rsid w:val="00957D8E"/>
    <w:rsid w:val="0096040D"/>
    <w:rsid w:val="009606C6"/>
    <w:rsid w:val="00960AA9"/>
    <w:rsid w:val="00960D9D"/>
    <w:rsid w:val="00961811"/>
    <w:rsid w:val="00961C7A"/>
    <w:rsid w:val="009622C7"/>
    <w:rsid w:val="009663D4"/>
    <w:rsid w:val="009667CD"/>
    <w:rsid w:val="00970F6A"/>
    <w:rsid w:val="009712C8"/>
    <w:rsid w:val="0097190C"/>
    <w:rsid w:val="0097562C"/>
    <w:rsid w:val="009765DD"/>
    <w:rsid w:val="009775E7"/>
    <w:rsid w:val="0098097B"/>
    <w:rsid w:val="00981906"/>
    <w:rsid w:val="00982E10"/>
    <w:rsid w:val="00985129"/>
    <w:rsid w:val="00985BC6"/>
    <w:rsid w:val="00990CCF"/>
    <w:rsid w:val="0099134E"/>
    <w:rsid w:val="009918D7"/>
    <w:rsid w:val="009919C7"/>
    <w:rsid w:val="009932CC"/>
    <w:rsid w:val="0099432E"/>
    <w:rsid w:val="0099453D"/>
    <w:rsid w:val="009951C5"/>
    <w:rsid w:val="00996D23"/>
    <w:rsid w:val="00997A92"/>
    <w:rsid w:val="009A0A11"/>
    <w:rsid w:val="009A0C45"/>
    <w:rsid w:val="009A1504"/>
    <w:rsid w:val="009A1864"/>
    <w:rsid w:val="009A1C69"/>
    <w:rsid w:val="009A28D5"/>
    <w:rsid w:val="009A2D82"/>
    <w:rsid w:val="009A3393"/>
    <w:rsid w:val="009A43A3"/>
    <w:rsid w:val="009A525A"/>
    <w:rsid w:val="009A5FEB"/>
    <w:rsid w:val="009A7A34"/>
    <w:rsid w:val="009B0288"/>
    <w:rsid w:val="009B077D"/>
    <w:rsid w:val="009B0FA0"/>
    <w:rsid w:val="009B21BB"/>
    <w:rsid w:val="009B5599"/>
    <w:rsid w:val="009B5BD8"/>
    <w:rsid w:val="009B6B4F"/>
    <w:rsid w:val="009B786F"/>
    <w:rsid w:val="009C0FD7"/>
    <w:rsid w:val="009C3C8C"/>
    <w:rsid w:val="009C4B4C"/>
    <w:rsid w:val="009C4C54"/>
    <w:rsid w:val="009C4FD2"/>
    <w:rsid w:val="009C7161"/>
    <w:rsid w:val="009C76C1"/>
    <w:rsid w:val="009D05EC"/>
    <w:rsid w:val="009D11D6"/>
    <w:rsid w:val="009D1AF8"/>
    <w:rsid w:val="009D38EC"/>
    <w:rsid w:val="009D3AF6"/>
    <w:rsid w:val="009D3F08"/>
    <w:rsid w:val="009D4019"/>
    <w:rsid w:val="009D628C"/>
    <w:rsid w:val="009E11BA"/>
    <w:rsid w:val="009E141B"/>
    <w:rsid w:val="009E2D6C"/>
    <w:rsid w:val="009E3EF0"/>
    <w:rsid w:val="009E4C23"/>
    <w:rsid w:val="009E533A"/>
    <w:rsid w:val="009E660D"/>
    <w:rsid w:val="009F50D8"/>
    <w:rsid w:val="009F7B52"/>
    <w:rsid w:val="009F7E80"/>
    <w:rsid w:val="00A00ED6"/>
    <w:rsid w:val="00A03535"/>
    <w:rsid w:val="00A0354A"/>
    <w:rsid w:val="00A045A2"/>
    <w:rsid w:val="00A04B6D"/>
    <w:rsid w:val="00A06DD7"/>
    <w:rsid w:val="00A12BCC"/>
    <w:rsid w:val="00A14318"/>
    <w:rsid w:val="00A146FF"/>
    <w:rsid w:val="00A14F4E"/>
    <w:rsid w:val="00A167FB"/>
    <w:rsid w:val="00A174F5"/>
    <w:rsid w:val="00A17888"/>
    <w:rsid w:val="00A20E1D"/>
    <w:rsid w:val="00A241E3"/>
    <w:rsid w:val="00A30D60"/>
    <w:rsid w:val="00A32095"/>
    <w:rsid w:val="00A32C7A"/>
    <w:rsid w:val="00A32E70"/>
    <w:rsid w:val="00A33E33"/>
    <w:rsid w:val="00A33F6D"/>
    <w:rsid w:val="00A34D08"/>
    <w:rsid w:val="00A43557"/>
    <w:rsid w:val="00A44D85"/>
    <w:rsid w:val="00A45025"/>
    <w:rsid w:val="00A45844"/>
    <w:rsid w:val="00A51077"/>
    <w:rsid w:val="00A51224"/>
    <w:rsid w:val="00A51264"/>
    <w:rsid w:val="00A53A6B"/>
    <w:rsid w:val="00A5433B"/>
    <w:rsid w:val="00A54C60"/>
    <w:rsid w:val="00A54E1A"/>
    <w:rsid w:val="00A55441"/>
    <w:rsid w:val="00A56A48"/>
    <w:rsid w:val="00A56DEC"/>
    <w:rsid w:val="00A578D5"/>
    <w:rsid w:val="00A60B48"/>
    <w:rsid w:val="00A60DE4"/>
    <w:rsid w:val="00A612FF"/>
    <w:rsid w:val="00A614D0"/>
    <w:rsid w:val="00A62BFB"/>
    <w:rsid w:val="00A6462A"/>
    <w:rsid w:val="00A6506C"/>
    <w:rsid w:val="00A65FDE"/>
    <w:rsid w:val="00A6602B"/>
    <w:rsid w:val="00A66E8A"/>
    <w:rsid w:val="00A71943"/>
    <w:rsid w:val="00A730EF"/>
    <w:rsid w:val="00A7361D"/>
    <w:rsid w:val="00A7456C"/>
    <w:rsid w:val="00A75588"/>
    <w:rsid w:val="00A772B5"/>
    <w:rsid w:val="00A778FF"/>
    <w:rsid w:val="00A77D5D"/>
    <w:rsid w:val="00A80635"/>
    <w:rsid w:val="00A82118"/>
    <w:rsid w:val="00A82EA9"/>
    <w:rsid w:val="00A87BD4"/>
    <w:rsid w:val="00A91E7F"/>
    <w:rsid w:val="00A95C14"/>
    <w:rsid w:val="00A95FAA"/>
    <w:rsid w:val="00A9634C"/>
    <w:rsid w:val="00A9666F"/>
    <w:rsid w:val="00A96EC8"/>
    <w:rsid w:val="00A97BA6"/>
    <w:rsid w:val="00A97C92"/>
    <w:rsid w:val="00AA029E"/>
    <w:rsid w:val="00AA0797"/>
    <w:rsid w:val="00AA1C9D"/>
    <w:rsid w:val="00AA2F4F"/>
    <w:rsid w:val="00AA4BFF"/>
    <w:rsid w:val="00AB0069"/>
    <w:rsid w:val="00AB02EE"/>
    <w:rsid w:val="00AB18A3"/>
    <w:rsid w:val="00AB24E1"/>
    <w:rsid w:val="00AB2AB3"/>
    <w:rsid w:val="00AB3D71"/>
    <w:rsid w:val="00AB6EAC"/>
    <w:rsid w:val="00AB7C07"/>
    <w:rsid w:val="00AC07A4"/>
    <w:rsid w:val="00AC271E"/>
    <w:rsid w:val="00AC37C5"/>
    <w:rsid w:val="00AC67A5"/>
    <w:rsid w:val="00AC6D82"/>
    <w:rsid w:val="00AD0EF9"/>
    <w:rsid w:val="00AD1F3F"/>
    <w:rsid w:val="00AD2944"/>
    <w:rsid w:val="00AD35EF"/>
    <w:rsid w:val="00AD44DD"/>
    <w:rsid w:val="00AD4A4D"/>
    <w:rsid w:val="00AD57B1"/>
    <w:rsid w:val="00AD612A"/>
    <w:rsid w:val="00AD7A2D"/>
    <w:rsid w:val="00AE1C29"/>
    <w:rsid w:val="00AE2F42"/>
    <w:rsid w:val="00AE33A9"/>
    <w:rsid w:val="00AE4335"/>
    <w:rsid w:val="00AE4666"/>
    <w:rsid w:val="00AE48EA"/>
    <w:rsid w:val="00AE5255"/>
    <w:rsid w:val="00AE7661"/>
    <w:rsid w:val="00AF0C56"/>
    <w:rsid w:val="00AF140A"/>
    <w:rsid w:val="00AF1F7E"/>
    <w:rsid w:val="00AF206A"/>
    <w:rsid w:val="00AF2CDB"/>
    <w:rsid w:val="00AF4251"/>
    <w:rsid w:val="00AF4AEB"/>
    <w:rsid w:val="00AF539D"/>
    <w:rsid w:val="00AF59B9"/>
    <w:rsid w:val="00AF5A5E"/>
    <w:rsid w:val="00AF7241"/>
    <w:rsid w:val="00AF7DA3"/>
    <w:rsid w:val="00B001E4"/>
    <w:rsid w:val="00B0153A"/>
    <w:rsid w:val="00B0169A"/>
    <w:rsid w:val="00B03CE1"/>
    <w:rsid w:val="00B045F0"/>
    <w:rsid w:val="00B04889"/>
    <w:rsid w:val="00B04DC4"/>
    <w:rsid w:val="00B05CA8"/>
    <w:rsid w:val="00B06013"/>
    <w:rsid w:val="00B06746"/>
    <w:rsid w:val="00B06CAC"/>
    <w:rsid w:val="00B07049"/>
    <w:rsid w:val="00B13099"/>
    <w:rsid w:val="00B1380A"/>
    <w:rsid w:val="00B13902"/>
    <w:rsid w:val="00B13FA7"/>
    <w:rsid w:val="00B14244"/>
    <w:rsid w:val="00B1506B"/>
    <w:rsid w:val="00B21B51"/>
    <w:rsid w:val="00B238AA"/>
    <w:rsid w:val="00B24B2E"/>
    <w:rsid w:val="00B24DB2"/>
    <w:rsid w:val="00B251E2"/>
    <w:rsid w:val="00B25570"/>
    <w:rsid w:val="00B2579E"/>
    <w:rsid w:val="00B25DA5"/>
    <w:rsid w:val="00B260DF"/>
    <w:rsid w:val="00B31660"/>
    <w:rsid w:val="00B32D32"/>
    <w:rsid w:val="00B3394C"/>
    <w:rsid w:val="00B33AC0"/>
    <w:rsid w:val="00B34081"/>
    <w:rsid w:val="00B35386"/>
    <w:rsid w:val="00B356C3"/>
    <w:rsid w:val="00B35BF4"/>
    <w:rsid w:val="00B362C6"/>
    <w:rsid w:val="00B379C0"/>
    <w:rsid w:val="00B37E3B"/>
    <w:rsid w:val="00B40BE8"/>
    <w:rsid w:val="00B41994"/>
    <w:rsid w:val="00B42655"/>
    <w:rsid w:val="00B4450F"/>
    <w:rsid w:val="00B44BDA"/>
    <w:rsid w:val="00B4503B"/>
    <w:rsid w:val="00B453F2"/>
    <w:rsid w:val="00B462E6"/>
    <w:rsid w:val="00B46DDB"/>
    <w:rsid w:val="00B46EBD"/>
    <w:rsid w:val="00B47A6D"/>
    <w:rsid w:val="00B51489"/>
    <w:rsid w:val="00B5163B"/>
    <w:rsid w:val="00B51651"/>
    <w:rsid w:val="00B525EE"/>
    <w:rsid w:val="00B52754"/>
    <w:rsid w:val="00B55021"/>
    <w:rsid w:val="00B562C4"/>
    <w:rsid w:val="00B571D5"/>
    <w:rsid w:val="00B57273"/>
    <w:rsid w:val="00B6012E"/>
    <w:rsid w:val="00B61037"/>
    <w:rsid w:val="00B6112C"/>
    <w:rsid w:val="00B61C6C"/>
    <w:rsid w:val="00B622E7"/>
    <w:rsid w:val="00B62C96"/>
    <w:rsid w:val="00B6380C"/>
    <w:rsid w:val="00B63DF0"/>
    <w:rsid w:val="00B63F64"/>
    <w:rsid w:val="00B641A3"/>
    <w:rsid w:val="00B647BA"/>
    <w:rsid w:val="00B6545B"/>
    <w:rsid w:val="00B6556C"/>
    <w:rsid w:val="00B6734D"/>
    <w:rsid w:val="00B67AA9"/>
    <w:rsid w:val="00B72B76"/>
    <w:rsid w:val="00B72F4B"/>
    <w:rsid w:val="00B73DAC"/>
    <w:rsid w:val="00B744B2"/>
    <w:rsid w:val="00B7597A"/>
    <w:rsid w:val="00B75E8C"/>
    <w:rsid w:val="00B7603F"/>
    <w:rsid w:val="00B76E5E"/>
    <w:rsid w:val="00B77EF4"/>
    <w:rsid w:val="00B815E2"/>
    <w:rsid w:val="00B82865"/>
    <w:rsid w:val="00B846D4"/>
    <w:rsid w:val="00B84A71"/>
    <w:rsid w:val="00B8544D"/>
    <w:rsid w:val="00B871A9"/>
    <w:rsid w:val="00B878CE"/>
    <w:rsid w:val="00B87B22"/>
    <w:rsid w:val="00B87F9C"/>
    <w:rsid w:val="00B906FF"/>
    <w:rsid w:val="00B90D2F"/>
    <w:rsid w:val="00B9211C"/>
    <w:rsid w:val="00B92EEC"/>
    <w:rsid w:val="00B950A5"/>
    <w:rsid w:val="00B9581B"/>
    <w:rsid w:val="00B95C83"/>
    <w:rsid w:val="00B967D8"/>
    <w:rsid w:val="00B97541"/>
    <w:rsid w:val="00BA1CA0"/>
    <w:rsid w:val="00BA2687"/>
    <w:rsid w:val="00BA455A"/>
    <w:rsid w:val="00BA5528"/>
    <w:rsid w:val="00BA688E"/>
    <w:rsid w:val="00BA788B"/>
    <w:rsid w:val="00BB0742"/>
    <w:rsid w:val="00BB1B0D"/>
    <w:rsid w:val="00BB1DFD"/>
    <w:rsid w:val="00BB6818"/>
    <w:rsid w:val="00BC013C"/>
    <w:rsid w:val="00BC0541"/>
    <w:rsid w:val="00BC0C96"/>
    <w:rsid w:val="00BC2A94"/>
    <w:rsid w:val="00BC328D"/>
    <w:rsid w:val="00BC36DE"/>
    <w:rsid w:val="00BC395B"/>
    <w:rsid w:val="00BC3F67"/>
    <w:rsid w:val="00BC45BA"/>
    <w:rsid w:val="00BC5F4E"/>
    <w:rsid w:val="00BC5FDE"/>
    <w:rsid w:val="00BC7297"/>
    <w:rsid w:val="00BC72EA"/>
    <w:rsid w:val="00BD0240"/>
    <w:rsid w:val="00BD0822"/>
    <w:rsid w:val="00BD1E79"/>
    <w:rsid w:val="00BD2C19"/>
    <w:rsid w:val="00BD5E01"/>
    <w:rsid w:val="00BD5F92"/>
    <w:rsid w:val="00BD799F"/>
    <w:rsid w:val="00BD7F7B"/>
    <w:rsid w:val="00BE0125"/>
    <w:rsid w:val="00BE0A98"/>
    <w:rsid w:val="00BE13D4"/>
    <w:rsid w:val="00BE1867"/>
    <w:rsid w:val="00BE1E7A"/>
    <w:rsid w:val="00BE5FB6"/>
    <w:rsid w:val="00BE79DB"/>
    <w:rsid w:val="00BF11D7"/>
    <w:rsid w:val="00BF467C"/>
    <w:rsid w:val="00BF59B0"/>
    <w:rsid w:val="00BF7D62"/>
    <w:rsid w:val="00C007A6"/>
    <w:rsid w:val="00C0130E"/>
    <w:rsid w:val="00C0272E"/>
    <w:rsid w:val="00C02B41"/>
    <w:rsid w:val="00C04D36"/>
    <w:rsid w:val="00C04DB4"/>
    <w:rsid w:val="00C05EB3"/>
    <w:rsid w:val="00C06FCE"/>
    <w:rsid w:val="00C07C03"/>
    <w:rsid w:val="00C10747"/>
    <w:rsid w:val="00C10DE7"/>
    <w:rsid w:val="00C10EB5"/>
    <w:rsid w:val="00C12025"/>
    <w:rsid w:val="00C133C8"/>
    <w:rsid w:val="00C142C8"/>
    <w:rsid w:val="00C1447E"/>
    <w:rsid w:val="00C15F7E"/>
    <w:rsid w:val="00C1709E"/>
    <w:rsid w:val="00C21159"/>
    <w:rsid w:val="00C21650"/>
    <w:rsid w:val="00C23B52"/>
    <w:rsid w:val="00C265C0"/>
    <w:rsid w:val="00C27482"/>
    <w:rsid w:val="00C27872"/>
    <w:rsid w:val="00C30595"/>
    <w:rsid w:val="00C30AAD"/>
    <w:rsid w:val="00C311B3"/>
    <w:rsid w:val="00C33D9D"/>
    <w:rsid w:val="00C35637"/>
    <w:rsid w:val="00C3576B"/>
    <w:rsid w:val="00C36AC4"/>
    <w:rsid w:val="00C418FA"/>
    <w:rsid w:val="00C41D83"/>
    <w:rsid w:val="00C4320D"/>
    <w:rsid w:val="00C44424"/>
    <w:rsid w:val="00C44FA7"/>
    <w:rsid w:val="00C45F61"/>
    <w:rsid w:val="00C46E09"/>
    <w:rsid w:val="00C472A4"/>
    <w:rsid w:val="00C537EB"/>
    <w:rsid w:val="00C61471"/>
    <w:rsid w:val="00C616BF"/>
    <w:rsid w:val="00C61A21"/>
    <w:rsid w:val="00C62EDF"/>
    <w:rsid w:val="00C630B4"/>
    <w:rsid w:val="00C654F4"/>
    <w:rsid w:val="00C66654"/>
    <w:rsid w:val="00C706EC"/>
    <w:rsid w:val="00C7185F"/>
    <w:rsid w:val="00C71F95"/>
    <w:rsid w:val="00C72374"/>
    <w:rsid w:val="00C72C64"/>
    <w:rsid w:val="00C73585"/>
    <w:rsid w:val="00C73C0D"/>
    <w:rsid w:val="00C7436B"/>
    <w:rsid w:val="00C7586A"/>
    <w:rsid w:val="00C76480"/>
    <w:rsid w:val="00C77547"/>
    <w:rsid w:val="00C778E6"/>
    <w:rsid w:val="00C81B64"/>
    <w:rsid w:val="00C81E07"/>
    <w:rsid w:val="00C8388D"/>
    <w:rsid w:val="00C839A9"/>
    <w:rsid w:val="00C83FB4"/>
    <w:rsid w:val="00C849C6"/>
    <w:rsid w:val="00C85D6A"/>
    <w:rsid w:val="00C86D42"/>
    <w:rsid w:val="00C874E9"/>
    <w:rsid w:val="00C9040A"/>
    <w:rsid w:val="00C90AFC"/>
    <w:rsid w:val="00C92C0C"/>
    <w:rsid w:val="00C94693"/>
    <w:rsid w:val="00C94898"/>
    <w:rsid w:val="00C94ACE"/>
    <w:rsid w:val="00C9533B"/>
    <w:rsid w:val="00CA2D32"/>
    <w:rsid w:val="00CA3FE6"/>
    <w:rsid w:val="00CA6414"/>
    <w:rsid w:val="00CA70A4"/>
    <w:rsid w:val="00CA74DC"/>
    <w:rsid w:val="00CB29A2"/>
    <w:rsid w:val="00CB2AB7"/>
    <w:rsid w:val="00CC0083"/>
    <w:rsid w:val="00CC27F3"/>
    <w:rsid w:val="00CC3194"/>
    <w:rsid w:val="00CC3562"/>
    <w:rsid w:val="00CC4D63"/>
    <w:rsid w:val="00CC5E5B"/>
    <w:rsid w:val="00CC61A5"/>
    <w:rsid w:val="00CC772A"/>
    <w:rsid w:val="00CC7E08"/>
    <w:rsid w:val="00CD14DB"/>
    <w:rsid w:val="00CD4F8F"/>
    <w:rsid w:val="00CD6D72"/>
    <w:rsid w:val="00CD7B93"/>
    <w:rsid w:val="00CE0348"/>
    <w:rsid w:val="00CE2E0F"/>
    <w:rsid w:val="00CE342B"/>
    <w:rsid w:val="00CE546B"/>
    <w:rsid w:val="00CE5FE4"/>
    <w:rsid w:val="00CE6283"/>
    <w:rsid w:val="00CE64F2"/>
    <w:rsid w:val="00CE67AA"/>
    <w:rsid w:val="00CE6E24"/>
    <w:rsid w:val="00CE6F33"/>
    <w:rsid w:val="00CE73B5"/>
    <w:rsid w:val="00CE744B"/>
    <w:rsid w:val="00CE791D"/>
    <w:rsid w:val="00CE79D7"/>
    <w:rsid w:val="00CE7CE3"/>
    <w:rsid w:val="00CF2071"/>
    <w:rsid w:val="00CF244E"/>
    <w:rsid w:val="00CF278D"/>
    <w:rsid w:val="00CF2FE9"/>
    <w:rsid w:val="00CF37C7"/>
    <w:rsid w:val="00CF3CF8"/>
    <w:rsid w:val="00CF474D"/>
    <w:rsid w:val="00CF56EB"/>
    <w:rsid w:val="00CF5A64"/>
    <w:rsid w:val="00CF6622"/>
    <w:rsid w:val="00CF68C0"/>
    <w:rsid w:val="00CF749A"/>
    <w:rsid w:val="00D0089A"/>
    <w:rsid w:val="00D014C7"/>
    <w:rsid w:val="00D01548"/>
    <w:rsid w:val="00D03639"/>
    <w:rsid w:val="00D04D5F"/>
    <w:rsid w:val="00D04DD6"/>
    <w:rsid w:val="00D04DFA"/>
    <w:rsid w:val="00D0597F"/>
    <w:rsid w:val="00D05F35"/>
    <w:rsid w:val="00D06393"/>
    <w:rsid w:val="00D06E5E"/>
    <w:rsid w:val="00D06F79"/>
    <w:rsid w:val="00D10597"/>
    <w:rsid w:val="00D120A3"/>
    <w:rsid w:val="00D13288"/>
    <w:rsid w:val="00D13AF8"/>
    <w:rsid w:val="00D14E67"/>
    <w:rsid w:val="00D1584B"/>
    <w:rsid w:val="00D17EA2"/>
    <w:rsid w:val="00D20601"/>
    <w:rsid w:val="00D2077A"/>
    <w:rsid w:val="00D219E9"/>
    <w:rsid w:val="00D2205B"/>
    <w:rsid w:val="00D23418"/>
    <w:rsid w:val="00D23966"/>
    <w:rsid w:val="00D23A1A"/>
    <w:rsid w:val="00D24606"/>
    <w:rsid w:val="00D2620A"/>
    <w:rsid w:val="00D3056A"/>
    <w:rsid w:val="00D3064D"/>
    <w:rsid w:val="00D30AED"/>
    <w:rsid w:val="00D30F84"/>
    <w:rsid w:val="00D31091"/>
    <w:rsid w:val="00D33CFE"/>
    <w:rsid w:val="00D33DDE"/>
    <w:rsid w:val="00D34DA4"/>
    <w:rsid w:val="00D35C1D"/>
    <w:rsid w:val="00D3752F"/>
    <w:rsid w:val="00D40DDE"/>
    <w:rsid w:val="00D42D78"/>
    <w:rsid w:val="00D43970"/>
    <w:rsid w:val="00D43CA5"/>
    <w:rsid w:val="00D44769"/>
    <w:rsid w:val="00D44CA5"/>
    <w:rsid w:val="00D46E12"/>
    <w:rsid w:val="00D50734"/>
    <w:rsid w:val="00D507C0"/>
    <w:rsid w:val="00D513CC"/>
    <w:rsid w:val="00D5172A"/>
    <w:rsid w:val="00D56435"/>
    <w:rsid w:val="00D62755"/>
    <w:rsid w:val="00D62AA4"/>
    <w:rsid w:val="00D630FA"/>
    <w:rsid w:val="00D6318F"/>
    <w:rsid w:val="00D650BB"/>
    <w:rsid w:val="00D6540A"/>
    <w:rsid w:val="00D6747E"/>
    <w:rsid w:val="00D674AF"/>
    <w:rsid w:val="00D70107"/>
    <w:rsid w:val="00D70438"/>
    <w:rsid w:val="00D717AD"/>
    <w:rsid w:val="00D720AD"/>
    <w:rsid w:val="00D72D1D"/>
    <w:rsid w:val="00D74A18"/>
    <w:rsid w:val="00D74D3E"/>
    <w:rsid w:val="00D757C6"/>
    <w:rsid w:val="00D75C41"/>
    <w:rsid w:val="00D80529"/>
    <w:rsid w:val="00D80F78"/>
    <w:rsid w:val="00D81AC3"/>
    <w:rsid w:val="00D81C59"/>
    <w:rsid w:val="00D82A5B"/>
    <w:rsid w:val="00D84637"/>
    <w:rsid w:val="00D8473B"/>
    <w:rsid w:val="00D85780"/>
    <w:rsid w:val="00D925AA"/>
    <w:rsid w:val="00D9283D"/>
    <w:rsid w:val="00D930DD"/>
    <w:rsid w:val="00D9341C"/>
    <w:rsid w:val="00D94B7D"/>
    <w:rsid w:val="00DA0B1A"/>
    <w:rsid w:val="00DA1560"/>
    <w:rsid w:val="00DA3176"/>
    <w:rsid w:val="00DA4C44"/>
    <w:rsid w:val="00DA4C48"/>
    <w:rsid w:val="00DA4E21"/>
    <w:rsid w:val="00DA552E"/>
    <w:rsid w:val="00DA71EF"/>
    <w:rsid w:val="00DA761D"/>
    <w:rsid w:val="00DA7926"/>
    <w:rsid w:val="00DA7A18"/>
    <w:rsid w:val="00DB1347"/>
    <w:rsid w:val="00DB28CE"/>
    <w:rsid w:val="00DB29BC"/>
    <w:rsid w:val="00DB2A2A"/>
    <w:rsid w:val="00DB3746"/>
    <w:rsid w:val="00DB479F"/>
    <w:rsid w:val="00DB55B6"/>
    <w:rsid w:val="00DB5EA7"/>
    <w:rsid w:val="00DB5F21"/>
    <w:rsid w:val="00DB6D7C"/>
    <w:rsid w:val="00DB7183"/>
    <w:rsid w:val="00DC090A"/>
    <w:rsid w:val="00DC09CC"/>
    <w:rsid w:val="00DC0E7E"/>
    <w:rsid w:val="00DC1DB5"/>
    <w:rsid w:val="00DC202A"/>
    <w:rsid w:val="00DC2D72"/>
    <w:rsid w:val="00DC30EA"/>
    <w:rsid w:val="00DC4FE9"/>
    <w:rsid w:val="00DC5918"/>
    <w:rsid w:val="00DC6C8D"/>
    <w:rsid w:val="00DC73A5"/>
    <w:rsid w:val="00DD0236"/>
    <w:rsid w:val="00DD1922"/>
    <w:rsid w:val="00DD4100"/>
    <w:rsid w:val="00DD73BE"/>
    <w:rsid w:val="00DD76A4"/>
    <w:rsid w:val="00DD7C65"/>
    <w:rsid w:val="00DE03E4"/>
    <w:rsid w:val="00DE1134"/>
    <w:rsid w:val="00DE1AEB"/>
    <w:rsid w:val="00DE2247"/>
    <w:rsid w:val="00DE2A34"/>
    <w:rsid w:val="00DE2CB6"/>
    <w:rsid w:val="00DE37AE"/>
    <w:rsid w:val="00DE4732"/>
    <w:rsid w:val="00DE6668"/>
    <w:rsid w:val="00DE6987"/>
    <w:rsid w:val="00DE7339"/>
    <w:rsid w:val="00DF1246"/>
    <w:rsid w:val="00DF20BB"/>
    <w:rsid w:val="00DF2103"/>
    <w:rsid w:val="00DF30C0"/>
    <w:rsid w:val="00E0080A"/>
    <w:rsid w:val="00E00F31"/>
    <w:rsid w:val="00E02242"/>
    <w:rsid w:val="00E02AF8"/>
    <w:rsid w:val="00E0300E"/>
    <w:rsid w:val="00E04AE0"/>
    <w:rsid w:val="00E04C83"/>
    <w:rsid w:val="00E070D0"/>
    <w:rsid w:val="00E11517"/>
    <w:rsid w:val="00E12834"/>
    <w:rsid w:val="00E12990"/>
    <w:rsid w:val="00E13727"/>
    <w:rsid w:val="00E15630"/>
    <w:rsid w:val="00E16823"/>
    <w:rsid w:val="00E1708E"/>
    <w:rsid w:val="00E17AB3"/>
    <w:rsid w:val="00E20254"/>
    <w:rsid w:val="00E209F0"/>
    <w:rsid w:val="00E219EB"/>
    <w:rsid w:val="00E22C13"/>
    <w:rsid w:val="00E23129"/>
    <w:rsid w:val="00E25045"/>
    <w:rsid w:val="00E2677C"/>
    <w:rsid w:val="00E26D83"/>
    <w:rsid w:val="00E271CD"/>
    <w:rsid w:val="00E278D0"/>
    <w:rsid w:val="00E27A1E"/>
    <w:rsid w:val="00E303B4"/>
    <w:rsid w:val="00E306E9"/>
    <w:rsid w:val="00E307DC"/>
    <w:rsid w:val="00E323CF"/>
    <w:rsid w:val="00E334B9"/>
    <w:rsid w:val="00E33905"/>
    <w:rsid w:val="00E342D1"/>
    <w:rsid w:val="00E34B96"/>
    <w:rsid w:val="00E35F7D"/>
    <w:rsid w:val="00E37502"/>
    <w:rsid w:val="00E40127"/>
    <w:rsid w:val="00E43074"/>
    <w:rsid w:val="00E431C8"/>
    <w:rsid w:val="00E44926"/>
    <w:rsid w:val="00E44E09"/>
    <w:rsid w:val="00E45D53"/>
    <w:rsid w:val="00E46514"/>
    <w:rsid w:val="00E46DBD"/>
    <w:rsid w:val="00E51708"/>
    <w:rsid w:val="00E51729"/>
    <w:rsid w:val="00E51D0A"/>
    <w:rsid w:val="00E53139"/>
    <w:rsid w:val="00E539F7"/>
    <w:rsid w:val="00E53A8F"/>
    <w:rsid w:val="00E5435E"/>
    <w:rsid w:val="00E55A81"/>
    <w:rsid w:val="00E56450"/>
    <w:rsid w:val="00E56DA8"/>
    <w:rsid w:val="00E60ACC"/>
    <w:rsid w:val="00E60C4B"/>
    <w:rsid w:val="00E60E21"/>
    <w:rsid w:val="00E6570E"/>
    <w:rsid w:val="00E66638"/>
    <w:rsid w:val="00E6706E"/>
    <w:rsid w:val="00E7211D"/>
    <w:rsid w:val="00E73D67"/>
    <w:rsid w:val="00E754C2"/>
    <w:rsid w:val="00E7567E"/>
    <w:rsid w:val="00E757CA"/>
    <w:rsid w:val="00E75D48"/>
    <w:rsid w:val="00E76750"/>
    <w:rsid w:val="00E773CD"/>
    <w:rsid w:val="00E774C9"/>
    <w:rsid w:val="00E77D0C"/>
    <w:rsid w:val="00E80964"/>
    <w:rsid w:val="00E8309D"/>
    <w:rsid w:val="00E83D43"/>
    <w:rsid w:val="00E84159"/>
    <w:rsid w:val="00E841A6"/>
    <w:rsid w:val="00E84BCB"/>
    <w:rsid w:val="00E85905"/>
    <w:rsid w:val="00E85D20"/>
    <w:rsid w:val="00E87C0D"/>
    <w:rsid w:val="00E90DC4"/>
    <w:rsid w:val="00E9163F"/>
    <w:rsid w:val="00E91CB7"/>
    <w:rsid w:val="00E955B0"/>
    <w:rsid w:val="00E956E8"/>
    <w:rsid w:val="00EA022D"/>
    <w:rsid w:val="00EA0D10"/>
    <w:rsid w:val="00EA0F2C"/>
    <w:rsid w:val="00EA19CB"/>
    <w:rsid w:val="00EA2C8F"/>
    <w:rsid w:val="00EA345E"/>
    <w:rsid w:val="00EA5045"/>
    <w:rsid w:val="00EA5D64"/>
    <w:rsid w:val="00EA613A"/>
    <w:rsid w:val="00EA6A8C"/>
    <w:rsid w:val="00EB2AD1"/>
    <w:rsid w:val="00EB2F9F"/>
    <w:rsid w:val="00EB3067"/>
    <w:rsid w:val="00EB353E"/>
    <w:rsid w:val="00EB3AA1"/>
    <w:rsid w:val="00EB56E0"/>
    <w:rsid w:val="00EB5DDF"/>
    <w:rsid w:val="00EB6390"/>
    <w:rsid w:val="00EB6E66"/>
    <w:rsid w:val="00EB7EFF"/>
    <w:rsid w:val="00EC0129"/>
    <w:rsid w:val="00EC3CEC"/>
    <w:rsid w:val="00EC4625"/>
    <w:rsid w:val="00ED139E"/>
    <w:rsid w:val="00ED1759"/>
    <w:rsid w:val="00ED27A5"/>
    <w:rsid w:val="00ED3ECB"/>
    <w:rsid w:val="00ED445D"/>
    <w:rsid w:val="00ED461C"/>
    <w:rsid w:val="00ED5E2B"/>
    <w:rsid w:val="00EE01C2"/>
    <w:rsid w:val="00EE15EA"/>
    <w:rsid w:val="00EE2583"/>
    <w:rsid w:val="00EE2FEA"/>
    <w:rsid w:val="00EE37A2"/>
    <w:rsid w:val="00EE3B12"/>
    <w:rsid w:val="00EE4B94"/>
    <w:rsid w:val="00EE5AF3"/>
    <w:rsid w:val="00EE5E91"/>
    <w:rsid w:val="00EE5F8C"/>
    <w:rsid w:val="00EE73BC"/>
    <w:rsid w:val="00EE7AC8"/>
    <w:rsid w:val="00EF00AA"/>
    <w:rsid w:val="00EF357E"/>
    <w:rsid w:val="00EF3996"/>
    <w:rsid w:val="00EF7481"/>
    <w:rsid w:val="00F0026A"/>
    <w:rsid w:val="00F01234"/>
    <w:rsid w:val="00F021E7"/>
    <w:rsid w:val="00F026C1"/>
    <w:rsid w:val="00F039D1"/>
    <w:rsid w:val="00F04969"/>
    <w:rsid w:val="00F04CF0"/>
    <w:rsid w:val="00F05BEC"/>
    <w:rsid w:val="00F05D0F"/>
    <w:rsid w:val="00F05DB4"/>
    <w:rsid w:val="00F13358"/>
    <w:rsid w:val="00F1385F"/>
    <w:rsid w:val="00F1456D"/>
    <w:rsid w:val="00F14DA0"/>
    <w:rsid w:val="00F15387"/>
    <w:rsid w:val="00F15D8B"/>
    <w:rsid w:val="00F15F46"/>
    <w:rsid w:val="00F17D58"/>
    <w:rsid w:val="00F228F5"/>
    <w:rsid w:val="00F23FD4"/>
    <w:rsid w:val="00F2411C"/>
    <w:rsid w:val="00F24143"/>
    <w:rsid w:val="00F2415D"/>
    <w:rsid w:val="00F241BE"/>
    <w:rsid w:val="00F24962"/>
    <w:rsid w:val="00F25038"/>
    <w:rsid w:val="00F263D9"/>
    <w:rsid w:val="00F2735C"/>
    <w:rsid w:val="00F3124A"/>
    <w:rsid w:val="00F31D41"/>
    <w:rsid w:val="00F34539"/>
    <w:rsid w:val="00F35005"/>
    <w:rsid w:val="00F359FB"/>
    <w:rsid w:val="00F364CB"/>
    <w:rsid w:val="00F36E13"/>
    <w:rsid w:val="00F37269"/>
    <w:rsid w:val="00F37601"/>
    <w:rsid w:val="00F376FA"/>
    <w:rsid w:val="00F4058E"/>
    <w:rsid w:val="00F4220F"/>
    <w:rsid w:val="00F423B8"/>
    <w:rsid w:val="00F43CA7"/>
    <w:rsid w:val="00F43F58"/>
    <w:rsid w:val="00F45507"/>
    <w:rsid w:val="00F46014"/>
    <w:rsid w:val="00F47670"/>
    <w:rsid w:val="00F50175"/>
    <w:rsid w:val="00F51371"/>
    <w:rsid w:val="00F51AF6"/>
    <w:rsid w:val="00F53958"/>
    <w:rsid w:val="00F551E9"/>
    <w:rsid w:val="00F55A95"/>
    <w:rsid w:val="00F55DE0"/>
    <w:rsid w:val="00F56113"/>
    <w:rsid w:val="00F5640F"/>
    <w:rsid w:val="00F56735"/>
    <w:rsid w:val="00F56B3A"/>
    <w:rsid w:val="00F60F94"/>
    <w:rsid w:val="00F61408"/>
    <w:rsid w:val="00F615F9"/>
    <w:rsid w:val="00F61682"/>
    <w:rsid w:val="00F62055"/>
    <w:rsid w:val="00F620BE"/>
    <w:rsid w:val="00F64DC5"/>
    <w:rsid w:val="00F70C9E"/>
    <w:rsid w:val="00F73938"/>
    <w:rsid w:val="00F73E87"/>
    <w:rsid w:val="00F74224"/>
    <w:rsid w:val="00F747A9"/>
    <w:rsid w:val="00F7574B"/>
    <w:rsid w:val="00F76696"/>
    <w:rsid w:val="00F77295"/>
    <w:rsid w:val="00F77A84"/>
    <w:rsid w:val="00F80438"/>
    <w:rsid w:val="00F85AC1"/>
    <w:rsid w:val="00F87905"/>
    <w:rsid w:val="00F90DF9"/>
    <w:rsid w:val="00F91A0D"/>
    <w:rsid w:val="00F9229E"/>
    <w:rsid w:val="00F92724"/>
    <w:rsid w:val="00F9297D"/>
    <w:rsid w:val="00F92A12"/>
    <w:rsid w:val="00F942E2"/>
    <w:rsid w:val="00F9523B"/>
    <w:rsid w:val="00F9546E"/>
    <w:rsid w:val="00F9560B"/>
    <w:rsid w:val="00F95755"/>
    <w:rsid w:val="00F96E67"/>
    <w:rsid w:val="00F96E92"/>
    <w:rsid w:val="00FA0700"/>
    <w:rsid w:val="00FA13CB"/>
    <w:rsid w:val="00FA2BE9"/>
    <w:rsid w:val="00FA31AE"/>
    <w:rsid w:val="00FA4FCD"/>
    <w:rsid w:val="00FA7534"/>
    <w:rsid w:val="00FB1DA4"/>
    <w:rsid w:val="00FB2973"/>
    <w:rsid w:val="00FB382E"/>
    <w:rsid w:val="00FB42CF"/>
    <w:rsid w:val="00FB511E"/>
    <w:rsid w:val="00FB7B5E"/>
    <w:rsid w:val="00FC07DD"/>
    <w:rsid w:val="00FC2B86"/>
    <w:rsid w:val="00FC450C"/>
    <w:rsid w:val="00FC48B5"/>
    <w:rsid w:val="00FC4A0E"/>
    <w:rsid w:val="00FC4CA2"/>
    <w:rsid w:val="00FC6FF3"/>
    <w:rsid w:val="00FC7629"/>
    <w:rsid w:val="00FC7B2A"/>
    <w:rsid w:val="00FD3D67"/>
    <w:rsid w:val="00FD4F56"/>
    <w:rsid w:val="00FD536A"/>
    <w:rsid w:val="00FD74FF"/>
    <w:rsid w:val="00FD7F59"/>
    <w:rsid w:val="00FE3CEC"/>
    <w:rsid w:val="00FE4145"/>
    <w:rsid w:val="00FE5F2D"/>
    <w:rsid w:val="00FE607C"/>
    <w:rsid w:val="00FE6A1F"/>
    <w:rsid w:val="00FE743E"/>
    <w:rsid w:val="00FF04FB"/>
    <w:rsid w:val="00FF0810"/>
    <w:rsid w:val="00FF11E6"/>
    <w:rsid w:val="00FF130C"/>
    <w:rsid w:val="00FF32F3"/>
    <w:rsid w:val="00FF5B0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colormru v:ext="edit" colors="#5a9a98,#ddcf56,#ad495d,#ab9c8f,#b5d3d2,#7e6d5f,#f26631,#54534a"/>
    </o:shapedefaults>
    <o:shapelayout v:ext="edit">
      <o:idmap v:ext="edit" data="1,3"/>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BFE"/>
    <w:rPr>
      <w:szCs w:val="24"/>
    </w:rPr>
  </w:style>
  <w:style w:type="paragraph" w:styleId="Heading1">
    <w:name w:val="heading 1"/>
    <w:basedOn w:val="Normal"/>
    <w:next w:val="BodyText"/>
    <w:link w:val="Heading1Char"/>
    <w:qFormat/>
    <w:rsid w:val="00C616BF"/>
    <w:pPr>
      <w:keepNext/>
      <w:spacing w:after="100" w:line="320" w:lineRule="atLeast"/>
      <w:jc w:val="both"/>
      <w:outlineLvl w:val="0"/>
    </w:pPr>
    <w:rPr>
      <w:rFonts w:ascii="Franklin Gothic Demi" w:hAnsi="Franklin Gothic Demi"/>
      <w:color w:val="AD495D"/>
      <w:kern w:val="28"/>
      <w:sz w:val="28"/>
      <w:szCs w:val="28"/>
    </w:rPr>
  </w:style>
  <w:style w:type="paragraph" w:styleId="Heading2">
    <w:name w:val="heading 2"/>
    <w:basedOn w:val="Heading3"/>
    <w:next w:val="BodyText"/>
    <w:link w:val="Heading2Char"/>
    <w:qFormat/>
    <w:rsid w:val="00C616BF"/>
    <w:pPr>
      <w:outlineLvl w:val="1"/>
    </w:pPr>
  </w:style>
  <w:style w:type="paragraph" w:styleId="Heading3">
    <w:name w:val="heading 3"/>
    <w:basedOn w:val="Normal"/>
    <w:next w:val="BodyText"/>
    <w:qFormat/>
    <w:rsid w:val="00C616BF"/>
    <w:pPr>
      <w:keepLines/>
      <w:spacing w:before="40" w:after="40" w:line="200" w:lineRule="atLeast"/>
      <w:jc w:val="both"/>
      <w:outlineLvl w:val="2"/>
    </w:pPr>
    <w:rPr>
      <w:rFonts w:ascii="Franklin Gothic Book" w:hAnsi="Franklin Gothic Book"/>
      <w:b/>
      <w:color w:val="943634"/>
      <w:sz w:val="26"/>
      <w:szCs w:val="26"/>
    </w:rPr>
  </w:style>
  <w:style w:type="paragraph" w:styleId="Heading4">
    <w:name w:val="heading 4"/>
    <w:basedOn w:val="BodyText"/>
    <w:next w:val="BodyText"/>
    <w:qFormat/>
    <w:rsid w:val="00222F3B"/>
    <w:pPr>
      <w:numPr>
        <w:ilvl w:val="3"/>
        <w:numId w:val="7"/>
      </w:numPr>
      <w:spacing w:before="320" w:after="0"/>
      <w:outlineLvl w:val="3"/>
    </w:pPr>
    <w:rPr>
      <w:b/>
      <w:color w:val="54534A"/>
      <w:sz w:val="22"/>
      <w:szCs w:val="22"/>
    </w:rPr>
  </w:style>
  <w:style w:type="paragraph" w:styleId="Heading5">
    <w:name w:val="heading 5"/>
    <w:basedOn w:val="BodyText"/>
    <w:next w:val="BodyText"/>
    <w:qFormat/>
    <w:rsid w:val="00B525EE"/>
    <w:pPr>
      <w:keepNext/>
      <w:numPr>
        <w:ilvl w:val="4"/>
        <w:numId w:val="7"/>
      </w:numPr>
      <w:spacing w:before="320" w:after="0"/>
      <w:outlineLvl w:val="4"/>
    </w:pPr>
    <w:rPr>
      <w:b/>
      <w:color w:val="54534A"/>
    </w:rPr>
  </w:style>
  <w:style w:type="paragraph" w:styleId="Heading6">
    <w:name w:val="heading 6"/>
    <w:basedOn w:val="Heading1"/>
    <w:next w:val="BodyText"/>
    <w:qFormat/>
    <w:rsid w:val="00B525EE"/>
    <w:pPr>
      <w:numPr>
        <w:ilvl w:val="5"/>
        <w:numId w:val="7"/>
      </w:numPr>
      <w:outlineLvl w:val="5"/>
    </w:pPr>
    <w:rPr>
      <w:bCs/>
    </w:rPr>
  </w:style>
  <w:style w:type="paragraph" w:styleId="Heading7">
    <w:name w:val="heading 7"/>
    <w:basedOn w:val="Heading2"/>
    <w:next w:val="BodyText"/>
    <w:qFormat/>
    <w:rsid w:val="00B525EE"/>
    <w:pPr>
      <w:numPr>
        <w:ilvl w:val="6"/>
        <w:numId w:val="7"/>
      </w:numPr>
      <w:outlineLvl w:val="6"/>
    </w:pPr>
    <w:rPr>
      <w:rFonts w:ascii="Franklin Gothic Demi" w:hAnsi="Franklin Gothic Demi"/>
      <w:sz w:val="28"/>
      <w:szCs w:val="28"/>
    </w:rPr>
  </w:style>
  <w:style w:type="paragraph" w:styleId="Heading8">
    <w:name w:val="heading 8"/>
    <w:basedOn w:val="Heading3"/>
    <w:next w:val="BodyText"/>
    <w:qFormat/>
    <w:rsid w:val="00B525EE"/>
    <w:pPr>
      <w:numPr>
        <w:ilvl w:val="7"/>
        <w:numId w:val="7"/>
      </w:numPr>
      <w:outlineLvl w:val="7"/>
    </w:pPr>
  </w:style>
  <w:style w:type="paragraph" w:styleId="Heading9">
    <w:name w:val="heading 9"/>
    <w:basedOn w:val="Heading4"/>
    <w:next w:val="BodyText"/>
    <w:qFormat/>
    <w:rsid w:val="00B525EE"/>
    <w:pPr>
      <w:numPr>
        <w:ilvl w:val="8"/>
      </w:numPr>
      <w:outlineLvl w:val="8"/>
    </w:pPr>
  </w:style>
  <w:style w:type="character" w:default="1" w:styleId="DefaultParagraphFont">
    <w:name w:val="Default Paragraph Font"/>
    <w:link w:val="Char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rsid w:val="0001356A"/>
    <w:pPr>
      <w:spacing w:before="80" w:after="80" w:line="280" w:lineRule="atLeast"/>
    </w:pPr>
    <w:rPr>
      <w:rFonts w:ascii="Georgia" w:hAnsi="Georgia"/>
      <w:sz w:val="19"/>
      <w:szCs w:val="19"/>
    </w:rPr>
  </w:style>
  <w:style w:type="character" w:customStyle="1" w:styleId="BodyTextChar">
    <w:name w:val="Body Text Char"/>
    <w:link w:val="BodyText"/>
    <w:rsid w:val="0001356A"/>
    <w:rPr>
      <w:rFonts w:ascii="Georgia" w:hAnsi="Georgia"/>
      <w:sz w:val="19"/>
      <w:szCs w:val="19"/>
      <w:lang w:val="en-AU" w:eastAsia="en-AU" w:bidi="ar-SA"/>
    </w:rPr>
  </w:style>
  <w:style w:type="character" w:customStyle="1" w:styleId="DraftingNote">
    <w:name w:val="Drafting Note"/>
    <w:semiHidden/>
    <w:rsid w:val="00F0026A"/>
    <w:rPr>
      <w:rFonts w:ascii="Georgia" w:hAnsi="Georgia"/>
      <w:b/>
      <w:color w:val="FF0000"/>
      <w:sz w:val="19"/>
      <w:szCs w:val="19"/>
      <w:u w:val="dotted"/>
    </w:rPr>
  </w:style>
  <w:style w:type="paragraph" w:customStyle="1" w:styleId="QuoteBullet">
    <w:name w:val="Quote Bullet"/>
    <w:basedOn w:val="Quote"/>
    <w:rsid w:val="008B14A2"/>
    <w:pPr>
      <w:numPr>
        <w:numId w:val="17"/>
      </w:numPr>
    </w:pPr>
  </w:style>
  <w:style w:type="paragraph" w:customStyle="1" w:styleId="Abbreviation">
    <w:name w:val="Abbreviation"/>
    <w:basedOn w:val="BodyText"/>
    <w:rsid w:val="00942B42"/>
    <w:pPr>
      <w:ind w:left="1418" w:hanging="1418"/>
    </w:pPr>
  </w:style>
  <w:style w:type="paragraph" w:customStyle="1" w:styleId="Ratingamber">
    <w:name w:val="Rating amber"/>
    <w:basedOn w:val="Normal"/>
    <w:semiHidden/>
    <w:rsid w:val="001C6E03"/>
    <w:pPr>
      <w:numPr>
        <w:numId w:val="10"/>
      </w:numPr>
      <w:spacing w:before="80" w:after="80" w:line="280" w:lineRule="atLeast"/>
    </w:pPr>
    <w:rPr>
      <w:rFonts w:ascii="Georgia" w:hAnsi="Georgia"/>
      <w:sz w:val="19"/>
      <w:szCs w:val="19"/>
    </w:rPr>
  </w:style>
  <w:style w:type="paragraph" w:styleId="ListBullet">
    <w:name w:val="List Bullet"/>
    <w:basedOn w:val="BodyText"/>
    <w:rsid w:val="002C5AF0"/>
    <w:pPr>
      <w:numPr>
        <w:numId w:val="15"/>
      </w:numPr>
    </w:pPr>
  </w:style>
  <w:style w:type="paragraph" w:styleId="ListBullet2">
    <w:name w:val="List Bullet 2"/>
    <w:basedOn w:val="ListBullet"/>
    <w:rsid w:val="00D42D78"/>
    <w:pPr>
      <w:numPr>
        <w:numId w:val="12"/>
      </w:numPr>
      <w:spacing w:before="0"/>
      <w:ind w:left="568" w:hanging="284"/>
    </w:pPr>
  </w:style>
  <w:style w:type="paragraph" w:styleId="ListNumber">
    <w:name w:val="List Number"/>
    <w:basedOn w:val="ListBullet"/>
    <w:rsid w:val="00D42D78"/>
    <w:pPr>
      <w:numPr>
        <w:numId w:val="13"/>
      </w:numPr>
    </w:pPr>
  </w:style>
  <w:style w:type="paragraph" w:styleId="ListNumber2">
    <w:name w:val="List Number 2"/>
    <w:basedOn w:val="ListNumber"/>
    <w:rsid w:val="00D42D78"/>
    <w:pPr>
      <w:numPr>
        <w:numId w:val="14"/>
      </w:numPr>
      <w:spacing w:before="0"/>
      <w:ind w:left="568" w:hanging="284"/>
    </w:pPr>
  </w:style>
  <w:style w:type="paragraph" w:styleId="Quote">
    <w:name w:val="Quote"/>
    <w:basedOn w:val="BodyText"/>
    <w:next w:val="BodyText"/>
    <w:qFormat/>
    <w:rsid w:val="00B84A71"/>
    <w:pPr>
      <w:spacing w:before="0" w:line="260" w:lineRule="atLeast"/>
      <w:ind w:left="284"/>
    </w:pPr>
    <w:rPr>
      <w:sz w:val="17"/>
      <w:szCs w:val="17"/>
    </w:rPr>
  </w:style>
  <w:style w:type="paragraph" w:customStyle="1" w:styleId="Ratinggreen">
    <w:name w:val="Rating green"/>
    <w:basedOn w:val="Ratingamber"/>
    <w:semiHidden/>
    <w:rsid w:val="001C6E03"/>
    <w:pPr>
      <w:numPr>
        <w:numId w:val="11"/>
      </w:numPr>
    </w:pPr>
  </w:style>
  <w:style w:type="paragraph" w:customStyle="1" w:styleId="Reference">
    <w:name w:val="Reference"/>
    <w:basedOn w:val="BodyText"/>
    <w:semiHidden/>
    <w:rsid w:val="00F0026A"/>
    <w:pPr>
      <w:keepLines/>
      <w:spacing w:before="60" w:after="60" w:line="260" w:lineRule="atLeast"/>
      <w:ind w:left="284" w:hanging="284"/>
    </w:pPr>
    <w:rPr>
      <w:sz w:val="17"/>
      <w:szCs w:val="17"/>
    </w:rPr>
  </w:style>
  <w:style w:type="paragraph" w:styleId="Title">
    <w:name w:val="Title"/>
    <w:basedOn w:val="Normal"/>
    <w:next w:val="Subtitle"/>
    <w:link w:val="TitleChar"/>
    <w:qFormat/>
    <w:rsid w:val="00C616BF"/>
    <w:pPr>
      <w:pageBreakBefore/>
      <w:spacing w:line="540" w:lineRule="atLeast"/>
      <w:ind w:right="-702"/>
    </w:pPr>
    <w:rPr>
      <w:rFonts w:ascii="Franklin Gothic Book" w:hAnsi="Franklin Gothic Book"/>
      <w:color w:val="FFFFFF"/>
      <w:spacing w:val="-10"/>
      <w:kern w:val="28"/>
      <w:sz w:val="46"/>
      <w:szCs w:val="46"/>
    </w:rPr>
  </w:style>
  <w:style w:type="paragraph" w:styleId="Subtitle">
    <w:name w:val="Subtitle"/>
    <w:basedOn w:val="Title"/>
    <w:next w:val="Date"/>
    <w:link w:val="SubtitleChar"/>
    <w:qFormat/>
    <w:rsid w:val="005B522F"/>
    <w:pPr>
      <w:pageBreakBefore w:val="0"/>
      <w:spacing w:before="120" w:line="380" w:lineRule="atLeast"/>
    </w:pPr>
    <w:rPr>
      <w:sz w:val="32"/>
      <w:szCs w:val="32"/>
    </w:rPr>
  </w:style>
  <w:style w:type="paragraph" w:customStyle="1" w:styleId="Contents">
    <w:name w:val="Contents"/>
    <w:basedOn w:val="Normal"/>
    <w:next w:val="BodyText"/>
    <w:semiHidden/>
    <w:rsid w:val="00DE7339"/>
    <w:pPr>
      <w:spacing w:before="460" w:after="100" w:line="320" w:lineRule="atLeast"/>
    </w:pPr>
    <w:rPr>
      <w:rFonts w:ascii="Franklin Gothic Demi" w:hAnsi="Franklin Gothic Demi"/>
      <w:color w:val="AD495D"/>
      <w:kern w:val="28"/>
      <w:sz w:val="28"/>
      <w:szCs w:val="28"/>
    </w:rPr>
  </w:style>
  <w:style w:type="paragraph" w:styleId="Date">
    <w:name w:val="Date"/>
    <w:basedOn w:val="Subtitle"/>
    <w:next w:val="Author"/>
    <w:link w:val="DateChar"/>
    <w:semiHidden/>
    <w:rsid w:val="00A53A6B"/>
    <w:pPr>
      <w:spacing w:after="1000"/>
    </w:pPr>
    <w:rPr>
      <w:sz w:val="24"/>
      <w:szCs w:val="24"/>
    </w:rPr>
  </w:style>
  <w:style w:type="paragraph" w:styleId="Footer">
    <w:name w:val="footer"/>
    <w:basedOn w:val="Normal"/>
    <w:link w:val="FooterChar"/>
    <w:uiPriority w:val="99"/>
    <w:rsid w:val="00F23FD4"/>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paragraph" w:styleId="Header">
    <w:name w:val="header"/>
    <w:basedOn w:val="Normal"/>
    <w:semiHidden/>
    <w:rsid w:val="0073548A"/>
    <w:pPr>
      <w:spacing w:line="180" w:lineRule="exact"/>
      <w:jc w:val="right"/>
    </w:pPr>
    <w:rPr>
      <w:rFonts w:ascii="Franklin Gothic Medium" w:hAnsi="Franklin Gothic Medium"/>
      <w:sz w:val="14"/>
      <w:szCs w:val="14"/>
    </w:rPr>
  </w:style>
  <w:style w:type="character" w:styleId="PageNumber">
    <w:name w:val="page number"/>
    <w:semiHidden/>
    <w:rsid w:val="007A2D4A"/>
    <w:rPr>
      <w:rFonts w:ascii="Franklin Gothic Medium" w:hAnsi="Franklin Gothic Medium"/>
      <w:color w:val="54534A"/>
      <w:sz w:val="14"/>
      <w:szCs w:val="14"/>
    </w:rPr>
  </w:style>
  <w:style w:type="paragraph" w:styleId="TOC1">
    <w:name w:val="toc 1"/>
    <w:basedOn w:val="BodyText"/>
    <w:next w:val="BodyText"/>
    <w:semiHidden/>
    <w:rsid w:val="00DE7339"/>
    <w:pPr>
      <w:tabs>
        <w:tab w:val="left" w:pos="397"/>
        <w:tab w:val="right" w:pos="7938"/>
      </w:tabs>
      <w:spacing w:before="180" w:after="0"/>
      <w:ind w:left="397" w:right="567" w:hanging="397"/>
    </w:pPr>
    <w:rPr>
      <w:rFonts w:ascii="Franklin Gothic Medium" w:hAnsi="Franklin Gothic Medium"/>
      <w:color w:val="54534A"/>
      <w:sz w:val="24"/>
      <w:szCs w:val="24"/>
    </w:rPr>
  </w:style>
  <w:style w:type="paragraph" w:styleId="TOC2">
    <w:name w:val="toc 2"/>
    <w:basedOn w:val="TOC1"/>
    <w:next w:val="TOC1"/>
    <w:semiHidden/>
    <w:rsid w:val="00DE7339"/>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F15D8B"/>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basedOn w:val="Normal"/>
    <w:next w:val="BodyText"/>
    <w:qFormat/>
    <w:rsid w:val="00227783"/>
    <w:pPr>
      <w:keepNext/>
      <w:spacing w:before="320" w:after="80" w:line="230" w:lineRule="exact"/>
    </w:pPr>
    <w:rPr>
      <w:rFonts w:ascii="Franklin Gothic Demi" w:hAnsi="Franklin Gothic Demi"/>
      <w:color w:val="7E6D5F"/>
      <w:sz w:val="19"/>
      <w:szCs w:val="19"/>
    </w:rPr>
  </w:style>
  <w:style w:type="paragraph" w:customStyle="1" w:styleId="BoxListBullet">
    <w:name w:val="Box List Bullet"/>
    <w:basedOn w:val="BoxText"/>
    <w:rsid w:val="006C6761"/>
    <w:pPr>
      <w:keepLines/>
      <w:numPr>
        <w:numId w:val="5"/>
      </w:numPr>
      <w:spacing w:before="0"/>
    </w:pPr>
    <w:rPr>
      <w:szCs w:val="20"/>
    </w:rPr>
  </w:style>
  <w:style w:type="character" w:customStyle="1" w:styleId="NoteLabel">
    <w:name w:val="Note Label"/>
    <w:rsid w:val="0073548A"/>
    <w:rPr>
      <w:rFonts w:ascii="Franklin Gothic Medium" w:hAnsi="Franklin Gothic Medium"/>
      <w:color w:val="auto"/>
      <w:position w:val="4"/>
      <w:sz w:val="14"/>
      <w:szCs w:val="14"/>
    </w:rPr>
  </w:style>
  <w:style w:type="paragraph" w:customStyle="1" w:styleId="Note">
    <w:name w:val="Note"/>
    <w:basedOn w:val="TableTextEntries"/>
    <w:next w:val="Source"/>
    <w:link w:val="NoteCharChar"/>
    <w:rsid w:val="008D75EB"/>
    <w:pPr>
      <w:spacing w:after="0" w:line="180" w:lineRule="atLeast"/>
    </w:pPr>
    <w:rPr>
      <w:sz w:val="14"/>
      <w:szCs w:val="14"/>
    </w:rPr>
  </w:style>
  <w:style w:type="paragraph" w:customStyle="1" w:styleId="TableTextEntries">
    <w:name w:val="Table Text Entries"/>
    <w:basedOn w:val="Normal"/>
    <w:rsid w:val="00F021E7"/>
    <w:pPr>
      <w:keepLines/>
      <w:spacing w:before="40" w:after="40" w:line="200" w:lineRule="atLeast"/>
    </w:pPr>
    <w:rPr>
      <w:rFonts w:ascii="Franklin Gothic Book" w:hAnsi="Franklin Gothic Book"/>
      <w:sz w:val="17"/>
      <w:szCs w:val="17"/>
      <w:lang w:eastAsia="en-US"/>
    </w:rPr>
  </w:style>
  <w:style w:type="paragraph" w:customStyle="1" w:styleId="Source">
    <w:name w:val="Source"/>
    <w:basedOn w:val="Note"/>
    <w:next w:val="BodyText"/>
    <w:rsid w:val="00ED5E2B"/>
    <w:pPr>
      <w:spacing w:after="240"/>
    </w:pPr>
  </w:style>
  <w:style w:type="paragraph" w:customStyle="1" w:styleId="BoxHeading1">
    <w:name w:val="Box Heading 1"/>
    <w:basedOn w:val="BoxText"/>
    <w:next w:val="BoxText"/>
    <w:rsid w:val="00FC7629"/>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2C23D1"/>
    <w:pPr>
      <w:spacing w:before="140"/>
    </w:pPr>
    <w:rPr>
      <w:rFonts w:ascii="Franklin Gothic Book" w:hAnsi="Franklin Gothic Book"/>
      <w:i/>
      <w:color w:val="auto"/>
    </w:rPr>
  </w:style>
  <w:style w:type="paragraph" w:customStyle="1" w:styleId="TableListBullet">
    <w:name w:val="Table List Bullet"/>
    <w:basedOn w:val="TableTextEntries"/>
    <w:uiPriority w:val="99"/>
    <w:rsid w:val="00FA0700"/>
    <w:pPr>
      <w:numPr>
        <w:numId w:val="8"/>
      </w:numPr>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semiHidden/>
    <w:rsid w:val="00F9523B"/>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B622E7"/>
    <w:pPr>
      <w:jc w:val="right"/>
    </w:pPr>
  </w:style>
  <w:style w:type="paragraph" w:customStyle="1" w:styleId="Recommendation">
    <w:name w:val="Recommendation"/>
    <w:basedOn w:val="BodyText"/>
    <w:next w:val="BodyText"/>
    <w:semiHidden/>
    <w:rsid w:val="00671255"/>
    <w:pPr>
      <w:tabs>
        <w:tab w:val="left" w:pos="284"/>
      </w:tabs>
      <w:ind w:left="284" w:hanging="284"/>
    </w:pPr>
    <w:rPr>
      <w:rFonts w:eastAsia="MS Mincho" w:cs="MS Mincho"/>
      <w:b/>
    </w:rPr>
  </w:style>
  <w:style w:type="paragraph" w:styleId="TOC6">
    <w:name w:val="toc 6"/>
    <w:basedOn w:val="BodyText"/>
    <w:next w:val="BodyText"/>
    <w:semiHidden/>
    <w:rsid w:val="00671255"/>
    <w:pPr>
      <w:tabs>
        <w:tab w:val="left" w:pos="284"/>
        <w:tab w:val="right" w:pos="8222"/>
      </w:tabs>
      <w:ind w:left="284" w:right="567" w:hanging="284"/>
    </w:pPr>
  </w:style>
  <w:style w:type="character" w:styleId="CommentReference">
    <w:name w:val="annotation reference"/>
    <w:semiHidden/>
    <w:rsid w:val="007A2D4A"/>
    <w:rPr>
      <w:rFonts w:ascii="Franklin Gothic Medium" w:hAnsi="Franklin Gothic Medium"/>
      <w:vanish/>
      <w:color w:val="FF00FF"/>
      <w:sz w:val="16"/>
      <w:szCs w:val="16"/>
    </w:rPr>
  </w:style>
  <w:style w:type="paragraph" w:styleId="CommentText">
    <w:name w:val="annotation text"/>
    <w:basedOn w:val="BodyText"/>
    <w:link w:val="CommentTextChar"/>
    <w:semiHidden/>
    <w:rsid w:val="008527C1"/>
    <w:pPr>
      <w:spacing w:line="240" w:lineRule="atLeast"/>
    </w:pPr>
    <w:rPr>
      <w:rFonts w:ascii="Calibri" w:hAnsi="Calibri"/>
      <w:sz w:val="18"/>
      <w:szCs w:val="18"/>
    </w:rPr>
  </w:style>
  <w:style w:type="character" w:styleId="FootnoteReference">
    <w:name w:val="footnote reference"/>
    <w:rsid w:val="00FB1DA4"/>
    <w:rPr>
      <w:rFonts w:ascii="Franklin Gothic Book" w:hAnsi="Franklin Gothic Book"/>
      <w:w w:val="100"/>
      <w:position w:val="6"/>
      <w:sz w:val="12"/>
      <w:szCs w:val="12"/>
      <w:vertAlign w:val="baseline"/>
    </w:rPr>
  </w:style>
  <w:style w:type="paragraph" w:styleId="FootnoteText">
    <w:name w:val="footnote text"/>
    <w:aliases w:val="single space,footnote text"/>
    <w:basedOn w:val="BodyText"/>
    <w:link w:val="FootnoteTextChar"/>
    <w:uiPriority w:val="99"/>
    <w:rsid w:val="00281D52"/>
    <w:pPr>
      <w:spacing w:before="0" w:after="0" w:line="180" w:lineRule="atLeast"/>
      <w:ind w:left="284" w:hanging="284"/>
    </w:pPr>
    <w:rPr>
      <w:rFonts w:ascii="Franklin Gothic Book" w:hAnsi="Franklin Gothic Book"/>
      <w:sz w:val="14"/>
      <w:szCs w:val="14"/>
    </w:rPr>
  </w:style>
  <w:style w:type="character" w:styleId="Hyperlink">
    <w:name w:val="Hyperlink"/>
    <w:semiHidden/>
    <w:rsid w:val="00254E43"/>
    <w:rPr>
      <w:color w:val="00467F"/>
      <w:sz w:val="20"/>
      <w:szCs w:val="20"/>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97190C"/>
    <w:pPr>
      <w:tabs>
        <w:tab w:val="left" w:pos="1418"/>
      </w:tabs>
      <w:ind w:left="1418" w:hanging="1418"/>
    </w:pPr>
  </w:style>
  <w:style w:type="paragraph" w:customStyle="1" w:styleId="Author">
    <w:name w:val="Author"/>
    <w:basedOn w:val="Date"/>
    <w:next w:val="Position"/>
    <w:link w:val="AuthorCharChar"/>
    <w:semiHidden/>
    <w:rsid w:val="0075426C"/>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75426C"/>
    <w:pPr>
      <w:spacing w:before="0"/>
    </w:pPr>
    <w:rPr>
      <w:rFonts w:ascii="Franklin Gothic Book" w:hAnsi="Franklin Gothic Book"/>
    </w:rPr>
  </w:style>
  <w:style w:type="paragraph" w:customStyle="1" w:styleId="CharChar0">
    <w:name w:val="Char Char"/>
    <w:basedOn w:val="BoxText"/>
    <w:semiHidden/>
    <w:rsid w:val="001E5458"/>
  </w:style>
  <w:style w:type="paragraph" w:customStyle="1" w:styleId="Client">
    <w:name w:val="Client"/>
    <w:basedOn w:val="Author"/>
    <w:semiHidden/>
    <w:rsid w:val="00AD1F3F"/>
  </w:style>
  <w:style w:type="paragraph" w:customStyle="1" w:styleId="TableDataEntries">
    <w:name w:val="Table Data Entries"/>
    <w:basedOn w:val="TableTextEntries"/>
    <w:uiPriority w:val="99"/>
    <w:rsid w:val="009B0288"/>
    <w:pPr>
      <w:jc w:val="right"/>
    </w:pPr>
  </w:style>
  <w:style w:type="paragraph" w:customStyle="1" w:styleId="TableDataColumnHeading">
    <w:name w:val="Table Data Column Heading"/>
    <w:basedOn w:val="TableDataEntries"/>
    <w:uiPriority w:val="99"/>
    <w:rsid w:val="008E6453"/>
    <w:pPr>
      <w:spacing w:before="80" w:after="80"/>
    </w:pPr>
    <w:rPr>
      <w:rFonts w:ascii="Franklin Gothic Medium" w:hAnsi="Franklin Gothic Medium"/>
    </w:rPr>
  </w:style>
  <w:style w:type="paragraph" w:customStyle="1" w:styleId="TableHeading1">
    <w:name w:val="Table Heading 1"/>
    <w:basedOn w:val="TableTextEntries"/>
    <w:next w:val="TableTextEntries"/>
    <w:rsid w:val="008E6453"/>
    <w:pPr>
      <w:spacing w:before="80" w:after="80"/>
    </w:pPr>
    <w:rPr>
      <w:rFonts w:ascii="Franklin Gothic Medium" w:hAnsi="Franklin Gothic Medium"/>
    </w:rPr>
  </w:style>
  <w:style w:type="paragraph" w:customStyle="1" w:styleId="TableHeading2">
    <w:name w:val="Table Heading 2"/>
    <w:basedOn w:val="TableHeading1"/>
    <w:next w:val="TableTextEntries"/>
    <w:rsid w:val="008E6453"/>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FA0700"/>
    <w:pPr>
      <w:numPr>
        <w:numId w:val="9"/>
      </w:numPr>
    </w:pPr>
  </w:style>
  <w:style w:type="paragraph" w:customStyle="1" w:styleId="TableListNumber">
    <w:name w:val="Table List Number"/>
    <w:basedOn w:val="TableTextEntries"/>
    <w:rsid w:val="008C0773"/>
    <w:pPr>
      <w:numPr>
        <w:numId w:val="1"/>
      </w:numPr>
    </w:pPr>
  </w:style>
  <w:style w:type="paragraph" w:customStyle="1" w:styleId="TableListNumber2">
    <w:name w:val="Table List Number 2"/>
    <w:basedOn w:val="TableListNumber"/>
    <w:rsid w:val="00396E51"/>
    <w:pPr>
      <w:numPr>
        <w:numId w:val="2"/>
      </w:numPr>
    </w:pPr>
  </w:style>
  <w:style w:type="paragraph" w:customStyle="1" w:styleId="TableTextColumnHeading">
    <w:name w:val="Table Text Column Heading"/>
    <w:basedOn w:val="TableDataColumnHeading"/>
    <w:rsid w:val="008E6453"/>
    <w:pPr>
      <w:jc w:val="left"/>
    </w:pPr>
  </w:style>
  <w:style w:type="paragraph" w:customStyle="1" w:styleId="TableUnit">
    <w:name w:val="Table Unit"/>
    <w:basedOn w:val="TableDataColumnHeading"/>
    <w:next w:val="TableDataEntries"/>
    <w:semiHidden/>
    <w:rsid w:val="008E6453"/>
    <w:pPr>
      <w:keepNext/>
    </w:pPr>
    <w:rPr>
      <w:rFonts w:ascii="Franklin Gothic Book" w:hAnsi="Franklin Gothic Book"/>
    </w:rPr>
  </w:style>
  <w:style w:type="paragraph" w:customStyle="1" w:styleId="NoteNumber">
    <w:name w:val="Note Number"/>
    <w:basedOn w:val="TableTextEntries"/>
    <w:link w:val="NoteNumberCharChar"/>
    <w:rsid w:val="00EE7AC8"/>
    <w:pPr>
      <w:numPr>
        <w:numId w:val="16"/>
      </w:numPr>
      <w:spacing w:after="0" w:line="180" w:lineRule="atLeast"/>
    </w:pPr>
    <w:rPr>
      <w:sz w:val="14"/>
      <w:szCs w:val="14"/>
    </w:rPr>
  </w:style>
  <w:style w:type="character" w:styleId="FollowedHyperlink">
    <w:name w:val="FollowedHyperlink"/>
    <w:semiHidden/>
    <w:rsid w:val="00085585"/>
    <w:rPr>
      <w:color w:val="333399"/>
      <w:u w:val="none"/>
    </w:rPr>
  </w:style>
  <w:style w:type="paragraph" w:customStyle="1" w:styleId="Blurb">
    <w:name w:val="Blurb"/>
    <w:basedOn w:val="Caption"/>
    <w:semiHidden/>
    <w:rsid w:val="0075426C"/>
    <w:pPr>
      <w:spacing w:before="180" w:after="0" w:line="280" w:lineRule="atLeast"/>
    </w:pPr>
    <w:rPr>
      <w:color w:val="FFFFFF"/>
    </w:rPr>
  </w:style>
  <w:style w:type="paragraph" w:customStyle="1" w:styleId="Figure">
    <w:name w:val="Figure"/>
    <w:basedOn w:val="BodyText"/>
    <w:next w:val="BodyText"/>
    <w:semiHidden/>
    <w:rsid w:val="00EA0F2C"/>
    <w:pPr>
      <w:spacing w:before="0" w:line="200" w:lineRule="atLeast"/>
    </w:pPr>
    <w:rPr>
      <w:sz w:val="18"/>
      <w:szCs w:val="18"/>
    </w:rPr>
  </w:style>
  <w:style w:type="paragraph" w:customStyle="1" w:styleId="BoxListBullet2">
    <w:name w:val="Box List Bullet 2"/>
    <w:basedOn w:val="BoxListBullet"/>
    <w:uiPriority w:val="99"/>
    <w:rsid w:val="006C6761"/>
    <w:pPr>
      <w:numPr>
        <w:numId w:val="4"/>
      </w:numPr>
    </w:pPr>
    <w:rPr>
      <w:szCs w:val="18"/>
    </w:rPr>
  </w:style>
  <w:style w:type="paragraph" w:customStyle="1" w:styleId="BoxText">
    <w:name w:val="Box Text"/>
    <w:basedOn w:val="Normal"/>
    <w:link w:val="BoxTextChar"/>
    <w:rsid w:val="009A28D5"/>
    <w:pPr>
      <w:spacing w:before="60" w:after="60" w:line="260" w:lineRule="atLeast"/>
    </w:pPr>
    <w:rPr>
      <w:rFonts w:ascii="Franklin Gothic Book" w:hAnsi="Franklin Gothic Book"/>
      <w:sz w:val="18"/>
      <w:szCs w:val="18"/>
    </w:rPr>
  </w:style>
  <w:style w:type="paragraph" w:customStyle="1" w:styleId="BoxListNumber">
    <w:name w:val="Box List Number"/>
    <w:basedOn w:val="BoxText"/>
    <w:rsid w:val="00165C4D"/>
    <w:pPr>
      <w:numPr>
        <w:numId w:val="6"/>
      </w:numPr>
      <w:spacing w:before="0"/>
    </w:pPr>
  </w:style>
  <w:style w:type="paragraph" w:customStyle="1" w:styleId="BoxListNumber2">
    <w:name w:val="Box List Number 2"/>
    <w:basedOn w:val="BoxListNumber"/>
    <w:rsid w:val="006C6761"/>
    <w:pPr>
      <w:numPr>
        <w:numId w:val="3"/>
      </w:numPr>
    </w:pPr>
  </w:style>
  <w:style w:type="paragraph" w:customStyle="1" w:styleId="BoxNoteSource">
    <w:name w:val="Box Note/Source"/>
    <w:basedOn w:val="BoxText"/>
    <w:rsid w:val="006C6761"/>
    <w:pPr>
      <w:spacing w:before="100" w:after="100" w:line="180" w:lineRule="atLeast"/>
    </w:pPr>
    <w:rPr>
      <w:sz w:val="14"/>
      <w:szCs w:val="14"/>
    </w:rPr>
  </w:style>
  <w:style w:type="paragraph" w:customStyle="1" w:styleId="BoxQuote">
    <w:name w:val="Box Quote"/>
    <w:basedOn w:val="BoxText"/>
    <w:next w:val="BoxText"/>
    <w:uiPriority w:val="99"/>
    <w:rsid w:val="00A60B48"/>
    <w:pPr>
      <w:spacing w:before="0" w:line="240" w:lineRule="atLeast"/>
      <w:ind w:left="284"/>
    </w:pPr>
    <w:rPr>
      <w:sz w:val="16"/>
      <w:szCs w:val="16"/>
    </w:rPr>
  </w:style>
  <w:style w:type="character" w:customStyle="1" w:styleId="TableListBullet2CharChar">
    <w:name w:val="Table List Bullet 2 Char Char"/>
    <w:link w:val="TableListBullet2"/>
    <w:rsid w:val="00C05EB3"/>
    <w:rPr>
      <w:rFonts w:ascii="Franklin Gothic Book" w:hAnsi="Franklin Gothic Book"/>
      <w:sz w:val="17"/>
      <w:szCs w:val="17"/>
      <w:lang w:eastAsia="en-US"/>
    </w:rPr>
  </w:style>
  <w:style w:type="character" w:customStyle="1" w:styleId="NoteCharChar">
    <w:name w:val="Note Char Char"/>
    <w:link w:val="Note"/>
    <w:rsid w:val="008D75EB"/>
    <w:rPr>
      <w:rFonts w:ascii="Franklin Gothic Book" w:hAnsi="Franklin Gothic Book"/>
      <w:sz w:val="14"/>
      <w:szCs w:val="14"/>
      <w:lang w:val="en-AU" w:eastAsia="en-US" w:bidi="ar-SA"/>
    </w:rPr>
  </w:style>
  <w:style w:type="character" w:customStyle="1" w:styleId="NoteNumberCharChar">
    <w:name w:val="Note Number Char Char"/>
    <w:link w:val="NoteNumber"/>
    <w:rsid w:val="00EE7AC8"/>
    <w:rPr>
      <w:rFonts w:ascii="Franklin Gothic Book" w:hAnsi="Franklin Gothic Book"/>
      <w:sz w:val="14"/>
      <w:szCs w:val="14"/>
      <w:lang w:eastAsia="en-US"/>
    </w:rPr>
  </w:style>
  <w:style w:type="character" w:customStyle="1" w:styleId="TitleChar">
    <w:name w:val="Title Char"/>
    <w:link w:val="Title"/>
    <w:rsid w:val="00C616BF"/>
    <w:rPr>
      <w:rFonts w:ascii="Franklin Gothic Book" w:hAnsi="Franklin Gothic Book"/>
      <w:color w:val="FFFFFF"/>
      <w:spacing w:val="-10"/>
      <w:kern w:val="28"/>
      <w:sz w:val="46"/>
      <w:szCs w:val="46"/>
    </w:rPr>
  </w:style>
  <w:style w:type="character" w:customStyle="1" w:styleId="SubtitleChar">
    <w:name w:val="Subtitle Char"/>
    <w:link w:val="Subtitle"/>
    <w:rsid w:val="005B522F"/>
    <w:rPr>
      <w:rFonts w:ascii="Franklin Gothic Book" w:hAnsi="Franklin Gothic Book"/>
      <w:color w:val="FFFFFF"/>
      <w:spacing w:val="-10"/>
      <w:kern w:val="28"/>
      <w:sz w:val="32"/>
      <w:szCs w:val="32"/>
      <w:lang w:val="en-AU" w:eastAsia="en-AU" w:bidi="ar-SA"/>
    </w:rPr>
  </w:style>
  <w:style w:type="character" w:customStyle="1" w:styleId="DateChar">
    <w:name w:val="Date Char"/>
    <w:link w:val="Date"/>
    <w:rsid w:val="00A53A6B"/>
    <w:rPr>
      <w:rFonts w:ascii="Franklin Gothic Book" w:hAnsi="Franklin Gothic Book"/>
      <w:color w:val="FFFFFF"/>
      <w:spacing w:val="-10"/>
      <w:kern w:val="28"/>
      <w:sz w:val="24"/>
      <w:szCs w:val="24"/>
      <w:lang w:val="en-AU" w:eastAsia="en-AU" w:bidi="ar-SA"/>
    </w:rPr>
  </w:style>
  <w:style w:type="character" w:customStyle="1" w:styleId="AuthorCharChar">
    <w:name w:val="Author Char Char"/>
    <w:link w:val="Author"/>
    <w:rsid w:val="0075426C"/>
    <w:rPr>
      <w:rFonts w:ascii="Franklin Gothic Medium" w:hAnsi="Franklin Gothic Medium"/>
      <w:color w:val="FFFFFF"/>
      <w:spacing w:val="-2"/>
      <w:kern w:val="28"/>
      <w:sz w:val="24"/>
      <w:szCs w:val="24"/>
      <w:lang w:val="en-AU" w:eastAsia="en-AU" w:bidi="ar-SA"/>
    </w:rPr>
  </w:style>
  <w:style w:type="character" w:customStyle="1" w:styleId="PositionCharChar">
    <w:name w:val="Position Char Char"/>
    <w:link w:val="Position"/>
    <w:rsid w:val="0075426C"/>
    <w:rPr>
      <w:rFonts w:ascii="Franklin Gothic Book" w:hAnsi="Franklin Gothic Book"/>
      <w:color w:val="FFFFFF"/>
      <w:spacing w:val="-2"/>
      <w:kern w:val="28"/>
      <w:sz w:val="24"/>
      <w:szCs w:val="24"/>
      <w:lang w:val="en-AU" w:eastAsia="en-AU" w:bidi="ar-SA"/>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semiHidden/>
    <w:rsid w:val="00187D56"/>
    <w:pPr>
      <w:spacing w:before="140" w:after="240" w:line="180" w:lineRule="exact"/>
    </w:pPr>
    <w:rPr>
      <w:rFonts w:ascii="Franklin Gothic Medium" w:hAnsi="Franklin Gothic Medium"/>
      <w:color w:val="54534A"/>
      <w:sz w:val="14"/>
      <w:szCs w:val="14"/>
    </w:rPr>
  </w:style>
  <w:style w:type="paragraph" w:customStyle="1" w:styleId="CharChar">
    <w:name w:val=" Char Char"/>
    <w:basedOn w:val="Normal"/>
    <w:link w:val="DefaultParagraphFont"/>
    <w:semiHidden/>
    <w:rsid w:val="00953A8D"/>
    <w:pPr>
      <w:spacing w:before="180" w:line="280" w:lineRule="atLeast"/>
    </w:pPr>
    <w:rPr>
      <w:rFonts w:ascii="Arial" w:hAnsi="Arial"/>
      <w:sz w:val="22"/>
      <w:szCs w:val="20"/>
      <w:lang w:eastAsia="en-US"/>
    </w:rPr>
  </w:style>
  <w:style w:type="table" w:styleId="TableGrid">
    <w:name w:val="Table Grid"/>
    <w:basedOn w:val="TableNormal"/>
    <w:uiPriority w:val="59"/>
    <w:rsid w:val="005C4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1C6E03"/>
  </w:style>
  <w:style w:type="paragraph" w:customStyle="1" w:styleId="Ratingbullet">
    <w:name w:val="Rating bullet"/>
    <w:basedOn w:val="TableTextEntries"/>
    <w:semiHidden/>
    <w:rsid w:val="001C6E03"/>
    <w:pPr>
      <w:jc w:val="center"/>
    </w:pPr>
    <w:rPr>
      <w:sz w:val="22"/>
      <w:szCs w:val="22"/>
    </w:rPr>
  </w:style>
  <w:style w:type="paragraph" w:styleId="CommentSubject">
    <w:name w:val="annotation subject"/>
    <w:basedOn w:val="CommentText"/>
    <w:next w:val="CommentText"/>
    <w:semiHidden/>
    <w:rsid w:val="00911B9C"/>
    <w:pPr>
      <w:spacing w:before="0" w:after="0" w:line="240" w:lineRule="auto"/>
    </w:pPr>
    <w:rPr>
      <w:rFonts w:ascii="Times New Roman" w:hAnsi="Times New Roman"/>
      <w:b/>
      <w:bCs/>
      <w:sz w:val="20"/>
      <w:szCs w:val="20"/>
    </w:rPr>
  </w:style>
  <w:style w:type="paragraph" w:styleId="BalloonText">
    <w:name w:val="Balloon Text"/>
    <w:basedOn w:val="Normal"/>
    <w:semiHidden/>
    <w:rsid w:val="00911B9C"/>
    <w:rPr>
      <w:rFonts w:ascii="Tahoma" w:hAnsi="Tahoma" w:cs="Tahoma"/>
      <w:sz w:val="16"/>
      <w:szCs w:val="16"/>
    </w:rPr>
  </w:style>
  <w:style w:type="paragraph" w:customStyle="1" w:styleId="Rating">
    <w:name w:val="Rating"/>
    <w:basedOn w:val="BodyText"/>
    <w:next w:val="BodyText"/>
    <w:semiHidden/>
    <w:rsid w:val="00230BD1"/>
    <w:pPr>
      <w:tabs>
        <w:tab w:val="left" w:pos="567"/>
      </w:tabs>
    </w:pPr>
  </w:style>
  <w:style w:type="paragraph" w:customStyle="1" w:styleId="GuidanceText">
    <w:name w:val="Guidance Text"/>
    <w:basedOn w:val="BodyText"/>
    <w:rsid w:val="001B11EB"/>
    <w:pPr>
      <w:spacing w:before="60" w:after="60" w:line="240" w:lineRule="atLeast"/>
    </w:pPr>
    <w:rPr>
      <w:rFonts w:ascii="Calibri" w:hAnsi="Calibri"/>
      <w:color w:val="0000FF"/>
      <w:sz w:val="20"/>
      <w:szCs w:val="20"/>
    </w:rPr>
  </w:style>
  <w:style w:type="character" w:customStyle="1" w:styleId="CharChar4">
    <w:name w:val=" Char Char4"/>
    <w:rsid w:val="0035177E"/>
    <w:rPr>
      <w:rFonts w:ascii="Georgia" w:hAnsi="Georgia"/>
      <w:sz w:val="19"/>
      <w:szCs w:val="19"/>
      <w:lang w:val="en-AU" w:eastAsia="en-AU" w:bidi="ar-SA"/>
    </w:rPr>
  </w:style>
  <w:style w:type="character" w:customStyle="1" w:styleId="BoxTextChar">
    <w:name w:val="Box Text Char"/>
    <w:link w:val="BoxText"/>
    <w:rsid w:val="00CA6414"/>
    <w:rPr>
      <w:rFonts w:ascii="Franklin Gothic Book" w:hAnsi="Franklin Gothic Book"/>
      <w:sz w:val="18"/>
      <w:szCs w:val="18"/>
      <w:lang w:val="en-AU" w:eastAsia="en-AU" w:bidi="ar-SA"/>
    </w:rPr>
  </w:style>
  <w:style w:type="character" w:customStyle="1" w:styleId="Heading1Char">
    <w:name w:val="Heading 1 Char"/>
    <w:link w:val="Heading1"/>
    <w:rsid w:val="00C616BF"/>
    <w:rPr>
      <w:rFonts w:ascii="Franklin Gothic Demi" w:hAnsi="Franklin Gothic Demi"/>
      <w:color w:val="AD495D"/>
      <w:kern w:val="28"/>
      <w:sz w:val="28"/>
      <w:szCs w:val="28"/>
    </w:rPr>
  </w:style>
  <w:style w:type="character" w:customStyle="1" w:styleId="Heading2Char">
    <w:name w:val="Heading 2 Char"/>
    <w:link w:val="Heading2"/>
    <w:rsid w:val="00C616BF"/>
    <w:rPr>
      <w:rFonts w:ascii="Franklin Gothic Book" w:hAnsi="Franklin Gothic Book"/>
      <w:b/>
      <w:color w:val="943634"/>
      <w:sz w:val="26"/>
      <w:szCs w:val="26"/>
    </w:rPr>
  </w:style>
  <w:style w:type="character" w:customStyle="1" w:styleId="CharChar1">
    <w:name w:val="Char Char1"/>
    <w:locked/>
    <w:rsid w:val="00F263D9"/>
    <w:rPr>
      <w:rFonts w:ascii="Georgia" w:hAnsi="Georgia"/>
      <w:sz w:val="19"/>
      <w:szCs w:val="19"/>
      <w:lang w:val="en-AU" w:eastAsia="en-AU" w:bidi="ar-SA"/>
    </w:rPr>
  </w:style>
  <w:style w:type="character" w:customStyle="1" w:styleId="CharChar40">
    <w:name w:val="Char Char4"/>
    <w:locked/>
    <w:rsid w:val="00F263D9"/>
    <w:rPr>
      <w:rFonts w:ascii="Georgia" w:hAnsi="Georgia"/>
      <w:sz w:val="19"/>
      <w:szCs w:val="19"/>
      <w:lang w:val="en-AU" w:eastAsia="en-AU" w:bidi="ar-SA"/>
    </w:rPr>
  </w:style>
  <w:style w:type="paragraph" w:styleId="ListParagraph">
    <w:name w:val="List Paragraph"/>
    <w:basedOn w:val="Normal"/>
    <w:uiPriority w:val="34"/>
    <w:qFormat/>
    <w:rsid w:val="002C012E"/>
    <w:pPr>
      <w:ind w:left="720"/>
    </w:pPr>
    <w:rPr>
      <w:rFonts w:ascii="Calibri" w:eastAsia="Calibri" w:hAnsi="Calibri" w:cs="Calibri"/>
      <w:sz w:val="22"/>
      <w:szCs w:val="22"/>
      <w:lang w:eastAsia="en-US"/>
    </w:rPr>
  </w:style>
  <w:style w:type="paragraph" w:customStyle="1" w:styleId="List-bullet-1">
    <w:name w:val="List-bullet-1"/>
    <w:basedOn w:val="Normal"/>
    <w:link w:val="List-bullet-1Char"/>
    <w:rsid w:val="009E3EF0"/>
    <w:pPr>
      <w:spacing w:before="120"/>
    </w:pPr>
    <w:rPr>
      <w:rFonts w:ascii="Arial" w:hAnsi="Arial" w:cs="Arial"/>
      <w:szCs w:val="22"/>
      <w:lang w:eastAsia="en-US"/>
    </w:rPr>
  </w:style>
  <w:style w:type="character" w:customStyle="1" w:styleId="List-bullet-1Char">
    <w:name w:val="List-bullet-1 Char"/>
    <w:link w:val="List-bullet-1"/>
    <w:rsid w:val="009E3EF0"/>
    <w:rPr>
      <w:rFonts w:ascii="Arial" w:hAnsi="Arial" w:cs="Arial"/>
      <w:szCs w:val="22"/>
      <w:lang w:eastAsia="en-US"/>
    </w:rPr>
  </w:style>
  <w:style w:type="character" w:customStyle="1" w:styleId="BodyTextChar1">
    <w:name w:val="Body Text Char1"/>
    <w:locked/>
    <w:rsid w:val="00F2415D"/>
    <w:rPr>
      <w:rFonts w:ascii="Georgia" w:hAnsi="Georgia" w:cs="Times New Roman"/>
      <w:sz w:val="19"/>
      <w:szCs w:val="19"/>
      <w:lang w:val="en-AU" w:eastAsia="en-AU" w:bidi="ar-SA"/>
    </w:rPr>
  </w:style>
  <w:style w:type="paragraph" w:customStyle="1" w:styleId="DotDashColonSeries">
    <w:name w:val="Dot Dash Colon Series"/>
    <w:basedOn w:val="Normal"/>
    <w:rsid w:val="00F1385F"/>
    <w:pPr>
      <w:widowControl w:val="0"/>
      <w:tabs>
        <w:tab w:val="left" w:pos="565"/>
      </w:tabs>
      <w:autoSpaceDE w:val="0"/>
      <w:autoSpaceDN w:val="0"/>
      <w:adjustRightInd w:val="0"/>
      <w:spacing w:after="226"/>
      <w:ind w:left="565" w:hanging="565"/>
    </w:pPr>
    <w:rPr>
      <w:rFonts w:ascii="Times" w:eastAsia="SimSun" w:hAnsi="Times" w:cs="Times"/>
      <w:noProof/>
      <w:color w:val="000000"/>
      <w:sz w:val="24"/>
      <w:lang w:eastAsia="zh-CN"/>
    </w:rPr>
  </w:style>
  <w:style w:type="paragraph" w:customStyle="1" w:styleId="Default">
    <w:name w:val="Default"/>
    <w:rsid w:val="00F1385F"/>
    <w:pPr>
      <w:autoSpaceDE w:val="0"/>
      <w:autoSpaceDN w:val="0"/>
      <w:adjustRightInd w:val="0"/>
    </w:pPr>
    <w:rPr>
      <w:rFonts w:ascii="Calibri" w:hAnsi="Calibri" w:cs="Calibri"/>
      <w:color w:val="000000"/>
      <w:sz w:val="24"/>
      <w:szCs w:val="24"/>
    </w:rPr>
  </w:style>
  <w:style w:type="character" w:styleId="Strong">
    <w:name w:val="Strong"/>
    <w:qFormat/>
    <w:rsid w:val="00BA788B"/>
    <w:rPr>
      <w:b/>
      <w:bCs/>
    </w:rPr>
  </w:style>
  <w:style w:type="paragraph" w:styleId="NormalWeb">
    <w:name w:val="Normal (Web)"/>
    <w:basedOn w:val="Normal"/>
    <w:uiPriority w:val="99"/>
    <w:unhideWhenUsed/>
    <w:rsid w:val="00E539F7"/>
    <w:rPr>
      <w:sz w:val="24"/>
    </w:rPr>
  </w:style>
  <w:style w:type="character" w:customStyle="1" w:styleId="FootnoteTextChar">
    <w:name w:val="Footnote Text Char"/>
    <w:aliases w:val="single space Char1,footnote text Char"/>
    <w:link w:val="FootnoteText"/>
    <w:uiPriority w:val="99"/>
    <w:rsid w:val="00CE342B"/>
    <w:rPr>
      <w:rFonts w:ascii="Franklin Gothic Book" w:hAnsi="Franklin Gothic Book"/>
      <w:sz w:val="14"/>
      <w:szCs w:val="14"/>
    </w:rPr>
  </w:style>
  <w:style w:type="paragraph" w:customStyle="1" w:styleId="Bullet">
    <w:name w:val="Bullet"/>
    <w:basedOn w:val="Normal"/>
    <w:uiPriority w:val="99"/>
    <w:rsid w:val="00CE342B"/>
    <w:pPr>
      <w:numPr>
        <w:numId w:val="28"/>
      </w:numPr>
      <w:spacing w:after="240" w:line="320" w:lineRule="exact"/>
    </w:pPr>
    <w:rPr>
      <w:rFonts w:ascii="Palatino" w:hAnsi="Palatino"/>
      <w:color w:val="000000"/>
      <w:sz w:val="22"/>
      <w:szCs w:val="22"/>
    </w:rPr>
  </w:style>
  <w:style w:type="paragraph" w:customStyle="1" w:styleId="Dash">
    <w:name w:val="Dash"/>
    <w:basedOn w:val="Normal"/>
    <w:uiPriority w:val="99"/>
    <w:rsid w:val="00CE342B"/>
    <w:pPr>
      <w:numPr>
        <w:ilvl w:val="1"/>
        <w:numId w:val="28"/>
      </w:numPr>
      <w:spacing w:after="240" w:line="320" w:lineRule="exact"/>
    </w:pPr>
    <w:rPr>
      <w:rFonts w:ascii="Palatino" w:hAnsi="Palatino"/>
      <w:color w:val="000000"/>
      <w:sz w:val="22"/>
      <w:szCs w:val="22"/>
    </w:rPr>
  </w:style>
  <w:style w:type="paragraph" w:customStyle="1" w:styleId="DoubleDot">
    <w:name w:val="Double Dot"/>
    <w:basedOn w:val="Normal"/>
    <w:uiPriority w:val="99"/>
    <w:rsid w:val="00CE342B"/>
    <w:pPr>
      <w:numPr>
        <w:ilvl w:val="2"/>
        <w:numId w:val="28"/>
      </w:numPr>
      <w:spacing w:after="240" w:line="320" w:lineRule="exact"/>
    </w:pPr>
    <w:rPr>
      <w:rFonts w:ascii="Palatino" w:hAnsi="Palatino"/>
      <w:color w:val="000000"/>
      <w:sz w:val="22"/>
      <w:szCs w:val="22"/>
    </w:rPr>
  </w:style>
  <w:style w:type="character" w:customStyle="1" w:styleId="FooterChar">
    <w:name w:val="Footer Char"/>
    <w:link w:val="Footer"/>
    <w:uiPriority w:val="99"/>
    <w:rsid w:val="006D5657"/>
    <w:rPr>
      <w:rFonts w:ascii="Franklin Gothic Medium" w:hAnsi="Franklin Gothic Medium"/>
      <w:color w:val="5A9A98"/>
      <w:sz w:val="14"/>
      <w:szCs w:val="14"/>
    </w:rPr>
  </w:style>
  <w:style w:type="character" w:customStyle="1" w:styleId="CommentTextChar">
    <w:name w:val="Comment Text Char"/>
    <w:link w:val="CommentText"/>
    <w:semiHidden/>
    <w:rsid w:val="003273E0"/>
    <w:rPr>
      <w:rFonts w:ascii="Calibri" w:hAnsi="Calibri"/>
      <w:sz w:val="18"/>
      <w:szCs w:val="18"/>
    </w:rPr>
  </w:style>
  <w:style w:type="paragraph" w:styleId="Revision">
    <w:name w:val="Revision"/>
    <w:hidden/>
    <w:uiPriority w:val="99"/>
    <w:semiHidden/>
    <w:rsid w:val="00656DEF"/>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6BFE"/>
    <w:rPr>
      <w:szCs w:val="24"/>
    </w:rPr>
  </w:style>
  <w:style w:type="paragraph" w:styleId="Heading1">
    <w:name w:val="heading 1"/>
    <w:basedOn w:val="Normal"/>
    <w:next w:val="BodyText"/>
    <w:link w:val="Heading1Char"/>
    <w:qFormat/>
    <w:rsid w:val="00C616BF"/>
    <w:pPr>
      <w:keepNext/>
      <w:spacing w:after="100" w:line="320" w:lineRule="atLeast"/>
      <w:jc w:val="both"/>
      <w:outlineLvl w:val="0"/>
    </w:pPr>
    <w:rPr>
      <w:rFonts w:ascii="Franklin Gothic Demi" w:hAnsi="Franklin Gothic Demi"/>
      <w:color w:val="AD495D"/>
      <w:kern w:val="28"/>
      <w:sz w:val="28"/>
      <w:szCs w:val="28"/>
    </w:rPr>
  </w:style>
  <w:style w:type="paragraph" w:styleId="Heading2">
    <w:name w:val="heading 2"/>
    <w:basedOn w:val="Heading3"/>
    <w:next w:val="BodyText"/>
    <w:link w:val="Heading2Char"/>
    <w:qFormat/>
    <w:rsid w:val="00C616BF"/>
    <w:pPr>
      <w:outlineLvl w:val="1"/>
    </w:pPr>
  </w:style>
  <w:style w:type="paragraph" w:styleId="Heading3">
    <w:name w:val="heading 3"/>
    <w:basedOn w:val="Normal"/>
    <w:next w:val="BodyText"/>
    <w:qFormat/>
    <w:rsid w:val="00C616BF"/>
    <w:pPr>
      <w:keepLines/>
      <w:spacing w:before="40" w:after="40" w:line="200" w:lineRule="atLeast"/>
      <w:jc w:val="both"/>
      <w:outlineLvl w:val="2"/>
    </w:pPr>
    <w:rPr>
      <w:rFonts w:ascii="Franklin Gothic Book" w:hAnsi="Franklin Gothic Book"/>
      <w:b/>
      <w:color w:val="943634"/>
      <w:sz w:val="26"/>
      <w:szCs w:val="26"/>
    </w:rPr>
  </w:style>
  <w:style w:type="paragraph" w:styleId="Heading4">
    <w:name w:val="heading 4"/>
    <w:basedOn w:val="BodyText"/>
    <w:next w:val="BodyText"/>
    <w:qFormat/>
    <w:rsid w:val="00222F3B"/>
    <w:pPr>
      <w:numPr>
        <w:ilvl w:val="3"/>
        <w:numId w:val="7"/>
      </w:numPr>
      <w:spacing w:before="320" w:after="0"/>
      <w:outlineLvl w:val="3"/>
    </w:pPr>
    <w:rPr>
      <w:b/>
      <w:color w:val="54534A"/>
      <w:sz w:val="22"/>
      <w:szCs w:val="22"/>
    </w:rPr>
  </w:style>
  <w:style w:type="paragraph" w:styleId="Heading5">
    <w:name w:val="heading 5"/>
    <w:basedOn w:val="BodyText"/>
    <w:next w:val="BodyText"/>
    <w:qFormat/>
    <w:rsid w:val="00B525EE"/>
    <w:pPr>
      <w:keepNext/>
      <w:numPr>
        <w:ilvl w:val="4"/>
        <w:numId w:val="7"/>
      </w:numPr>
      <w:spacing w:before="320" w:after="0"/>
      <w:outlineLvl w:val="4"/>
    </w:pPr>
    <w:rPr>
      <w:b/>
      <w:color w:val="54534A"/>
    </w:rPr>
  </w:style>
  <w:style w:type="paragraph" w:styleId="Heading6">
    <w:name w:val="heading 6"/>
    <w:basedOn w:val="Heading1"/>
    <w:next w:val="BodyText"/>
    <w:qFormat/>
    <w:rsid w:val="00B525EE"/>
    <w:pPr>
      <w:numPr>
        <w:ilvl w:val="5"/>
        <w:numId w:val="7"/>
      </w:numPr>
      <w:outlineLvl w:val="5"/>
    </w:pPr>
    <w:rPr>
      <w:bCs/>
    </w:rPr>
  </w:style>
  <w:style w:type="paragraph" w:styleId="Heading7">
    <w:name w:val="heading 7"/>
    <w:basedOn w:val="Heading2"/>
    <w:next w:val="BodyText"/>
    <w:qFormat/>
    <w:rsid w:val="00B525EE"/>
    <w:pPr>
      <w:numPr>
        <w:ilvl w:val="6"/>
        <w:numId w:val="7"/>
      </w:numPr>
      <w:outlineLvl w:val="6"/>
    </w:pPr>
    <w:rPr>
      <w:rFonts w:ascii="Franklin Gothic Demi" w:hAnsi="Franklin Gothic Demi"/>
      <w:sz w:val="28"/>
      <w:szCs w:val="28"/>
    </w:rPr>
  </w:style>
  <w:style w:type="paragraph" w:styleId="Heading8">
    <w:name w:val="heading 8"/>
    <w:basedOn w:val="Heading3"/>
    <w:next w:val="BodyText"/>
    <w:qFormat/>
    <w:rsid w:val="00B525EE"/>
    <w:pPr>
      <w:numPr>
        <w:ilvl w:val="7"/>
        <w:numId w:val="7"/>
      </w:numPr>
      <w:outlineLvl w:val="7"/>
    </w:pPr>
  </w:style>
  <w:style w:type="paragraph" w:styleId="Heading9">
    <w:name w:val="heading 9"/>
    <w:basedOn w:val="Heading4"/>
    <w:next w:val="BodyText"/>
    <w:qFormat/>
    <w:rsid w:val="00B525EE"/>
    <w:pPr>
      <w:numPr>
        <w:ilvl w:val="8"/>
      </w:numPr>
      <w:outlineLvl w:val="8"/>
    </w:pPr>
  </w:style>
  <w:style w:type="character" w:default="1" w:styleId="DefaultParagraphFont">
    <w:name w:val="Default Paragraph Font"/>
    <w:link w:val="Char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rsid w:val="0001356A"/>
    <w:pPr>
      <w:spacing w:before="80" w:after="80" w:line="280" w:lineRule="atLeast"/>
    </w:pPr>
    <w:rPr>
      <w:rFonts w:ascii="Georgia" w:hAnsi="Georgia"/>
      <w:sz w:val="19"/>
      <w:szCs w:val="19"/>
    </w:rPr>
  </w:style>
  <w:style w:type="character" w:customStyle="1" w:styleId="BodyTextChar">
    <w:name w:val="Body Text Char"/>
    <w:link w:val="BodyText"/>
    <w:rsid w:val="0001356A"/>
    <w:rPr>
      <w:rFonts w:ascii="Georgia" w:hAnsi="Georgia"/>
      <w:sz w:val="19"/>
      <w:szCs w:val="19"/>
      <w:lang w:val="en-AU" w:eastAsia="en-AU" w:bidi="ar-SA"/>
    </w:rPr>
  </w:style>
  <w:style w:type="character" w:customStyle="1" w:styleId="DraftingNote">
    <w:name w:val="Drafting Note"/>
    <w:semiHidden/>
    <w:rsid w:val="00F0026A"/>
    <w:rPr>
      <w:rFonts w:ascii="Georgia" w:hAnsi="Georgia"/>
      <w:b/>
      <w:color w:val="FF0000"/>
      <w:sz w:val="19"/>
      <w:szCs w:val="19"/>
      <w:u w:val="dotted"/>
    </w:rPr>
  </w:style>
  <w:style w:type="paragraph" w:customStyle="1" w:styleId="QuoteBullet">
    <w:name w:val="Quote Bullet"/>
    <w:basedOn w:val="Quote"/>
    <w:rsid w:val="008B14A2"/>
    <w:pPr>
      <w:numPr>
        <w:numId w:val="17"/>
      </w:numPr>
    </w:pPr>
  </w:style>
  <w:style w:type="paragraph" w:customStyle="1" w:styleId="Abbreviation">
    <w:name w:val="Abbreviation"/>
    <w:basedOn w:val="BodyText"/>
    <w:rsid w:val="00942B42"/>
    <w:pPr>
      <w:ind w:left="1418" w:hanging="1418"/>
    </w:pPr>
  </w:style>
  <w:style w:type="paragraph" w:customStyle="1" w:styleId="Ratingamber">
    <w:name w:val="Rating amber"/>
    <w:basedOn w:val="Normal"/>
    <w:semiHidden/>
    <w:rsid w:val="001C6E03"/>
    <w:pPr>
      <w:numPr>
        <w:numId w:val="10"/>
      </w:numPr>
      <w:spacing w:before="80" w:after="80" w:line="280" w:lineRule="atLeast"/>
    </w:pPr>
    <w:rPr>
      <w:rFonts w:ascii="Georgia" w:hAnsi="Georgia"/>
      <w:sz w:val="19"/>
      <w:szCs w:val="19"/>
    </w:rPr>
  </w:style>
  <w:style w:type="paragraph" w:styleId="ListBullet">
    <w:name w:val="List Bullet"/>
    <w:basedOn w:val="BodyText"/>
    <w:rsid w:val="002C5AF0"/>
    <w:pPr>
      <w:numPr>
        <w:numId w:val="15"/>
      </w:numPr>
    </w:pPr>
  </w:style>
  <w:style w:type="paragraph" w:styleId="ListBullet2">
    <w:name w:val="List Bullet 2"/>
    <w:basedOn w:val="ListBullet"/>
    <w:rsid w:val="00D42D78"/>
    <w:pPr>
      <w:numPr>
        <w:numId w:val="12"/>
      </w:numPr>
      <w:spacing w:before="0"/>
      <w:ind w:left="568" w:hanging="284"/>
    </w:pPr>
  </w:style>
  <w:style w:type="paragraph" w:styleId="ListNumber">
    <w:name w:val="List Number"/>
    <w:basedOn w:val="ListBullet"/>
    <w:rsid w:val="00D42D78"/>
    <w:pPr>
      <w:numPr>
        <w:numId w:val="13"/>
      </w:numPr>
    </w:pPr>
  </w:style>
  <w:style w:type="paragraph" w:styleId="ListNumber2">
    <w:name w:val="List Number 2"/>
    <w:basedOn w:val="ListNumber"/>
    <w:rsid w:val="00D42D78"/>
    <w:pPr>
      <w:numPr>
        <w:numId w:val="14"/>
      </w:numPr>
      <w:spacing w:before="0"/>
      <w:ind w:left="568" w:hanging="284"/>
    </w:pPr>
  </w:style>
  <w:style w:type="paragraph" w:styleId="Quote">
    <w:name w:val="Quote"/>
    <w:basedOn w:val="BodyText"/>
    <w:next w:val="BodyText"/>
    <w:qFormat/>
    <w:rsid w:val="00B84A71"/>
    <w:pPr>
      <w:spacing w:before="0" w:line="260" w:lineRule="atLeast"/>
      <w:ind w:left="284"/>
    </w:pPr>
    <w:rPr>
      <w:sz w:val="17"/>
      <w:szCs w:val="17"/>
    </w:rPr>
  </w:style>
  <w:style w:type="paragraph" w:customStyle="1" w:styleId="Ratinggreen">
    <w:name w:val="Rating green"/>
    <w:basedOn w:val="Ratingamber"/>
    <w:semiHidden/>
    <w:rsid w:val="001C6E03"/>
    <w:pPr>
      <w:numPr>
        <w:numId w:val="11"/>
      </w:numPr>
    </w:pPr>
  </w:style>
  <w:style w:type="paragraph" w:customStyle="1" w:styleId="Reference">
    <w:name w:val="Reference"/>
    <w:basedOn w:val="BodyText"/>
    <w:semiHidden/>
    <w:rsid w:val="00F0026A"/>
    <w:pPr>
      <w:keepLines/>
      <w:spacing w:before="60" w:after="60" w:line="260" w:lineRule="atLeast"/>
      <w:ind w:left="284" w:hanging="284"/>
    </w:pPr>
    <w:rPr>
      <w:sz w:val="17"/>
      <w:szCs w:val="17"/>
    </w:rPr>
  </w:style>
  <w:style w:type="paragraph" w:styleId="Title">
    <w:name w:val="Title"/>
    <w:basedOn w:val="Normal"/>
    <w:next w:val="Subtitle"/>
    <w:link w:val="TitleChar"/>
    <w:qFormat/>
    <w:rsid w:val="00C616BF"/>
    <w:pPr>
      <w:pageBreakBefore/>
      <w:spacing w:line="540" w:lineRule="atLeast"/>
      <w:ind w:right="-702"/>
    </w:pPr>
    <w:rPr>
      <w:rFonts w:ascii="Franklin Gothic Book" w:hAnsi="Franklin Gothic Book"/>
      <w:color w:val="FFFFFF"/>
      <w:spacing w:val="-10"/>
      <w:kern w:val="28"/>
      <w:sz w:val="46"/>
      <w:szCs w:val="46"/>
    </w:rPr>
  </w:style>
  <w:style w:type="paragraph" w:styleId="Subtitle">
    <w:name w:val="Subtitle"/>
    <w:basedOn w:val="Title"/>
    <w:next w:val="Date"/>
    <w:link w:val="SubtitleChar"/>
    <w:qFormat/>
    <w:rsid w:val="005B522F"/>
    <w:pPr>
      <w:pageBreakBefore w:val="0"/>
      <w:spacing w:before="120" w:line="380" w:lineRule="atLeast"/>
    </w:pPr>
    <w:rPr>
      <w:sz w:val="32"/>
      <w:szCs w:val="32"/>
    </w:rPr>
  </w:style>
  <w:style w:type="paragraph" w:customStyle="1" w:styleId="Contents">
    <w:name w:val="Contents"/>
    <w:basedOn w:val="Normal"/>
    <w:next w:val="BodyText"/>
    <w:semiHidden/>
    <w:rsid w:val="00DE7339"/>
    <w:pPr>
      <w:spacing w:before="460" w:after="100" w:line="320" w:lineRule="atLeast"/>
    </w:pPr>
    <w:rPr>
      <w:rFonts w:ascii="Franklin Gothic Demi" w:hAnsi="Franklin Gothic Demi"/>
      <w:color w:val="AD495D"/>
      <w:kern w:val="28"/>
      <w:sz w:val="28"/>
      <w:szCs w:val="28"/>
    </w:rPr>
  </w:style>
  <w:style w:type="paragraph" w:styleId="Date">
    <w:name w:val="Date"/>
    <w:basedOn w:val="Subtitle"/>
    <w:next w:val="Author"/>
    <w:link w:val="DateChar"/>
    <w:semiHidden/>
    <w:rsid w:val="00A53A6B"/>
    <w:pPr>
      <w:spacing w:after="1000"/>
    </w:pPr>
    <w:rPr>
      <w:sz w:val="24"/>
      <w:szCs w:val="24"/>
    </w:rPr>
  </w:style>
  <w:style w:type="paragraph" w:styleId="Footer">
    <w:name w:val="footer"/>
    <w:basedOn w:val="Normal"/>
    <w:link w:val="FooterChar"/>
    <w:uiPriority w:val="99"/>
    <w:rsid w:val="00F23FD4"/>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paragraph" w:styleId="Header">
    <w:name w:val="header"/>
    <w:basedOn w:val="Normal"/>
    <w:semiHidden/>
    <w:rsid w:val="0073548A"/>
    <w:pPr>
      <w:spacing w:line="180" w:lineRule="exact"/>
      <w:jc w:val="right"/>
    </w:pPr>
    <w:rPr>
      <w:rFonts w:ascii="Franklin Gothic Medium" w:hAnsi="Franklin Gothic Medium"/>
      <w:sz w:val="14"/>
      <w:szCs w:val="14"/>
    </w:rPr>
  </w:style>
  <w:style w:type="character" w:styleId="PageNumber">
    <w:name w:val="page number"/>
    <w:semiHidden/>
    <w:rsid w:val="007A2D4A"/>
    <w:rPr>
      <w:rFonts w:ascii="Franklin Gothic Medium" w:hAnsi="Franklin Gothic Medium"/>
      <w:color w:val="54534A"/>
      <w:sz w:val="14"/>
      <w:szCs w:val="14"/>
    </w:rPr>
  </w:style>
  <w:style w:type="paragraph" w:styleId="TOC1">
    <w:name w:val="toc 1"/>
    <w:basedOn w:val="BodyText"/>
    <w:next w:val="BodyText"/>
    <w:semiHidden/>
    <w:rsid w:val="00DE7339"/>
    <w:pPr>
      <w:tabs>
        <w:tab w:val="left" w:pos="397"/>
        <w:tab w:val="right" w:pos="7938"/>
      </w:tabs>
      <w:spacing w:before="180" w:after="0"/>
      <w:ind w:left="397" w:right="567" w:hanging="397"/>
    </w:pPr>
    <w:rPr>
      <w:rFonts w:ascii="Franklin Gothic Medium" w:hAnsi="Franklin Gothic Medium"/>
      <w:color w:val="54534A"/>
      <w:sz w:val="24"/>
      <w:szCs w:val="24"/>
    </w:rPr>
  </w:style>
  <w:style w:type="paragraph" w:styleId="TOC2">
    <w:name w:val="toc 2"/>
    <w:basedOn w:val="TOC1"/>
    <w:next w:val="TOC1"/>
    <w:semiHidden/>
    <w:rsid w:val="00DE7339"/>
    <w:pPr>
      <w:spacing w:before="120" w:line="200" w:lineRule="atLeast"/>
      <w:ind w:left="0" w:firstLine="0"/>
    </w:pPr>
    <w:rPr>
      <w:rFonts w:ascii="Franklin Gothic Book" w:hAnsi="Franklin Gothic Book"/>
      <w:color w:val="5A9A98"/>
      <w:sz w:val="21"/>
      <w:szCs w:val="21"/>
    </w:rPr>
  </w:style>
  <w:style w:type="paragraph" w:customStyle="1" w:styleId="Reporttype">
    <w:name w:val="Report type"/>
    <w:basedOn w:val="BodyText"/>
    <w:semiHidden/>
    <w:rsid w:val="00F15D8B"/>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semiHidden/>
    <w:rsid w:val="008E6453"/>
    <w:rPr>
      <w:rFonts w:ascii="Franklin Gothic Book" w:hAnsi="Franklin Gothic Book"/>
      <w:color w:val="auto"/>
      <w:sz w:val="17"/>
      <w:szCs w:val="17"/>
    </w:rPr>
  </w:style>
  <w:style w:type="paragraph" w:customStyle="1" w:styleId="Invisiblepara">
    <w:name w:val="Invisible para"/>
    <w:basedOn w:val="Normal"/>
    <w:semiHidden/>
    <w:rsid w:val="00F747A9"/>
    <w:pPr>
      <w:keepNext/>
      <w:spacing w:before="320" w:line="80" w:lineRule="exact"/>
    </w:pPr>
    <w:rPr>
      <w:sz w:val="21"/>
      <w:szCs w:val="20"/>
    </w:rPr>
  </w:style>
  <w:style w:type="paragraph" w:styleId="Caption">
    <w:name w:val="caption"/>
    <w:basedOn w:val="Normal"/>
    <w:next w:val="BodyText"/>
    <w:qFormat/>
    <w:rsid w:val="00227783"/>
    <w:pPr>
      <w:keepNext/>
      <w:spacing w:before="320" w:after="80" w:line="230" w:lineRule="exact"/>
    </w:pPr>
    <w:rPr>
      <w:rFonts w:ascii="Franklin Gothic Demi" w:hAnsi="Franklin Gothic Demi"/>
      <w:color w:val="7E6D5F"/>
      <w:sz w:val="19"/>
      <w:szCs w:val="19"/>
    </w:rPr>
  </w:style>
  <w:style w:type="paragraph" w:customStyle="1" w:styleId="BoxListBullet">
    <w:name w:val="Box List Bullet"/>
    <w:basedOn w:val="BoxText"/>
    <w:rsid w:val="006C6761"/>
    <w:pPr>
      <w:keepLines/>
      <w:numPr>
        <w:numId w:val="5"/>
      </w:numPr>
      <w:spacing w:before="0"/>
    </w:pPr>
    <w:rPr>
      <w:szCs w:val="20"/>
    </w:rPr>
  </w:style>
  <w:style w:type="character" w:customStyle="1" w:styleId="NoteLabel">
    <w:name w:val="Note Label"/>
    <w:rsid w:val="0073548A"/>
    <w:rPr>
      <w:rFonts w:ascii="Franklin Gothic Medium" w:hAnsi="Franklin Gothic Medium"/>
      <w:color w:val="auto"/>
      <w:position w:val="4"/>
      <w:sz w:val="14"/>
      <w:szCs w:val="14"/>
    </w:rPr>
  </w:style>
  <w:style w:type="paragraph" w:customStyle="1" w:styleId="Note">
    <w:name w:val="Note"/>
    <w:basedOn w:val="TableTextEntries"/>
    <w:next w:val="Source"/>
    <w:link w:val="NoteCharChar"/>
    <w:rsid w:val="008D75EB"/>
    <w:pPr>
      <w:spacing w:after="0" w:line="180" w:lineRule="atLeast"/>
    </w:pPr>
    <w:rPr>
      <w:sz w:val="14"/>
      <w:szCs w:val="14"/>
    </w:rPr>
  </w:style>
  <w:style w:type="paragraph" w:customStyle="1" w:styleId="TableTextEntries">
    <w:name w:val="Table Text Entries"/>
    <w:basedOn w:val="Normal"/>
    <w:rsid w:val="00F021E7"/>
    <w:pPr>
      <w:keepLines/>
      <w:spacing w:before="40" w:after="40" w:line="200" w:lineRule="atLeast"/>
    </w:pPr>
    <w:rPr>
      <w:rFonts w:ascii="Franklin Gothic Book" w:hAnsi="Franklin Gothic Book"/>
      <w:sz w:val="17"/>
      <w:szCs w:val="17"/>
      <w:lang w:eastAsia="en-US"/>
    </w:rPr>
  </w:style>
  <w:style w:type="paragraph" w:customStyle="1" w:styleId="Source">
    <w:name w:val="Source"/>
    <w:basedOn w:val="Note"/>
    <w:next w:val="BodyText"/>
    <w:rsid w:val="00ED5E2B"/>
    <w:pPr>
      <w:spacing w:after="240"/>
    </w:pPr>
  </w:style>
  <w:style w:type="paragraph" w:customStyle="1" w:styleId="BoxHeading1">
    <w:name w:val="Box Heading 1"/>
    <w:basedOn w:val="BoxText"/>
    <w:next w:val="BoxText"/>
    <w:rsid w:val="00FC7629"/>
    <w:pPr>
      <w:spacing w:before="180" w:after="0" w:line="220" w:lineRule="atLeast"/>
    </w:pPr>
    <w:rPr>
      <w:rFonts w:ascii="Franklin Gothic Demi" w:hAnsi="Franklin Gothic Demi"/>
      <w:color w:val="000000"/>
    </w:rPr>
  </w:style>
  <w:style w:type="paragraph" w:customStyle="1" w:styleId="BoxHeading2">
    <w:name w:val="Box Heading 2"/>
    <w:basedOn w:val="BoxHeading1"/>
    <w:next w:val="BoxText"/>
    <w:rsid w:val="002C23D1"/>
    <w:pPr>
      <w:spacing w:before="140"/>
    </w:pPr>
    <w:rPr>
      <w:rFonts w:ascii="Franklin Gothic Book" w:hAnsi="Franklin Gothic Book"/>
      <w:i/>
      <w:color w:val="auto"/>
    </w:rPr>
  </w:style>
  <w:style w:type="paragraph" w:customStyle="1" w:styleId="TableListBullet">
    <w:name w:val="Table List Bullet"/>
    <w:basedOn w:val="TableTextEntries"/>
    <w:uiPriority w:val="99"/>
    <w:rsid w:val="00FA0700"/>
    <w:pPr>
      <w:numPr>
        <w:numId w:val="8"/>
      </w:numPr>
    </w:pPr>
  </w:style>
  <w:style w:type="paragraph" w:styleId="TableofFigures">
    <w:name w:val="table of figures"/>
    <w:basedOn w:val="BodyText"/>
    <w:next w:val="BodyText"/>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semiHidden/>
    <w:rsid w:val="00F9523B"/>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semiHidden/>
    <w:rsid w:val="00B622E7"/>
    <w:pPr>
      <w:jc w:val="right"/>
    </w:pPr>
  </w:style>
  <w:style w:type="paragraph" w:customStyle="1" w:styleId="Recommendation">
    <w:name w:val="Recommendation"/>
    <w:basedOn w:val="BodyText"/>
    <w:next w:val="BodyText"/>
    <w:semiHidden/>
    <w:rsid w:val="00671255"/>
    <w:pPr>
      <w:tabs>
        <w:tab w:val="left" w:pos="284"/>
      </w:tabs>
      <w:ind w:left="284" w:hanging="284"/>
    </w:pPr>
    <w:rPr>
      <w:rFonts w:eastAsia="MS Mincho" w:cs="MS Mincho"/>
      <w:b/>
    </w:rPr>
  </w:style>
  <w:style w:type="paragraph" w:styleId="TOC6">
    <w:name w:val="toc 6"/>
    <w:basedOn w:val="BodyText"/>
    <w:next w:val="BodyText"/>
    <w:semiHidden/>
    <w:rsid w:val="00671255"/>
    <w:pPr>
      <w:tabs>
        <w:tab w:val="left" w:pos="284"/>
        <w:tab w:val="right" w:pos="8222"/>
      </w:tabs>
      <w:ind w:left="284" w:right="567" w:hanging="284"/>
    </w:pPr>
  </w:style>
  <w:style w:type="character" w:styleId="CommentReference">
    <w:name w:val="annotation reference"/>
    <w:semiHidden/>
    <w:rsid w:val="007A2D4A"/>
    <w:rPr>
      <w:rFonts w:ascii="Franklin Gothic Medium" w:hAnsi="Franklin Gothic Medium"/>
      <w:vanish/>
      <w:color w:val="FF00FF"/>
      <w:sz w:val="16"/>
      <w:szCs w:val="16"/>
    </w:rPr>
  </w:style>
  <w:style w:type="paragraph" w:styleId="CommentText">
    <w:name w:val="annotation text"/>
    <w:basedOn w:val="BodyText"/>
    <w:link w:val="CommentTextChar"/>
    <w:semiHidden/>
    <w:rsid w:val="008527C1"/>
    <w:pPr>
      <w:spacing w:line="240" w:lineRule="atLeast"/>
    </w:pPr>
    <w:rPr>
      <w:rFonts w:ascii="Calibri" w:hAnsi="Calibri"/>
      <w:sz w:val="18"/>
      <w:szCs w:val="18"/>
    </w:rPr>
  </w:style>
  <w:style w:type="character" w:styleId="FootnoteReference">
    <w:name w:val="footnote reference"/>
    <w:rsid w:val="00FB1DA4"/>
    <w:rPr>
      <w:rFonts w:ascii="Franklin Gothic Book" w:hAnsi="Franklin Gothic Book"/>
      <w:w w:val="100"/>
      <w:position w:val="6"/>
      <w:sz w:val="12"/>
      <w:szCs w:val="12"/>
      <w:vertAlign w:val="baseline"/>
    </w:rPr>
  </w:style>
  <w:style w:type="paragraph" w:styleId="FootnoteText">
    <w:name w:val="footnote text"/>
    <w:aliases w:val="single space,footnote text"/>
    <w:basedOn w:val="BodyText"/>
    <w:link w:val="FootnoteTextChar"/>
    <w:uiPriority w:val="99"/>
    <w:rsid w:val="00281D52"/>
    <w:pPr>
      <w:spacing w:before="0" w:after="0" w:line="180" w:lineRule="atLeast"/>
      <w:ind w:left="284" w:hanging="284"/>
    </w:pPr>
    <w:rPr>
      <w:rFonts w:ascii="Franklin Gothic Book" w:hAnsi="Franklin Gothic Book"/>
      <w:sz w:val="14"/>
      <w:szCs w:val="14"/>
    </w:rPr>
  </w:style>
  <w:style w:type="character" w:styleId="Hyperlink">
    <w:name w:val="Hyperlink"/>
    <w:semiHidden/>
    <w:rsid w:val="00254E43"/>
    <w:rPr>
      <w:color w:val="00467F"/>
      <w:sz w:val="20"/>
      <w:szCs w:val="20"/>
      <w:u w:val="none"/>
    </w:rPr>
  </w:style>
  <w:style w:type="paragraph" w:customStyle="1" w:styleId="ChartText">
    <w:name w:val="Chart Text"/>
    <w:basedOn w:val="BodyText"/>
    <w:semiHidden/>
    <w:rsid w:val="00CF2071"/>
    <w:pPr>
      <w:spacing w:before="100" w:line="190" w:lineRule="exact"/>
    </w:pPr>
    <w:rPr>
      <w:rFonts w:ascii="Arial" w:hAnsi="Arial"/>
      <w:sz w:val="17"/>
    </w:rPr>
  </w:style>
  <w:style w:type="paragraph" w:customStyle="1" w:styleId="ChartBoldText">
    <w:name w:val="Chart Bold Text"/>
    <w:basedOn w:val="ChartText"/>
    <w:next w:val="ChartText"/>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semiHidden/>
    <w:rsid w:val="00CF2071"/>
    <w:pPr>
      <w:spacing w:line="210" w:lineRule="exact"/>
    </w:pPr>
    <w:rPr>
      <w:caps/>
      <w:sz w:val="19"/>
    </w:rPr>
  </w:style>
  <w:style w:type="paragraph" w:customStyle="1" w:styleId="ChartListBullet">
    <w:name w:val="Chart List Bullet"/>
    <w:basedOn w:val="TableListBullet"/>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semiHidden/>
    <w:rsid w:val="00321C81"/>
    <w:pPr>
      <w:tabs>
        <w:tab w:val="num" w:pos="227"/>
      </w:tabs>
      <w:spacing w:before="60"/>
      <w:ind w:left="227" w:hanging="227"/>
    </w:pPr>
  </w:style>
  <w:style w:type="paragraph" w:styleId="TOC7">
    <w:name w:val="toc 7"/>
    <w:basedOn w:val="TOC1"/>
    <w:next w:val="TOC1"/>
    <w:semiHidden/>
    <w:rsid w:val="0097190C"/>
    <w:pPr>
      <w:tabs>
        <w:tab w:val="left" w:pos="1418"/>
      </w:tabs>
      <w:ind w:left="1418" w:hanging="1418"/>
    </w:pPr>
  </w:style>
  <w:style w:type="paragraph" w:customStyle="1" w:styleId="Author">
    <w:name w:val="Author"/>
    <w:basedOn w:val="Date"/>
    <w:next w:val="Position"/>
    <w:link w:val="AuthorCharChar"/>
    <w:semiHidden/>
    <w:rsid w:val="0075426C"/>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semiHidden/>
    <w:rsid w:val="0075426C"/>
    <w:pPr>
      <w:spacing w:before="0"/>
    </w:pPr>
    <w:rPr>
      <w:rFonts w:ascii="Franklin Gothic Book" w:hAnsi="Franklin Gothic Book"/>
    </w:rPr>
  </w:style>
  <w:style w:type="paragraph" w:customStyle="1" w:styleId="CharChar0">
    <w:name w:val="Char Char"/>
    <w:basedOn w:val="BoxText"/>
    <w:semiHidden/>
    <w:rsid w:val="001E5458"/>
  </w:style>
  <w:style w:type="paragraph" w:customStyle="1" w:styleId="Client">
    <w:name w:val="Client"/>
    <w:basedOn w:val="Author"/>
    <w:semiHidden/>
    <w:rsid w:val="00AD1F3F"/>
  </w:style>
  <w:style w:type="paragraph" w:customStyle="1" w:styleId="TableDataEntries">
    <w:name w:val="Table Data Entries"/>
    <w:basedOn w:val="TableTextEntries"/>
    <w:uiPriority w:val="99"/>
    <w:rsid w:val="009B0288"/>
    <w:pPr>
      <w:jc w:val="right"/>
    </w:pPr>
  </w:style>
  <w:style w:type="paragraph" w:customStyle="1" w:styleId="TableDataColumnHeading">
    <w:name w:val="Table Data Column Heading"/>
    <w:basedOn w:val="TableDataEntries"/>
    <w:uiPriority w:val="99"/>
    <w:rsid w:val="008E6453"/>
    <w:pPr>
      <w:spacing w:before="80" w:after="80"/>
    </w:pPr>
    <w:rPr>
      <w:rFonts w:ascii="Franklin Gothic Medium" w:hAnsi="Franklin Gothic Medium"/>
    </w:rPr>
  </w:style>
  <w:style w:type="paragraph" w:customStyle="1" w:styleId="TableHeading1">
    <w:name w:val="Table Heading 1"/>
    <w:basedOn w:val="TableTextEntries"/>
    <w:next w:val="TableTextEntries"/>
    <w:rsid w:val="008E6453"/>
    <w:pPr>
      <w:spacing w:before="80" w:after="80"/>
    </w:pPr>
    <w:rPr>
      <w:rFonts w:ascii="Franklin Gothic Medium" w:hAnsi="Franklin Gothic Medium"/>
    </w:rPr>
  </w:style>
  <w:style w:type="paragraph" w:customStyle="1" w:styleId="TableHeading2">
    <w:name w:val="Table Heading 2"/>
    <w:basedOn w:val="TableHeading1"/>
    <w:next w:val="TableTextEntries"/>
    <w:rsid w:val="008E6453"/>
    <w:pPr>
      <w:spacing w:before="40" w:after="40"/>
    </w:pPr>
    <w:rPr>
      <w:rFonts w:ascii="Franklin Gothic Book" w:hAnsi="Franklin Gothic Book"/>
      <w:i/>
    </w:rPr>
  </w:style>
  <w:style w:type="paragraph" w:customStyle="1" w:styleId="TableListBullet2">
    <w:name w:val="Table List Bullet 2"/>
    <w:basedOn w:val="TableListBullet"/>
    <w:link w:val="TableListBullet2CharChar"/>
    <w:rsid w:val="00FA0700"/>
    <w:pPr>
      <w:numPr>
        <w:numId w:val="9"/>
      </w:numPr>
    </w:pPr>
  </w:style>
  <w:style w:type="paragraph" w:customStyle="1" w:styleId="TableListNumber">
    <w:name w:val="Table List Number"/>
    <w:basedOn w:val="TableTextEntries"/>
    <w:rsid w:val="008C0773"/>
    <w:pPr>
      <w:numPr>
        <w:numId w:val="1"/>
      </w:numPr>
    </w:pPr>
  </w:style>
  <w:style w:type="paragraph" w:customStyle="1" w:styleId="TableListNumber2">
    <w:name w:val="Table List Number 2"/>
    <w:basedOn w:val="TableListNumber"/>
    <w:rsid w:val="00396E51"/>
    <w:pPr>
      <w:numPr>
        <w:numId w:val="2"/>
      </w:numPr>
    </w:pPr>
  </w:style>
  <w:style w:type="paragraph" w:customStyle="1" w:styleId="TableTextColumnHeading">
    <w:name w:val="Table Text Column Heading"/>
    <w:basedOn w:val="TableDataColumnHeading"/>
    <w:rsid w:val="008E6453"/>
    <w:pPr>
      <w:jc w:val="left"/>
    </w:pPr>
  </w:style>
  <w:style w:type="paragraph" w:customStyle="1" w:styleId="TableUnit">
    <w:name w:val="Table Unit"/>
    <w:basedOn w:val="TableDataColumnHeading"/>
    <w:next w:val="TableDataEntries"/>
    <w:semiHidden/>
    <w:rsid w:val="008E6453"/>
    <w:pPr>
      <w:keepNext/>
    </w:pPr>
    <w:rPr>
      <w:rFonts w:ascii="Franklin Gothic Book" w:hAnsi="Franklin Gothic Book"/>
    </w:rPr>
  </w:style>
  <w:style w:type="paragraph" w:customStyle="1" w:styleId="NoteNumber">
    <w:name w:val="Note Number"/>
    <w:basedOn w:val="TableTextEntries"/>
    <w:link w:val="NoteNumberCharChar"/>
    <w:rsid w:val="00EE7AC8"/>
    <w:pPr>
      <w:numPr>
        <w:numId w:val="16"/>
      </w:numPr>
      <w:spacing w:after="0" w:line="180" w:lineRule="atLeast"/>
    </w:pPr>
    <w:rPr>
      <w:sz w:val="14"/>
      <w:szCs w:val="14"/>
    </w:rPr>
  </w:style>
  <w:style w:type="character" w:styleId="FollowedHyperlink">
    <w:name w:val="FollowedHyperlink"/>
    <w:semiHidden/>
    <w:rsid w:val="00085585"/>
    <w:rPr>
      <w:color w:val="333399"/>
      <w:u w:val="none"/>
    </w:rPr>
  </w:style>
  <w:style w:type="paragraph" w:customStyle="1" w:styleId="Blurb">
    <w:name w:val="Blurb"/>
    <w:basedOn w:val="Caption"/>
    <w:semiHidden/>
    <w:rsid w:val="0075426C"/>
    <w:pPr>
      <w:spacing w:before="180" w:after="0" w:line="280" w:lineRule="atLeast"/>
    </w:pPr>
    <w:rPr>
      <w:color w:val="FFFFFF"/>
    </w:rPr>
  </w:style>
  <w:style w:type="paragraph" w:customStyle="1" w:styleId="Figure">
    <w:name w:val="Figure"/>
    <w:basedOn w:val="BodyText"/>
    <w:next w:val="BodyText"/>
    <w:semiHidden/>
    <w:rsid w:val="00EA0F2C"/>
    <w:pPr>
      <w:spacing w:before="0" w:line="200" w:lineRule="atLeast"/>
    </w:pPr>
    <w:rPr>
      <w:sz w:val="18"/>
      <w:szCs w:val="18"/>
    </w:rPr>
  </w:style>
  <w:style w:type="paragraph" w:customStyle="1" w:styleId="BoxListBullet2">
    <w:name w:val="Box List Bullet 2"/>
    <w:basedOn w:val="BoxListBullet"/>
    <w:uiPriority w:val="99"/>
    <w:rsid w:val="006C6761"/>
    <w:pPr>
      <w:numPr>
        <w:numId w:val="4"/>
      </w:numPr>
    </w:pPr>
    <w:rPr>
      <w:szCs w:val="18"/>
    </w:rPr>
  </w:style>
  <w:style w:type="paragraph" w:customStyle="1" w:styleId="BoxText">
    <w:name w:val="Box Text"/>
    <w:basedOn w:val="Normal"/>
    <w:link w:val="BoxTextChar"/>
    <w:rsid w:val="009A28D5"/>
    <w:pPr>
      <w:spacing w:before="60" w:after="60" w:line="260" w:lineRule="atLeast"/>
    </w:pPr>
    <w:rPr>
      <w:rFonts w:ascii="Franklin Gothic Book" w:hAnsi="Franklin Gothic Book"/>
      <w:sz w:val="18"/>
      <w:szCs w:val="18"/>
    </w:rPr>
  </w:style>
  <w:style w:type="paragraph" w:customStyle="1" w:styleId="BoxListNumber">
    <w:name w:val="Box List Number"/>
    <w:basedOn w:val="BoxText"/>
    <w:rsid w:val="00165C4D"/>
    <w:pPr>
      <w:numPr>
        <w:numId w:val="6"/>
      </w:numPr>
      <w:spacing w:before="0"/>
    </w:pPr>
  </w:style>
  <w:style w:type="paragraph" w:customStyle="1" w:styleId="BoxListNumber2">
    <w:name w:val="Box List Number 2"/>
    <w:basedOn w:val="BoxListNumber"/>
    <w:rsid w:val="006C6761"/>
    <w:pPr>
      <w:numPr>
        <w:numId w:val="3"/>
      </w:numPr>
    </w:pPr>
  </w:style>
  <w:style w:type="paragraph" w:customStyle="1" w:styleId="BoxNoteSource">
    <w:name w:val="Box Note/Source"/>
    <w:basedOn w:val="BoxText"/>
    <w:rsid w:val="006C6761"/>
    <w:pPr>
      <w:spacing w:before="100" w:after="100" w:line="180" w:lineRule="atLeast"/>
    </w:pPr>
    <w:rPr>
      <w:sz w:val="14"/>
      <w:szCs w:val="14"/>
    </w:rPr>
  </w:style>
  <w:style w:type="paragraph" w:customStyle="1" w:styleId="BoxQuote">
    <w:name w:val="Box Quote"/>
    <w:basedOn w:val="BoxText"/>
    <w:next w:val="BoxText"/>
    <w:uiPriority w:val="99"/>
    <w:rsid w:val="00A60B48"/>
    <w:pPr>
      <w:spacing w:before="0" w:line="240" w:lineRule="atLeast"/>
      <w:ind w:left="284"/>
    </w:pPr>
    <w:rPr>
      <w:sz w:val="16"/>
      <w:szCs w:val="16"/>
    </w:rPr>
  </w:style>
  <w:style w:type="character" w:customStyle="1" w:styleId="TableListBullet2CharChar">
    <w:name w:val="Table List Bullet 2 Char Char"/>
    <w:link w:val="TableListBullet2"/>
    <w:rsid w:val="00C05EB3"/>
    <w:rPr>
      <w:rFonts w:ascii="Franklin Gothic Book" w:hAnsi="Franklin Gothic Book"/>
      <w:sz w:val="17"/>
      <w:szCs w:val="17"/>
      <w:lang w:eastAsia="en-US"/>
    </w:rPr>
  </w:style>
  <w:style w:type="character" w:customStyle="1" w:styleId="NoteCharChar">
    <w:name w:val="Note Char Char"/>
    <w:link w:val="Note"/>
    <w:rsid w:val="008D75EB"/>
    <w:rPr>
      <w:rFonts w:ascii="Franklin Gothic Book" w:hAnsi="Franklin Gothic Book"/>
      <w:sz w:val="14"/>
      <w:szCs w:val="14"/>
      <w:lang w:val="en-AU" w:eastAsia="en-US" w:bidi="ar-SA"/>
    </w:rPr>
  </w:style>
  <w:style w:type="character" w:customStyle="1" w:styleId="NoteNumberCharChar">
    <w:name w:val="Note Number Char Char"/>
    <w:link w:val="NoteNumber"/>
    <w:rsid w:val="00EE7AC8"/>
    <w:rPr>
      <w:rFonts w:ascii="Franklin Gothic Book" w:hAnsi="Franklin Gothic Book"/>
      <w:sz w:val="14"/>
      <w:szCs w:val="14"/>
      <w:lang w:eastAsia="en-US"/>
    </w:rPr>
  </w:style>
  <w:style w:type="character" w:customStyle="1" w:styleId="TitleChar">
    <w:name w:val="Title Char"/>
    <w:link w:val="Title"/>
    <w:rsid w:val="00C616BF"/>
    <w:rPr>
      <w:rFonts w:ascii="Franklin Gothic Book" w:hAnsi="Franklin Gothic Book"/>
      <w:color w:val="FFFFFF"/>
      <w:spacing w:val="-10"/>
      <w:kern w:val="28"/>
      <w:sz w:val="46"/>
      <w:szCs w:val="46"/>
    </w:rPr>
  </w:style>
  <w:style w:type="character" w:customStyle="1" w:styleId="SubtitleChar">
    <w:name w:val="Subtitle Char"/>
    <w:link w:val="Subtitle"/>
    <w:rsid w:val="005B522F"/>
    <w:rPr>
      <w:rFonts w:ascii="Franklin Gothic Book" w:hAnsi="Franklin Gothic Book"/>
      <w:color w:val="FFFFFF"/>
      <w:spacing w:val="-10"/>
      <w:kern w:val="28"/>
      <w:sz w:val="32"/>
      <w:szCs w:val="32"/>
      <w:lang w:val="en-AU" w:eastAsia="en-AU" w:bidi="ar-SA"/>
    </w:rPr>
  </w:style>
  <w:style w:type="character" w:customStyle="1" w:styleId="DateChar">
    <w:name w:val="Date Char"/>
    <w:link w:val="Date"/>
    <w:rsid w:val="00A53A6B"/>
    <w:rPr>
      <w:rFonts w:ascii="Franklin Gothic Book" w:hAnsi="Franklin Gothic Book"/>
      <w:color w:val="FFFFFF"/>
      <w:spacing w:val="-10"/>
      <w:kern w:val="28"/>
      <w:sz w:val="24"/>
      <w:szCs w:val="24"/>
      <w:lang w:val="en-AU" w:eastAsia="en-AU" w:bidi="ar-SA"/>
    </w:rPr>
  </w:style>
  <w:style w:type="character" w:customStyle="1" w:styleId="AuthorCharChar">
    <w:name w:val="Author Char Char"/>
    <w:link w:val="Author"/>
    <w:rsid w:val="0075426C"/>
    <w:rPr>
      <w:rFonts w:ascii="Franklin Gothic Medium" w:hAnsi="Franklin Gothic Medium"/>
      <w:color w:val="FFFFFF"/>
      <w:spacing w:val="-2"/>
      <w:kern w:val="28"/>
      <w:sz w:val="24"/>
      <w:szCs w:val="24"/>
      <w:lang w:val="en-AU" w:eastAsia="en-AU" w:bidi="ar-SA"/>
    </w:rPr>
  </w:style>
  <w:style w:type="character" w:customStyle="1" w:styleId="PositionCharChar">
    <w:name w:val="Position Char Char"/>
    <w:link w:val="Position"/>
    <w:rsid w:val="0075426C"/>
    <w:rPr>
      <w:rFonts w:ascii="Franklin Gothic Book" w:hAnsi="Franklin Gothic Book"/>
      <w:color w:val="FFFFFF"/>
      <w:spacing w:val="-2"/>
      <w:kern w:val="28"/>
      <w:sz w:val="24"/>
      <w:szCs w:val="24"/>
      <w:lang w:val="en-AU" w:eastAsia="en-AU" w:bidi="ar-SA"/>
    </w:rPr>
  </w:style>
  <w:style w:type="paragraph" w:customStyle="1" w:styleId="Appendix">
    <w:name w:val="Appendix"/>
    <w:basedOn w:val="Normal"/>
    <w:semiHidden/>
    <w:rsid w:val="00205AA6"/>
    <w:pPr>
      <w:framePr w:wrap="around" w:vAnchor="text" w:hAnchor="text" w:y="1"/>
    </w:pPr>
    <w:rPr>
      <w:rFonts w:ascii="Franklin Gothic Medium" w:hAnsi="Franklin Gothic Medium"/>
      <w:color w:val="7E6D5F"/>
      <w:sz w:val="32"/>
      <w:szCs w:val="32"/>
    </w:rPr>
  </w:style>
  <w:style w:type="paragraph" w:customStyle="1" w:styleId="Photocaption">
    <w:name w:val="Photo caption"/>
    <w:basedOn w:val="Normal"/>
    <w:next w:val="BodyText"/>
    <w:semiHidden/>
    <w:rsid w:val="00187D56"/>
    <w:pPr>
      <w:spacing w:before="140" w:after="240" w:line="180" w:lineRule="exact"/>
    </w:pPr>
    <w:rPr>
      <w:rFonts w:ascii="Franklin Gothic Medium" w:hAnsi="Franklin Gothic Medium"/>
      <w:color w:val="54534A"/>
      <w:sz w:val="14"/>
      <w:szCs w:val="14"/>
    </w:rPr>
  </w:style>
  <w:style w:type="paragraph" w:customStyle="1" w:styleId="CharChar">
    <w:name w:val=" Char Char"/>
    <w:basedOn w:val="Normal"/>
    <w:link w:val="DefaultParagraphFont"/>
    <w:semiHidden/>
    <w:rsid w:val="00953A8D"/>
    <w:pPr>
      <w:spacing w:before="180" w:line="280" w:lineRule="atLeast"/>
    </w:pPr>
    <w:rPr>
      <w:rFonts w:ascii="Arial" w:hAnsi="Arial"/>
      <w:sz w:val="22"/>
      <w:szCs w:val="20"/>
      <w:lang w:eastAsia="en-US"/>
    </w:rPr>
  </w:style>
  <w:style w:type="table" w:styleId="TableGrid">
    <w:name w:val="Table Grid"/>
    <w:basedOn w:val="TableNormal"/>
    <w:uiPriority w:val="59"/>
    <w:rsid w:val="005C400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tingred">
    <w:name w:val="Rating red"/>
    <w:basedOn w:val="ListBullet"/>
    <w:semiHidden/>
    <w:rsid w:val="001C6E03"/>
  </w:style>
  <w:style w:type="paragraph" w:customStyle="1" w:styleId="Ratingbullet">
    <w:name w:val="Rating bullet"/>
    <w:basedOn w:val="TableTextEntries"/>
    <w:semiHidden/>
    <w:rsid w:val="001C6E03"/>
    <w:pPr>
      <w:jc w:val="center"/>
    </w:pPr>
    <w:rPr>
      <w:sz w:val="22"/>
      <w:szCs w:val="22"/>
    </w:rPr>
  </w:style>
  <w:style w:type="paragraph" w:styleId="CommentSubject">
    <w:name w:val="annotation subject"/>
    <w:basedOn w:val="CommentText"/>
    <w:next w:val="CommentText"/>
    <w:semiHidden/>
    <w:rsid w:val="00911B9C"/>
    <w:pPr>
      <w:spacing w:before="0" w:after="0" w:line="240" w:lineRule="auto"/>
    </w:pPr>
    <w:rPr>
      <w:rFonts w:ascii="Times New Roman" w:hAnsi="Times New Roman"/>
      <w:b/>
      <w:bCs/>
      <w:sz w:val="20"/>
      <w:szCs w:val="20"/>
    </w:rPr>
  </w:style>
  <w:style w:type="paragraph" w:styleId="BalloonText">
    <w:name w:val="Balloon Text"/>
    <w:basedOn w:val="Normal"/>
    <w:semiHidden/>
    <w:rsid w:val="00911B9C"/>
    <w:rPr>
      <w:rFonts w:ascii="Tahoma" w:hAnsi="Tahoma" w:cs="Tahoma"/>
      <w:sz w:val="16"/>
      <w:szCs w:val="16"/>
    </w:rPr>
  </w:style>
  <w:style w:type="paragraph" w:customStyle="1" w:styleId="Rating">
    <w:name w:val="Rating"/>
    <w:basedOn w:val="BodyText"/>
    <w:next w:val="BodyText"/>
    <w:semiHidden/>
    <w:rsid w:val="00230BD1"/>
    <w:pPr>
      <w:tabs>
        <w:tab w:val="left" w:pos="567"/>
      </w:tabs>
    </w:pPr>
  </w:style>
  <w:style w:type="paragraph" w:customStyle="1" w:styleId="GuidanceText">
    <w:name w:val="Guidance Text"/>
    <w:basedOn w:val="BodyText"/>
    <w:rsid w:val="001B11EB"/>
    <w:pPr>
      <w:spacing w:before="60" w:after="60" w:line="240" w:lineRule="atLeast"/>
    </w:pPr>
    <w:rPr>
      <w:rFonts w:ascii="Calibri" w:hAnsi="Calibri"/>
      <w:color w:val="0000FF"/>
      <w:sz w:val="20"/>
      <w:szCs w:val="20"/>
    </w:rPr>
  </w:style>
  <w:style w:type="character" w:customStyle="1" w:styleId="CharChar4">
    <w:name w:val=" Char Char4"/>
    <w:rsid w:val="0035177E"/>
    <w:rPr>
      <w:rFonts w:ascii="Georgia" w:hAnsi="Georgia"/>
      <w:sz w:val="19"/>
      <w:szCs w:val="19"/>
      <w:lang w:val="en-AU" w:eastAsia="en-AU" w:bidi="ar-SA"/>
    </w:rPr>
  </w:style>
  <w:style w:type="character" w:customStyle="1" w:styleId="BoxTextChar">
    <w:name w:val="Box Text Char"/>
    <w:link w:val="BoxText"/>
    <w:rsid w:val="00CA6414"/>
    <w:rPr>
      <w:rFonts w:ascii="Franklin Gothic Book" w:hAnsi="Franklin Gothic Book"/>
      <w:sz w:val="18"/>
      <w:szCs w:val="18"/>
      <w:lang w:val="en-AU" w:eastAsia="en-AU" w:bidi="ar-SA"/>
    </w:rPr>
  </w:style>
  <w:style w:type="character" w:customStyle="1" w:styleId="Heading1Char">
    <w:name w:val="Heading 1 Char"/>
    <w:link w:val="Heading1"/>
    <w:rsid w:val="00C616BF"/>
    <w:rPr>
      <w:rFonts w:ascii="Franklin Gothic Demi" w:hAnsi="Franklin Gothic Demi"/>
      <w:color w:val="AD495D"/>
      <w:kern w:val="28"/>
      <w:sz w:val="28"/>
      <w:szCs w:val="28"/>
    </w:rPr>
  </w:style>
  <w:style w:type="character" w:customStyle="1" w:styleId="Heading2Char">
    <w:name w:val="Heading 2 Char"/>
    <w:link w:val="Heading2"/>
    <w:rsid w:val="00C616BF"/>
    <w:rPr>
      <w:rFonts w:ascii="Franklin Gothic Book" w:hAnsi="Franklin Gothic Book"/>
      <w:b/>
      <w:color w:val="943634"/>
      <w:sz w:val="26"/>
      <w:szCs w:val="26"/>
    </w:rPr>
  </w:style>
  <w:style w:type="character" w:customStyle="1" w:styleId="CharChar1">
    <w:name w:val="Char Char1"/>
    <w:locked/>
    <w:rsid w:val="00F263D9"/>
    <w:rPr>
      <w:rFonts w:ascii="Georgia" w:hAnsi="Georgia"/>
      <w:sz w:val="19"/>
      <w:szCs w:val="19"/>
      <w:lang w:val="en-AU" w:eastAsia="en-AU" w:bidi="ar-SA"/>
    </w:rPr>
  </w:style>
  <w:style w:type="character" w:customStyle="1" w:styleId="CharChar40">
    <w:name w:val="Char Char4"/>
    <w:locked/>
    <w:rsid w:val="00F263D9"/>
    <w:rPr>
      <w:rFonts w:ascii="Georgia" w:hAnsi="Georgia"/>
      <w:sz w:val="19"/>
      <w:szCs w:val="19"/>
      <w:lang w:val="en-AU" w:eastAsia="en-AU" w:bidi="ar-SA"/>
    </w:rPr>
  </w:style>
  <w:style w:type="paragraph" w:styleId="ListParagraph">
    <w:name w:val="List Paragraph"/>
    <w:basedOn w:val="Normal"/>
    <w:uiPriority w:val="34"/>
    <w:qFormat/>
    <w:rsid w:val="002C012E"/>
    <w:pPr>
      <w:ind w:left="720"/>
    </w:pPr>
    <w:rPr>
      <w:rFonts w:ascii="Calibri" w:eastAsia="Calibri" w:hAnsi="Calibri" w:cs="Calibri"/>
      <w:sz w:val="22"/>
      <w:szCs w:val="22"/>
      <w:lang w:eastAsia="en-US"/>
    </w:rPr>
  </w:style>
  <w:style w:type="paragraph" w:customStyle="1" w:styleId="List-bullet-1">
    <w:name w:val="List-bullet-1"/>
    <w:basedOn w:val="Normal"/>
    <w:link w:val="List-bullet-1Char"/>
    <w:rsid w:val="009E3EF0"/>
    <w:pPr>
      <w:spacing w:before="120"/>
    </w:pPr>
    <w:rPr>
      <w:rFonts w:ascii="Arial" w:hAnsi="Arial" w:cs="Arial"/>
      <w:szCs w:val="22"/>
      <w:lang w:eastAsia="en-US"/>
    </w:rPr>
  </w:style>
  <w:style w:type="character" w:customStyle="1" w:styleId="List-bullet-1Char">
    <w:name w:val="List-bullet-1 Char"/>
    <w:link w:val="List-bullet-1"/>
    <w:rsid w:val="009E3EF0"/>
    <w:rPr>
      <w:rFonts w:ascii="Arial" w:hAnsi="Arial" w:cs="Arial"/>
      <w:szCs w:val="22"/>
      <w:lang w:eastAsia="en-US"/>
    </w:rPr>
  </w:style>
  <w:style w:type="character" w:customStyle="1" w:styleId="BodyTextChar1">
    <w:name w:val="Body Text Char1"/>
    <w:locked/>
    <w:rsid w:val="00F2415D"/>
    <w:rPr>
      <w:rFonts w:ascii="Georgia" w:hAnsi="Georgia" w:cs="Times New Roman"/>
      <w:sz w:val="19"/>
      <w:szCs w:val="19"/>
      <w:lang w:val="en-AU" w:eastAsia="en-AU" w:bidi="ar-SA"/>
    </w:rPr>
  </w:style>
  <w:style w:type="paragraph" w:customStyle="1" w:styleId="DotDashColonSeries">
    <w:name w:val="Dot Dash Colon Series"/>
    <w:basedOn w:val="Normal"/>
    <w:rsid w:val="00F1385F"/>
    <w:pPr>
      <w:widowControl w:val="0"/>
      <w:tabs>
        <w:tab w:val="left" w:pos="565"/>
      </w:tabs>
      <w:autoSpaceDE w:val="0"/>
      <w:autoSpaceDN w:val="0"/>
      <w:adjustRightInd w:val="0"/>
      <w:spacing w:after="226"/>
      <w:ind w:left="565" w:hanging="565"/>
    </w:pPr>
    <w:rPr>
      <w:rFonts w:ascii="Times" w:eastAsia="SimSun" w:hAnsi="Times" w:cs="Times"/>
      <w:noProof/>
      <w:color w:val="000000"/>
      <w:sz w:val="24"/>
      <w:lang w:eastAsia="zh-CN"/>
    </w:rPr>
  </w:style>
  <w:style w:type="paragraph" w:customStyle="1" w:styleId="Default">
    <w:name w:val="Default"/>
    <w:rsid w:val="00F1385F"/>
    <w:pPr>
      <w:autoSpaceDE w:val="0"/>
      <w:autoSpaceDN w:val="0"/>
      <w:adjustRightInd w:val="0"/>
    </w:pPr>
    <w:rPr>
      <w:rFonts w:ascii="Calibri" w:hAnsi="Calibri" w:cs="Calibri"/>
      <w:color w:val="000000"/>
      <w:sz w:val="24"/>
      <w:szCs w:val="24"/>
    </w:rPr>
  </w:style>
  <w:style w:type="character" w:styleId="Strong">
    <w:name w:val="Strong"/>
    <w:qFormat/>
    <w:rsid w:val="00BA788B"/>
    <w:rPr>
      <w:b/>
      <w:bCs/>
    </w:rPr>
  </w:style>
  <w:style w:type="paragraph" w:styleId="NormalWeb">
    <w:name w:val="Normal (Web)"/>
    <w:basedOn w:val="Normal"/>
    <w:uiPriority w:val="99"/>
    <w:unhideWhenUsed/>
    <w:rsid w:val="00E539F7"/>
    <w:rPr>
      <w:sz w:val="24"/>
    </w:rPr>
  </w:style>
  <w:style w:type="character" w:customStyle="1" w:styleId="FootnoteTextChar">
    <w:name w:val="Footnote Text Char"/>
    <w:aliases w:val="single space Char1,footnote text Char"/>
    <w:link w:val="FootnoteText"/>
    <w:uiPriority w:val="99"/>
    <w:rsid w:val="00CE342B"/>
    <w:rPr>
      <w:rFonts w:ascii="Franklin Gothic Book" w:hAnsi="Franklin Gothic Book"/>
      <w:sz w:val="14"/>
      <w:szCs w:val="14"/>
    </w:rPr>
  </w:style>
  <w:style w:type="paragraph" w:customStyle="1" w:styleId="Bullet">
    <w:name w:val="Bullet"/>
    <w:basedOn w:val="Normal"/>
    <w:uiPriority w:val="99"/>
    <w:rsid w:val="00CE342B"/>
    <w:pPr>
      <w:numPr>
        <w:numId w:val="28"/>
      </w:numPr>
      <w:spacing w:after="240" w:line="320" w:lineRule="exact"/>
    </w:pPr>
    <w:rPr>
      <w:rFonts w:ascii="Palatino" w:hAnsi="Palatino"/>
      <w:color w:val="000000"/>
      <w:sz w:val="22"/>
      <w:szCs w:val="22"/>
    </w:rPr>
  </w:style>
  <w:style w:type="paragraph" w:customStyle="1" w:styleId="Dash">
    <w:name w:val="Dash"/>
    <w:basedOn w:val="Normal"/>
    <w:uiPriority w:val="99"/>
    <w:rsid w:val="00CE342B"/>
    <w:pPr>
      <w:numPr>
        <w:ilvl w:val="1"/>
        <w:numId w:val="28"/>
      </w:numPr>
      <w:spacing w:after="240" w:line="320" w:lineRule="exact"/>
    </w:pPr>
    <w:rPr>
      <w:rFonts w:ascii="Palatino" w:hAnsi="Palatino"/>
      <w:color w:val="000000"/>
      <w:sz w:val="22"/>
      <w:szCs w:val="22"/>
    </w:rPr>
  </w:style>
  <w:style w:type="paragraph" w:customStyle="1" w:styleId="DoubleDot">
    <w:name w:val="Double Dot"/>
    <w:basedOn w:val="Normal"/>
    <w:uiPriority w:val="99"/>
    <w:rsid w:val="00CE342B"/>
    <w:pPr>
      <w:numPr>
        <w:ilvl w:val="2"/>
        <w:numId w:val="28"/>
      </w:numPr>
      <w:spacing w:after="240" w:line="320" w:lineRule="exact"/>
    </w:pPr>
    <w:rPr>
      <w:rFonts w:ascii="Palatino" w:hAnsi="Palatino"/>
      <w:color w:val="000000"/>
      <w:sz w:val="22"/>
      <w:szCs w:val="22"/>
    </w:rPr>
  </w:style>
  <w:style w:type="character" w:customStyle="1" w:styleId="FooterChar">
    <w:name w:val="Footer Char"/>
    <w:link w:val="Footer"/>
    <w:uiPriority w:val="99"/>
    <w:rsid w:val="006D5657"/>
    <w:rPr>
      <w:rFonts w:ascii="Franklin Gothic Medium" w:hAnsi="Franklin Gothic Medium"/>
      <w:color w:val="5A9A98"/>
      <w:sz w:val="14"/>
      <w:szCs w:val="14"/>
    </w:rPr>
  </w:style>
  <w:style w:type="character" w:customStyle="1" w:styleId="CommentTextChar">
    <w:name w:val="Comment Text Char"/>
    <w:link w:val="CommentText"/>
    <w:semiHidden/>
    <w:rsid w:val="003273E0"/>
    <w:rPr>
      <w:rFonts w:ascii="Calibri" w:hAnsi="Calibri"/>
      <w:sz w:val="18"/>
      <w:szCs w:val="18"/>
    </w:rPr>
  </w:style>
  <w:style w:type="paragraph" w:styleId="Revision">
    <w:name w:val="Revision"/>
    <w:hidden/>
    <w:uiPriority w:val="99"/>
    <w:semiHidden/>
    <w:rsid w:val="00656DEF"/>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28083">
      <w:bodyDiv w:val="1"/>
      <w:marLeft w:val="0"/>
      <w:marRight w:val="0"/>
      <w:marTop w:val="0"/>
      <w:marBottom w:val="0"/>
      <w:divBdr>
        <w:top w:val="none" w:sz="0" w:space="0" w:color="auto"/>
        <w:left w:val="none" w:sz="0" w:space="0" w:color="auto"/>
        <w:bottom w:val="none" w:sz="0" w:space="0" w:color="auto"/>
        <w:right w:val="none" w:sz="0" w:space="0" w:color="auto"/>
      </w:divBdr>
    </w:div>
    <w:div w:id="62265797">
      <w:bodyDiv w:val="1"/>
      <w:marLeft w:val="0"/>
      <w:marRight w:val="0"/>
      <w:marTop w:val="0"/>
      <w:marBottom w:val="0"/>
      <w:divBdr>
        <w:top w:val="none" w:sz="0" w:space="0" w:color="auto"/>
        <w:left w:val="none" w:sz="0" w:space="0" w:color="auto"/>
        <w:bottom w:val="none" w:sz="0" w:space="0" w:color="auto"/>
        <w:right w:val="none" w:sz="0" w:space="0" w:color="auto"/>
      </w:divBdr>
    </w:div>
    <w:div w:id="264196946">
      <w:bodyDiv w:val="1"/>
      <w:marLeft w:val="0"/>
      <w:marRight w:val="0"/>
      <w:marTop w:val="0"/>
      <w:marBottom w:val="0"/>
      <w:divBdr>
        <w:top w:val="none" w:sz="0" w:space="0" w:color="auto"/>
        <w:left w:val="none" w:sz="0" w:space="0" w:color="auto"/>
        <w:bottom w:val="none" w:sz="0" w:space="0" w:color="auto"/>
        <w:right w:val="none" w:sz="0" w:space="0" w:color="auto"/>
      </w:divBdr>
    </w:div>
    <w:div w:id="291593840">
      <w:bodyDiv w:val="1"/>
      <w:marLeft w:val="0"/>
      <w:marRight w:val="0"/>
      <w:marTop w:val="0"/>
      <w:marBottom w:val="0"/>
      <w:divBdr>
        <w:top w:val="none" w:sz="0" w:space="0" w:color="auto"/>
        <w:left w:val="none" w:sz="0" w:space="0" w:color="auto"/>
        <w:bottom w:val="none" w:sz="0" w:space="0" w:color="auto"/>
        <w:right w:val="none" w:sz="0" w:space="0" w:color="auto"/>
      </w:divBdr>
    </w:div>
    <w:div w:id="355934845">
      <w:bodyDiv w:val="1"/>
      <w:marLeft w:val="0"/>
      <w:marRight w:val="0"/>
      <w:marTop w:val="0"/>
      <w:marBottom w:val="0"/>
      <w:divBdr>
        <w:top w:val="none" w:sz="0" w:space="0" w:color="auto"/>
        <w:left w:val="none" w:sz="0" w:space="0" w:color="auto"/>
        <w:bottom w:val="none" w:sz="0" w:space="0" w:color="auto"/>
        <w:right w:val="none" w:sz="0" w:space="0" w:color="auto"/>
      </w:divBdr>
    </w:div>
    <w:div w:id="377051932">
      <w:bodyDiv w:val="1"/>
      <w:marLeft w:val="0"/>
      <w:marRight w:val="0"/>
      <w:marTop w:val="0"/>
      <w:marBottom w:val="0"/>
      <w:divBdr>
        <w:top w:val="none" w:sz="0" w:space="0" w:color="auto"/>
        <w:left w:val="none" w:sz="0" w:space="0" w:color="auto"/>
        <w:bottom w:val="none" w:sz="0" w:space="0" w:color="auto"/>
        <w:right w:val="none" w:sz="0" w:space="0" w:color="auto"/>
      </w:divBdr>
    </w:div>
    <w:div w:id="378364197">
      <w:bodyDiv w:val="1"/>
      <w:marLeft w:val="0"/>
      <w:marRight w:val="0"/>
      <w:marTop w:val="0"/>
      <w:marBottom w:val="0"/>
      <w:divBdr>
        <w:top w:val="none" w:sz="0" w:space="0" w:color="auto"/>
        <w:left w:val="none" w:sz="0" w:space="0" w:color="auto"/>
        <w:bottom w:val="none" w:sz="0" w:space="0" w:color="auto"/>
        <w:right w:val="none" w:sz="0" w:space="0" w:color="auto"/>
      </w:divBdr>
    </w:div>
    <w:div w:id="466047702">
      <w:bodyDiv w:val="1"/>
      <w:marLeft w:val="0"/>
      <w:marRight w:val="0"/>
      <w:marTop w:val="0"/>
      <w:marBottom w:val="0"/>
      <w:divBdr>
        <w:top w:val="none" w:sz="0" w:space="0" w:color="auto"/>
        <w:left w:val="none" w:sz="0" w:space="0" w:color="auto"/>
        <w:bottom w:val="none" w:sz="0" w:space="0" w:color="auto"/>
        <w:right w:val="none" w:sz="0" w:space="0" w:color="auto"/>
      </w:divBdr>
    </w:div>
    <w:div w:id="483543232">
      <w:bodyDiv w:val="1"/>
      <w:marLeft w:val="0"/>
      <w:marRight w:val="0"/>
      <w:marTop w:val="0"/>
      <w:marBottom w:val="0"/>
      <w:divBdr>
        <w:top w:val="none" w:sz="0" w:space="0" w:color="auto"/>
        <w:left w:val="none" w:sz="0" w:space="0" w:color="auto"/>
        <w:bottom w:val="none" w:sz="0" w:space="0" w:color="auto"/>
        <w:right w:val="none" w:sz="0" w:space="0" w:color="auto"/>
      </w:divBdr>
    </w:div>
    <w:div w:id="521632396">
      <w:bodyDiv w:val="1"/>
      <w:marLeft w:val="0"/>
      <w:marRight w:val="0"/>
      <w:marTop w:val="0"/>
      <w:marBottom w:val="0"/>
      <w:divBdr>
        <w:top w:val="none" w:sz="0" w:space="0" w:color="auto"/>
        <w:left w:val="none" w:sz="0" w:space="0" w:color="auto"/>
        <w:bottom w:val="none" w:sz="0" w:space="0" w:color="auto"/>
        <w:right w:val="none" w:sz="0" w:space="0" w:color="auto"/>
      </w:divBdr>
    </w:div>
    <w:div w:id="560215215">
      <w:bodyDiv w:val="1"/>
      <w:marLeft w:val="0"/>
      <w:marRight w:val="0"/>
      <w:marTop w:val="0"/>
      <w:marBottom w:val="0"/>
      <w:divBdr>
        <w:top w:val="none" w:sz="0" w:space="0" w:color="auto"/>
        <w:left w:val="none" w:sz="0" w:space="0" w:color="auto"/>
        <w:bottom w:val="none" w:sz="0" w:space="0" w:color="auto"/>
        <w:right w:val="none" w:sz="0" w:space="0" w:color="auto"/>
      </w:divBdr>
    </w:div>
    <w:div w:id="565797914">
      <w:bodyDiv w:val="1"/>
      <w:marLeft w:val="0"/>
      <w:marRight w:val="0"/>
      <w:marTop w:val="0"/>
      <w:marBottom w:val="0"/>
      <w:divBdr>
        <w:top w:val="none" w:sz="0" w:space="0" w:color="auto"/>
        <w:left w:val="none" w:sz="0" w:space="0" w:color="auto"/>
        <w:bottom w:val="none" w:sz="0" w:space="0" w:color="auto"/>
        <w:right w:val="none" w:sz="0" w:space="0" w:color="auto"/>
      </w:divBdr>
    </w:div>
    <w:div w:id="583608175">
      <w:bodyDiv w:val="1"/>
      <w:marLeft w:val="0"/>
      <w:marRight w:val="0"/>
      <w:marTop w:val="0"/>
      <w:marBottom w:val="0"/>
      <w:divBdr>
        <w:top w:val="none" w:sz="0" w:space="0" w:color="auto"/>
        <w:left w:val="none" w:sz="0" w:space="0" w:color="auto"/>
        <w:bottom w:val="none" w:sz="0" w:space="0" w:color="auto"/>
        <w:right w:val="none" w:sz="0" w:space="0" w:color="auto"/>
      </w:divBdr>
    </w:div>
    <w:div w:id="589122051">
      <w:bodyDiv w:val="1"/>
      <w:marLeft w:val="0"/>
      <w:marRight w:val="0"/>
      <w:marTop w:val="0"/>
      <w:marBottom w:val="0"/>
      <w:divBdr>
        <w:top w:val="none" w:sz="0" w:space="0" w:color="auto"/>
        <w:left w:val="none" w:sz="0" w:space="0" w:color="auto"/>
        <w:bottom w:val="none" w:sz="0" w:space="0" w:color="auto"/>
        <w:right w:val="none" w:sz="0" w:space="0" w:color="auto"/>
      </w:divBdr>
    </w:div>
    <w:div w:id="685056218">
      <w:bodyDiv w:val="1"/>
      <w:marLeft w:val="0"/>
      <w:marRight w:val="0"/>
      <w:marTop w:val="0"/>
      <w:marBottom w:val="0"/>
      <w:divBdr>
        <w:top w:val="none" w:sz="0" w:space="0" w:color="auto"/>
        <w:left w:val="none" w:sz="0" w:space="0" w:color="auto"/>
        <w:bottom w:val="none" w:sz="0" w:space="0" w:color="auto"/>
        <w:right w:val="none" w:sz="0" w:space="0" w:color="auto"/>
      </w:divBdr>
    </w:div>
    <w:div w:id="750854806">
      <w:bodyDiv w:val="1"/>
      <w:marLeft w:val="0"/>
      <w:marRight w:val="0"/>
      <w:marTop w:val="0"/>
      <w:marBottom w:val="0"/>
      <w:divBdr>
        <w:top w:val="none" w:sz="0" w:space="0" w:color="auto"/>
        <w:left w:val="none" w:sz="0" w:space="0" w:color="auto"/>
        <w:bottom w:val="none" w:sz="0" w:space="0" w:color="auto"/>
        <w:right w:val="none" w:sz="0" w:space="0" w:color="auto"/>
      </w:divBdr>
    </w:div>
    <w:div w:id="818116789">
      <w:bodyDiv w:val="1"/>
      <w:marLeft w:val="0"/>
      <w:marRight w:val="0"/>
      <w:marTop w:val="0"/>
      <w:marBottom w:val="0"/>
      <w:divBdr>
        <w:top w:val="none" w:sz="0" w:space="0" w:color="auto"/>
        <w:left w:val="none" w:sz="0" w:space="0" w:color="auto"/>
        <w:bottom w:val="none" w:sz="0" w:space="0" w:color="auto"/>
        <w:right w:val="none" w:sz="0" w:space="0" w:color="auto"/>
      </w:divBdr>
    </w:div>
    <w:div w:id="869804593">
      <w:bodyDiv w:val="1"/>
      <w:marLeft w:val="0"/>
      <w:marRight w:val="0"/>
      <w:marTop w:val="0"/>
      <w:marBottom w:val="0"/>
      <w:divBdr>
        <w:top w:val="none" w:sz="0" w:space="0" w:color="auto"/>
        <w:left w:val="none" w:sz="0" w:space="0" w:color="auto"/>
        <w:bottom w:val="none" w:sz="0" w:space="0" w:color="auto"/>
        <w:right w:val="none" w:sz="0" w:space="0" w:color="auto"/>
      </w:divBdr>
    </w:div>
    <w:div w:id="903099310">
      <w:bodyDiv w:val="1"/>
      <w:marLeft w:val="0"/>
      <w:marRight w:val="0"/>
      <w:marTop w:val="0"/>
      <w:marBottom w:val="0"/>
      <w:divBdr>
        <w:top w:val="none" w:sz="0" w:space="0" w:color="auto"/>
        <w:left w:val="none" w:sz="0" w:space="0" w:color="auto"/>
        <w:bottom w:val="none" w:sz="0" w:space="0" w:color="auto"/>
        <w:right w:val="none" w:sz="0" w:space="0" w:color="auto"/>
      </w:divBdr>
    </w:div>
    <w:div w:id="1034963861">
      <w:bodyDiv w:val="1"/>
      <w:marLeft w:val="0"/>
      <w:marRight w:val="0"/>
      <w:marTop w:val="0"/>
      <w:marBottom w:val="0"/>
      <w:divBdr>
        <w:top w:val="none" w:sz="0" w:space="0" w:color="auto"/>
        <w:left w:val="none" w:sz="0" w:space="0" w:color="auto"/>
        <w:bottom w:val="none" w:sz="0" w:space="0" w:color="auto"/>
        <w:right w:val="none" w:sz="0" w:space="0" w:color="auto"/>
      </w:divBdr>
    </w:div>
    <w:div w:id="1048799523">
      <w:bodyDiv w:val="1"/>
      <w:marLeft w:val="0"/>
      <w:marRight w:val="0"/>
      <w:marTop w:val="0"/>
      <w:marBottom w:val="0"/>
      <w:divBdr>
        <w:top w:val="none" w:sz="0" w:space="0" w:color="auto"/>
        <w:left w:val="none" w:sz="0" w:space="0" w:color="auto"/>
        <w:bottom w:val="none" w:sz="0" w:space="0" w:color="auto"/>
        <w:right w:val="none" w:sz="0" w:space="0" w:color="auto"/>
      </w:divBdr>
    </w:div>
    <w:div w:id="1091703294">
      <w:bodyDiv w:val="1"/>
      <w:marLeft w:val="0"/>
      <w:marRight w:val="0"/>
      <w:marTop w:val="0"/>
      <w:marBottom w:val="0"/>
      <w:divBdr>
        <w:top w:val="none" w:sz="0" w:space="0" w:color="auto"/>
        <w:left w:val="none" w:sz="0" w:space="0" w:color="auto"/>
        <w:bottom w:val="none" w:sz="0" w:space="0" w:color="auto"/>
        <w:right w:val="none" w:sz="0" w:space="0" w:color="auto"/>
      </w:divBdr>
    </w:div>
    <w:div w:id="1188327524">
      <w:bodyDiv w:val="1"/>
      <w:marLeft w:val="0"/>
      <w:marRight w:val="0"/>
      <w:marTop w:val="0"/>
      <w:marBottom w:val="0"/>
      <w:divBdr>
        <w:top w:val="none" w:sz="0" w:space="0" w:color="auto"/>
        <w:left w:val="none" w:sz="0" w:space="0" w:color="auto"/>
        <w:bottom w:val="none" w:sz="0" w:space="0" w:color="auto"/>
        <w:right w:val="none" w:sz="0" w:space="0" w:color="auto"/>
      </w:divBdr>
    </w:div>
    <w:div w:id="1189026679">
      <w:bodyDiv w:val="1"/>
      <w:marLeft w:val="0"/>
      <w:marRight w:val="0"/>
      <w:marTop w:val="0"/>
      <w:marBottom w:val="0"/>
      <w:divBdr>
        <w:top w:val="none" w:sz="0" w:space="0" w:color="auto"/>
        <w:left w:val="none" w:sz="0" w:space="0" w:color="auto"/>
        <w:bottom w:val="none" w:sz="0" w:space="0" w:color="auto"/>
        <w:right w:val="none" w:sz="0" w:space="0" w:color="auto"/>
      </w:divBdr>
    </w:div>
    <w:div w:id="1216818753">
      <w:bodyDiv w:val="1"/>
      <w:marLeft w:val="0"/>
      <w:marRight w:val="0"/>
      <w:marTop w:val="0"/>
      <w:marBottom w:val="0"/>
      <w:divBdr>
        <w:top w:val="none" w:sz="0" w:space="0" w:color="auto"/>
        <w:left w:val="none" w:sz="0" w:space="0" w:color="auto"/>
        <w:bottom w:val="none" w:sz="0" w:space="0" w:color="auto"/>
        <w:right w:val="none" w:sz="0" w:space="0" w:color="auto"/>
      </w:divBdr>
    </w:div>
    <w:div w:id="1219978370">
      <w:bodyDiv w:val="1"/>
      <w:marLeft w:val="0"/>
      <w:marRight w:val="0"/>
      <w:marTop w:val="0"/>
      <w:marBottom w:val="0"/>
      <w:divBdr>
        <w:top w:val="none" w:sz="0" w:space="0" w:color="auto"/>
        <w:left w:val="none" w:sz="0" w:space="0" w:color="auto"/>
        <w:bottom w:val="none" w:sz="0" w:space="0" w:color="auto"/>
        <w:right w:val="none" w:sz="0" w:space="0" w:color="auto"/>
      </w:divBdr>
    </w:div>
    <w:div w:id="1257785965">
      <w:bodyDiv w:val="1"/>
      <w:marLeft w:val="0"/>
      <w:marRight w:val="0"/>
      <w:marTop w:val="0"/>
      <w:marBottom w:val="0"/>
      <w:divBdr>
        <w:top w:val="none" w:sz="0" w:space="0" w:color="auto"/>
        <w:left w:val="none" w:sz="0" w:space="0" w:color="auto"/>
        <w:bottom w:val="none" w:sz="0" w:space="0" w:color="auto"/>
        <w:right w:val="none" w:sz="0" w:space="0" w:color="auto"/>
      </w:divBdr>
    </w:div>
    <w:div w:id="1301306478">
      <w:bodyDiv w:val="1"/>
      <w:marLeft w:val="0"/>
      <w:marRight w:val="0"/>
      <w:marTop w:val="0"/>
      <w:marBottom w:val="0"/>
      <w:divBdr>
        <w:top w:val="none" w:sz="0" w:space="0" w:color="auto"/>
        <w:left w:val="none" w:sz="0" w:space="0" w:color="auto"/>
        <w:bottom w:val="none" w:sz="0" w:space="0" w:color="auto"/>
        <w:right w:val="none" w:sz="0" w:space="0" w:color="auto"/>
      </w:divBdr>
    </w:div>
    <w:div w:id="1343583592">
      <w:bodyDiv w:val="1"/>
      <w:marLeft w:val="0"/>
      <w:marRight w:val="0"/>
      <w:marTop w:val="0"/>
      <w:marBottom w:val="0"/>
      <w:divBdr>
        <w:top w:val="none" w:sz="0" w:space="0" w:color="auto"/>
        <w:left w:val="none" w:sz="0" w:space="0" w:color="auto"/>
        <w:bottom w:val="none" w:sz="0" w:space="0" w:color="auto"/>
        <w:right w:val="none" w:sz="0" w:space="0" w:color="auto"/>
      </w:divBdr>
    </w:div>
    <w:div w:id="1490823488">
      <w:bodyDiv w:val="1"/>
      <w:marLeft w:val="0"/>
      <w:marRight w:val="0"/>
      <w:marTop w:val="0"/>
      <w:marBottom w:val="0"/>
      <w:divBdr>
        <w:top w:val="none" w:sz="0" w:space="0" w:color="auto"/>
        <w:left w:val="none" w:sz="0" w:space="0" w:color="auto"/>
        <w:bottom w:val="none" w:sz="0" w:space="0" w:color="auto"/>
        <w:right w:val="none" w:sz="0" w:space="0" w:color="auto"/>
      </w:divBdr>
    </w:div>
    <w:div w:id="1523320344">
      <w:bodyDiv w:val="1"/>
      <w:marLeft w:val="0"/>
      <w:marRight w:val="0"/>
      <w:marTop w:val="0"/>
      <w:marBottom w:val="0"/>
      <w:divBdr>
        <w:top w:val="none" w:sz="0" w:space="0" w:color="auto"/>
        <w:left w:val="none" w:sz="0" w:space="0" w:color="auto"/>
        <w:bottom w:val="none" w:sz="0" w:space="0" w:color="auto"/>
        <w:right w:val="none" w:sz="0" w:space="0" w:color="auto"/>
      </w:divBdr>
    </w:div>
    <w:div w:id="1571040680">
      <w:bodyDiv w:val="1"/>
      <w:marLeft w:val="0"/>
      <w:marRight w:val="0"/>
      <w:marTop w:val="0"/>
      <w:marBottom w:val="0"/>
      <w:divBdr>
        <w:top w:val="none" w:sz="0" w:space="0" w:color="auto"/>
        <w:left w:val="none" w:sz="0" w:space="0" w:color="auto"/>
        <w:bottom w:val="none" w:sz="0" w:space="0" w:color="auto"/>
        <w:right w:val="none" w:sz="0" w:space="0" w:color="auto"/>
      </w:divBdr>
    </w:div>
    <w:div w:id="1576474156">
      <w:bodyDiv w:val="1"/>
      <w:marLeft w:val="0"/>
      <w:marRight w:val="0"/>
      <w:marTop w:val="0"/>
      <w:marBottom w:val="0"/>
      <w:divBdr>
        <w:top w:val="none" w:sz="0" w:space="0" w:color="auto"/>
        <w:left w:val="none" w:sz="0" w:space="0" w:color="auto"/>
        <w:bottom w:val="none" w:sz="0" w:space="0" w:color="auto"/>
        <w:right w:val="none" w:sz="0" w:space="0" w:color="auto"/>
      </w:divBdr>
    </w:div>
    <w:div w:id="1578436617">
      <w:bodyDiv w:val="1"/>
      <w:marLeft w:val="0"/>
      <w:marRight w:val="0"/>
      <w:marTop w:val="0"/>
      <w:marBottom w:val="0"/>
      <w:divBdr>
        <w:top w:val="none" w:sz="0" w:space="0" w:color="auto"/>
        <w:left w:val="none" w:sz="0" w:space="0" w:color="auto"/>
        <w:bottom w:val="none" w:sz="0" w:space="0" w:color="auto"/>
        <w:right w:val="none" w:sz="0" w:space="0" w:color="auto"/>
      </w:divBdr>
    </w:div>
    <w:div w:id="1633050328">
      <w:bodyDiv w:val="1"/>
      <w:marLeft w:val="0"/>
      <w:marRight w:val="0"/>
      <w:marTop w:val="0"/>
      <w:marBottom w:val="0"/>
      <w:divBdr>
        <w:top w:val="none" w:sz="0" w:space="0" w:color="auto"/>
        <w:left w:val="none" w:sz="0" w:space="0" w:color="auto"/>
        <w:bottom w:val="none" w:sz="0" w:space="0" w:color="auto"/>
        <w:right w:val="none" w:sz="0" w:space="0" w:color="auto"/>
      </w:divBdr>
    </w:div>
    <w:div w:id="1660767104">
      <w:bodyDiv w:val="1"/>
      <w:marLeft w:val="0"/>
      <w:marRight w:val="0"/>
      <w:marTop w:val="0"/>
      <w:marBottom w:val="0"/>
      <w:divBdr>
        <w:top w:val="none" w:sz="0" w:space="0" w:color="auto"/>
        <w:left w:val="none" w:sz="0" w:space="0" w:color="auto"/>
        <w:bottom w:val="none" w:sz="0" w:space="0" w:color="auto"/>
        <w:right w:val="none" w:sz="0" w:space="0" w:color="auto"/>
      </w:divBdr>
    </w:div>
    <w:div w:id="1784030778">
      <w:bodyDiv w:val="1"/>
      <w:marLeft w:val="0"/>
      <w:marRight w:val="0"/>
      <w:marTop w:val="0"/>
      <w:marBottom w:val="0"/>
      <w:divBdr>
        <w:top w:val="none" w:sz="0" w:space="0" w:color="auto"/>
        <w:left w:val="none" w:sz="0" w:space="0" w:color="auto"/>
        <w:bottom w:val="none" w:sz="0" w:space="0" w:color="auto"/>
        <w:right w:val="none" w:sz="0" w:space="0" w:color="auto"/>
      </w:divBdr>
    </w:div>
    <w:div w:id="1813908069">
      <w:bodyDiv w:val="1"/>
      <w:marLeft w:val="0"/>
      <w:marRight w:val="0"/>
      <w:marTop w:val="0"/>
      <w:marBottom w:val="0"/>
      <w:divBdr>
        <w:top w:val="none" w:sz="0" w:space="0" w:color="auto"/>
        <w:left w:val="none" w:sz="0" w:space="0" w:color="auto"/>
        <w:bottom w:val="none" w:sz="0" w:space="0" w:color="auto"/>
        <w:right w:val="none" w:sz="0" w:space="0" w:color="auto"/>
      </w:divBdr>
    </w:div>
    <w:div w:id="188077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customXml" Target="../customXml/item5.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customXml" Target="../customXml/item3.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508DEF4-CDF4-47D5-A98C-07FC9BE0983F}"/>
</file>

<file path=customXml/itemProps2.xml><?xml version="1.0" encoding="utf-8"?>
<ds:datastoreItem xmlns:ds="http://schemas.openxmlformats.org/officeDocument/2006/customXml" ds:itemID="{3DEA29F7-E9BD-451C-9B6F-FE24286434D4}"/>
</file>

<file path=customXml/itemProps3.xml><?xml version="1.0" encoding="utf-8"?>
<ds:datastoreItem xmlns:ds="http://schemas.openxmlformats.org/officeDocument/2006/customXml" ds:itemID="{DADD9BD0-0ED8-447F-99C6-7787F604C488}"/>
</file>

<file path=customXml/itemProps4.xml><?xml version="1.0" encoding="utf-8"?>
<ds:datastoreItem xmlns:ds="http://schemas.openxmlformats.org/officeDocument/2006/customXml" ds:itemID="{193742E5-5730-4B09-9960-A0B18FA006E4}"/>
</file>

<file path=customXml/itemProps5.xml><?xml version="1.0" encoding="utf-8"?>
<ds:datastoreItem xmlns:ds="http://schemas.openxmlformats.org/officeDocument/2006/customXml" ds:itemID="{8216637F-587D-4445-B989-D97FA9CA6A9C}"/>
</file>

<file path=docProps/app.xml><?xml version="1.0" encoding="utf-8"?>
<Properties xmlns="http://schemas.openxmlformats.org/officeDocument/2006/extended-properties" xmlns:vt="http://schemas.openxmlformats.org/officeDocument/2006/docPropsVTypes">
  <Template>Normal.dotm</Template>
  <TotalTime>0</TotalTime>
  <Pages>12</Pages>
  <Words>4103</Words>
  <Characters>24940</Characters>
  <Application>Microsoft Office Word</Application>
  <DocSecurity>0</DocSecurity>
  <Lines>207</Lines>
  <Paragraphs>57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2013-07-30T22:29:00Z</dcterms:created>
  <dcterms:modified xsi:type="dcterms:W3CDTF">2013-07-30T22:29:00Z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5" name="WCMSPublicationSubCategory">
    <vt:lpwstr/>
  </property>
  <property fmtid="{D5CDD505-2E9C-101B-9397-08002B2CF9AE}" pid="6" name="Order">
    <vt:r8>293600</vt:r8>
  </property>
  <property fmtid="{D5CDD505-2E9C-101B-9397-08002B2CF9AE}" pid="7" name="PublishingRollupImage">
    <vt:lpwstr/>
  </property>
  <property fmtid="{D5CDD505-2E9C-101B-9397-08002B2CF9AE}" pid="8" name="AusAIDAggregationLevel">
    <vt:lpwstr/>
  </property>
  <property fmtid="{D5CDD505-2E9C-101B-9397-08002B2CF9AE}" pid="9" name="WCMSStatus">
    <vt:lpwstr/>
  </property>
  <property fmtid="{D5CDD505-2E9C-101B-9397-08002B2CF9AE}" pid="10" name="WCMSIPSSubCategory">
    <vt:lpwstr/>
  </property>
  <property fmtid="{D5CDD505-2E9C-101B-9397-08002B2CF9AE}" pid="12" name="PublishingContactEmail">
    <vt:lpwstr/>
  </property>
  <property fmtid="{D5CDD505-2E9C-101B-9397-08002B2CF9AE}" pid="13" name="WCMSPrintedMedia">
    <vt:bool>false</vt:bool>
  </property>
  <property fmtid="{D5CDD505-2E9C-101B-9397-08002B2CF9AE}" pid="14" name="xd_Signature">
    <vt:bool>false</vt:bool>
  </property>
  <property fmtid="{D5CDD505-2E9C-101B-9397-08002B2CF9AE}" pid="15" name="WCMSIPSCategory">
    <vt:lpwstr/>
  </property>
  <property fmtid="{D5CDD505-2E9C-101B-9397-08002B2CF9AE}" pid="16" name="xd_ProgID">
    <vt:lpwstr/>
  </property>
  <property fmtid="{D5CDD505-2E9C-101B-9397-08002B2CF9AE}" pid="17" name="RSS Feed Link">
    <vt:lpwstr/>
  </property>
  <property fmtid="{D5CDD505-2E9C-101B-9397-08002B2CF9AE}" pid="18" name="WCMSDocumentLink">
    <vt:lpwstr/>
  </property>
  <property fmtid="{D5CDD505-2E9C-101B-9397-08002B2CF9AE}" pid="19" name="WCMSReportDisclaimer">
    <vt:bool>false</vt:bool>
  </property>
  <property fmtid="{D5CDD505-2E9C-101B-9397-08002B2CF9AE}" pid="20" name="PublishingContactName">
    <vt:lpwstr/>
  </property>
  <property fmtid="{D5CDD505-2E9C-101B-9397-08002B2CF9AE}" pid="21" name="PublishingVariationRelationshipLinkFieldID">
    <vt:lpwstr/>
  </property>
  <property fmtid="{D5CDD505-2E9C-101B-9397-08002B2CF9AE}" pid="22" name="WCMSPublicationCategory">
    <vt:lpwstr/>
  </property>
  <property fmtid="{D5CDD505-2E9C-101B-9397-08002B2CF9AE}" pid="23" name="WCMSRegion">
    <vt:lpwstr/>
  </property>
  <property fmtid="{D5CDD505-2E9C-101B-9397-08002B2CF9AE}" pid="24" name="WCMSPublicationAuthor">
    <vt:lpwstr/>
  </property>
  <property fmtid="{D5CDD505-2E9C-101B-9397-08002B2CF9AE}" pid="25" name="WCMSElectronicMedia">
    <vt:bool>false</vt:bool>
  </property>
  <property fmtid="{D5CDD505-2E9C-101B-9397-08002B2CF9AE}" pid="26" name="_SourceUrl">
    <vt:lpwstr/>
  </property>
  <property fmtid="{D5CDD505-2E9C-101B-9397-08002B2CF9AE}" pid="27" name="_SharedFileIndex">
    <vt:lpwstr/>
  </property>
  <property fmtid="{D5CDD505-2E9C-101B-9397-08002B2CF9AE}" pid="28" name="Comments">
    <vt:lpwstr/>
  </property>
  <property fmtid="{D5CDD505-2E9C-101B-9397-08002B2CF9AE}" pid="29" name="PublishingPageLayout">
    <vt:lpwstr/>
  </property>
  <property fmtid="{D5CDD505-2E9C-101B-9397-08002B2CF9AE}" pid="30" name="WCMSCountry">
    <vt:lpwstr/>
  </property>
  <property fmtid="{D5CDD505-2E9C-101B-9397-08002B2CF9AE}" pid="31" name="WCMSSourceId">
    <vt:lpwstr/>
  </property>
  <property fmtid="{D5CDD505-2E9C-101B-9397-08002B2CF9AE}" pid="32" name="WCMSLatest">
    <vt:bool>false</vt:bool>
  </property>
  <property fmtid="{D5CDD505-2E9C-101B-9397-08002B2CF9AE}" pid="33" name="WCMSPublicationFormat">
    <vt:lpwstr/>
  </property>
  <property fmtid="{D5CDD505-2E9C-101B-9397-08002B2CF9AE}" pid="34" name="AusAIDPageSubjectMetadata">
    <vt:lpwstr/>
  </property>
  <property fmtid="{D5CDD505-2E9C-101B-9397-08002B2CF9AE}" pid="35" name="AusAIDCategoryMetadata">
    <vt:lpwstr/>
  </property>
  <property fmtid="{D5CDD505-2E9C-101B-9397-08002B2CF9AE}" pid="36" name="AusAIDDocumentTypeMetaData">
    <vt:lpwstr/>
  </property>
  <property fmtid="{D5CDD505-2E9C-101B-9397-08002B2CF9AE}" pid="37" name="WCMSLanguage">
    <vt:lpwstr/>
  </property>
  <property fmtid="{D5CDD505-2E9C-101B-9397-08002B2CF9AE}" pid="38" name="TemplateUrl">
    <vt:lpwstr/>
  </property>
  <property fmtid="{D5CDD505-2E9C-101B-9397-08002B2CF9AE}" pid="39" name="Audience">
    <vt:lpwstr/>
  </property>
  <property fmtid="{D5CDD505-2E9C-101B-9397-08002B2CF9AE}" pid="40" name="WCMSDescription">
    <vt:lpwstr/>
  </property>
  <property fmtid="{D5CDD505-2E9C-101B-9397-08002B2CF9AE}" pid="42" name="WCMSOtherCategory">
    <vt:lpwstr/>
  </property>
  <property fmtid="{D5CDD505-2E9C-101B-9397-08002B2CF9AE}" pid="43" name="AusAIDPageDescriptionMetadata">
    <vt:lpwstr/>
  </property>
  <property fmtid="{D5CDD505-2E9C-101B-9397-08002B2CF9AE}" pid="44" name="WCMSTheme">
    <vt:lpwstr/>
  </property>
  <property fmtid="{D5CDD505-2E9C-101B-9397-08002B2CF9AE}" pid="45" name="WCMSISBNISSN">
    <vt:lpwstr/>
  </property>
  <property fmtid="{D5CDD505-2E9C-101B-9397-08002B2CF9AE}" pid="47" name="PublishingContactPicture">
    <vt:lpwstr/>
  </property>
  <property fmtid="{D5CDD505-2E9C-101B-9397-08002B2CF9AE}" pid="48" name="PublishingVariationGroupID">
    <vt:lpwstr/>
  </property>
  <property fmtid="{D5CDD505-2E9C-101B-9397-08002B2CF9AE}" pid="49" name="AusAIDIdentifierMetadata">
    <vt:lpwstr/>
  </property>
</Properties>
</file>