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9EC1" w14:textId="77777777" w:rsidR="00FE6F2A" w:rsidRDefault="00FE6F2A" w:rsidP="00F25A93">
      <w:pPr>
        <w:pStyle w:val="SpacebeforeTitle"/>
      </w:pPr>
    </w:p>
    <w:p w14:paraId="5C43BD42" w14:textId="77777777" w:rsidR="007773B1" w:rsidRPr="005E2351" w:rsidRDefault="007773B1" w:rsidP="007773B1">
      <w:pPr>
        <w:pStyle w:val="Subtitle"/>
        <w:jc w:val="center"/>
        <w:rPr>
          <w:rFonts w:asciiTheme="majorHAnsi" w:hAnsiTheme="majorHAnsi" w:cstheme="majorHAnsi"/>
          <w:b/>
          <w:color w:val="auto"/>
          <w:sz w:val="40"/>
          <w:szCs w:val="40"/>
          <w:lang w:val="en-AU"/>
        </w:rPr>
      </w:pPr>
      <w:r w:rsidRPr="005E2351">
        <w:rPr>
          <w:rFonts w:asciiTheme="majorHAnsi" w:hAnsiTheme="majorHAnsi" w:cstheme="majorHAnsi"/>
          <w:b/>
          <w:color w:val="auto"/>
          <w:sz w:val="40"/>
          <w:szCs w:val="40"/>
          <w:lang w:val="en-AU"/>
        </w:rPr>
        <w:t xml:space="preserve">DFAT management response to the REVIEW of </w:t>
      </w:r>
    </w:p>
    <w:p w14:paraId="2DC07162" w14:textId="77777777" w:rsidR="007773B1" w:rsidRPr="005E2351" w:rsidRDefault="007773B1" w:rsidP="007773B1">
      <w:pPr>
        <w:pStyle w:val="Subtitle"/>
        <w:jc w:val="center"/>
        <w:rPr>
          <w:rFonts w:asciiTheme="majorHAnsi" w:hAnsiTheme="majorHAnsi" w:cstheme="majorHAnsi"/>
          <w:b/>
          <w:color w:val="auto"/>
          <w:sz w:val="40"/>
          <w:szCs w:val="40"/>
          <w:lang w:val="en-AU"/>
        </w:rPr>
      </w:pPr>
      <w:r w:rsidRPr="005E2351">
        <w:rPr>
          <w:rFonts w:asciiTheme="majorHAnsi" w:hAnsiTheme="majorHAnsi" w:cstheme="majorHAnsi"/>
          <w:b/>
          <w:color w:val="auto"/>
          <w:sz w:val="40"/>
          <w:szCs w:val="40"/>
          <w:lang w:val="en-AU"/>
        </w:rPr>
        <w:t>THE EDUCATION EMERGENCY RESPONSE AND RECOVERY PLAN Papua New Guinea</w:t>
      </w:r>
    </w:p>
    <w:p w14:paraId="4ACA7F5D" w14:textId="4814279C" w:rsidR="007773B1" w:rsidRPr="00F7623A" w:rsidRDefault="007773B1" w:rsidP="007773B1">
      <w:pPr>
        <w:spacing w:after="120" w:line="240" w:lineRule="auto"/>
        <w:jc w:val="both"/>
        <w:rPr>
          <w:rFonts w:cstheme="minorHAnsi"/>
          <w:color w:val="auto"/>
        </w:rPr>
      </w:pPr>
      <w:r w:rsidRPr="00F7623A">
        <w:rPr>
          <w:rFonts w:cstheme="minorHAnsi"/>
          <w:color w:val="auto"/>
        </w:rPr>
        <w:t xml:space="preserve">In March 2022, the Australian Department of Foreign Affairs and Trade (DFAT) commissioned an evaluation of </w:t>
      </w:r>
      <w:r w:rsidR="00B819AB">
        <w:rPr>
          <w:rFonts w:cstheme="minorHAnsi"/>
          <w:color w:val="auto"/>
        </w:rPr>
        <w:t xml:space="preserve">Australia’s funding support to </w:t>
      </w:r>
      <w:r w:rsidRPr="00F7623A">
        <w:rPr>
          <w:rFonts w:cstheme="minorHAnsi"/>
          <w:color w:val="auto"/>
        </w:rPr>
        <w:t>the Education Emergency Response and Recovery Plan (EERRP).</w:t>
      </w:r>
      <w:r w:rsidRPr="00F7623A">
        <w:rPr>
          <w:rFonts w:cstheme="minorHAnsi"/>
          <w:color w:val="auto"/>
          <w:sz w:val="24"/>
          <w:szCs w:val="24"/>
        </w:rPr>
        <w:t xml:space="preserve"> </w:t>
      </w:r>
      <w:r w:rsidRPr="00F7623A">
        <w:rPr>
          <w:rFonts w:cstheme="minorHAnsi"/>
          <w:color w:val="auto"/>
        </w:rPr>
        <w:t xml:space="preserve">The evaluation assessed the overall effectiveness of the EERRP in supporting the National Department of Education (NDoE) to </w:t>
      </w:r>
      <w:r w:rsidRPr="00F7623A">
        <w:rPr>
          <w:rStyle w:val="normaltextrun"/>
          <w:rFonts w:cstheme="minorHAnsi"/>
          <w:color w:val="auto"/>
          <w:shd w:val="clear" w:color="auto" w:fill="FFFFFF"/>
        </w:rPr>
        <w:t xml:space="preserve">respond to the COVID-19 pandemic. </w:t>
      </w:r>
      <w:r w:rsidRPr="00F7623A">
        <w:rPr>
          <w:rFonts w:cstheme="minorHAnsi"/>
          <w:color w:val="auto"/>
        </w:rPr>
        <w:t xml:space="preserve">The evaluation </w:t>
      </w:r>
      <w:r w:rsidR="00B819AB">
        <w:rPr>
          <w:rFonts w:cstheme="minorHAnsi"/>
          <w:color w:val="auto"/>
        </w:rPr>
        <w:t>provided</w:t>
      </w:r>
      <w:r w:rsidRPr="00F7623A">
        <w:rPr>
          <w:rFonts w:cstheme="minorHAnsi"/>
          <w:color w:val="auto"/>
        </w:rPr>
        <w:t xml:space="preserve"> recommendations relevant to the ongoing implementation of the EERRP, as well as efforts to strengthen the resilience of the education system more broadl</w:t>
      </w:r>
      <w:r w:rsidR="00B819AB">
        <w:rPr>
          <w:rFonts w:cstheme="minorHAnsi"/>
          <w:color w:val="auto"/>
        </w:rPr>
        <w:t>y</w:t>
      </w:r>
      <w:r w:rsidRPr="00F7623A">
        <w:rPr>
          <w:rFonts w:cstheme="minorHAnsi"/>
          <w:color w:val="auto"/>
        </w:rPr>
        <w:t xml:space="preserve">. The evaluation covered the implementation period of May 2020 to </w:t>
      </w:r>
      <w:r w:rsidR="00951041">
        <w:rPr>
          <w:rFonts w:cstheme="minorHAnsi"/>
          <w:color w:val="auto"/>
        </w:rPr>
        <w:t>October</w:t>
      </w:r>
      <w:r w:rsidRPr="00F7623A">
        <w:rPr>
          <w:rFonts w:cstheme="minorHAnsi"/>
          <w:color w:val="auto"/>
        </w:rPr>
        <w:t xml:space="preserve"> 2022.</w:t>
      </w:r>
    </w:p>
    <w:p w14:paraId="5584E68E" w14:textId="3EDBE0D8" w:rsidR="007773B1" w:rsidRPr="00F7623A" w:rsidRDefault="007773B1" w:rsidP="007773B1">
      <w:pPr>
        <w:spacing w:after="120" w:line="240" w:lineRule="auto"/>
        <w:jc w:val="both"/>
        <w:rPr>
          <w:rFonts w:cstheme="minorHAnsi"/>
          <w:color w:val="auto"/>
        </w:rPr>
      </w:pPr>
      <w:r w:rsidRPr="00F7623A">
        <w:rPr>
          <w:rFonts w:eastAsia="Times New Roman" w:cstheme="minorHAnsi"/>
          <w:color w:val="000000"/>
        </w:rPr>
        <w:t>The EERRP was not a</w:t>
      </w:r>
      <w:r w:rsidR="00B819AB">
        <w:rPr>
          <w:rFonts w:eastAsia="Times New Roman" w:cstheme="minorHAnsi"/>
          <w:color w:val="000000"/>
        </w:rPr>
        <w:t xml:space="preserve"> </w:t>
      </w:r>
      <w:r w:rsidRPr="00F7623A">
        <w:rPr>
          <w:rFonts w:eastAsia="Times New Roman" w:cstheme="minorHAnsi"/>
          <w:color w:val="000000"/>
        </w:rPr>
        <w:t xml:space="preserve">traditional emergency response, which tends to focus on immediate needs </w:t>
      </w:r>
      <w:r w:rsidR="00445535">
        <w:rPr>
          <w:rFonts w:eastAsia="Times New Roman" w:cstheme="minorHAnsi"/>
          <w:color w:val="000000"/>
        </w:rPr>
        <w:t>and</w:t>
      </w:r>
      <w:r w:rsidR="00B819AB">
        <w:rPr>
          <w:rFonts w:eastAsia="Times New Roman" w:cstheme="minorHAnsi"/>
          <w:color w:val="000000"/>
        </w:rPr>
        <w:t xml:space="preserve"> time-critical</w:t>
      </w:r>
      <w:r w:rsidRPr="00F7623A">
        <w:rPr>
          <w:rFonts w:eastAsia="Times New Roman" w:cstheme="minorHAnsi"/>
          <w:color w:val="000000"/>
        </w:rPr>
        <w:t xml:space="preserve"> outputs. </w:t>
      </w:r>
      <w:r w:rsidR="00DD3A53">
        <w:rPr>
          <w:rFonts w:eastAsia="Times New Roman" w:cstheme="minorHAnsi"/>
          <w:color w:val="000000"/>
        </w:rPr>
        <w:t>Instead, t</w:t>
      </w:r>
      <w:r w:rsidRPr="00F7623A">
        <w:rPr>
          <w:rFonts w:eastAsia="Times New Roman" w:cstheme="minorHAnsi"/>
          <w:color w:val="000000"/>
        </w:rPr>
        <w:t>he EERRP was primarily a comprehensive, socio-economic response that maintained a longer-term “line of sight” that sought not only to respond to immediate needs but to build and strengthen approaches that could be utilised in the future</w:t>
      </w:r>
      <w:r w:rsidRPr="00F7623A">
        <w:rPr>
          <w:rFonts w:eastAsia="Times New Roman" w:cstheme="minorHAnsi"/>
          <w:color w:val="auto"/>
        </w:rPr>
        <w:t>. The</w:t>
      </w:r>
      <w:r w:rsidR="00D91091">
        <w:rPr>
          <w:rFonts w:eastAsia="Times New Roman" w:cstheme="minorHAnsi"/>
          <w:color w:val="auto"/>
        </w:rPr>
        <w:t xml:space="preserve"> evaluation found that the </w:t>
      </w:r>
      <w:r w:rsidR="00B819AB">
        <w:rPr>
          <w:rFonts w:eastAsia="Times New Roman" w:cstheme="minorHAnsi"/>
          <w:color w:val="auto"/>
        </w:rPr>
        <w:t>EERRP</w:t>
      </w:r>
      <w:r w:rsidRPr="00F7623A">
        <w:rPr>
          <w:rFonts w:eastAsia="Times New Roman" w:cstheme="minorHAnsi"/>
          <w:color w:val="auto"/>
        </w:rPr>
        <w:t xml:space="preserve"> was </w:t>
      </w:r>
      <w:r w:rsidRPr="00F7623A">
        <w:rPr>
          <w:rFonts w:cstheme="minorHAnsi"/>
          <w:color w:val="auto"/>
        </w:rPr>
        <w:t>highly relevant and appropriate for mapping, planning, and developing a context-specific approach to responding to the COVID-19 pandemic</w:t>
      </w:r>
      <w:r w:rsidR="00D91091">
        <w:rPr>
          <w:rFonts w:cstheme="minorHAnsi"/>
          <w:color w:val="auto"/>
        </w:rPr>
        <w:t xml:space="preserve"> in the education sector.</w:t>
      </w:r>
    </w:p>
    <w:p w14:paraId="668DB245" w14:textId="0DEC7EF2" w:rsidR="007773B1" w:rsidRPr="00F7623A" w:rsidRDefault="007773B1" w:rsidP="007773B1">
      <w:pPr>
        <w:spacing w:after="120" w:line="240" w:lineRule="auto"/>
        <w:jc w:val="both"/>
        <w:rPr>
          <w:rFonts w:cstheme="minorHAnsi"/>
          <w:color w:val="auto"/>
        </w:rPr>
      </w:pPr>
      <w:r w:rsidRPr="00F7623A">
        <w:rPr>
          <w:rFonts w:cstheme="minorHAnsi"/>
          <w:color w:val="auto"/>
        </w:rPr>
        <w:t>The design of the EERRP was locally led, promoted strong engagement and dialogue</w:t>
      </w:r>
      <w:r w:rsidR="00B819AB">
        <w:rPr>
          <w:rFonts w:cstheme="minorHAnsi"/>
          <w:color w:val="auto"/>
        </w:rPr>
        <w:t>,</w:t>
      </w:r>
      <w:r w:rsidRPr="00F7623A">
        <w:rPr>
          <w:rFonts w:cstheme="minorHAnsi"/>
          <w:color w:val="auto"/>
        </w:rPr>
        <w:t xml:space="preserve"> and was comprehensive in responding to current and emerging needs and priorities. The EERRP was aligned with existing NDoE and Government of PNG policies and</w:t>
      </w:r>
      <w:r w:rsidR="008110BE">
        <w:rPr>
          <w:rFonts w:cstheme="minorHAnsi"/>
          <w:color w:val="auto"/>
        </w:rPr>
        <w:t xml:space="preserve"> </w:t>
      </w:r>
      <w:r w:rsidR="00DD3A53">
        <w:rPr>
          <w:rFonts w:cstheme="minorHAnsi"/>
          <w:color w:val="auto"/>
        </w:rPr>
        <w:t>priorities</w:t>
      </w:r>
      <w:r w:rsidRPr="00F7623A">
        <w:rPr>
          <w:rFonts w:cstheme="minorHAnsi"/>
          <w:color w:val="auto"/>
        </w:rPr>
        <w:t>.</w:t>
      </w:r>
    </w:p>
    <w:p w14:paraId="575D7A4D" w14:textId="54E4E4D6" w:rsidR="007773B1" w:rsidRPr="00F7623A" w:rsidRDefault="007773B1" w:rsidP="007773B1">
      <w:pPr>
        <w:spacing w:after="120" w:line="240" w:lineRule="auto"/>
        <w:jc w:val="both"/>
        <w:rPr>
          <w:rFonts w:cstheme="minorHAnsi"/>
          <w:color w:val="auto"/>
        </w:rPr>
      </w:pPr>
      <w:r w:rsidRPr="00F7623A">
        <w:rPr>
          <w:rFonts w:cstheme="minorHAnsi"/>
          <w:color w:val="auto"/>
        </w:rPr>
        <w:t xml:space="preserve">The evaluation highlights the successes as well as the challenges in planning and implementing the emergency response plan. </w:t>
      </w:r>
      <w:r w:rsidRPr="00F7623A">
        <w:rPr>
          <w:rFonts w:cstheme="minorHAnsi"/>
          <w:color w:val="auto"/>
          <w:lang w:val="en-AU"/>
        </w:rPr>
        <w:t xml:space="preserve">DFAT welcomes the review findings and provides a response to the recommendations for the remaining period of implementation. </w:t>
      </w:r>
    </w:p>
    <w:p w14:paraId="7D5F0724" w14:textId="5173F6FE" w:rsidR="00A3217B" w:rsidRDefault="00A3217B" w:rsidP="00AD037C">
      <w:pPr>
        <w:spacing w:before="0" w:after="0"/>
        <w:rPr>
          <w:color w:val="auto"/>
          <w:lang w:val="en-AU"/>
        </w:rPr>
      </w:pPr>
    </w:p>
    <w:p w14:paraId="68D74C4F" w14:textId="55C1D3F4" w:rsidR="00460328" w:rsidRDefault="00460328" w:rsidP="00AD037C">
      <w:pPr>
        <w:spacing w:before="0" w:after="0"/>
        <w:rPr>
          <w:color w:val="auto"/>
          <w:lang w:val="en-AU"/>
        </w:rPr>
      </w:pPr>
    </w:p>
    <w:p w14:paraId="07ED244A" w14:textId="2F95ECE5" w:rsidR="00460328" w:rsidRDefault="00460328" w:rsidP="00AD037C">
      <w:pPr>
        <w:spacing w:before="0" w:after="0"/>
        <w:rPr>
          <w:color w:val="auto"/>
          <w:lang w:val="en-AU"/>
        </w:rPr>
      </w:pPr>
    </w:p>
    <w:p w14:paraId="25ADE802" w14:textId="1BAA4DE6" w:rsidR="00460328" w:rsidRDefault="00460328" w:rsidP="00AD037C">
      <w:pPr>
        <w:spacing w:before="0" w:after="0"/>
        <w:rPr>
          <w:color w:val="auto"/>
          <w:lang w:val="en-AU"/>
        </w:rPr>
      </w:pPr>
    </w:p>
    <w:p w14:paraId="6F7B3ABB" w14:textId="65891164" w:rsidR="00460328" w:rsidRDefault="00460328" w:rsidP="00AD037C">
      <w:pPr>
        <w:spacing w:before="0" w:after="0"/>
        <w:rPr>
          <w:color w:val="auto"/>
          <w:lang w:val="en-AU"/>
        </w:rPr>
      </w:pPr>
    </w:p>
    <w:p w14:paraId="566D141A" w14:textId="31A8FD11" w:rsidR="00460328" w:rsidRDefault="00460328" w:rsidP="00AD037C">
      <w:pPr>
        <w:spacing w:before="0" w:after="0"/>
        <w:rPr>
          <w:color w:val="auto"/>
          <w:lang w:val="en-AU"/>
        </w:rPr>
      </w:pPr>
    </w:p>
    <w:p w14:paraId="3B0143ED" w14:textId="3A97B144" w:rsidR="00460328" w:rsidRDefault="00460328" w:rsidP="00AD037C">
      <w:pPr>
        <w:spacing w:before="0" w:after="0"/>
        <w:rPr>
          <w:color w:val="auto"/>
          <w:lang w:val="en-AU"/>
        </w:rPr>
      </w:pPr>
    </w:p>
    <w:p w14:paraId="68785332" w14:textId="6B1C88AB" w:rsidR="00460328" w:rsidRDefault="00460328" w:rsidP="00AD037C">
      <w:pPr>
        <w:spacing w:before="0" w:after="0"/>
        <w:rPr>
          <w:color w:val="auto"/>
          <w:lang w:val="en-AU"/>
        </w:rPr>
      </w:pPr>
    </w:p>
    <w:p w14:paraId="40B3EA5A" w14:textId="51325DA1" w:rsidR="00460328" w:rsidRDefault="00460328" w:rsidP="00AD037C">
      <w:pPr>
        <w:spacing w:before="0" w:after="0"/>
        <w:rPr>
          <w:color w:val="auto"/>
          <w:lang w:val="en-AU"/>
        </w:rPr>
      </w:pPr>
    </w:p>
    <w:p w14:paraId="143EC8A6" w14:textId="47A45601" w:rsidR="00460328" w:rsidRDefault="00460328" w:rsidP="00AD037C">
      <w:pPr>
        <w:spacing w:before="0" w:after="0"/>
        <w:rPr>
          <w:color w:val="auto"/>
          <w:lang w:val="en-AU"/>
        </w:rPr>
      </w:pPr>
    </w:p>
    <w:p w14:paraId="06844C11" w14:textId="1C66EAA4" w:rsidR="00460328" w:rsidRDefault="00460328" w:rsidP="00AD037C">
      <w:pPr>
        <w:spacing w:before="0" w:after="0"/>
        <w:rPr>
          <w:color w:val="auto"/>
          <w:lang w:val="en-AU"/>
        </w:rPr>
      </w:pPr>
    </w:p>
    <w:p w14:paraId="33444D7A" w14:textId="77777777" w:rsidR="00460328" w:rsidRPr="006D092C" w:rsidRDefault="00460328" w:rsidP="00AD037C">
      <w:pPr>
        <w:spacing w:before="0" w:after="0"/>
        <w:rPr>
          <w:color w:val="auto"/>
          <w:lang w:val="en-AU"/>
        </w:rPr>
      </w:pPr>
    </w:p>
    <w:p w14:paraId="35D1A3A0" w14:textId="4DA1D7B9" w:rsidR="00C37FFA" w:rsidRPr="00A0095D" w:rsidRDefault="00C37FFA" w:rsidP="00AD037C">
      <w:pPr>
        <w:spacing w:before="0" w:after="0" w:line="276" w:lineRule="auto"/>
        <w:rPr>
          <w:b/>
          <w:bCs/>
        </w:rPr>
      </w:pPr>
      <w:r w:rsidRPr="00A0095D">
        <w:rPr>
          <w:b/>
          <w:bCs/>
          <w:sz w:val="24"/>
          <w:szCs w:val="24"/>
        </w:rPr>
        <w:lastRenderedPageBreak/>
        <w:t>Recommendations</w:t>
      </w:r>
    </w:p>
    <w:tbl>
      <w:tblPr>
        <w:tblStyle w:val="GridTable4-Accent1"/>
        <w:tblW w:w="14459" w:type="dxa"/>
        <w:tblLook w:val="04A0" w:firstRow="1" w:lastRow="0" w:firstColumn="1" w:lastColumn="0" w:noHBand="0" w:noVBand="1"/>
      </w:tblPr>
      <w:tblGrid>
        <w:gridCol w:w="975"/>
        <w:gridCol w:w="3158"/>
        <w:gridCol w:w="5360"/>
        <w:gridCol w:w="2357"/>
        <w:gridCol w:w="2609"/>
      </w:tblGrid>
      <w:tr w:rsidR="001B4C69" w:rsidRPr="00B01D45" w14:paraId="7F88BF89" w14:textId="7BB3C7B9" w:rsidTr="00376B9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75" w:type="dxa"/>
            <w:shd w:val="clear" w:color="auto" w:fill="A2DCD1" w:themeFill="accent1" w:themeFillTint="99"/>
          </w:tcPr>
          <w:p w14:paraId="16FDA7A9" w14:textId="4286DC52" w:rsidR="00C37FFA" w:rsidRPr="00C2467E" w:rsidRDefault="00F04C36" w:rsidP="008D2FB9">
            <w:pPr>
              <w:spacing w:after="0" w:line="264" w:lineRule="auto"/>
            </w:pPr>
            <w:bookmarkStart w:id="0" w:name="_Hlk82094674"/>
            <w:r>
              <w:t>No.</w:t>
            </w:r>
          </w:p>
        </w:tc>
        <w:tc>
          <w:tcPr>
            <w:tcW w:w="3158" w:type="dxa"/>
            <w:shd w:val="clear" w:color="auto" w:fill="A2DCD1" w:themeFill="accent1" w:themeFillTint="99"/>
          </w:tcPr>
          <w:p w14:paraId="1C15AE0D" w14:textId="5BE59B22" w:rsidR="00C37FFA" w:rsidRPr="00C2467E" w:rsidRDefault="00F04C36" w:rsidP="008D2FB9">
            <w:pPr>
              <w:spacing w:after="0" w:line="264" w:lineRule="auto"/>
              <w:cnfStyle w:val="100000000000" w:firstRow="1" w:lastRow="0" w:firstColumn="0" w:lastColumn="0" w:oddVBand="0" w:evenVBand="0" w:oddHBand="0" w:evenHBand="0" w:firstRowFirstColumn="0" w:firstRowLastColumn="0" w:lastRowFirstColumn="0" w:lastRowLastColumn="0"/>
            </w:pPr>
            <w:r>
              <w:t>SUMMARY OF KEY FINDINGS</w:t>
            </w:r>
          </w:p>
        </w:tc>
        <w:tc>
          <w:tcPr>
            <w:tcW w:w="5360" w:type="dxa"/>
            <w:shd w:val="clear" w:color="auto" w:fill="A2DCD1" w:themeFill="accent1" w:themeFillTint="99"/>
          </w:tcPr>
          <w:p w14:paraId="06C2F048" w14:textId="127D5E31" w:rsidR="00C37FFA" w:rsidRPr="00C2467E" w:rsidRDefault="00F04C36" w:rsidP="008D2FB9">
            <w:pPr>
              <w:spacing w:after="0" w:line="264" w:lineRule="auto"/>
              <w:cnfStyle w:val="100000000000" w:firstRow="1" w:lastRow="0" w:firstColumn="0" w:lastColumn="0" w:oddVBand="0" w:evenVBand="0" w:oddHBand="0" w:evenHBand="0" w:firstRowFirstColumn="0" w:firstRowLastColumn="0" w:lastRowFirstColumn="0" w:lastRowLastColumn="0"/>
            </w:pPr>
            <w:r>
              <w:t>RECOMMENDATIONS</w:t>
            </w:r>
          </w:p>
        </w:tc>
        <w:tc>
          <w:tcPr>
            <w:tcW w:w="2357" w:type="dxa"/>
            <w:shd w:val="clear" w:color="auto" w:fill="A2DCD1" w:themeFill="accent1" w:themeFillTint="99"/>
          </w:tcPr>
          <w:p w14:paraId="0CB66946" w14:textId="77777777" w:rsidR="00F57B73" w:rsidRDefault="00C37FFA" w:rsidP="003D7869">
            <w:pPr>
              <w:spacing w:before="0" w:after="0" w:line="264"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B6712F">
              <w:rPr>
                <w:sz w:val="24"/>
                <w:szCs w:val="24"/>
              </w:rPr>
              <w:t xml:space="preserve">RESPONSE </w:t>
            </w:r>
          </w:p>
          <w:p w14:paraId="716B3481" w14:textId="38EA39C1" w:rsidR="00C37FFA" w:rsidRDefault="00C37FFA" w:rsidP="003D7869">
            <w:pPr>
              <w:spacing w:before="0" w:after="0" w:line="264" w:lineRule="auto"/>
              <w:cnfStyle w:val="100000000000" w:firstRow="1" w:lastRow="0" w:firstColumn="0" w:lastColumn="0" w:oddVBand="0" w:evenVBand="0" w:oddHBand="0" w:evenHBand="0" w:firstRowFirstColumn="0" w:firstRowLastColumn="0" w:lastRowFirstColumn="0" w:lastRowLastColumn="0"/>
            </w:pPr>
            <w:r w:rsidRPr="00B6712F">
              <w:rPr>
                <w:sz w:val="24"/>
                <w:szCs w:val="24"/>
              </w:rPr>
              <w:t>(AGREE/PARTIALLY AGREE/DISAGREE)</w:t>
            </w:r>
          </w:p>
        </w:tc>
        <w:tc>
          <w:tcPr>
            <w:tcW w:w="2609" w:type="dxa"/>
            <w:shd w:val="clear" w:color="auto" w:fill="A2DCD1" w:themeFill="accent1" w:themeFillTint="99"/>
          </w:tcPr>
          <w:p w14:paraId="7CFC707B" w14:textId="77777777" w:rsidR="00C37FFA" w:rsidRPr="00B6712F" w:rsidRDefault="00C37FFA" w:rsidP="00C37FFA">
            <w:pPr>
              <w:cnfStyle w:val="100000000000" w:firstRow="1" w:lastRow="0" w:firstColumn="0" w:lastColumn="0" w:oddVBand="0" w:evenVBand="0" w:oddHBand="0" w:evenHBand="0" w:firstRowFirstColumn="0" w:firstRowLastColumn="0" w:lastRowFirstColumn="0" w:lastRowLastColumn="0"/>
              <w:rPr>
                <w:sz w:val="24"/>
                <w:szCs w:val="24"/>
              </w:rPr>
            </w:pPr>
            <w:r w:rsidRPr="00B6712F">
              <w:rPr>
                <w:sz w:val="24"/>
                <w:szCs w:val="24"/>
              </w:rPr>
              <w:t>ACTION PLAN AND TIMEFRAME</w:t>
            </w:r>
          </w:p>
          <w:p w14:paraId="3B01FEB7" w14:textId="0F8083DD" w:rsidR="00C37FFA" w:rsidRPr="00B6712F" w:rsidRDefault="00C37FFA" w:rsidP="00C37FFA">
            <w:pPr>
              <w:spacing w:after="0" w:line="264" w:lineRule="auto"/>
              <w:cnfStyle w:val="100000000000" w:firstRow="1" w:lastRow="0" w:firstColumn="0" w:lastColumn="0" w:oddVBand="0" w:evenVBand="0" w:oddHBand="0" w:evenHBand="0" w:firstRowFirstColumn="0" w:firstRowLastColumn="0" w:lastRowFirstColumn="0" w:lastRowLastColumn="0"/>
              <w:rPr>
                <w:sz w:val="24"/>
                <w:szCs w:val="24"/>
              </w:rPr>
            </w:pPr>
          </w:p>
        </w:tc>
      </w:tr>
      <w:bookmarkEnd w:id="0"/>
      <w:tr w:rsidR="001B4C69" w:rsidRPr="00B01D45" w14:paraId="62FDB4C3" w14:textId="56958BB8" w:rsidTr="00F044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5" w:type="dxa"/>
          </w:tcPr>
          <w:p w14:paraId="467EF1A3" w14:textId="17EEA315" w:rsidR="00C37FFA" w:rsidRPr="00C2467E" w:rsidRDefault="00AF06CB" w:rsidP="008D2FB9">
            <w:pPr>
              <w:spacing w:after="0" w:line="264" w:lineRule="auto"/>
            </w:pPr>
            <w:r>
              <w:t>1</w:t>
            </w:r>
          </w:p>
        </w:tc>
        <w:tc>
          <w:tcPr>
            <w:tcW w:w="3158" w:type="dxa"/>
          </w:tcPr>
          <w:p w14:paraId="671ED4F3" w14:textId="21B5CA94" w:rsidR="001D7435" w:rsidRPr="00BD4211" w:rsidRDefault="00224428" w:rsidP="00AF06CB">
            <w:p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i/>
                <w:iCs/>
              </w:rPr>
            </w:pPr>
            <w:r w:rsidRPr="00234474">
              <w:rPr>
                <w:rFonts w:eastAsia="Times New Roman" w:cstheme="minorHAnsi"/>
                <w:i/>
                <w:iCs/>
                <w:color w:val="000000"/>
                <w:lang w:val="en-AU" w:eastAsia="en-AU"/>
              </w:rPr>
              <w:t>National Department of Education (NDoE) to strengthen coordination with the United Nations Children's Fund (UNICEF).</w:t>
            </w:r>
          </w:p>
        </w:tc>
        <w:tc>
          <w:tcPr>
            <w:tcW w:w="5360" w:type="dxa"/>
          </w:tcPr>
          <w:p w14:paraId="0F08E31E" w14:textId="61016AF4" w:rsidR="00C37FFA" w:rsidRPr="00B80840" w:rsidRDefault="0032572D" w:rsidP="008110BE">
            <w:pPr>
              <w:spacing w:after="0" w:line="264" w:lineRule="auto"/>
              <w:ind w:left="9"/>
              <w:cnfStyle w:val="000000100000" w:firstRow="0" w:lastRow="0" w:firstColumn="0" w:lastColumn="0" w:oddVBand="0" w:evenVBand="0" w:oddHBand="1" w:evenHBand="0" w:firstRowFirstColumn="0" w:firstRowLastColumn="0" w:lastRowFirstColumn="0" w:lastRowLastColumn="0"/>
              <w:rPr>
                <w:rFonts w:cstheme="minorHAnsi"/>
                <w:bCs/>
                <w:lang w:val="en-AU"/>
              </w:rPr>
            </w:pPr>
            <w:r w:rsidRPr="00234474">
              <w:rPr>
                <w:rFonts w:eastAsia="Times New Roman" w:cstheme="minorHAnsi"/>
                <w:color w:val="000000"/>
                <w:lang w:val="en-AU" w:eastAsia="en-AU"/>
              </w:rPr>
              <w:t xml:space="preserve">NDoE, through the education in emergencies (EiE) </w:t>
            </w:r>
            <w:r w:rsidR="00C53434">
              <w:rPr>
                <w:rFonts w:eastAsia="Times New Roman" w:cstheme="minorHAnsi"/>
                <w:color w:val="000000"/>
                <w:lang w:val="en-AU" w:eastAsia="en-AU"/>
              </w:rPr>
              <w:t xml:space="preserve">Technical Working Committee (TWC) </w:t>
            </w:r>
            <w:r w:rsidRPr="00234474">
              <w:rPr>
                <w:rFonts w:eastAsia="Times New Roman" w:cstheme="minorHAnsi"/>
                <w:color w:val="000000"/>
                <w:lang w:val="en-AU" w:eastAsia="en-AU"/>
              </w:rPr>
              <w:t>to ensure that strategies and plans are prepared to ensure that home learning packs) and teacher booster kits are mainstreamed and supported in schools. NDoE should also coordinate with UNICEF to make sure all relevant training is provided to principals and teachers. NDoE should also confirm that educational tools and approaches continue to be utilised in future emergency response or for student absences and where remote learning is required.</w:t>
            </w:r>
          </w:p>
        </w:tc>
        <w:tc>
          <w:tcPr>
            <w:tcW w:w="2357" w:type="dxa"/>
          </w:tcPr>
          <w:p w14:paraId="3D0280B4" w14:textId="1B7E1090" w:rsidR="006E0E7D" w:rsidRPr="00C2467E" w:rsidRDefault="00AF06CB" w:rsidP="008D2FB9">
            <w:pPr>
              <w:spacing w:after="0" w:line="264" w:lineRule="auto"/>
              <w:cnfStyle w:val="000000100000" w:firstRow="0" w:lastRow="0" w:firstColumn="0" w:lastColumn="0" w:oddVBand="0" w:evenVBand="0" w:oddHBand="1" w:evenHBand="0" w:firstRowFirstColumn="0" w:firstRowLastColumn="0" w:lastRowFirstColumn="0" w:lastRowLastColumn="0"/>
            </w:pPr>
            <w:r>
              <w:t>Agree</w:t>
            </w:r>
          </w:p>
        </w:tc>
        <w:tc>
          <w:tcPr>
            <w:tcW w:w="2609" w:type="dxa"/>
          </w:tcPr>
          <w:p w14:paraId="421DF87F" w14:textId="12405789" w:rsidR="00C37FFA" w:rsidRPr="00B80840" w:rsidRDefault="00B80840" w:rsidP="00E630D5">
            <w:p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234474">
              <w:rPr>
                <w:rFonts w:eastAsia="Times New Roman" w:cstheme="minorHAnsi"/>
                <w:color w:val="000000"/>
                <w:lang w:val="en-AU" w:eastAsia="en-AU"/>
              </w:rPr>
              <w:t>To be referred to NDoE for consideration.</w:t>
            </w:r>
          </w:p>
        </w:tc>
      </w:tr>
      <w:tr w:rsidR="00AF06CB" w:rsidRPr="00B01D45" w14:paraId="00E4294D" w14:textId="12D2F422" w:rsidTr="00F044BE">
        <w:trPr>
          <w:trHeight w:val="20"/>
        </w:trPr>
        <w:tc>
          <w:tcPr>
            <w:cnfStyle w:val="001000000000" w:firstRow="0" w:lastRow="0" w:firstColumn="1" w:lastColumn="0" w:oddVBand="0" w:evenVBand="0" w:oddHBand="0" w:evenHBand="0" w:firstRowFirstColumn="0" w:firstRowLastColumn="0" w:lastRowFirstColumn="0" w:lastRowLastColumn="0"/>
            <w:tcW w:w="975" w:type="dxa"/>
          </w:tcPr>
          <w:p w14:paraId="3A0C85E4" w14:textId="25442951" w:rsidR="00AF06CB" w:rsidRPr="00C2467E" w:rsidRDefault="00AF06CB" w:rsidP="00AF06CB">
            <w:pPr>
              <w:spacing w:after="0" w:line="264" w:lineRule="auto"/>
            </w:pPr>
            <w:bookmarkStart w:id="1" w:name="_Hlk87007576"/>
            <w:r>
              <w:t>2</w:t>
            </w:r>
          </w:p>
        </w:tc>
        <w:tc>
          <w:tcPr>
            <w:tcW w:w="3158" w:type="dxa"/>
          </w:tcPr>
          <w:p w14:paraId="37A3F510" w14:textId="330969E7" w:rsidR="00AF06CB" w:rsidRPr="00F93B82" w:rsidRDefault="00F93B82" w:rsidP="00F93B82">
            <w:p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i/>
                <w:iCs/>
                <w:lang w:val="en-AU"/>
              </w:rPr>
            </w:pPr>
            <w:r w:rsidRPr="00234474">
              <w:rPr>
                <w:rFonts w:eastAsia="Times New Roman" w:cstheme="minorHAnsi"/>
                <w:i/>
                <w:iCs/>
                <w:color w:val="000000"/>
                <w:lang w:val="en-AU" w:eastAsia="en-AU"/>
              </w:rPr>
              <w:t>NDoE to strengthen its communication and engagement with provincial and district education authorities.</w:t>
            </w:r>
          </w:p>
        </w:tc>
        <w:tc>
          <w:tcPr>
            <w:tcW w:w="5360" w:type="dxa"/>
          </w:tcPr>
          <w:p w14:paraId="0D7948A2" w14:textId="6F0EAEC5" w:rsidR="00AF06CB" w:rsidRPr="00880362" w:rsidRDefault="00880362" w:rsidP="00084900">
            <w:pPr>
              <w:pStyle w:val="Bulletlist1HDME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495965" w:themeColor="text2"/>
              </w:rPr>
            </w:pPr>
            <w:r w:rsidRPr="00234474">
              <w:rPr>
                <w:rFonts w:asciiTheme="minorHAnsi" w:eastAsia="Times New Roman" w:hAnsiTheme="minorHAnsi" w:cstheme="minorHAnsi"/>
                <w:color w:val="000000"/>
                <w:lang w:eastAsia="en-AU"/>
              </w:rPr>
              <w:t xml:space="preserve">NDoE to review current communication and engagement protocols with Provincial and District authorities to ensure there is a clear and consistent chain of command for future emergency responses. At present provincial authorities tend to be excluded from information sharing and are often not engaged in decision-making which leads to independent and ad hoc decisions and approaches being applied that often contradict national guidance </w:t>
            </w:r>
          </w:p>
        </w:tc>
        <w:tc>
          <w:tcPr>
            <w:tcW w:w="2357" w:type="dxa"/>
          </w:tcPr>
          <w:p w14:paraId="2903AE27" w14:textId="62410E44" w:rsidR="00AF06CB" w:rsidRPr="00AF06CB"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r>
              <w:t>Agree</w:t>
            </w:r>
          </w:p>
          <w:p w14:paraId="0D3CCBD6" w14:textId="77777777" w:rsidR="00AF06CB" w:rsidRPr="00150A12"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p w14:paraId="2278230C" w14:textId="352EAB35" w:rsidR="00AF06CB" w:rsidRPr="00C2467E" w:rsidRDefault="00AF06CB" w:rsidP="00AF06CB">
            <w:pPr>
              <w:spacing w:after="0" w:line="264" w:lineRule="auto"/>
              <w:cnfStyle w:val="000000000000" w:firstRow="0" w:lastRow="0" w:firstColumn="0" w:lastColumn="0" w:oddVBand="0" w:evenVBand="0" w:oddHBand="0" w:evenHBand="0" w:firstRowFirstColumn="0" w:firstRowLastColumn="0" w:lastRowFirstColumn="0" w:lastRowLastColumn="0"/>
            </w:pPr>
          </w:p>
        </w:tc>
        <w:tc>
          <w:tcPr>
            <w:tcW w:w="2609" w:type="dxa"/>
          </w:tcPr>
          <w:p w14:paraId="41EC8794" w14:textId="6105984A" w:rsidR="00AF06CB" w:rsidRPr="00181920" w:rsidRDefault="00181920" w:rsidP="00AF06CB">
            <w:p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234474">
              <w:rPr>
                <w:rFonts w:eastAsia="Times New Roman" w:cstheme="minorHAnsi"/>
                <w:color w:val="000000"/>
                <w:lang w:val="en-AU" w:eastAsia="en-AU"/>
              </w:rPr>
              <w:t>To be referred to NDoE for consideration.</w:t>
            </w:r>
          </w:p>
        </w:tc>
      </w:tr>
      <w:bookmarkEnd w:id="1"/>
    </w:tbl>
    <w:p w14:paraId="64D8F2DE" w14:textId="43875703" w:rsidR="00C37FFA" w:rsidRDefault="00C37FFA" w:rsidP="00C37FFA">
      <w:pPr>
        <w:spacing w:after="0" w:line="120" w:lineRule="auto"/>
      </w:pPr>
    </w:p>
    <w:p w14:paraId="71EA2110" w14:textId="274552AE" w:rsidR="00C37FFA" w:rsidRDefault="00C37FFA" w:rsidP="00C37FFA">
      <w:pPr>
        <w:spacing w:after="0" w:line="276" w:lineRule="auto"/>
        <w:rPr>
          <w:b/>
          <w:bCs/>
          <w:sz w:val="24"/>
          <w:szCs w:val="24"/>
        </w:rPr>
      </w:pPr>
    </w:p>
    <w:p w14:paraId="2981B375" w14:textId="6FCE4599" w:rsidR="005417B9" w:rsidRDefault="005417B9" w:rsidP="00C37FFA">
      <w:pPr>
        <w:spacing w:after="0" w:line="276" w:lineRule="auto"/>
        <w:rPr>
          <w:b/>
          <w:bCs/>
          <w:sz w:val="24"/>
          <w:szCs w:val="24"/>
        </w:rPr>
      </w:pPr>
    </w:p>
    <w:p w14:paraId="57510454" w14:textId="77777777" w:rsidR="005417B9" w:rsidRDefault="005417B9" w:rsidP="00C37FFA">
      <w:pPr>
        <w:spacing w:after="0" w:line="276" w:lineRule="auto"/>
        <w:rPr>
          <w:b/>
          <w:bCs/>
          <w:sz w:val="24"/>
          <w:szCs w:val="24"/>
        </w:rPr>
      </w:pPr>
    </w:p>
    <w:p w14:paraId="320DA66B" w14:textId="77777777" w:rsidR="00460328" w:rsidRDefault="00460328" w:rsidP="00C37FFA">
      <w:pPr>
        <w:spacing w:after="0" w:line="276" w:lineRule="auto"/>
        <w:rPr>
          <w:b/>
          <w:bCs/>
          <w:sz w:val="24"/>
          <w:szCs w:val="24"/>
        </w:rPr>
      </w:pPr>
    </w:p>
    <w:tbl>
      <w:tblPr>
        <w:tblStyle w:val="GridTable4-Accent1"/>
        <w:tblW w:w="14459" w:type="dxa"/>
        <w:tblLook w:val="04A0" w:firstRow="1" w:lastRow="0" w:firstColumn="1" w:lastColumn="0" w:noHBand="0" w:noVBand="1"/>
      </w:tblPr>
      <w:tblGrid>
        <w:gridCol w:w="526"/>
        <w:gridCol w:w="3580"/>
        <w:gridCol w:w="5387"/>
        <w:gridCol w:w="2268"/>
        <w:gridCol w:w="2698"/>
      </w:tblGrid>
      <w:tr w:rsidR="00AD2249" w:rsidRPr="00B6712F" w14:paraId="4982F25D" w14:textId="77777777" w:rsidTr="00376B9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26" w:type="dxa"/>
            <w:shd w:val="clear" w:color="auto" w:fill="A2DCD1" w:themeFill="accent1" w:themeFillTint="99"/>
          </w:tcPr>
          <w:p w14:paraId="532154BD" w14:textId="28F2514F" w:rsidR="00A3217B" w:rsidRPr="00C2467E" w:rsidRDefault="00A3217B" w:rsidP="00A01C90">
            <w:pPr>
              <w:spacing w:after="0" w:line="264" w:lineRule="auto"/>
            </w:pPr>
            <w:r>
              <w:lastRenderedPageBreak/>
              <w:t>No.</w:t>
            </w:r>
          </w:p>
        </w:tc>
        <w:tc>
          <w:tcPr>
            <w:tcW w:w="3580" w:type="dxa"/>
            <w:shd w:val="clear" w:color="auto" w:fill="A2DCD1" w:themeFill="accent1" w:themeFillTint="99"/>
          </w:tcPr>
          <w:p w14:paraId="40BCA795" w14:textId="77777777" w:rsidR="00A3217B" w:rsidRPr="00C2467E" w:rsidRDefault="00A3217B" w:rsidP="00A01C90">
            <w:pPr>
              <w:spacing w:after="0" w:line="264" w:lineRule="auto"/>
              <w:cnfStyle w:val="100000000000" w:firstRow="1" w:lastRow="0" w:firstColumn="0" w:lastColumn="0" w:oddVBand="0" w:evenVBand="0" w:oddHBand="0" w:evenHBand="0" w:firstRowFirstColumn="0" w:firstRowLastColumn="0" w:lastRowFirstColumn="0" w:lastRowLastColumn="0"/>
            </w:pPr>
            <w:r>
              <w:t>SUMMARY OF KEY FINDINGS</w:t>
            </w:r>
          </w:p>
        </w:tc>
        <w:tc>
          <w:tcPr>
            <w:tcW w:w="5387" w:type="dxa"/>
            <w:shd w:val="clear" w:color="auto" w:fill="A2DCD1" w:themeFill="accent1" w:themeFillTint="99"/>
          </w:tcPr>
          <w:p w14:paraId="2075DF90" w14:textId="77777777" w:rsidR="00A3217B" w:rsidRPr="00C2467E" w:rsidRDefault="00A3217B" w:rsidP="00A01C90">
            <w:pPr>
              <w:spacing w:after="0" w:line="264" w:lineRule="auto"/>
              <w:cnfStyle w:val="100000000000" w:firstRow="1" w:lastRow="0" w:firstColumn="0" w:lastColumn="0" w:oddVBand="0" w:evenVBand="0" w:oddHBand="0" w:evenHBand="0" w:firstRowFirstColumn="0" w:firstRowLastColumn="0" w:lastRowFirstColumn="0" w:lastRowLastColumn="0"/>
            </w:pPr>
            <w:r>
              <w:t>RECOMMENDATIONS</w:t>
            </w:r>
          </w:p>
        </w:tc>
        <w:tc>
          <w:tcPr>
            <w:tcW w:w="2268" w:type="dxa"/>
            <w:shd w:val="clear" w:color="auto" w:fill="A2DCD1" w:themeFill="accent1" w:themeFillTint="99"/>
          </w:tcPr>
          <w:p w14:paraId="650E6862" w14:textId="77777777" w:rsidR="00A3217B" w:rsidRDefault="00A3217B" w:rsidP="00A01C90">
            <w:pPr>
              <w:spacing w:after="0" w:line="264" w:lineRule="auto"/>
              <w:cnfStyle w:val="100000000000" w:firstRow="1" w:lastRow="0" w:firstColumn="0" w:lastColumn="0" w:oddVBand="0" w:evenVBand="0" w:oddHBand="0" w:evenHBand="0" w:firstRowFirstColumn="0" w:firstRowLastColumn="0" w:lastRowFirstColumn="0" w:lastRowLastColumn="0"/>
            </w:pPr>
            <w:r w:rsidRPr="00B6712F">
              <w:rPr>
                <w:sz w:val="24"/>
                <w:szCs w:val="24"/>
              </w:rPr>
              <w:t>RESPONSE (AGREE/PARTIALLY AGREE/DISAGREE)</w:t>
            </w:r>
          </w:p>
        </w:tc>
        <w:tc>
          <w:tcPr>
            <w:tcW w:w="2698" w:type="dxa"/>
            <w:shd w:val="clear" w:color="auto" w:fill="A2DCD1" w:themeFill="accent1" w:themeFillTint="99"/>
          </w:tcPr>
          <w:p w14:paraId="74C765F8" w14:textId="77777777" w:rsidR="00A3217B" w:rsidRPr="00B6712F" w:rsidRDefault="00A3217B" w:rsidP="00A01C90">
            <w:pPr>
              <w:cnfStyle w:val="100000000000" w:firstRow="1" w:lastRow="0" w:firstColumn="0" w:lastColumn="0" w:oddVBand="0" w:evenVBand="0" w:oddHBand="0" w:evenHBand="0" w:firstRowFirstColumn="0" w:firstRowLastColumn="0" w:lastRowFirstColumn="0" w:lastRowLastColumn="0"/>
              <w:rPr>
                <w:sz w:val="24"/>
                <w:szCs w:val="24"/>
              </w:rPr>
            </w:pPr>
            <w:r w:rsidRPr="00B6712F">
              <w:rPr>
                <w:sz w:val="24"/>
                <w:szCs w:val="24"/>
              </w:rPr>
              <w:t>ACTION PLAN AND TIMEFRAME</w:t>
            </w:r>
          </w:p>
          <w:p w14:paraId="2D2041A4" w14:textId="5BF0B8F3" w:rsidR="00A3217B" w:rsidRPr="00B6712F" w:rsidRDefault="00A3217B" w:rsidP="00A01C90">
            <w:pPr>
              <w:spacing w:after="0" w:line="264"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00031368" w:rsidRPr="00B01D45" w14:paraId="3A38B195" w14:textId="77777777" w:rsidTr="00D60B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6" w:type="dxa"/>
          </w:tcPr>
          <w:p w14:paraId="08F0E6A1" w14:textId="28F2514F" w:rsidR="00031368" w:rsidRPr="00031368" w:rsidRDefault="00031368" w:rsidP="00031368">
            <w:pPr>
              <w:spacing w:after="0" w:line="264" w:lineRule="auto"/>
              <w:rPr>
                <w:lang w:val="en-AU"/>
              </w:rPr>
            </w:pPr>
            <w:r w:rsidRPr="00031368">
              <w:rPr>
                <w:lang w:val="en-AU"/>
              </w:rPr>
              <w:t>3</w:t>
            </w:r>
          </w:p>
        </w:tc>
        <w:tc>
          <w:tcPr>
            <w:tcW w:w="3580" w:type="dxa"/>
          </w:tcPr>
          <w:p w14:paraId="661C6651" w14:textId="4754B46C" w:rsidR="00031368" w:rsidRPr="00031B38" w:rsidRDefault="00031B38" w:rsidP="00031368">
            <w:p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i/>
                <w:iCs/>
                <w:lang w:val="en-AU"/>
              </w:rPr>
            </w:pPr>
            <w:r w:rsidRPr="00234474">
              <w:rPr>
                <w:rFonts w:eastAsia="Times New Roman" w:cstheme="minorHAnsi"/>
                <w:i/>
                <w:iCs/>
                <w:color w:val="000000"/>
                <w:lang w:val="en-AU" w:eastAsia="en-AU"/>
              </w:rPr>
              <w:t>UNICEF to strengthen oversight and quality assurance in program implementation.</w:t>
            </w:r>
          </w:p>
        </w:tc>
        <w:tc>
          <w:tcPr>
            <w:tcW w:w="5387" w:type="dxa"/>
          </w:tcPr>
          <w:p w14:paraId="6960DE32" w14:textId="1D06DDC0" w:rsidR="00031368" w:rsidRPr="00FC71E5" w:rsidRDefault="00FC71E5" w:rsidP="00031368">
            <w:p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lang w:val="en-AU"/>
              </w:rPr>
            </w:pPr>
            <w:r w:rsidRPr="00234474">
              <w:rPr>
                <w:rFonts w:eastAsia="Times New Roman" w:cstheme="minorHAnsi"/>
                <w:color w:val="000000"/>
                <w:lang w:val="en-AU" w:eastAsia="en-AU"/>
              </w:rPr>
              <w:t>UNICEF to initiate a series of audits and spot-checks in coordination with sub-grantees to ensure that all resources have been procured and distributed according to agreed schedules and plans and to update the reporting of results to reflect an accurate picture of what has been achieved to date.</w:t>
            </w:r>
          </w:p>
        </w:tc>
        <w:tc>
          <w:tcPr>
            <w:tcW w:w="2268" w:type="dxa"/>
          </w:tcPr>
          <w:p w14:paraId="44391B86" w14:textId="0B7424FC" w:rsidR="00031368" w:rsidRPr="00C2467E" w:rsidRDefault="00031368" w:rsidP="00031368">
            <w:pPr>
              <w:spacing w:after="0" w:line="264" w:lineRule="auto"/>
              <w:cnfStyle w:val="000000100000" w:firstRow="0" w:lastRow="0" w:firstColumn="0" w:lastColumn="0" w:oddVBand="0" w:evenVBand="0" w:oddHBand="1" w:evenHBand="0" w:firstRowFirstColumn="0" w:firstRowLastColumn="0" w:lastRowFirstColumn="0" w:lastRowLastColumn="0"/>
            </w:pPr>
            <w:r>
              <w:t xml:space="preserve">Agree      </w:t>
            </w:r>
          </w:p>
        </w:tc>
        <w:tc>
          <w:tcPr>
            <w:tcW w:w="2698" w:type="dxa"/>
          </w:tcPr>
          <w:p w14:paraId="5DE1CB14" w14:textId="4FECC445" w:rsidR="00031368" w:rsidRPr="006A6DA1" w:rsidRDefault="006A6DA1" w:rsidP="00031368">
            <w:p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234474">
              <w:rPr>
                <w:rFonts w:eastAsia="Times New Roman" w:cstheme="minorHAnsi"/>
                <w:color w:val="000000"/>
                <w:lang w:val="en-AU" w:eastAsia="en-AU"/>
              </w:rPr>
              <w:t>To be referred to UNICEF for consideration.</w:t>
            </w:r>
          </w:p>
        </w:tc>
      </w:tr>
      <w:tr w:rsidR="006F28D6" w:rsidRPr="00B01D45" w14:paraId="159403C5" w14:textId="77777777" w:rsidTr="00D60BED">
        <w:trPr>
          <w:trHeight w:val="20"/>
        </w:trPr>
        <w:tc>
          <w:tcPr>
            <w:cnfStyle w:val="001000000000" w:firstRow="0" w:lastRow="0" w:firstColumn="1" w:lastColumn="0" w:oddVBand="0" w:evenVBand="0" w:oddHBand="0" w:evenHBand="0" w:firstRowFirstColumn="0" w:firstRowLastColumn="0" w:lastRowFirstColumn="0" w:lastRowLastColumn="0"/>
            <w:tcW w:w="526" w:type="dxa"/>
          </w:tcPr>
          <w:p w14:paraId="7E4E26BC" w14:textId="2220A083" w:rsidR="006F28D6" w:rsidRPr="00C2467E" w:rsidRDefault="006F28D6" w:rsidP="006F28D6">
            <w:pPr>
              <w:spacing w:after="0" w:line="264" w:lineRule="auto"/>
            </w:pPr>
            <w:r>
              <w:t>4</w:t>
            </w:r>
          </w:p>
        </w:tc>
        <w:tc>
          <w:tcPr>
            <w:tcW w:w="3580" w:type="dxa"/>
          </w:tcPr>
          <w:p w14:paraId="5C58B720" w14:textId="00F88933" w:rsidR="006F28D6" w:rsidRPr="004457A7" w:rsidRDefault="006F28D6" w:rsidP="006F28D6">
            <w:p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i/>
                <w:iCs/>
                <w:lang w:val="en-AU"/>
              </w:rPr>
            </w:pPr>
            <w:r w:rsidRPr="00234474">
              <w:rPr>
                <w:rFonts w:eastAsia="Times New Roman" w:cstheme="minorHAnsi"/>
                <w:i/>
                <w:iCs/>
                <w:color w:val="000000"/>
                <w:lang w:val="en-AU" w:eastAsia="en-AU"/>
              </w:rPr>
              <w:t xml:space="preserve">In emergencies, </w:t>
            </w:r>
            <w:r w:rsidRPr="004457A7">
              <w:rPr>
                <w:rFonts w:eastAsia="Times New Roman" w:cstheme="minorHAnsi"/>
                <w:i/>
                <w:iCs/>
                <w:color w:val="000000"/>
                <w:lang w:val="en-AU" w:eastAsia="en-AU"/>
              </w:rPr>
              <w:t>basic resources</w:t>
            </w:r>
            <w:r w:rsidRPr="00234474">
              <w:rPr>
                <w:rFonts w:eastAsia="Times New Roman" w:cstheme="minorHAnsi"/>
                <w:i/>
                <w:iCs/>
                <w:color w:val="000000"/>
                <w:lang w:val="en-AU" w:eastAsia="en-AU"/>
              </w:rPr>
              <w:t xml:space="preserve"> should be provided to schools without delay while more targeted resourcing is planned and procured.</w:t>
            </w:r>
          </w:p>
        </w:tc>
        <w:tc>
          <w:tcPr>
            <w:tcW w:w="5387" w:type="dxa"/>
          </w:tcPr>
          <w:p w14:paraId="5331FC1B" w14:textId="37AAF084" w:rsidR="006F28D6" w:rsidRPr="0015049C" w:rsidRDefault="006F28D6" w:rsidP="006F28D6">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495965" w:themeColor="text2"/>
              </w:rPr>
            </w:pPr>
            <w:r w:rsidRPr="00234474">
              <w:rPr>
                <w:rFonts w:asciiTheme="minorHAnsi" w:eastAsia="Times New Roman" w:hAnsiTheme="minorHAnsi" w:cstheme="minorHAnsi"/>
                <w:color w:val="000000"/>
                <w:lang w:eastAsia="en-AU"/>
              </w:rPr>
              <w:t>NDoE and development partners, in response to future emergencies, should focus more on immediate resourcing needs of schools while other more longer-term resources are developed.</w:t>
            </w:r>
          </w:p>
        </w:tc>
        <w:tc>
          <w:tcPr>
            <w:tcW w:w="2268" w:type="dxa"/>
          </w:tcPr>
          <w:p w14:paraId="40705AE8" w14:textId="5123D497" w:rsidR="006F28D6" w:rsidRPr="00C2467E" w:rsidRDefault="006F28D6" w:rsidP="006F28D6">
            <w:pPr>
              <w:spacing w:after="0" w:line="264" w:lineRule="auto"/>
              <w:cnfStyle w:val="000000000000" w:firstRow="0" w:lastRow="0" w:firstColumn="0" w:lastColumn="0" w:oddVBand="0" w:evenVBand="0" w:oddHBand="0" w:evenHBand="0" w:firstRowFirstColumn="0" w:firstRowLastColumn="0" w:lastRowFirstColumn="0" w:lastRowLastColumn="0"/>
            </w:pPr>
            <w:r>
              <w:t>Agree</w:t>
            </w:r>
          </w:p>
        </w:tc>
        <w:tc>
          <w:tcPr>
            <w:tcW w:w="2698" w:type="dxa"/>
          </w:tcPr>
          <w:p w14:paraId="6CF8885B" w14:textId="52BE5425" w:rsidR="006F28D6" w:rsidRPr="006F28D6" w:rsidRDefault="006F28D6" w:rsidP="006F28D6">
            <w:p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234474">
              <w:rPr>
                <w:rFonts w:eastAsia="Times New Roman" w:cstheme="minorHAnsi"/>
                <w:color w:val="000000"/>
                <w:lang w:val="en-AU" w:eastAsia="en-AU"/>
              </w:rPr>
              <w:t>To be referred to NDoE and UNICEF for</w:t>
            </w:r>
            <w:r w:rsidR="00945877">
              <w:rPr>
                <w:rFonts w:eastAsia="Times New Roman" w:cstheme="minorHAnsi"/>
                <w:color w:val="000000"/>
                <w:lang w:val="en-AU" w:eastAsia="en-AU"/>
              </w:rPr>
              <w:t xml:space="preserve"> </w:t>
            </w:r>
            <w:r w:rsidRPr="00234474">
              <w:rPr>
                <w:rFonts w:eastAsia="Times New Roman" w:cstheme="minorHAnsi"/>
                <w:color w:val="000000"/>
                <w:lang w:val="en-AU" w:eastAsia="en-AU"/>
              </w:rPr>
              <w:t>consideration.                      DFAT to consider in responding to future emergencies.</w:t>
            </w:r>
          </w:p>
        </w:tc>
      </w:tr>
      <w:tr w:rsidR="006F28D6" w:rsidRPr="00B01D45" w14:paraId="677C9E3E" w14:textId="77777777" w:rsidTr="00D60B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6" w:type="dxa"/>
          </w:tcPr>
          <w:p w14:paraId="2D585661" w14:textId="32CFAF3A" w:rsidR="006F28D6" w:rsidRDefault="006F28D6" w:rsidP="006F28D6">
            <w:pPr>
              <w:spacing w:after="0" w:line="264" w:lineRule="auto"/>
            </w:pPr>
            <w:r>
              <w:t>5</w:t>
            </w:r>
          </w:p>
        </w:tc>
        <w:tc>
          <w:tcPr>
            <w:tcW w:w="3580" w:type="dxa"/>
          </w:tcPr>
          <w:p w14:paraId="30F68A00" w14:textId="5B11E71D" w:rsidR="006F28D6" w:rsidRPr="000A0CD1" w:rsidRDefault="000A0CD1" w:rsidP="006F28D6">
            <w:p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b/>
                <w:bCs/>
                <w:i/>
                <w:iCs/>
                <w:lang w:val="en-AU"/>
              </w:rPr>
            </w:pPr>
            <w:r w:rsidRPr="00234474">
              <w:rPr>
                <w:rFonts w:eastAsia="Times New Roman" w:cstheme="minorHAnsi"/>
                <w:i/>
                <w:iCs/>
                <w:color w:val="000000"/>
                <w:lang w:val="en-AU" w:eastAsia="en-AU"/>
              </w:rPr>
              <w:t>National and provincial education budgets do not include provision for emergency funding</w:t>
            </w:r>
            <w:r w:rsidRPr="00234474">
              <w:rPr>
                <w:rFonts w:eastAsia="Times New Roman" w:cstheme="minorHAnsi"/>
                <w:color w:val="000000"/>
                <w:lang w:val="en-AU" w:eastAsia="en-AU"/>
              </w:rPr>
              <w:t xml:space="preserve">.  </w:t>
            </w:r>
          </w:p>
        </w:tc>
        <w:tc>
          <w:tcPr>
            <w:tcW w:w="5387" w:type="dxa"/>
          </w:tcPr>
          <w:p w14:paraId="7D18F5C4" w14:textId="6AAEDE90" w:rsidR="006F28D6" w:rsidRPr="001B62C8" w:rsidRDefault="00B42D0E" w:rsidP="000A0CD1">
            <w:pPr>
              <w:pStyle w:val="Bulletlist1HDME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495965" w:themeColor="text2"/>
                <w:lang w:val="en-GB"/>
              </w:rPr>
            </w:pPr>
            <w:r w:rsidRPr="00234474">
              <w:rPr>
                <w:rFonts w:asciiTheme="minorHAnsi" w:eastAsia="Times New Roman" w:hAnsiTheme="minorHAnsi" w:cstheme="minorHAnsi"/>
                <w:color w:val="000000"/>
                <w:lang w:eastAsia="en-AU"/>
              </w:rPr>
              <w:t xml:space="preserve">In response to the recommendation </w:t>
            </w:r>
            <w:r w:rsidR="00D91091">
              <w:rPr>
                <w:rFonts w:asciiTheme="minorHAnsi" w:eastAsia="Times New Roman" w:hAnsiTheme="minorHAnsi" w:cstheme="minorHAnsi"/>
                <w:color w:val="000000"/>
                <w:lang w:eastAsia="en-AU"/>
              </w:rPr>
              <w:t>4</w:t>
            </w:r>
            <w:r w:rsidRPr="00234474">
              <w:rPr>
                <w:rFonts w:asciiTheme="minorHAnsi" w:eastAsia="Times New Roman" w:hAnsiTheme="minorHAnsi" w:cstheme="minorHAnsi"/>
                <w:color w:val="000000"/>
                <w:lang w:eastAsia="en-AU"/>
              </w:rPr>
              <w:t xml:space="preserve">, NDoE and provincial education authorities should discuss and consider the allocation of emergency budget lines that could be mobilised at short notice to </w:t>
            </w:r>
            <w:r w:rsidR="00D91091" w:rsidRPr="00234474">
              <w:rPr>
                <w:rFonts w:asciiTheme="minorHAnsi" w:eastAsia="Times New Roman" w:hAnsiTheme="minorHAnsi" w:cstheme="minorHAnsi"/>
                <w:color w:val="000000"/>
                <w:lang w:eastAsia="en-AU"/>
              </w:rPr>
              <w:t>respon</w:t>
            </w:r>
            <w:r w:rsidR="00D91091">
              <w:rPr>
                <w:rFonts w:asciiTheme="minorHAnsi" w:eastAsia="Times New Roman" w:hAnsiTheme="minorHAnsi" w:cstheme="minorHAnsi"/>
                <w:color w:val="000000"/>
                <w:lang w:eastAsia="en-AU"/>
              </w:rPr>
              <w:t>d</w:t>
            </w:r>
            <w:r w:rsidR="00D91091" w:rsidRPr="00234474">
              <w:rPr>
                <w:rFonts w:asciiTheme="minorHAnsi" w:eastAsia="Times New Roman" w:hAnsiTheme="minorHAnsi" w:cstheme="minorHAnsi"/>
                <w:color w:val="000000"/>
                <w:lang w:eastAsia="en-AU"/>
              </w:rPr>
              <w:t xml:space="preserve"> </w:t>
            </w:r>
            <w:r w:rsidRPr="00234474">
              <w:rPr>
                <w:rFonts w:asciiTheme="minorHAnsi" w:eastAsia="Times New Roman" w:hAnsiTheme="minorHAnsi" w:cstheme="minorHAnsi"/>
                <w:color w:val="000000"/>
                <w:lang w:eastAsia="en-AU"/>
              </w:rPr>
              <w:t>to all emergencies.</w:t>
            </w:r>
          </w:p>
        </w:tc>
        <w:tc>
          <w:tcPr>
            <w:tcW w:w="2268" w:type="dxa"/>
          </w:tcPr>
          <w:p w14:paraId="41996341" w14:textId="4E0F53CB" w:rsidR="006F28D6" w:rsidRPr="00C2467E" w:rsidRDefault="006F28D6" w:rsidP="006F28D6">
            <w:pPr>
              <w:spacing w:after="0" w:line="264" w:lineRule="auto"/>
              <w:cnfStyle w:val="000000100000" w:firstRow="0" w:lastRow="0" w:firstColumn="0" w:lastColumn="0" w:oddVBand="0" w:evenVBand="0" w:oddHBand="1" w:evenHBand="0" w:firstRowFirstColumn="0" w:firstRowLastColumn="0" w:lastRowFirstColumn="0" w:lastRowLastColumn="0"/>
            </w:pPr>
            <w:r>
              <w:t>Agree</w:t>
            </w:r>
          </w:p>
        </w:tc>
        <w:tc>
          <w:tcPr>
            <w:tcW w:w="2698" w:type="dxa"/>
          </w:tcPr>
          <w:p w14:paraId="3481829D" w14:textId="4FE7AEC8" w:rsidR="006F28D6" w:rsidRPr="0030127C" w:rsidRDefault="0030127C" w:rsidP="006F28D6">
            <w:p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234474">
              <w:rPr>
                <w:rFonts w:eastAsia="Times New Roman" w:cstheme="minorHAnsi"/>
                <w:color w:val="000000"/>
                <w:lang w:val="en-AU" w:eastAsia="en-AU"/>
              </w:rPr>
              <w:t>To be referred to NDoE for consideration.</w:t>
            </w:r>
          </w:p>
        </w:tc>
      </w:tr>
      <w:tr w:rsidR="006F28D6" w:rsidRPr="001A52D9" w14:paraId="1CDEC3C2" w14:textId="77777777" w:rsidTr="00D60BED">
        <w:trPr>
          <w:trHeight w:val="20"/>
        </w:trPr>
        <w:tc>
          <w:tcPr>
            <w:cnfStyle w:val="001000000000" w:firstRow="0" w:lastRow="0" w:firstColumn="1" w:lastColumn="0" w:oddVBand="0" w:evenVBand="0" w:oddHBand="0" w:evenHBand="0" w:firstRowFirstColumn="0" w:firstRowLastColumn="0" w:lastRowFirstColumn="0" w:lastRowLastColumn="0"/>
            <w:tcW w:w="526" w:type="dxa"/>
          </w:tcPr>
          <w:p w14:paraId="2DC63051" w14:textId="77777777" w:rsidR="006F28D6" w:rsidRDefault="006F28D6" w:rsidP="006F28D6">
            <w:pPr>
              <w:pStyle w:val="Bulletlist1HDMES"/>
              <w:numPr>
                <w:ilvl w:val="0"/>
                <w:numId w:val="0"/>
              </w:numPr>
              <w:ind w:left="15"/>
              <w:rPr>
                <w:rFonts w:asciiTheme="minorHAnsi" w:eastAsiaTheme="minorHAnsi" w:hAnsiTheme="minorHAnsi" w:cstheme="minorBidi"/>
                <w:b w:val="0"/>
                <w:bCs w:val="0"/>
                <w:color w:val="495965" w:themeColor="text2"/>
                <w:lang w:val="en-GB"/>
              </w:rPr>
            </w:pPr>
            <w:r w:rsidRPr="001A52D9">
              <w:rPr>
                <w:rFonts w:asciiTheme="minorHAnsi" w:eastAsiaTheme="minorHAnsi" w:hAnsiTheme="minorHAnsi" w:cstheme="minorBidi"/>
                <w:color w:val="495965" w:themeColor="text2"/>
                <w:lang w:val="en-GB"/>
              </w:rPr>
              <w:t>6</w:t>
            </w:r>
          </w:p>
          <w:p w14:paraId="2D85EA1A" w14:textId="77777777" w:rsidR="00376B9B" w:rsidRDefault="00376B9B" w:rsidP="006F28D6">
            <w:pPr>
              <w:pStyle w:val="Bulletlist1HDMES"/>
              <w:numPr>
                <w:ilvl w:val="0"/>
                <w:numId w:val="0"/>
              </w:numPr>
              <w:ind w:left="15"/>
              <w:rPr>
                <w:rFonts w:asciiTheme="minorHAnsi" w:eastAsiaTheme="minorHAnsi" w:hAnsiTheme="minorHAnsi" w:cstheme="minorBidi"/>
                <w:b w:val="0"/>
                <w:bCs w:val="0"/>
                <w:color w:val="495965" w:themeColor="text2"/>
                <w:lang w:val="en-GB"/>
              </w:rPr>
            </w:pPr>
          </w:p>
          <w:p w14:paraId="1B93C00B" w14:textId="77777777" w:rsidR="00376B9B" w:rsidRDefault="00376B9B" w:rsidP="006F28D6">
            <w:pPr>
              <w:pStyle w:val="Bulletlist1HDMES"/>
              <w:numPr>
                <w:ilvl w:val="0"/>
                <w:numId w:val="0"/>
              </w:numPr>
              <w:ind w:left="15"/>
              <w:rPr>
                <w:rFonts w:asciiTheme="minorHAnsi" w:eastAsiaTheme="minorHAnsi" w:hAnsiTheme="minorHAnsi" w:cstheme="minorBidi"/>
                <w:b w:val="0"/>
                <w:bCs w:val="0"/>
                <w:color w:val="495965" w:themeColor="text2"/>
                <w:lang w:val="en-GB"/>
              </w:rPr>
            </w:pPr>
          </w:p>
          <w:p w14:paraId="0DDF7687" w14:textId="77777777" w:rsidR="00376B9B" w:rsidRDefault="00376B9B" w:rsidP="006F28D6">
            <w:pPr>
              <w:pStyle w:val="Bulletlist1HDMES"/>
              <w:numPr>
                <w:ilvl w:val="0"/>
                <w:numId w:val="0"/>
              </w:numPr>
              <w:ind w:left="15"/>
              <w:rPr>
                <w:rFonts w:asciiTheme="minorHAnsi" w:eastAsiaTheme="minorHAnsi" w:hAnsiTheme="minorHAnsi" w:cstheme="minorBidi"/>
                <w:b w:val="0"/>
                <w:bCs w:val="0"/>
                <w:color w:val="495965" w:themeColor="text2"/>
                <w:lang w:val="en-GB"/>
              </w:rPr>
            </w:pPr>
          </w:p>
          <w:p w14:paraId="41B21F5A" w14:textId="77777777" w:rsidR="00376B9B" w:rsidRDefault="00376B9B" w:rsidP="006F28D6">
            <w:pPr>
              <w:pStyle w:val="Bulletlist1HDMES"/>
              <w:numPr>
                <w:ilvl w:val="0"/>
                <w:numId w:val="0"/>
              </w:numPr>
              <w:ind w:left="15"/>
              <w:rPr>
                <w:rFonts w:asciiTheme="minorHAnsi" w:eastAsiaTheme="minorHAnsi" w:hAnsiTheme="minorHAnsi" w:cstheme="minorBidi"/>
                <w:b w:val="0"/>
                <w:bCs w:val="0"/>
                <w:color w:val="495965" w:themeColor="text2"/>
                <w:lang w:val="en-GB"/>
              </w:rPr>
            </w:pPr>
          </w:p>
          <w:p w14:paraId="11F1FCEE" w14:textId="77777777" w:rsidR="00376B9B" w:rsidRDefault="00376B9B" w:rsidP="006F28D6">
            <w:pPr>
              <w:pStyle w:val="Bulletlist1HDMES"/>
              <w:numPr>
                <w:ilvl w:val="0"/>
                <w:numId w:val="0"/>
              </w:numPr>
              <w:ind w:left="15"/>
              <w:rPr>
                <w:rFonts w:asciiTheme="minorHAnsi" w:eastAsiaTheme="minorHAnsi" w:hAnsiTheme="minorHAnsi" w:cstheme="minorBidi"/>
                <w:b w:val="0"/>
                <w:bCs w:val="0"/>
                <w:color w:val="495965" w:themeColor="text2"/>
                <w:lang w:val="en-GB"/>
              </w:rPr>
            </w:pPr>
          </w:p>
          <w:p w14:paraId="6BB82C90" w14:textId="77777777" w:rsidR="00376B9B" w:rsidRDefault="00376B9B" w:rsidP="006F28D6">
            <w:pPr>
              <w:pStyle w:val="Bulletlist1HDMES"/>
              <w:numPr>
                <w:ilvl w:val="0"/>
                <w:numId w:val="0"/>
              </w:numPr>
              <w:ind w:left="15"/>
              <w:rPr>
                <w:rFonts w:asciiTheme="minorHAnsi" w:eastAsiaTheme="minorHAnsi" w:hAnsiTheme="minorHAnsi" w:cstheme="minorBidi"/>
                <w:b w:val="0"/>
                <w:bCs w:val="0"/>
                <w:color w:val="495965" w:themeColor="text2"/>
                <w:lang w:val="en-GB"/>
              </w:rPr>
            </w:pPr>
          </w:p>
          <w:p w14:paraId="78406F63" w14:textId="77777777" w:rsidR="00376B9B" w:rsidRDefault="00376B9B" w:rsidP="006F28D6">
            <w:pPr>
              <w:pStyle w:val="Bulletlist1HDMES"/>
              <w:numPr>
                <w:ilvl w:val="0"/>
                <w:numId w:val="0"/>
              </w:numPr>
              <w:ind w:left="15"/>
              <w:rPr>
                <w:rFonts w:asciiTheme="minorHAnsi" w:eastAsiaTheme="minorHAnsi" w:hAnsiTheme="minorHAnsi" w:cstheme="minorBidi"/>
                <w:b w:val="0"/>
                <w:bCs w:val="0"/>
                <w:color w:val="495965" w:themeColor="text2"/>
                <w:lang w:val="en-GB"/>
              </w:rPr>
            </w:pPr>
          </w:p>
          <w:p w14:paraId="62E5CF4C" w14:textId="77777777" w:rsidR="00376B9B" w:rsidRDefault="00376B9B" w:rsidP="006F28D6">
            <w:pPr>
              <w:pStyle w:val="Bulletlist1HDMES"/>
              <w:numPr>
                <w:ilvl w:val="0"/>
                <w:numId w:val="0"/>
              </w:numPr>
              <w:ind w:left="15"/>
              <w:rPr>
                <w:rFonts w:asciiTheme="minorHAnsi" w:eastAsiaTheme="minorHAnsi" w:hAnsiTheme="minorHAnsi" w:cstheme="minorBidi"/>
                <w:b w:val="0"/>
                <w:bCs w:val="0"/>
                <w:color w:val="495965" w:themeColor="text2"/>
                <w:lang w:val="en-GB"/>
              </w:rPr>
            </w:pPr>
          </w:p>
          <w:p w14:paraId="3E2A40B6" w14:textId="5AFE2532" w:rsidR="00376B9B" w:rsidRPr="001A52D9" w:rsidRDefault="00376B9B" w:rsidP="00376B9B">
            <w:pPr>
              <w:pStyle w:val="Bulletlist1HDMES"/>
              <w:numPr>
                <w:ilvl w:val="0"/>
                <w:numId w:val="0"/>
              </w:numPr>
              <w:rPr>
                <w:rFonts w:asciiTheme="minorHAnsi" w:eastAsiaTheme="minorHAnsi" w:hAnsiTheme="minorHAnsi" w:cstheme="minorBidi"/>
                <w:color w:val="495965" w:themeColor="text2"/>
                <w:lang w:val="en-GB"/>
              </w:rPr>
            </w:pPr>
          </w:p>
        </w:tc>
        <w:tc>
          <w:tcPr>
            <w:tcW w:w="3580" w:type="dxa"/>
          </w:tcPr>
          <w:p w14:paraId="76016C2B" w14:textId="3E323AE6" w:rsidR="006F28D6" w:rsidRPr="007418CA" w:rsidRDefault="007418CA" w:rsidP="0030127C">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495965" w:themeColor="text2"/>
              </w:rPr>
            </w:pPr>
            <w:r w:rsidRPr="00234474">
              <w:rPr>
                <w:rFonts w:asciiTheme="minorHAnsi" w:eastAsia="Times New Roman" w:hAnsiTheme="minorHAnsi" w:cstheme="minorHAnsi"/>
                <w:i/>
                <w:iCs/>
                <w:color w:val="000000"/>
                <w:lang w:eastAsia="en-AU"/>
              </w:rPr>
              <w:t>The provision of emergency support can come with a resourcing cost to the schools.</w:t>
            </w:r>
          </w:p>
        </w:tc>
        <w:tc>
          <w:tcPr>
            <w:tcW w:w="5387" w:type="dxa"/>
          </w:tcPr>
          <w:p w14:paraId="3B59810C" w14:textId="77777777" w:rsidR="006F28D6" w:rsidRDefault="00CC7395" w:rsidP="007418CA">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n-AU"/>
              </w:rPr>
            </w:pPr>
            <w:r w:rsidRPr="00234474">
              <w:rPr>
                <w:rFonts w:asciiTheme="minorHAnsi" w:eastAsia="Times New Roman" w:hAnsiTheme="minorHAnsi" w:cstheme="minorHAnsi"/>
                <w:color w:val="000000"/>
                <w:lang w:eastAsia="en-AU"/>
              </w:rPr>
              <w:t>DFAT, UNICEF and sub-grantee partners to carefully consider full cost implications for schools of participation in emergency response events and the provision of infrastructure (particularly WASH facilities).</w:t>
            </w:r>
          </w:p>
          <w:p w14:paraId="2F9F9699" w14:textId="57C392C8" w:rsidR="00E82C04" w:rsidRPr="00CC7395" w:rsidRDefault="00E82C04" w:rsidP="00376B9B">
            <w:pPr>
              <w:pStyle w:val="Bulletlist1HDME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495965" w:themeColor="text2"/>
                <w:lang w:val="en-GB"/>
              </w:rPr>
            </w:pPr>
          </w:p>
        </w:tc>
        <w:tc>
          <w:tcPr>
            <w:tcW w:w="2268" w:type="dxa"/>
          </w:tcPr>
          <w:p w14:paraId="1861317E" w14:textId="15EAC994" w:rsidR="006F28D6" w:rsidRPr="001A52D9" w:rsidRDefault="006F28D6" w:rsidP="006F28D6">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lang w:val="en-GB"/>
              </w:rPr>
            </w:pPr>
            <w:r>
              <w:rPr>
                <w:rFonts w:asciiTheme="minorHAnsi" w:eastAsiaTheme="minorHAnsi" w:hAnsiTheme="minorHAnsi" w:cstheme="minorBidi"/>
                <w:color w:val="495965" w:themeColor="text2"/>
                <w:lang w:val="en-GB"/>
              </w:rPr>
              <w:t>Agree</w:t>
            </w:r>
          </w:p>
        </w:tc>
        <w:tc>
          <w:tcPr>
            <w:tcW w:w="2698" w:type="dxa"/>
          </w:tcPr>
          <w:p w14:paraId="63B4744E" w14:textId="59347CD3" w:rsidR="006F28D6" w:rsidRPr="00535EB6" w:rsidRDefault="00535EB6" w:rsidP="006F28D6">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495965" w:themeColor="text2"/>
                <w:lang w:val="en-GB"/>
              </w:rPr>
            </w:pPr>
            <w:r w:rsidRPr="00234474">
              <w:rPr>
                <w:rFonts w:asciiTheme="minorHAnsi" w:eastAsia="Times New Roman" w:hAnsiTheme="minorHAnsi" w:cstheme="minorHAnsi"/>
                <w:color w:val="000000"/>
                <w:lang w:eastAsia="en-AU"/>
              </w:rPr>
              <w:t xml:space="preserve">To be referred to NDoE and UNICEF for consideration.                      </w:t>
            </w:r>
            <w:r w:rsidRPr="00535EB6">
              <w:rPr>
                <w:rFonts w:asciiTheme="minorHAnsi" w:eastAsia="Times New Roman" w:hAnsiTheme="minorHAnsi" w:cstheme="minorHAnsi"/>
                <w:color w:val="000000"/>
                <w:lang w:eastAsia="en-AU"/>
              </w:rPr>
              <w:t xml:space="preserve">     </w:t>
            </w:r>
            <w:r w:rsidRPr="00234474">
              <w:rPr>
                <w:rFonts w:asciiTheme="minorHAnsi" w:eastAsia="Times New Roman" w:hAnsiTheme="minorHAnsi" w:cstheme="minorHAnsi"/>
                <w:color w:val="000000"/>
                <w:lang w:eastAsia="en-AU"/>
              </w:rPr>
              <w:t>DFAT to consider in responding to future emergencies.</w:t>
            </w:r>
          </w:p>
        </w:tc>
      </w:tr>
      <w:tr w:rsidR="00F044BE" w:rsidRPr="00B01D45" w14:paraId="064F6DB7" w14:textId="77777777" w:rsidTr="00D60B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6" w:type="dxa"/>
          </w:tcPr>
          <w:p w14:paraId="560ECC29" w14:textId="2C99529A" w:rsidR="00535EB6" w:rsidRDefault="001031D6" w:rsidP="00C743CA">
            <w:pPr>
              <w:spacing w:after="0" w:line="264" w:lineRule="auto"/>
            </w:pPr>
            <w:r>
              <w:lastRenderedPageBreak/>
              <w:t>7</w:t>
            </w:r>
          </w:p>
        </w:tc>
        <w:tc>
          <w:tcPr>
            <w:tcW w:w="3580" w:type="dxa"/>
          </w:tcPr>
          <w:p w14:paraId="10BB253A" w14:textId="21DFD30F" w:rsidR="00535EB6" w:rsidRPr="003B1034" w:rsidRDefault="003B1034" w:rsidP="00C743CA">
            <w:p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b/>
                <w:bCs/>
                <w:i/>
                <w:iCs/>
                <w:lang w:val="en-AU"/>
              </w:rPr>
            </w:pPr>
            <w:r w:rsidRPr="00234474">
              <w:rPr>
                <w:rFonts w:eastAsia="Times New Roman" w:cstheme="minorHAnsi"/>
                <w:i/>
                <w:iCs/>
                <w:color w:val="000000"/>
                <w:lang w:val="en-AU" w:eastAsia="en-AU"/>
              </w:rPr>
              <w:t>Program implementation requires more time.</w:t>
            </w:r>
          </w:p>
        </w:tc>
        <w:tc>
          <w:tcPr>
            <w:tcW w:w="5387" w:type="dxa"/>
          </w:tcPr>
          <w:p w14:paraId="768FDDDC" w14:textId="0EBBBF9B" w:rsidR="00535EB6" w:rsidRPr="009C16D3" w:rsidRDefault="009C16D3" w:rsidP="00C743CA">
            <w:pPr>
              <w:pStyle w:val="Bulletlist1HDME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495965" w:themeColor="text2"/>
                <w:lang w:val="en-GB"/>
              </w:rPr>
            </w:pPr>
            <w:r w:rsidRPr="00234474">
              <w:rPr>
                <w:rFonts w:asciiTheme="minorHAnsi" w:eastAsia="Times New Roman" w:hAnsiTheme="minorHAnsi" w:cstheme="minorHAnsi"/>
                <w:color w:val="000000"/>
                <w:lang w:eastAsia="en-AU"/>
              </w:rPr>
              <w:t xml:space="preserve">DFAT and UNICEF to arrange a no-cost extension to enable </w:t>
            </w:r>
            <w:r w:rsidRPr="009C16D3">
              <w:rPr>
                <w:rFonts w:asciiTheme="minorHAnsi" w:eastAsia="Times New Roman" w:hAnsiTheme="minorHAnsi" w:cstheme="minorHAnsi"/>
                <w:color w:val="000000"/>
                <w:lang w:eastAsia="en-AU"/>
              </w:rPr>
              <w:t>n</w:t>
            </w:r>
            <w:r w:rsidRPr="00234474">
              <w:rPr>
                <w:rFonts w:asciiTheme="minorHAnsi" w:eastAsia="Times New Roman" w:hAnsiTheme="minorHAnsi" w:cstheme="minorHAnsi"/>
                <w:color w:val="000000"/>
                <w:lang w:eastAsia="en-AU"/>
              </w:rPr>
              <w:t xml:space="preserve">on-government organisation partners to complete outstanding water, </w:t>
            </w:r>
            <w:r w:rsidR="00907B25" w:rsidRPr="00234474">
              <w:rPr>
                <w:rFonts w:asciiTheme="minorHAnsi" w:eastAsia="Times New Roman" w:hAnsiTheme="minorHAnsi" w:cstheme="minorHAnsi"/>
                <w:color w:val="000000"/>
                <w:lang w:eastAsia="en-AU"/>
              </w:rPr>
              <w:t>sanitation,</w:t>
            </w:r>
            <w:r w:rsidRPr="00234474">
              <w:rPr>
                <w:rFonts w:asciiTheme="minorHAnsi" w:eastAsia="Times New Roman" w:hAnsiTheme="minorHAnsi" w:cstheme="minorHAnsi"/>
                <w:color w:val="000000"/>
                <w:lang w:eastAsia="en-AU"/>
              </w:rPr>
              <w:t xml:space="preserve"> and hygiene facilities</w:t>
            </w:r>
          </w:p>
        </w:tc>
        <w:tc>
          <w:tcPr>
            <w:tcW w:w="2268" w:type="dxa"/>
          </w:tcPr>
          <w:p w14:paraId="083F3F2E" w14:textId="77777777" w:rsidR="00535EB6" w:rsidRPr="00C2467E" w:rsidRDefault="00535EB6" w:rsidP="00C743CA">
            <w:pPr>
              <w:spacing w:after="0" w:line="264" w:lineRule="auto"/>
              <w:cnfStyle w:val="000000100000" w:firstRow="0" w:lastRow="0" w:firstColumn="0" w:lastColumn="0" w:oddVBand="0" w:evenVBand="0" w:oddHBand="1" w:evenHBand="0" w:firstRowFirstColumn="0" w:firstRowLastColumn="0" w:lastRowFirstColumn="0" w:lastRowLastColumn="0"/>
            </w:pPr>
            <w:r>
              <w:t>Agree</w:t>
            </w:r>
          </w:p>
        </w:tc>
        <w:tc>
          <w:tcPr>
            <w:tcW w:w="2698" w:type="dxa"/>
          </w:tcPr>
          <w:p w14:paraId="7D677DBB" w14:textId="52497278" w:rsidR="00535EB6" w:rsidRPr="00AE3F45" w:rsidRDefault="00AE3F45" w:rsidP="00C743CA">
            <w:p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234474">
              <w:rPr>
                <w:rFonts w:eastAsia="Times New Roman" w:cstheme="minorHAnsi"/>
                <w:color w:val="000000"/>
                <w:lang w:val="en-AU" w:eastAsia="en-AU"/>
              </w:rPr>
              <w:t xml:space="preserve">DFAT and UNICEF have agreed to a no-cost extension to 31 December 2023. UNICEF will extend    arrangements with their NGO partners </w:t>
            </w:r>
            <w:r w:rsidR="00D91091">
              <w:rPr>
                <w:rFonts w:eastAsia="Times New Roman" w:cstheme="minorHAnsi"/>
                <w:color w:val="000000"/>
                <w:lang w:val="en-AU" w:eastAsia="en-AU"/>
              </w:rPr>
              <w:t>and ensure reporting compliance.</w:t>
            </w:r>
          </w:p>
        </w:tc>
      </w:tr>
      <w:tr w:rsidR="00460328" w:rsidRPr="001A52D9" w14:paraId="08E57908" w14:textId="77777777" w:rsidTr="00D60BED">
        <w:trPr>
          <w:trHeight w:val="20"/>
        </w:trPr>
        <w:tc>
          <w:tcPr>
            <w:cnfStyle w:val="001000000000" w:firstRow="0" w:lastRow="0" w:firstColumn="1" w:lastColumn="0" w:oddVBand="0" w:evenVBand="0" w:oddHBand="0" w:evenHBand="0" w:firstRowFirstColumn="0" w:firstRowLastColumn="0" w:lastRowFirstColumn="0" w:lastRowLastColumn="0"/>
            <w:tcW w:w="526" w:type="dxa"/>
          </w:tcPr>
          <w:p w14:paraId="05A0604A" w14:textId="1CD82B22" w:rsidR="001031D6" w:rsidRPr="001A52D9" w:rsidRDefault="001031D6" w:rsidP="00C743CA">
            <w:pPr>
              <w:pStyle w:val="Bulletlist1HDMES"/>
              <w:numPr>
                <w:ilvl w:val="0"/>
                <w:numId w:val="0"/>
              </w:numPr>
              <w:ind w:left="15"/>
              <w:rPr>
                <w:rFonts w:asciiTheme="minorHAnsi" w:eastAsiaTheme="minorHAnsi" w:hAnsiTheme="minorHAnsi" w:cstheme="minorBidi"/>
                <w:color w:val="495965" w:themeColor="text2"/>
                <w:lang w:val="en-GB"/>
              </w:rPr>
            </w:pPr>
            <w:r>
              <w:rPr>
                <w:rFonts w:asciiTheme="minorHAnsi" w:eastAsiaTheme="minorHAnsi" w:hAnsiTheme="minorHAnsi" w:cstheme="minorBidi"/>
                <w:color w:val="495965" w:themeColor="text2"/>
                <w:lang w:val="en-GB"/>
              </w:rPr>
              <w:t>8</w:t>
            </w:r>
          </w:p>
        </w:tc>
        <w:tc>
          <w:tcPr>
            <w:tcW w:w="3580" w:type="dxa"/>
          </w:tcPr>
          <w:p w14:paraId="749AB598" w14:textId="382F10F4" w:rsidR="001031D6" w:rsidRPr="000536A1" w:rsidRDefault="000536A1" w:rsidP="00C743CA">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color w:val="495965" w:themeColor="text2"/>
              </w:rPr>
            </w:pPr>
            <w:r w:rsidRPr="00234474">
              <w:rPr>
                <w:rFonts w:asciiTheme="minorHAnsi" w:eastAsia="Times New Roman" w:hAnsiTheme="minorHAnsi" w:cstheme="minorHAnsi"/>
                <w:i/>
                <w:iCs/>
                <w:color w:val="000000"/>
                <w:lang w:eastAsia="en-AU"/>
              </w:rPr>
              <w:t>PNG teachers will benefit from professional development in psychosocial support and disaster risk management.</w:t>
            </w:r>
          </w:p>
        </w:tc>
        <w:tc>
          <w:tcPr>
            <w:tcW w:w="5387" w:type="dxa"/>
          </w:tcPr>
          <w:p w14:paraId="6E3589B1" w14:textId="66B945E0" w:rsidR="001031D6" w:rsidRPr="005C39D1" w:rsidRDefault="005C39D1" w:rsidP="00C743CA">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495965" w:themeColor="text2"/>
                <w:lang w:val="en-GB"/>
              </w:rPr>
            </w:pPr>
            <w:r w:rsidRPr="00234474">
              <w:rPr>
                <w:rFonts w:asciiTheme="minorHAnsi" w:eastAsia="Times New Roman" w:hAnsiTheme="minorHAnsi" w:cstheme="minorHAnsi"/>
                <w:color w:val="000000"/>
                <w:lang w:eastAsia="en-AU"/>
              </w:rPr>
              <w:t>DFAT to consider options and strategies to integrate teacher professional development (psychosocial support and disaster risk management support) into broader bi-lateral education programs</w:t>
            </w:r>
            <w:r w:rsidRPr="005C39D1">
              <w:rPr>
                <w:rFonts w:asciiTheme="minorHAnsi" w:eastAsia="Times New Roman" w:hAnsiTheme="minorHAnsi" w:cstheme="minorHAnsi"/>
                <w:color w:val="000000"/>
                <w:lang w:eastAsia="en-AU"/>
              </w:rPr>
              <w:t>.</w:t>
            </w:r>
          </w:p>
        </w:tc>
        <w:tc>
          <w:tcPr>
            <w:tcW w:w="2268" w:type="dxa"/>
          </w:tcPr>
          <w:p w14:paraId="16F046B6" w14:textId="77777777" w:rsidR="001031D6" w:rsidRPr="001A52D9" w:rsidRDefault="001031D6" w:rsidP="00C743CA">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495965" w:themeColor="text2"/>
                <w:lang w:val="en-GB"/>
              </w:rPr>
            </w:pPr>
            <w:r>
              <w:rPr>
                <w:rFonts w:asciiTheme="minorHAnsi" w:eastAsiaTheme="minorHAnsi" w:hAnsiTheme="minorHAnsi" w:cstheme="minorBidi"/>
                <w:color w:val="495965" w:themeColor="text2"/>
                <w:lang w:val="en-GB"/>
              </w:rPr>
              <w:t>Agree</w:t>
            </w:r>
          </w:p>
        </w:tc>
        <w:tc>
          <w:tcPr>
            <w:tcW w:w="2698" w:type="dxa"/>
          </w:tcPr>
          <w:p w14:paraId="1AD56DE4" w14:textId="6CBA8BDF" w:rsidR="001031D6" w:rsidRPr="0083170F" w:rsidRDefault="0083170F" w:rsidP="00C743CA">
            <w:pPr>
              <w:pStyle w:val="Bulletlist1HDMES"/>
              <w:numPr>
                <w:ilvl w:val="0"/>
                <w:numId w:val="0"/>
              </w:numPr>
              <w:ind w:left="15"/>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495965" w:themeColor="text2"/>
                <w:lang w:val="en-GB"/>
              </w:rPr>
            </w:pPr>
            <w:r w:rsidRPr="00234474">
              <w:rPr>
                <w:rFonts w:asciiTheme="minorHAnsi" w:eastAsia="Times New Roman" w:hAnsiTheme="minorHAnsi" w:cstheme="minorHAnsi"/>
                <w:color w:val="000000"/>
                <w:lang w:eastAsia="en-AU"/>
              </w:rPr>
              <w:t>To be considered and integrated where appropriate in future DFAT programs.</w:t>
            </w:r>
          </w:p>
        </w:tc>
      </w:tr>
    </w:tbl>
    <w:p w14:paraId="12D922F6" w14:textId="77777777" w:rsidR="002318E6" w:rsidRPr="001A52D9" w:rsidRDefault="002318E6" w:rsidP="001A52D9">
      <w:pPr>
        <w:pStyle w:val="Bulletlist1HDMES"/>
        <w:numPr>
          <w:ilvl w:val="0"/>
          <w:numId w:val="0"/>
        </w:numPr>
        <w:ind w:left="15"/>
        <w:rPr>
          <w:rFonts w:asciiTheme="minorHAnsi" w:eastAsiaTheme="minorHAnsi" w:hAnsiTheme="minorHAnsi" w:cstheme="minorBidi"/>
          <w:color w:val="495965" w:themeColor="text2"/>
          <w:lang w:val="en-GB"/>
        </w:rPr>
      </w:pPr>
    </w:p>
    <w:sectPr w:rsidR="002318E6" w:rsidRPr="001A52D9" w:rsidSect="007412BC">
      <w:headerReference w:type="default" r:id="rId8"/>
      <w:footerReference w:type="default" r:id="rId9"/>
      <w:headerReference w:type="first" r:id="rId10"/>
      <w:footerReference w:type="first" r:id="rId11"/>
      <w:pgSz w:w="16838" w:h="11906" w:orient="landscape" w:code="9"/>
      <w:pgMar w:top="1191" w:right="1701" w:bottom="993"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75E4" w14:textId="77777777" w:rsidR="00BD1FB6" w:rsidRDefault="00BD1FB6" w:rsidP="00D37B04">
      <w:r>
        <w:separator/>
      </w:r>
    </w:p>
  </w:endnote>
  <w:endnote w:type="continuationSeparator" w:id="0">
    <w:p w14:paraId="23000D96" w14:textId="77777777" w:rsidR="00BD1FB6" w:rsidRDefault="00BD1FB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altName w:val="Calibr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429426290"/>
      <w:docPartObj>
        <w:docPartGallery w:val="Page Numbers (Bottom of Page)"/>
        <w:docPartUnique/>
      </w:docPartObj>
    </w:sdtPr>
    <w:sdtEndPr/>
    <w:sdtContent>
      <w:p w14:paraId="4D878E17" w14:textId="42A5F1A7" w:rsidR="001D7A4D" w:rsidRPr="00AD037C" w:rsidRDefault="001D7A4D">
        <w:pPr>
          <w:pStyle w:val="Footer"/>
          <w:jc w:val="right"/>
          <w:rPr>
            <w:color w:val="auto"/>
          </w:rPr>
        </w:pPr>
        <w:r w:rsidRPr="00AD037C">
          <w:rPr>
            <w:color w:val="auto"/>
          </w:rPr>
          <w:t xml:space="preserve">Page | </w:t>
        </w:r>
        <w:r w:rsidRPr="00AD037C">
          <w:rPr>
            <w:color w:val="auto"/>
          </w:rPr>
          <w:fldChar w:fldCharType="begin"/>
        </w:r>
        <w:r w:rsidRPr="00AD037C">
          <w:rPr>
            <w:color w:val="auto"/>
          </w:rPr>
          <w:instrText xml:space="preserve"> PAGE   \* MERGEFORMAT </w:instrText>
        </w:r>
        <w:r w:rsidRPr="00AD037C">
          <w:rPr>
            <w:color w:val="auto"/>
          </w:rPr>
          <w:fldChar w:fldCharType="separate"/>
        </w:r>
        <w:r w:rsidRPr="00AD037C">
          <w:rPr>
            <w:noProof/>
            <w:color w:val="auto"/>
          </w:rPr>
          <w:t>2</w:t>
        </w:r>
        <w:r w:rsidRPr="00AD037C">
          <w:rPr>
            <w:noProof/>
            <w:color w:val="auto"/>
          </w:rPr>
          <w:fldChar w:fldCharType="end"/>
        </w:r>
        <w:r w:rsidRPr="00AD037C">
          <w:rPr>
            <w:color w:val="auto"/>
          </w:rPr>
          <w:t xml:space="preserve"> </w:t>
        </w:r>
      </w:p>
    </w:sdtContent>
  </w:sdt>
  <w:p w14:paraId="033EC7FD" w14:textId="11C85592" w:rsidR="001561D3" w:rsidRPr="00FC322F" w:rsidRDefault="001561D3" w:rsidP="00AD037C">
    <w:pPr>
      <w:pStyle w:val="Footer"/>
      <w:ind w:right="-882"/>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667260"/>
      <w:docPartObj>
        <w:docPartGallery w:val="Page Numbers (Bottom of Page)"/>
        <w:docPartUnique/>
      </w:docPartObj>
    </w:sdtPr>
    <w:sdtEndPr>
      <w:rPr>
        <w:color w:val="7F7F7F" w:themeColor="text1" w:themeTint="80"/>
      </w:rPr>
    </w:sdtEndPr>
    <w:sdtContent>
      <w:p w14:paraId="4ADB18AB" w14:textId="3E2C8080" w:rsidR="001D7A4D" w:rsidRPr="00C8609B" w:rsidRDefault="001D7A4D">
        <w:pPr>
          <w:pStyle w:val="Footer"/>
          <w:jc w:val="right"/>
          <w:rPr>
            <w:color w:val="7F7F7F" w:themeColor="text1" w:themeTint="80"/>
          </w:rPr>
        </w:pPr>
        <w:r w:rsidRPr="00C8609B">
          <w:rPr>
            <w:color w:val="595959" w:themeColor="text1" w:themeTint="A6"/>
          </w:rPr>
          <w:t xml:space="preserve">Page | </w:t>
        </w:r>
        <w:r w:rsidRPr="00C8609B">
          <w:rPr>
            <w:color w:val="595959" w:themeColor="text1" w:themeTint="A6"/>
          </w:rPr>
          <w:fldChar w:fldCharType="begin"/>
        </w:r>
        <w:r w:rsidRPr="00C8609B">
          <w:rPr>
            <w:color w:val="595959" w:themeColor="text1" w:themeTint="A6"/>
          </w:rPr>
          <w:instrText xml:space="preserve"> PAGE   \* MERGEFORMAT </w:instrText>
        </w:r>
        <w:r w:rsidRPr="00C8609B">
          <w:rPr>
            <w:color w:val="595959" w:themeColor="text1" w:themeTint="A6"/>
          </w:rPr>
          <w:fldChar w:fldCharType="separate"/>
        </w:r>
        <w:r w:rsidRPr="00C8609B">
          <w:rPr>
            <w:noProof/>
            <w:color w:val="595959" w:themeColor="text1" w:themeTint="A6"/>
          </w:rPr>
          <w:t>2</w:t>
        </w:r>
        <w:r w:rsidRPr="00C8609B">
          <w:rPr>
            <w:noProof/>
            <w:color w:val="595959" w:themeColor="text1" w:themeTint="A6"/>
          </w:rPr>
          <w:fldChar w:fldCharType="end"/>
        </w:r>
        <w:r w:rsidRPr="00C8609B">
          <w:rPr>
            <w:color w:val="595959" w:themeColor="text1" w:themeTint="A6"/>
          </w:rPr>
          <w:t xml:space="preserve"> </w:t>
        </w:r>
      </w:p>
    </w:sdtContent>
  </w:sdt>
  <w:p w14:paraId="331C0C93" w14:textId="77777777" w:rsidR="001D7A4D" w:rsidRDefault="001D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5F8C" w14:textId="77777777" w:rsidR="00BD1FB6" w:rsidRPr="008C5A0E" w:rsidRDefault="00BD1FB6" w:rsidP="00D37B04">
      <w:pPr>
        <w:pStyle w:val="Footer"/>
      </w:pPr>
    </w:p>
  </w:footnote>
  <w:footnote w:type="continuationSeparator" w:id="0">
    <w:p w14:paraId="524723C4" w14:textId="77777777" w:rsidR="00BD1FB6" w:rsidRDefault="00BD1FB6"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3DF0" w14:textId="46E24458" w:rsidR="001561D3" w:rsidRPr="000854FD" w:rsidRDefault="001561D3" w:rsidP="002D5B25">
    <w:pPr>
      <w:pStyle w:val="Header"/>
    </w:pPr>
    <w:r w:rsidRPr="00943730">
      <w:rPr>
        <w:noProof/>
        <w:lang w:val="en-AU" w:eastAsia="en-AU"/>
      </w:rPr>
      <w:drawing>
        <wp:anchor distT="0" distB="0" distL="114300" distR="114300" simplePos="0" relativeHeight="251662336" behindDoc="1" locked="1" layoutInCell="1" allowOverlap="1" wp14:anchorId="0BEC0D8C" wp14:editId="6BCFCBE2">
          <wp:simplePos x="0" y="0"/>
          <wp:positionH relativeFrom="page">
            <wp:posOffset>13970</wp:posOffset>
          </wp:positionH>
          <wp:positionV relativeFrom="page">
            <wp:align>top</wp:align>
          </wp:positionV>
          <wp:extent cx="10425430" cy="1069276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2543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1711" w14:textId="4F650633" w:rsidR="001561D3" w:rsidRPr="00943730" w:rsidRDefault="001561D3" w:rsidP="00943730">
    <w:pPr>
      <w:pStyle w:val="Header"/>
    </w:pPr>
    <w:r>
      <w:t xml:space="preserve">   </w:t>
    </w:r>
    <w:r w:rsidRPr="00C8609B">
      <w:rPr>
        <w:color w:val="7F7F7F" w:themeColor="text1" w:themeTint="80"/>
      </w:rPr>
      <w:t xml:space="preserve"> </w:t>
    </w:r>
    <w:r w:rsidRPr="00C8609B">
      <w:rPr>
        <w:color w:val="595959" w:themeColor="text1" w:themeTint="A6"/>
      </w:rPr>
      <w:fldChar w:fldCharType="begin"/>
    </w:r>
    <w:r w:rsidRPr="00C8609B">
      <w:rPr>
        <w:color w:val="595959" w:themeColor="text1" w:themeTint="A6"/>
      </w:rPr>
      <w:instrText xml:space="preserve"> DATE  \@ "MMMM yyyy"  \* MERGEFORMAT </w:instrText>
    </w:r>
    <w:r w:rsidRPr="00C8609B">
      <w:rPr>
        <w:color w:val="595959" w:themeColor="text1" w:themeTint="A6"/>
      </w:rPr>
      <w:fldChar w:fldCharType="separate"/>
    </w:r>
    <w:r w:rsidR="002135A8">
      <w:rPr>
        <w:noProof/>
        <w:color w:val="595959" w:themeColor="text1" w:themeTint="A6"/>
      </w:rPr>
      <w:t>December 2022</w:t>
    </w:r>
    <w:r w:rsidRPr="00C8609B">
      <w:rPr>
        <w:color w:val="595959" w:themeColor="text1" w:themeTint="A6"/>
      </w:rPr>
      <w:fldChar w:fldCharType="end"/>
    </w:r>
    <w:r w:rsidRPr="00943730">
      <w:rPr>
        <w:noProof/>
        <w:lang w:val="en-AU" w:eastAsia="en-AU"/>
      </w:rPr>
      <w:drawing>
        <wp:anchor distT="0" distB="0" distL="114300" distR="114300" simplePos="0" relativeHeight="251657216" behindDoc="1" locked="1" layoutInCell="1" allowOverlap="1" wp14:anchorId="297E378B" wp14:editId="6D082066">
          <wp:simplePos x="0" y="0"/>
          <wp:positionH relativeFrom="page">
            <wp:posOffset>1252855</wp:posOffset>
          </wp:positionH>
          <wp:positionV relativeFrom="margin">
            <wp:align>top</wp:align>
          </wp:positionV>
          <wp:extent cx="3166745" cy="55435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40E6E509" wp14:editId="1DCD8D6C">
          <wp:simplePos x="0" y="0"/>
          <wp:positionH relativeFrom="margin">
            <wp:align>center</wp:align>
          </wp:positionH>
          <wp:positionV relativeFrom="page">
            <wp:align>top</wp:align>
          </wp:positionV>
          <wp:extent cx="10339070" cy="10692130"/>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339070" cy="10692130"/>
                  </a:xfrm>
                  <a:prstGeom prst="rect">
                    <a:avLst/>
                  </a:prstGeom>
                </pic:spPr>
              </pic:pic>
            </a:graphicData>
          </a:graphic>
          <wp14:sizeRelH relativeFrom="margin">
            <wp14:pctWidth>0</wp14:pctWidth>
          </wp14:sizeRelH>
          <wp14:sizeRelV relativeFrom="margin">
            <wp14:pctHeight>0</wp14:pctHeight>
          </wp14:sizeRelV>
        </wp:anchor>
      </w:drawing>
    </w:r>
    <w:r w:rsidR="00241E6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DFE"/>
    <w:multiLevelType w:val="hybridMultilevel"/>
    <w:tmpl w:val="2EB09120"/>
    <w:lvl w:ilvl="0" w:tplc="0C09001B">
      <w:start w:val="1"/>
      <w:numFmt w:val="lowerRoman"/>
      <w:pStyle w:val="Bulletlist1HDMES"/>
      <w:lvlText w:val="%1."/>
      <w:lvlJc w:val="right"/>
      <w:pPr>
        <w:ind w:left="360" w:hanging="360"/>
      </w:pPr>
      <w:rPr>
        <w:rFonts w:hint="default"/>
        <w:b w:val="0"/>
        <w:i w:val="0"/>
        <w:sz w:val="22"/>
        <w:szCs w:val="3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A350740"/>
    <w:multiLevelType w:val="hybridMultilevel"/>
    <w:tmpl w:val="4B38FBA0"/>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553D9F"/>
    <w:multiLevelType w:val="multilevel"/>
    <w:tmpl w:val="A6FA45D0"/>
    <w:numStyleLink w:val="BulletsList"/>
  </w:abstractNum>
  <w:abstractNum w:abstractNumId="6" w15:restartNumberingAfterBreak="0">
    <w:nsid w:val="533552CF"/>
    <w:multiLevelType w:val="hybridMultilevel"/>
    <w:tmpl w:val="D116D228"/>
    <w:lvl w:ilvl="0" w:tplc="179E9086">
      <w:start w:val="1"/>
      <w:numFmt w:val="decimal"/>
      <w:pStyle w:val="Numberedlist1HDMES"/>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C8F2094"/>
    <w:multiLevelType w:val="hybridMultilevel"/>
    <w:tmpl w:val="224071C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65E252ED"/>
    <w:multiLevelType w:val="hybridMultilevel"/>
    <w:tmpl w:val="22F0D2D2"/>
    <w:lvl w:ilvl="0" w:tplc="EF841D56">
      <w:start w:val="1"/>
      <w:numFmt w:val="bullet"/>
      <w:pStyle w:val="Bulletlist2HDM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1"/>
  </w:num>
  <w:num w:numId="2">
    <w:abstractNumId w:val="1"/>
  </w:num>
  <w:num w:numId="3">
    <w:abstractNumId w:val="3"/>
  </w:num>
  <w:num w:numId="4">
    <w:abstractNumId w:val="7"/>
  </w:num>
  <w:num w:numId="5">
    <w:abstractNumId w:val="9"/>
  </w:num>
  <w:num w:numId="6">
    <w:abstractNumId w:val="3"/>
  </w:num>
  <w:num w:numId="7">
    <w:abstractNumId w:val="1"/>
  </w:num>
  <w:num w:numId="8">
    <w:abstractNumId w:val="2"/>
  </w:num>
  <w:num w:numId="9">
    <w:abstractNumId w:val="12"/>
  </w:num>
  <w:num w:numId="10">
    <w:abstractNumId w:val="5"/>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0"/>
  </w:num>
  <w:num w:numId="16">
    <w:abstractNumId w:val="0"/>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55"/>
    <w:rsid w:val="00001DA8"/>
    <w:rsid w:val="000020C1"/>
    <w:rsid w:val="000032B7"/>
    <w:rsid w:val="000104DE"/>
    <w:rsid w:val="000118A8"/>
    <w:rsid w:val="0001300D"/>
    <w:rsid w:val="000154B4"/>
    <w:rsid w:val="0002080A"/>
    <w:rsid w:val="000272DA"/>
    <w:rsid w:val="0002782F"/>
    <w:rsid w:val="00030CCC"/>
    <w:rsid w:val="00031368"/>
    <w:rsid w:val="00031568"/>
    <w:rsid w:val="00031B38"/>
    <w:rsid w:val="00032AE8"/>
    <w:rsid w:val="00035A4D"/>
    <w:rsid w:val="00035BBF"/>
    <w:rsid w:val="00045ECB"/>
    <w:rsid w:val="00046F30"/>
    <w:rsid w:val="000470DC"/>
    <w:rsid w:val="00050806"/>
    <w:rsid w:val="00051EE6"/>
    <w:rsid w:val="0005248A"/>
    <w:rsid w:val="000536A1"/>
    <w:rsid w:val="000546D9"/>
    <w:rsid w:val="00054E4D"/>
    <w:rsid w:val="00060073"/>
    <w:rsid w:val="000616C6"/>
    <w:rsid w:val="00061CD8"/>
    <w:rsid w:val="00071E60"/>
    <w:rsid w:val="00073DCD"/>
    <w:rsid w:val="0007428E"/>
    <w:rsid w:val="00084900"/>
    <w:rsid w:val="000854FD"/>
    <w:rsid w:val="00086354"/>
    <w:rsid w:val="0008795D"/>
    <w:rsid w:val="00090FBA"/>
    <w:rsid w:val="00091664"/>
    <w:rsid w:val="000923F9"/>
    <w:rsid w:val="00096723"/>
    <w:rsid w:val="000A0CD1"/>
    <w:rsid w:val="000A33FA"/>
    <w:rsid w:val="000A75B0"/>
    <w:rsid w:val="000B259D"/>
    <w:rsid w:val="000B37F5"/>
    <w:rsid w:val="000B4191"/>
    <w:rsid w:val="000B4F63"/>
    <w:rsid w:val="000D5D79"/>
    <w:rsid w:val="000D66D6"/>
    <w:rsid w:val="000E3937"/>
    <w:rsid w:val="000E5E14"/>
    <w:rsid w:val="000F023F"/>
    <w:rsid w:val="000F2E22"/>
    <w:rsid w:val="000F6436"/>
    <w:rsid w:val="001031D6"/>
    <w:rsid w:val="001127D7"/>
    <w:rsid w:val="00113288"/>
    <w:rsid w:val="00114F5D"/>
    <w:rsid w:val="001214BE"/>
    <w:rsid w:val="0012165C"/>
    <w:rsid w:val="001306E5"/>
    <w:rsid w:val="001308BF"/>
    <w:rsid w:val="0013101C"/>
    <w:rsid w:val="00136734"/>
    <w:rsid w:val="00137E6D"/>
    <w:rsid w:val="00143F6B"/>
    <w:rsid w:val="00145C10"/>
    <w:rsid w:val="001461D6"/>
    <w:rsid w:val="0015049C"/>
    <w:rsid w:val="001541EA"/>
    <w:rsid w:val="00155095"/>
    <w:rsid w:val="001561D3"/>
    <w:rsid w:val="00156639"/>
    <w:rsid w:val="001627C9"/>
    <w:rsid w:val="001631FC"/>
    <w:rsid w:val="00163FA4"/>
    <w:rsid w:val="001740F9"/>
    <w:rsid w:val="00181920"/>
    <w:rsid w:val="001929F5"/>
    <w:rsid w:val="00197484"/>
    <w:rsid w:val="001A52D9"/>
    <w:rsid w:val="001B2F7E"/>
    <w:rsid w:val="001B4C69"/>
    <w:rsid w:val="001B5086"/>
    <w:rsid w:val="001B62C8"/>
    <w:rsid w:val="001B7CD5"/>
    <w:rsid w:val="001C6CEB"/>
    <w:rsid w:val="001D663E"/>
    <w:rsid w:val="001D7435"/>
    <w:rsid w:val="001D7A4D"/>
    <w:rsid w:val="001E1DC0"/>
    <w:rsid w:val="001F47F9"/>
    <w:rsid w:val="0020035E"/>
    <w:rsid w:val="00203277"/>
    <w:rsid w:val="00205B2E"/>
    <w:rsid w:val="002135A8"/>
    <w:rsid w:val="00214D8D"/>
    <w:rsid w:val="00224428"/>
    <w:rsid w:val="002318E6"/>
    <w:rsid w:val="0023300C"/>
    <w:rsid w:val="0023426C"/>
    <w:rsid w:val="00241E69"/>
    <w:rsid w:val="002435EC"/>
    <w:rsid w:val="00245741"/>
    <w:rsid w:val="00246ED6"/>
    <w:rsid w:val="00247737"/>
    <w:rsid w:val="002528A4"/>
    <w:rsid w:val="00252C04"/>
    <w:rsid w:val="00252F15"/>
    <w:rsid w:val="00262164"/>
    <w:rsid w:val="002770F7"/>
    <w:rsid w:val="0028602A"/>
    <w:rsid w:val="00293456"/>
    <w:rsid w:val="00294FB1"/>
    <w:rsid w:val="002A4720"/>
    <w:rsid w:val="002B14E7"/>
    <w:rsid w:val="002B3E6A"/>
    <w:rsid w:val="002B5E10"/>
    <w:rsid w:val="002C0CB8"/>
    <w:rsid w:val="002C0F41"/>
    <w:rsid w:val="002C2A60"/>
    <w:rsid w:val="002C51CD"/>
    <w:rsid w:val="002C69C6"/>
    <w:rsid w:val="002C793D"/>
    <w:rsid w:val="002D5B25"/>
    <w:rsid w:val="002E1E50"/>
    <w:rsid w:val="002F05D3"/>
    <w:rsid w:val="002F21A8"/>
    <w:rsid w:val="002F410C"/>
    <w:rsid w:val="002F4F2B"/>
    <w:rsid w:val="002F5BA6"/>
    <w:rsid w:val="002F7D82"/>
    <w:rsid w:val="002F7EA6"/>
    <w:rsid w:val="003002C0"/>
    <w:rsid w:val="00301144"/>
    <w:rsid w:val="0030127C"/>
    <w:rsid w:val="00302CE1"/>
    <w:rsid w:val="00303164"/>
    <w:rsid w:val="003031C6"/>
    <w:rsid w:val="00304984"/>
    <w:rsid w:val="0030720A"/>
    <w:rsid w:val="00312BF8"/>
    <w:rsid w:val="003148B7"/>
    <w:rsid w:val="003158C3"/>
    <w:rsid w:val="00317A5C"/>
    <w:rsid w:val="0032572D"/>
    <w:rsid w:val="003258DB"/>
    <w:rsid w:val="003274CD"/>
    <w:rsid w:val="0032768E"/>
    <w:rsid w:val="00331FF5"/>
    <w:rsid w:val="00333501"/>
    <w:rsid w:val="003338BB"/>
    <w:rsid w:val="0033584F"/>
    <w:rsid w:val="00337BBB"/>
    <w:rsid w:val="00345336"/>
    <w:rsid w:val="003457C4"/>
    <w:rsid w:val="0035119D"/>
    <w:rsid w:val="0035307C"/>
    <w:rsid w:val="00353AE5"/>
    <w:rsid w:val="003614FF"/>
    <w:rsid w:val="0036200C"/>
    <w:rsid w:val="00363B59"/>
    <w:rsid w:val="00376425"/>
    <w:rsid w:val="00376B9B"/>
    <w:rsid w:val="003808CE"/>
    <w:rsid w:val="00380A79"/>
    <w:rsid w:val="003829CD"/>
    <w:rsid w:val="00384BF7"/>
    <w:rsid w:val="00384D40"/>
    <w:rsid w:val="0039135C"/>
    <w:rsid w:val="0039344A"/>
    <w:rsid w:val="00395163"/>
    <w:rsid w:val="00396EEA"/>
    <w:rsid w:val="003A1017"/>
    <w:rsid w:val="003A278E"/>
    <w:rsid w:val="003B1034"/>
    <w:rsid w:val="003B485C"/>
    <w:rsid w:val="003B4F12"/>
    <w:rsid w:val="003B708E"/>
    <w:rsid w:val="003B7105"/>
    <w:rsid w:val="003B73FA"/>
    <w:rsid w:val="003B745D"/>
    <w:rsid w:val="003D2624"/>
    <w:rsid w:val="003D283B"/>
    <w:rsid w:val="003D5A28"/>
    <w:rsid w:val="003D7869"/>
    <w:rsid w:val="003E57AA"/>
    <w:rsid w:val="003F2041"/>
    <w:rsid w:val="003F5699"/>
    <w:rsid w:val="00402ACC"/>
    <w:rsid w:val="00405CCA"/>
    <w:rsid w:val="00406B43"/>
    <w:rsid w:val="00410E70"/>
    <w:rsid w:val="004120EC"/>
    <w:rsid w:val="004127B1"/>
    <w:rsid w:val="004131BF"/>
    <w:rsid w:val="004133A3"/>
    <w:rsid w:val="00421B69"/>
    <w:rsid w:val="00423F31"/>
    <w:rsid w:val="00431899"/>
    <w:rsid w:val="00434932"/>
    <w:rsid w:val="00436077"/>
    <w:rsid w:val="0043788C"/>
    <w:rsid w:val="00442055"/>
    <w:rsid w:val="00444B0D"/>
    <w:rsid w:val="00445535"/>
    <w:rsid w:val="004457A7"/>
    <w:rsid w:val="00445EAF"/>
    <w:rsid w:val="00453DCA"/>
    <w:rsid w:val="00457177"/>
    <w:rsid w:val="00460328"/>
    <w:rsid w:val="00465E80"/>
    <w:rsid w:val="004703D0"/>
    <w:rsid w:val="00473702"/>
    <w:rsid w:val="00480FE4"/>
    <w:rsid w:val="00482AE8"/>
    <w:rsid w:val="0048492D"/>
    <w:rsid w:val="00486804"/>
    <w:rsid w:val="00487BFA"/>
    <w:rsid w:val="004939C4"/>
    <w:rsid w:val="004A2B4A"/>
    <w:rsid w:val="004A617F"/>
    <w:rsid w:val="004B0C6A"/>
    <w:rsid w:val="004B3775"/>
    <w:rsid w:val="004B7F33"/>
    <w:rsid w:val="004C0034"/>
    <w:rsid w:val="004C1D51"/>
    <w:rsid w:val="004C6342"/>
    <w:rsid w:val="004D0BA0"/>
    <w:rsid w:val="004E058F"/>
    <w:rsid w:val="004E09DE"/>
    <w:rsid w:val="004E0D63"/>
    <w:rsid w:val="004E3B87"/>
    <w:rsid w:val="004E3C3B"/>
    <w:rsid w:val="004E6776"/>
    <w:rsid w:val="004E777C"/>
    <w:rsid w:val="004F1A80"/>
    <w:rsid w:val="004F41B7"/>
    <w:rsid w:val="004F7ABC"/>
    <w:rsid w:val="00510921"/>
    <w:rsid w:val="00510AD3"/>
    <w:rsid w:val="00513348"/>
    <w:rsid w:val="00513AD8"/>
    <w:rsid w:val="00514447"/>
    <w:rsid w:val="005158D5"/>
    <w:rsid w:val="0052027E"/>
    <w:rsid w:val="005204D2"/>
    <w:rsid w:val="005217DF"/>
    <w:rsid w:val="00522396"/>
    <w:rsid w:val="0052578E"/>
    <w:rsid w:val="00527EAC"/>
    <w:rsid w:val="0053095B"/>
    <w:rsid w:val="00533B5D"/>
    <w:rsid w:val="00535EB6"/>
    <w:rsid w:val="00540B1F"/>
    <w:rsid w:val="00540E77"/>
    <w:rsid w:val="005417B9"/>
    <w:rsid w:val="005476BE"/>
    <w:rsid w:val="00550049"/>
    <w:rsid w:val="00550D84"/>
    <w:rsid w:val="00552CED"/>
    <w:rsid w:val="005609A5"/>
    <w:rsid w:val="005725E5"/>
    <w:rsid w:val="00580870"/>
    <w:rsid w:val="0059716B"/>
    <w:rsid w:val="005A20F6"/>
    <w:rsid w:val="005A60BB"/>
    <w:rsid w:val="005B1CCE"/>
    <w:rsid w:val="005B2276"/>
    <w:rsid w:val="005B55E8"/>
    <w:rsid w:val="005C39D1"/>
    <w:rsid w:val="005C4F20"/>
    <w:rsid w:val="005D3655"/>
    <w:rsid w:val="005E03CA"/>
    <w:rsid w:val="005E0794"/>
    <w:rsid w:val="005E2351"/>
    <w:rsid w:val="005E24A4"/>
    <w:rsid w:val="005E4830"/>
    <w:rsid w:val="005E6DEC"/>
    <w:rsid w:val="006051CA"/>
    <w:rsid w:val="00612921"/>
    <w:rsid w:val="00612BDF"/>
    <w:rsid w:val="00622287"/>
    <w:rsid w:val="00622B86"/>
    <w:rsid w:val="00623BA1"/>
    <w:rsid w:val="006266C6"/>
    <w:rsid w:val="006346BC"/>
    <w:rsid w:val="00640AA7"/>
    <w:rsid w:val="00654324"/>
    <w:rsid w:val="0065468D"/>
    <w:rsid w:val="00656088"/>
    <w:rsid w:val="00664158"/>
    <w:rsid w:val="0066652A"/>
    <w:rsid w:val="00670AB2"/>
    <w:rsid w:val="006719C3"/>
    <w:rsid w:val="006767D2"/>
    <w:rsid w:val="00680522"/>
    <w:rsid w:val="00682167"/>
    <w:rsid w:val="00684228"/>
    <w:rsid w:val="00685841"/>
    <w:rsid w:val="00687053"/>
    <w:rsid w:val="006920F8"/>
    <w:rsid w:val="006958F5"/>
    <w:rsid w:val="006A1990"/>
    <w:rsid w:val="006A675C"/>
    <w:rsid w:val="006A6DA1"/>
    <w:rsid w:val="006B61D4"/>
    <w:rsid w:val="006C42AF"/>
    <w:rsid w:val="006C516F"/>
    <w:rsid w:val="006C6C64"/>
    <w:rsid w:val="006C7160"/>
    <w:rsid w:val="006C7C5B"/>
    <w:rsid w:val="006D092C"/>
    <w:rsid w:val="006E0E7D"/>
    <w:rsid w:val="006E2373"/>
    <w:rsid w:val="006E34AD"/>
    <w:rsid w:val="006E3CCE"/>
    <w:rsid w:val="006E3E97"/>
    <w:rsid w:val="006E5091"/>
    <w:rsid w:val="006E5AD6"/>
    <w:rsid w:val="006F28D6"/>
    <w:rsid w:val="006F4865"/>
    <w:rsid w:val="006F7113"/>
    <w:rsid w:val="00711D8E"/>
    <w:rsid w:val="00712672"/>
    <w:rsid w:val="0071488B"/>
    <w:rsid w:val="007162F5"/>
    <w:rsid w:val="00725AEA"/>
    <w:rsid w:val="00725BEF"/>
    <w:rsid w:val="007320B6"/>
    <w:rsid w:val="00734E3F"/>
    <w:rsid w:val="00736985"/>
    <w:rsid w:val="007373CE"/>
    <w:rsid w:val="007412BC"/>
    <w:rsid w:val="007418CA"/>
    <w:rsid w:val="00745DF5"/>
    <w:rsid w:val="00746E77"/>
    <w:rsid w:val="00752088"/>
    <w:rsid w:val="00754046"/>
    <w:rsid w:val="0076250F"/>
    <w:rsid w:val="00763A98"/>
    <w:rsid w:val="00763C34"/>
    <w:rsid w:val="007706B8"/>
    <w:rsid w:val="00774EE4"/>
    <w:rsid w:val="007773B1"/>
    <w:rsid w:val="00780FA5"/>
    <w:rsid w:val="007A1BA0"/>
    <w:rsid w:val="007A78C2"/>
    <w:rsid w:val="007A7DBA"/>
    <w:rsid w:val="007B2095"/>
    <w:rsid w:val="007B6200"/>
    <w:rsid w:val="007C1DDB"/>
    <w:rsid w:val="007D5157"/>
    <w:rsid w:val="007D78A1"/>
    <w:rsid w:val="007E3395"/>
    <w:rsid w:val="007E776B"/>
    <w:rsid w:val="007F3395"/>
    <w:rsid w:val="00801B9F"/>
    <w:rsid w:val="00801CB4"/>
    <w:rsid w:val="0080204D"/>
    <w:rsid w:val="00805A55"/>
    <w:rsid w:val="00805B9C"/>
    <w:rsid w:val="008065C9"/>
    <w:rsid w:val="008110BE"/>
    <w:rsid w:val="00812673"/>
    <w:rsid w:val="00817ABC"/>
    <w:rsid w:val="00824DD4"/>
    <w:rsid w:val="0083052F"/>
    <w:rsid w:val="0083170F"/>
    <w:rsid w:val="008331A6"/>
    <w:rsid w:val="00835E7B"/>
    <w:rsid w:val="008475F0"/>
    <w:rsid w:val="0085088B"/>
    <w:rsid w:val="008548E5"/>
    <w:rsid w:val="008557A7"/>
    <w:rsid w:val="008570D6"/>
    <w:rsid w:val="008607DA"/>
    <w:rsid w:val="00863E55"/>
    <w:rsid w:val="0086569C"/>
    <w:rsid w:val="008663C5"/>
    <w:rsid w:val="00870928"/>
    <w:rsid w:val="00876EF9"/>
    <w:rsid w:val="00880362"/>
    <w:rsid w:val="00883507"/>
    <w:rsid w:val="008847EC"/>
    <w:rsid w:val="00885A62"/>
    <w:rsid w:val="00891FC6"/>
    <w:rsid w:val="0089405C"/>
    <w:rsid w:val="008959A4"/>
    <w:rsid w:val="00896D34"/>
    <w:rsid w:val="00897FA2"/>
    <w:rsid w:val="008A1A4D"/>
    <w:rsid w:val="008A3128"/>
    <w:rsid w:val="008A5AFE"/>
    <w:rsid w:val="008B116C"/>
    <w:rsid w:val="008B5969"/>
    <w:rsid w:val="008C2BF6"/>
    <w:rsid w:val="008C5A0E"/>
    <w:rsid w:val="008C61C9"/>
    <w:rsid w:val="008C6A5B"/>
    <w:rsid w:val="008D6419"/>
    <w:rsid w:val="008E34AE"/>
    <w:rsid w:val="008E5802"/>
    <w:rsid w:val="008F2DD7"/>
    <w:rsid w:val="008F341F"/>
    <w:rsid w:val="008F5497"/>
    <w:rsid w:val="008F623C"/>
    <w:rsid w:val="008F6D55"/>
    <w:rsid w:val="00907B25"/>
    <w:rsid w:val="00913147"/>
    <w:rsid w:val="00916B17"/>
    <w:rsid w:val="0092517F"/>
    <w:rsid w:val="00926C88"/>
    <w:rsid w:val="009328B8"/>
    <w:rsid w:val="00937B56"/>
    <w:rsid w:val="00940414"/>
    <w:rsid w:val="00943055"/>
    <w:rsid w:val="00943730"/>
    <w:rsid w:val="00945877"/>
    <w:rsid w:val="00951041"/>
    <w:rsid w:val="00951D80"/>
    <w:rsid w:val="00952BB3"/>
    <w:rsid w:val="009610F2"/>
    <w:rsid w:val="00961E72"/>
    <w:rsid w:val="00962C2C"/>
    <w:rsid w:val="009657E3"/>
    <w:rsid w:val="00973103"/>
    <w:rsid w:val="00975CA5"/>
    <w:rsid w:val="00983AED"/>
    <w:rsid w:val="00984341"/>
    <w:rsid w:val="00985D60"/>
    <w:rsid w:val="00986590"/>
    <w:rsid w:val="009871D3"/>
    <w:rsid w:val="00992C76"/>
    <w:rsid w:val="0099404A"/>
    <w:rsid w:val="00994181"/>
    <w:rsid w:val="009965E8"/>
    <w:rsid w:val="009969D6"/>
    <w:rsid w:val="009A3DD2"/>
    <w:rsid w:val="009A5E45"/>
    <w:rsid w:val="009B4D3B"/>
    <w:rsid w:val="009B68BB"/>
    <w:rsid w:val="009B7942"/>
    <w:rsid w:val="009C16D3"/>
    <w:rsid w:val="009D357E"/>
    <w:rsid w:val="009D5D88"/>
    <w:rsid w:val="009D7407"/>
    <w:rsid w:val="009E0866"/>
    <w:rsid w:val="009E273C"/>
    <w:rsid w:val="009E290B"/>
    <w:rsid w:val="009F1350"/>
    <w:rsid w:val="009F2C0C"/>
    <w:rsid w:val="009F638A"/>
    <w:rsid w:val="009F6423"/>
    <w:rsid w:val="00A04C5F"/>
    <w:rsid w:val="00A11EBC"/>
    <w:rsid w:val="00A175B3"/>
    <w:rsid w:val="00A1770A"/>
    <w:rsid w:val="00A24A62"/>
    <w:rsid w:val="00A253F1"/>
    <w:rsid w:val="00A31C9F"/>
    <w:rsid w:val="00A3217B"/>
    <w:rsid w:val="00A4144F"/>
    <w:rsid w:val="00A4560F"/>
    <w:rsid w:val="00A45D32"/>
    <w:rsid w:val="00A517A6"/>
    <w:rsid w:val="00A537B2"/>
    <w:rsid w:val="00A53BD2"/>
    <w:rsid w:val="00A60A93"/>
    <w:rsid w:val="00A61B4D"/>
    <w:rsid w:val="00A703F4"/>
    <w:rsid w:val="00A75D83"/>
    <w:rsid w:val="00A80F95"/>
    <w:rsid w:val="00A91795"/>
    <w:rsid w:val="00A92AF2"/>
    <w:rsid w:val="00A97805"/>
    <w:rsid w:val="00A97BF1"/>
    <w:rsid w:val="00AA298A"/>
    <w:rsid w:val="00AA315B"/>
    <w:rsid w:val="00AA771F"/>
    <w:rsid w:val="00AB446D"/>
    <w:rsid w:val="00AC0447"/>
    <w:rsid w:val="00AC164A"/>
    <w:rsid w:val="00AD037C"/>
    <w:rsid w:val="00AD2249"/>
    <w:rsid w:val="00AE14D8"/>
    <w:rsid w:val="00AE3F45"/>
    <w:rsid w:val="00AE40E8"/>
    <w:rsid w:val="00AE448A"/>
    <w:rsid w:val="00AE5DCE"/>
    <w:rsid w:val="00AF06CB"/>
    <w:rsid w:val="00AF06CE"/>
    <w:rsid w:val="00AF2050"/>
    <w:rsid w:val="00AF7D61"/>
    <w:rsid w:val="00B03398"/>
    <w:rsid w:val="00B03CA8"/>
    <w:rsid w:val="00B05EC8"/>
    <w:rsid w:val="00B21976"/>
    <w:rsid w:val="00B33C0A"/>
    <w:rsid w:val="00B34B76"/>
    <w:rsid w:val="00B373F2"/>
    <w:rsid w:val="00B40F54"/>
    <w:rsid w:val="00B42D0E"/>
    <w:rsid w:val="00B47438"/>
    <w:rsid w:val="00B54884"/>
    <w:rsid w:val="00B55128"/>
    <w:rsid w:val="00B55E19"/>
    <w:rsid w:val="00B6118D"/>
    <w:rsid w:val="00B63122"/>
    <w:rsid w:val="00B6712F"/>
    <w:rsid w:val="00B80840"/>
    <w:rsid w:val="00B81554"/>
    <w:rsid w:val="00B819AB"/>
    <w:rsid w:val="00B85EFE"/>
    <w:rsid w:val="00B921B3"/>
    <w:rsid w:val="00B94758"/>
    <w:rsid w:val="00B95FCA"/>
    <w:rsid w:val="00BA4B6D"/>
    <w:rsid w:val="00BA7401"/>
    <w:rsid w:val="00BB26C5"/>
    <w:rsid w:val="00BC191F"/>
    <w:rsid w:val="00BC1C8B"/>
    <w:rsid w:val="00BC31BD"/>
    <w:rsid w:val="00BC69F4"/>
    <w:rsid w:val="00BC7D0E"/>
    <w:rsid w:val="00BD1FB6"/>
    <w:rsid w:val="00BD4211"/>
    <w:rsid w:val="00BE2A12"/>
    <w:rsid w:val="00BF4DE6"/>
    <w:rsid w:val="00C009C7"/>
    <w:rsid w:val="00C03C3E"/>
    <w:rsid w:val="00C0523A"/>
    <w:rsid w:val="00C06B13"/>
    <w:rsid w:val="00C12EB5"/>
    <w:rsid w:val="00C154EE"/>
    <w:rsid w:val="00C206E9"/>
    <w:rsid w:val="00C27D25"/>
    <w:rsid w:val="00C30799"/>
    <w:rsid w:val="00C36D7D"/>
    <w:rsid w:val="00C37FFA"/>
    <w:rsid w:val="00C42541"/>
    <w:rsid w:val="00C42CDE"/>
    <w:rsid w:val="00C46146"/>
    <w:rsid w:val="00C5182A"/>
    <w:rsid w:val="00C53434"/>
    <w:rsid w:val="00C55245"/>
    <w:rsid w:val="00C55F14"/>
    <w:rsid w:val="00C578D9"/>
    <w:rsid w:val="00C6076E"/>
    <w:rsid w:val="00C62863"/>
    <w:rsid w:val="00C63EE9"/>
    <w:rsid w:val="00C64C43"/>
    <w:rsid w:val="00C65AA2"/>
    <w:rsid w:val="00C67CAA"/>
    <w:rsid w:val="00C7035D"/>
    <w:rsid w:val="00C74AD0"/>
    <w:rsid w:val="00C8609B"/>
    <w:rsid w:val="00C86E70"/>
    <w:rsid w:val="00C914D7"/>
    <w:rsid w:val="00C916D5"/>
    <w:rsid w:val="00CA16F3"/>
    <w:rsid w:val="00CA3521"/>
    <w:rsid w:val="00CA37B1"/>
    <w:rsid w:val="00CA3F43"/>
    <w:rsid w:val="00CA6E02"/>
    <w:rsid w:val="00CB0CBB"/>
    <w:rsid w:val="00CB1959"/>
    <w:rsid w:val="00CB1ABD"/>
    <w:rsid w:val="00CB43E2"/>
    <w:rsid w:val="00CC7395"/>
    <w:rsid w:val="00CC741B"/>
    <w:rsid w:val="00CD0E4B"/>
    <w:rsid w:val="00CE4C89"/>
    <w:rsid w:val="00CF07BA"/>
    <w:rsid w:val="00CF6B1C"/>
    <w:rsid w:val="00D00B13"/>
    <w:rsid w:val="00D0296C"/>
    <w:rsid w:val="00D03D0E"/>
    <w:rsid w:val="00D04D54"/>
    <w:rsid w:val="00D11B1C"/>
    <w:rsid w:val="00D1290E"/>
    <w:rsid w:val="00D143CC"/>
    <w:rsid w:val="00D221BC"/>
    <w:rsid w:val="00D22531"/>
    <w:rsid w:val="00D229C5"/>
    <w:rsid w:val="00D23FBD"/>
    <w:rsid w:val="00D27405"/>
    <w:rsid w:val="00D31E8D"/>
    <w:rsid w:val="00D32D6F"/>
    <w:rsid w:val="00D33DCE"/>
    <w:rsid w:val="00D37B04"/>
    <w:rsid w:val="00D4076C"/>
    <w:rsid w:val="00D540C6"/>
    <w:rsid w:val="00D60BED"/>
    <w:rsid w:val="00D64BD1"/>
    <w:rsid w:val="00D7275B"/>
    <w:rsid w:val="00D77948"/>
    <w:rsid w:val="00D82C14"/>
    <w:rsid w:val="00D91091"/>
    <w:rsid w:val="00D91FF3"/>
    <w:rsid w:val="00D92254"/>
    <w:rsid w:val="00D94140"/>
    <w:rsid w:val="00D97713"/>
    <w:rsid w:val="00DC1237"/>
    <w:rsid w:val="00DC1CD8"/>
    <w:rsid w:val="00DC50BC"/>
    <w:rsid w:val="00DD3A53"/>
    <w:rsid w:val="00DE084C"/>
    <w:rsid w:val="00DE5210"/>
    <w:rsid w:val="00DF60EF"/>
    <w:rsid w:val="00E017A4"/>
    <w:rsid w:val="00E0404C"/>
    <w:rsid w:val="00E0408D"/>
    <w:rsid w:val="00E14F51"/>
    <w:rsid w:val="00E16287"/>
    <w:rsid w:val="00E30F64"/>
    <w:rsid w:val="00E357B7"/>
    <w:rsid w:val="00E36F0C"/>
    <w:rsid w:val="00E40FB6"/>
    <w:rsid w:val="00E53800"/>
    <w:rsid w:val="00E55942"/>
    <w:rsid w:val="00E56422"/>
    <w:rsid w:val="00E6081F"/>
    <w:rsid w:val="00E617E9"/>
    <w:rsid w:val="00E62074"/>
    <w:rsid w:val="00E630D5"/>
    <w:rsid w:val="00E75060"/>
    <w:rsid w:val="00E80043"/>
    <w:rsid w:val="00E827FA"/>
    <w:rsid w:val="00E8296D"/>
    <w:rsid w:val="00E82C04"/>
    <w:rsid w:val="00E83010"/>
    <w:rsid w:val="00E8457B"/>
    <w:rsid w:val="00EA04B2"/>
    <w:rsid w:val="00EA1454"/>
    <w:rsid w:val="00EA20F3"/>
    <w:rsid w:val="00EA5FAE"/>
    <w:rsid w:val="00EA6F43"/>
    <w:rsid w:val="00EC41CB"/>
    <w:rsid w:val="00EC540C"/>
    <w:rsid w:val="00EC7557"/>
    <w:rsid w:val="00ED2831"/>
    <w:rsid w:val="00ED43D1"/>
    <w:rsid w:val="00ED75A8"/>
    <w:rsid w:val="00EE01C0"/>
    <w:rsid w:val="00EE25F4"/>
    <w:rsid w:val="00EE358C"/>
    <w:rsid w:val="00EE4EE1"/>
    <w:rsid w:val="00EF0914"/>
    <w:rsid w:val="00EF312A"/>
    <w:rsid w:val="00EF4574"/>
    <w:rsid w:val="00EF5FB3"/>
    <w:rsid w:val="00F041B6"/>
    <w:rsid w:val="00F044BE"/>
    <w:rsid w:val="00F04C36"/>
    <w:rsid w:val="00F06B41"/>
    <w:rsid w:val="00F11BDB"/>
    <w:rsid w:val="00F139E1"/>
    <w:rsid w:val="00F15ADE"/>
    <w:rsid w:val="00F25A93"/>
    <w:rsid w:val="00F2684E"/>
    <w:rsid w:val="00F36264"/>
    <w:rsid w:val="00F417AE"/>
    <w:rsid w:val="00F44EFA"/>
    <w:rsid w:val="00F4592B"/>
    <w:rsid w:val="00F45F99"/>
    <w:rsid w:val="00F5404C"/>
    <w:rsid w:val="00F57B73"/>
    <w:rsid w:val="00F619C9"/>
    <w:rsid w:val="00F62462"/>
    <w:rsid w:val="00F63AF7"/>
    <w:rsid w:val="00F70441"/>
    <w:rsid w:val="00F729EF"/>
    <w:rsid w:val="00F744A2"/>
    <w:rsid w:val="00F7623A"/>
    <w:rsid w:val="00F77CAE"/>
    <w:rsid w:val="00F80D10"/>
    <w:rsid w:val="00F82271"/>
    <w:rsid w:val="00F83428"/>
    <w:rsid w:val="00F84004"/>
    <w:rsid w:val="00F91165"/>
    <w:rsid w:val="00F937FA"/>
    <w:rsid w:val="00F93B82"/>
    <w:rsid w:val="00F94A5A"/>
    <w:rsid w:val="00F96BB9"/>
    <w:rsid w:val="00FA0883"/>
    <w:rsid w:val="00FB4FAC"/>
    <w:rsid w:val="00FB5E13"/>
    <w:rsid w:val="00FB6765"/>
    <w:rsid w:val="00FC09B0"/>
    <w:rsid w:val="00FC322F"/>
    <w:rsid w:val="00FC49D6"/>
    <w:rsid w:val="00FC5337"/>
    <w:rsid w:val="00FC67CB"/>
    <w:rsid w:val="00FC71E5"/>
    <w:rsid w:val="00FD6772"/>
    <w:rsid w:val="00FE52DF"/>
    <w:rsid w:val="00FE6D51"/>
    <w:rsid w:val="00FE6F2A"/>
    <w:rsid w:val="00FF0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C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8609B"/>
    <w:pPr>
      <w:tabs>
        <w:tab w:val="center" w:pos="4513"/>
        <w:tab w:val="right" w:pos="9026"/>
      </w:tabs>
      <w:spacing w:before="0" w:after="0"/>
      <w:ind w:left="227"/>
    </w:pPr>
    <w:rPr>
      <w:b/>
      <w:caps/>
      <w:color w:val="000000" w:themeColor="text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8609B"/>
    <w:rPr>
      <w:b/>
      <w:caps/>
      <w:color w:val="000000" w:themeColor="text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8609B"/>
    <w:pPr>
      <w:spacing w:before="0" w:after="0" w:line="240" w:lineRule="exact"/>
      <w:ind w:left="284" w:right="284"/>
    </w:pPr>
    <w:rPr>
      <w:color w:val="000000" w:themeColor="text1"/>
    </w:rPr>
  </w:style>
  <w:style w:type="character" w:customStyle="1" w:styleId="FooterChar">
    <w:name w:val="Footer Char"/>
    <w:basedOn w:val="DefaultParagraphFont"/>
    <w:link w:val="Footer"/>
    <w:uiPriority w:val="99"/>
    <w:rsid w:val="00C8609B"/>
    <w:rPr>
      <w:color w:val="000000" w:themeColor="text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aliases w:val="ftref,16 Point,Superscript 6 Point,BVI fnr,Знак сноски 1,(NECG) Footnote Reference,fr,Footnote + Arial,10 pt,Black,Fußnotenzeichen DISS,Superscript 6 Point + 11 pt,Footnote Ref in FtNote,FnR-ANZDEC,de nota al pie,Ref,SUPERS,ftref1"/>
    <w:basedOn w:val="DefaultParagraphFont"/>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character" w:styleId="IntenseReference">
    <w:name w:val="Intense Reference"/>
    <w:basedOn w:val="DefaultParagraphFont"/>
    <w:uiPriority w:val="32"/>
    <w:qFormat/>
    <w:locked/>
    <w:rsid w:val="004127B1"/>
    <w:rPr>
      <w:rFonts w:asciiTheme="minorHAnsi" w:hAnsiTheme="minorHAnsi"/>
      <w:b/>
      <w:bCs/>
      <w:caps w:val="0"/>
      <w:smallCaps/>
      <w:color w:val="007C89" w:themeColor="accent6"/>
      <w:spacing w:val="5"/>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列出"/>
    <w:basedOn w:val="Normal"/>
    <w:link w:val="ListParagraphChar"/>
    <w:uiPriority w:val="34"/>
    <w:qFormat/>
    <w:locked/>
    <w:rsid w:val="004127B1"/>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GB"/>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4127B1"/>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B1ABD"/>
    <w:pPr>
      <w:suppressAutoHyphens w:val="0"/>
      <w:spacing w:before="0" w:after="150" w:line="240" w:lineRule="auto"/>
    </w:pPr>
    <w:rPr>
      <w:rFonts w:ascii="Times New Roman" w:eastAsia="Times New Roman" w:hAnsi="Times New Roman" w:cs="Times New Roman"/>
      <w:color w:val="auto"/>
      <w:sz w:val="24"/>
      <w:szCs w:val="24"/>
      <w:lang w:val="en-AU" w:eastAsia="en-AU"/>
    </w:rPr>
  </w:style>
  <w:style w:type="paragraph" w:customStyle="1" w:styleId="Bulletlist1HDMES">
    <w:name w:val="Bullet list 1  HDMES"/>
    <w:basedOn w:val="Normal"/>
    <w:link w:val="Bulletlist1HDMESChar"/>
    <w:qFormat/>
    <w:rsid w:val="00051EE6"/>
    <w:pPr>
      <w:numPr>
        <w:numId w:val="11"/>
      </w:numPr>
      <w:suppressAutoHyphens w:val="0"/>
      <w:spacing w:before="0" w:after="40" w:line="252" w:lineRule="auto"/>
    </w:pPr>
    <w:rPr>
      <w:rFonts w:ascii="Calibri" w:eastAsia="Calibri" w:hAnsi="Calibri" w:cs="Times New Roman"/>
      <w:color w:val="auto"/>
      <w:lang w:val="en-AU"/>
    </w:rPr>
  </w:style>
  <w:style w:type="character" w:customStyle="1" w:styleId="StyleguidetextHDMESChar">
    <w:name w:val="Styleguide text HDMES Char"/>
    <w:link w:val="StyleguidetextHDMES"/>
    <w:locked/>
    <w:rsid w:val="00763C34"/>
  </w:style>
  <w:style w:type="paragraph" w:customStyle="1" w:styleId="StyleguidetextHDMES">
    <w:name w:val="Styleguide text HDMES"/>
    <w:basedOn w:val="Normal"/>
    <w:link w:val="StyleguidetextHDMESChar"/>
    <w:qFormat/>
    <w:rsid w:val="00763C34"/>
    <w:pPr>
      <w:suppressAutoHyphens w:val="0"/>
      <w:spacing w:before="0" w:after="200" w:line="252" w:lineRule="auto"/>
    </w:pPr>
    <w:rPr>
      <w:color w:val="auto"/>
      <w:lang w:val="en-AU"/>
    </w:rPr>
  </w:style>
  <w:style w:type="paragraph" w:customStyle="1" w:styleId="StyleguidetextbulletleadHDMES">
    <w:name w:val="Styleguide text bullet lead HDMES"/>
    <w:basedOn w:val="StyleguidetextHDMES"/>
    <w:next w:val="StyleguidetextHDMES"/>
    <w:qFormat/>
    <w:rsid w:val="00763C34"/>
    <w:pPr>
      <w:spacing w:after="120"/>
    </w:pPr>
  </w:style>
  <w:style w:type="paragraph" w:customStyle="1" w:styleId="Numberedlist1HDMES">
    <w:name w:val="Numbered list 1 HDMES"/>
    <w:basedOn w:val="StyleguidetextHDMES"/>
    <w:link w:val="Numberedlist1HDMESChar"/>
    <w:qFormat/>
    <w:rsid w:val="00763C34"/>
    <w:pPr>
      <w:numPr>
        <w:numId w:val="12"/>
      </w:numPr>
      <w:tabs>
        <w:tab w:val="num" w:pos="360"/>
      </w:tabs>
      <w:spacing w:after="40"/>
      <w:ind w:left="0" w:firstLine="0"/>
    </w:pPr>
  </w:style>
  <w:style w:type="character" w:customStyle="1" w:styleId="Numberedlist1HDMESChar">
    <w:name w:val="Numbered list 1 HDMES Char"/>
    <w:link w:val="Numberedlist1HDMES"/>
    <w:locked/>
    <w:rsid w:val="00763C34"/>
  </w:style>
  <w:style w:type="table" w:styleId="GridTable1Light-Accent1">
    <w:name w:val="Grid Table 1 Light Accent 1"/>
    <w:basedOn w:val="TableNormal"/>
    <w:uiPriority w:val="46"/>
    <w:locked/>
    <w:rsid w:val="00F04C36"/>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locked/>
    <w:rsid w:val="00A3217B"/>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ListTable4-Accent1">
    <w:name w:val="List Table 4 Accent 1"/>
    <w:basedOn w:val="TableNormal"/>
    <w:uiPriority w:val="49"/>
    <w:locked/>
    <w:rsid w:val="00A3217B"/>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tcBorders>
        <w:shd w:val="clear" w:color="auto" w:fill="65C5B4" w:themeFill="accent1"/>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ListTable6Colorful-Accent1">
    <w:name w:val="List Table 6 Colorful Accent 1"/>
    <w:basedOn w:val="TableNormal"/>
    <w:uiPriority w:val="51"/>
    <w:locked/>
    <w:rsid w:val="00A3217B"/>
    <w:pPr>
      <w:spacing w:after="0" w:line="240" w:lineRule="auto"/>
    </w:pPr>
    <w:rPr>
      <w:color w:val="3DA18F" w:themeColor="accent1" w:themeShade="BF"/>
    </w:rPr>
    <w:tblPr>
      <w:tblStyleRowBandSize w:val="1"/>
      <w:tblStyleColBandSize w:val="1"/>
      <w:tblBorders>
        <w:top w:val="single" w:sz="4" w:space="0" w:color="65C5B4" w:themeColor="accent1"/>
        <w:bottom w:val="single" w:sz="4" w:space="0" w:color="65C5B4" w:themeColor="accent1"/>
      </w:tblBorders>
    </w:tblPr>
    <w:tblStylePr w:type="firstRow">
      <w:rPr>
        <w:b/>
        <w:bCs/>
      </w:rPr>
      <w:tblPr/>
      <w:tcPr>
        <w:tcBorders>
          <w:bottom w:val="single" w:sz="4" w:space="0" w:color="65C5B4" w:themeColor="accent1"/>
        </w:tcBorders>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customStyle="1" w:styleId="Default">
    <w:name w:val="Default"/>
    <w:rsid w:val="002770F7"/>
    <w:pPr>
      <w:autoSpaceDE w:val="0"/>
      <w:autoSpaceDN w:val="0"/>
      <w:adjustRightInd w:val="0"/>
      <w:spacing w:after="0" w:line="240" w:lineRule="auto"/>
    </w:pPr>
    <w:rPr>
      <w:rFonts w:ascii="Calibri" w:hAnsi="Calibri" w:cs="Calibri"/>
      <w:color w:val="000000"/>
      <w:sz w:val="24"/>
      <w:szCs w:val="24"/>
    </w:rPr>
  </w:style>
  <w:style w:type="character" w:customStyle="1" w:styleId="Bulletlist1HDMESChar">
    <w:name w:val="Bullet list 1  HDMES Char"/>
    <w:link w:val="Bulletlist1HDMES"/>
    <w:rsid w:val="00AF06CB"/>
    <w:rPr>
      <w:rFonts w:ascii="Calibri" w:eastAsia="Calibri" w:hAnsi="Calibri" w:cs="Times New Roman"/>
    </w:rPr>
  </w:style>
  <w:style w:type="paragraph" w:customStyle="1" w:styleId="Bulletlist2HDMES">
    <w:name w:val="Bullet list 2 HDMES"/>
    <w:basedOn w:val="StyleguidetextHDMES"/>
    <w:qFormat/>
    <w:rsid w:val="00AF06CB"/>
    <w:pPr>
      <w:numPr>
        <w:numId w:val="13"/>
      </w:numPr>
      <w:tabs>
        <w:tab w:val="num" w:pos="360"/>
      </w:tabs>
      <w:spacing w:after="40"/>
      <w:ind w:left="714" w:hanging="357"/>
    </w:pPr>
    <w:rPr>
      <w:rFonts w:ascii="Calibri" w:eastAsia="Calibri" w:hAnsi="Calibri" w:cs="Times New Roman"/>
    </w:rPr>
  </w:style>
  <w:style w:type="paragraph" w:customStyle="1" w:styleId="Heading4bluevariantHDMES">
    <w:name w:val="Heading 4 blue variant HDMES"/>
    <w:basedOn w:val="Heading4"/>
    <w:qFormat/>
    <w:rsid w:val="00AF06CB"/>
    <w:pPr>
      <w:keepLines w:val="0"/>
      <w:suppressAutoHyphens w:val="0"/>
      <w:spacing w:before="80" w:after="80" w:line="252" w:lineRule="auto"/>
      <w:contextualSpacing w:val="0"/>
    </w:pPr>
    <w:rPr>
      <w:rFonts w:ascii="Franklin Gothic Demi" w:eastAsia="Times New Roman" w:hAnsi="Franklin Gothic Demi" w:cs="Times New Roman"/>
      <w:iCs w:val="0"/>
      <w:color w:val="041F60"/>
      <w:szCs w:val="28"/>
      <w:lang w:val="en-AU"/>
    </w:rPr>
  </w:style>
  <w:style w:type="paragraph" w:customStyle="1" w:styleId="FootnotetextHDMES">
    <w:name w:val="Footnote text HDMES"/>
    <w:basedOn w:val="FootnoteText"/>
    <w:qFormat/>
    <w:rsid w:val="00F937FA"/>
    <w:pPr>
      <w:suppressAutoHyphens w:val="0"/>
      <w:spacing w:before="0" w:line="252" w:lineRule="auto"/>
      <w:ind w:left="0" w:firstLine="0"/>
    </w:pPr>
    <w:rPr>
      <w:rFonts w:ascii="Calibri" w:eastAsia="Calibri" w:hAnsi="Calibri" w:cs="Times New Roman"/>
      <w:color w:val="auto"/>
      <w:sz w:val="20"/>
      <w:lang w:val="en-AU"/>
    </w:rPr>
  </w:style>
  <w:style w:type="character" w:customStyle="1" w:styleId="normaltextrun">
    <w:name w:val="normaltextrun"/>
    <w:basedOn w:val="DefaultParagraphFont"/>
    <w:rsid w:val="0077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940">
      <w:bodyDiv w:val="1"/>
      <w:marLeft w:val="0"/>
      <w:marRight w:val="0"/>
      <w:marTop w:val="0"/>
      <w:marBottom w:val="0"/>
      <w:divBdr>
        <w:top w:val="none" w:sz="0" w:space="0" w:color="auto"/>
        <w:left w:val="none" w:sz="0" w:space="0" w:color="auto"/>
        <w:bottom w:val="none" w:sz="0" w:space="0" w:color="auto"/>
        <w:right w:val="none" w:sz="0" w:space="0" w:color="auto"/>
      </w:divBdr>
    </w:div>
    <w:div w:id="161166714">
      <w:bodyDiv w:val="1"/>
      <w:marLeft w:val="0"/>
      <w:marRight w:val="0"/>
      <w:marTop w:val="0"/>
      <w:marBottom w:val="0"/>
      <w:divBdr>
        <w:top w:val="none" w:sz="0" w:space="0" w:color="auto"/>
        <w:left w:val="none" w:sz="0" w:space="0" w:color="auto"/>
        <w:bottom w:val="none" w:sz="0" w:space="0" w:color="auto"/>
        <w:right w:val="none" w:sz="0" w:space="0" w:color="auto"/>
      </w:divBdr>
    </w:div>
    <w:div w:id="385104012">
      <w:bodyDiv w:val="1"/>
      <w:marLeft w:val="0"/>
      <w:marRight w:val="0"/>
      <w:marTop w:val="0"/>
      <w:marBottom w:val="0"/>
      <w:divBdr>
        <w:top w:val="none" w:sz="0" w:space="0" w:color="auto"/>
        <w:left w:val="none" w:sz="0" w:space="0" w:color="auto"/>
        <w:bottom w:val="none" w:sz="0" w:space="0" w:color="auto"/>
        <w:right w:val="none" w:sz="0" w:space="0" w:color="auto"/>
      </w:divBdr>
    </w:div>
    <w:div w:id="454639245">
      <w:bodyDiv w:val="1"/>
      <w:marLeft w:val="0"/>
      <w:marRight w:val="0"/>
      <w:marTop w:val="0"/>
      <w:marBottom w:val="0"/>
      <w:divBdr>
        <w:top w:val="none" w:sz="0" w:space="0" w:color="auto"/>
        <w:left w:val="none" w:sz="0" w:space="0" w:color="auto"/>
        <w:bottom w:val="none" w:sz="0" w:space="0" w:color="auto"/>
        <w:right w:val="none" w:sz="0" w:space="0" w:color="auto"/>
      </w:divBdr>
    </w:div>
    <w:div w:id="561059176">
      <w:bodyDiv w:val="1"/>
      <w:marLeft w:val="0"/>
      <w:marRight w:val="0"/>
      <w:marTop w:val="0"/>
      <w:marBottom w:val="0"/>
      <w:divBdr>
        <w:top w:val="none" w:sz="0" w:space="0" w:color="auto"/>
        <w:left w:val="none" w:sz="0" w:space="0" w:color="auto"/>
        <w:bottom w:val="none" w:sz="0" w:space="0" w:color="auto"/>
        <w:right w:val="none" w:sz="0" w:space="0" w:color="auto"/>
      </w:divBdr>
    </w:div>
    <w:div w:id="695228247">
      <w:bodyDiv w:val="1"/>
      <w:marLeft w:val="0"/>
      <w:marRight w:val="0"/>
      <w:marTop w:val="0"/>
      <w:marBottom w:val="0"/>
      <w:divBdr>
        <w:top w:val="none" w:sz="0" w:space="0" w:color="auto"/>
        <w:left w:val="none" w:sz="0" w:space="0" w:color="auto"/>
        <w:bottom w:val="none" w:sz="0" w:space="0" w:color="auto"/>
        <w:right w:val="none" w:sz="0" w:space="0" w:color="auto"/>
      </w:divBdr>
    </w:div>
    <w:div w:id="837503222">
      <w:bodyDiv w:val="1"/>
      <w:marLeft w:val="0"/>
      <w:marRight w:val="0"/>
      <w:marTop w:val="0"/>
      <w:marBottom w:val="0"/>
      <w:divBdr>
        <w:top w:val="none" w:sz="0" w:space="0" w:color="auto"/>
        <w:left w:val="none" w:sz="0" w:space="0" w:color="auto"/>
        <w:bottom w:val="none" w:sz="0" w:space="0" w:color="auto"/>
        <w:right w:val="none" w:sz="0" w:space="0" w:color="auto"/>
      </w:divBdr>
    </w:div>
    <w:div w:id="852574167">
      <w:bodyDiv w:val="1"/>
      <w:marLeft w:val="0"/>
      <w:marRight w:val="0"/>
      <w:marTop w:val="0"/>
      <w:marBottom w:val="0"/>
      <w:divBdr>
        <w:top w:val="none" w:sz="0" w:space="0" w:color="auto"/>
        <w:left w:val="none" w:sz="0" w:space="0" w:color="auto"/>
        <w:bottom w:val="none" w:sz="0" w:space="0" w:color="auto"/>
        <w:right w:val="none" w:sz="0" w:space="0" w:color="auto"/>
      </w:divBdr>
    </w:div>
    <w:div w:id="1038436733">
      <w:bodyDiv w:val="1"/>
      <w:marLeft w:val="0"/>
      <w:marRight w:val="0"/>
      <w:marTop w:val="0"/>
      <w:marBottom w:val="0"/>
      <w:divBdr>
        <w:top w:val="none" w:sz="0" w:space="0" w:color="auto"/>
        <w:left w:val="none" w:sz="0" w:space="0" w:color="auto"/>
        <w:bottom w:val="none" w:sz="0" w:space="0" w:color="auto"/>
        <w:right w:val="none" w:sz="0" w:space="0" w:color="auto"/>
      </w:divBdr>
    </w:div>
    <w:div w:id="1086267529">
      <w:bodyDiv w:val="1"/>
      <w:marLeft w:val="0"/>
      <w:marRight w:val="0"/>
      <w:marTop w:val="0"/>
      <w:marBottom w:val="0"/>
      <w:divBdr>
        <w:top w:val="none" w:sz="0" w:space="0" w:color="auto"/>
        <w:left w:val="none" w:sz="0" w:space="0" w:color="auto"/>
        <w:bottom w:val="none" w:sz="0" w:space="0" w:color="auto"/>
        <w:right w:val="none" w:sz="0" w:space="0" w:color="auto"/>
      </w:divBdr>
    </w:div>
    <w:div w:id="1146510732">
      <w:bodyDiv w:val="1"/>
      <w:marLeft w:val="0"/>
      <w:marRight w:val="0"/>
      <w:marTop w:val="0"/>
      <w:marBottom w:val="0"/>
      <w:divBdr>
        <w:top w:val="none" w:sz="0" w:space="0" w:color="auto"/>
        <w:left w:val="none" w:sz="0" w:space="0" w:color="auto"/>
        <w:bottom w:val="none" w:sz="0" w:space="0" w:color="auto"/>
        <w:right w:val="none" w:sz="0" w:space="0" w:color="auto"/>
      </w:divBdr>
    </w:div>
    <w:div w:id="1340959503">
      <w:bodyDiv w:val="1"/>
      <w:marLeft w:val="0"/>
      <w:marRight w:val="0"/>
      <w:marTop w:val="0"/>
      <w:marBottom w:val="0"/>
      <w:divBdr>
        <w:top w:val="none" w:sz="0" w:space="0" w:color="auto"/>
        <w:left w:val="none" w:sz="0" w:space="0" w:color="auto"/>
        <w:bottom w:val="none" w:sz="0" w:space="0" w:color="auto"/>
        <w:right w:val="none" w:sz="0" w:space="0" w:color="auto"/>
      </w:divBdr>
    </w:div>
    <w:div w:id="1411662318">
      <w:bodyDiv w:val="1"/>
      <w:marLeft w:val="0"/>
      <w:marRight w:val="0"/>
      <w:marTop w:val="0"/>
      <w:marBottom w:val="0"/>
      <w:divBdr>
        <w:top w:val="none" w:sz="0" w:space="0" w:color="auto"/>
        <w:left w:val="none" w:sz="0" w:space="0" w:color="auto"/>
        <w:bottom w:val="none" w:sz="0" w:space="0" w:color="auto"/>
        <w:right w:val="none" w:sz="0" w:space="0" w:color="auto"/>
      </w:divBdr>
    </w:div>
    <w:div w:id="1798177865">
      <w:bodyDiv w:val="1"/>
      <w:marLeft w:val="0"/>
      <w:marRight w:val="0"/>
      <w:marTop w:val="0"/>
      <w:marBottom w:val="0"/>
      <w:divBdr>
        <w:top w:val="none" w:sz="0" w:space="0" w:color="auto"/>
        <w:left w:val="none" w:sz="0" w:space="0" w:color="auto"/>
        <w:bottom w:val="none" w:sz="0" w:space="0" w:color="auto"/>
        <w:right w:val="none" w:sz="0" w:space="0" w:color="auto"/>
      </w:divBdr>
    </w:div>
    <w:div w:id="19176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CB33-23E8-4F73-ACD3-FA02322F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4866</Characters>
  <Application>Microsoft Office Word</Application>
  <DocSecurity>0</DocSecurity>
  <Lines>183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2022-12-01T04:19:00Z</dcterms:created>
  <dcterms:modified xsi:type="dcterms:W3CDTF">2022-12-01T04:19:00Z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CEACC4D7F05C489B8DB29C68D112F5A8</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2022-12-01T04:19:27Z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FD8068D068FED9B9DFA6B1A4D144E459</vt:lpwstr>
  </property>
  <property fmtid="{D5CDD505-2E9C-101B-9397-08002B2CF9AE}" pid="21" name="PM_Hash_Salt">
    <vt:lpwstr>1A8A448914D821C77CCF0D27F21E6569</vt:lpwstr>
  </property>
  <property fmtid="{D5CDD505-2E9C-101B-9397-08002B2CF9AE}" pid="22" name="PM_Hash_SHA1">
    <vt:lpwstr>93D57217C5828E838F2AA6DEA731456C19E0F78F</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